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eastAsia="黑体"/>
          <w:color w:val="000000" w:themeColor="text1"/>
          <w:sz w:val="44"/>
          <w:szCs w:val="44"/>
          <w:highlight w:val="none"/>
          <w14:textFill>
            <w14:solidFill>
              <w14:schemeClr w14:val="tx1"/>
            </w14:solidFill>
          </w14:textFill>
        </w:rPr>
      </w:pPr>
    </w:p>
    <w:p>
      <w:pPr>
        <w:spacing w:before="312" w:beforeLines="100" w:line="700" w:lineRule="exact"/>
        <w:ind w:firstLine="0" w:firstLineChars="0"/>
        <w:jc w:val="center"/>
        <w:rPr>
          <w:rFonts w:hint="default" w:ascii="Times New Roman" w:hAnsi="Times New Roman" w:eastAsia="黑体" w:cs="Times New Roman"/>
          <w:color w:val="000000" w:themeColor="text1"/>
          <w:sz w:val="44"/>
          <w:szCs w:val="44"/>
          <w:highlight w:val="none"/>
          <w14:textFill>
            <w14:solidFill>
              <w14:schemeClr w14:val="tx1"/>
            </w14:solidFill>
          </w14:textFill>
        </w:rPr>
      </w:pPr>
    </w:p>
    <w:p>
      <w:pPr>
        <w:spacing w:before="312" w:beforeLines="100" w:line="700" w:lineRule="exact"/>
        <w:ind w:firstLine="0" w:firstLineChars="0"/>
        <w:jc w:val="center"/>
        <w:rPr>
          <w:rFonts w:hint="eastAsia" w:eastAsia="黑体"/>
          <w:color w:val="000000" w:themeColor="text1"/>
          <w:sz w:val="44"/>
          <w:szCs w:val="44"/>
          <w:highlight w:val="none"/>
          <w14:textFill>
            <w14:solidFill>
              <w14:schemeClr w14:val="tx1"/>
            </w14:solidFill>
          </w14:textFill>
        </w:rPr>
      </w:pPr>
      <w:r>
        <w:rPr>
          <w:rFonts w:hint="default" w:ascii="Times New Roman" w:hAnsi="Times New Roman" w:eastAsia="黑体" w:cs="Times New Roman"/>
          <w:color w:val="000000" w:themeColor="text1"/>
          <w:sz w:val="44"/>
          <w:szCs w:val="44"/>
          <w:highlight w:val="none"/>
          <w14:textFill>
            <w14:solidFill>
              <w14:schemeClr w14:val="tx1"/>
            </w14:solidFill>
          </w14:textFill>
        </w:rPr>
        <w:t>采油七厂葡北油田三断块葡72-70井区</w:t>
      </w:r>
      <w:r>
        <w:rPr>
          <w:rFonts w:hint="eastAsia" w:eastAsia="黑体"/>
          <w:color w:val="000000" w:themeColor="text1"/>
          <w:sz w:val="44"/>
          <w:szCs w:val="44"/>
          <w:highlight w:val="none"/>
          <w14:textFill>
            <w14:solidFill>
              <w14:schemeClr w14:val="tx1"/>
            </w14:solidFill>
          </w14:textFill>
        </w:rPr>
        <w:t>深部</w:t>
      </w:r>
    </w:p>
    <w:p>
      <w:pPr>
        <w:spacing w:before="312" w:beforeLines="100" w:line="700" w:lineRule="exact"/>
        <w:ind w:firstLine="0" w:firstLineChars="0"/>
        <w:jc w:val="center"/>
        <w:rPr>
          <w:rFonts w:hint="default" w:ascii="Times New Roman" w:hAnsi="Times New Roman" w:eastAsia="黑体" w:cs="Times New Roman"/>
          <w:color w:val="000000" w:themeColor="text1"/>
          <w:sz w:val="44"/>
          <w:szCs w:val="44"/>
          <w:highlight w:val="none"/>
          <w:lang w:val="zh-CN" w:eastAsia="zh-CN" w:bidi="zh-CN"/>
          <w14:textFill>
            <w14:solidFill>
              <w14:schemeClr w14:val="tx1"/>
            </w14:solidFill>
          </w14:textFill>
        </w:rPr>
      </w:pPr>
      <w:r>
        <w:rPr>
          <w:rFonts w:hint="eastAsia" w:eastAsia="黑体"/>
          <w:color w:val="000000" w:themeColor="text1"/>
          <w:sz w:val="44"/>
          <w:szCs w:val="44"/>
          <w:highlight w:val="none"/>
          <w14:textFill>
            <w14:solidFill>
              <w14:schemeClr w14:val="tx1"/>
            </w14:solidFill>
          </w14:textFill>
        </w:rPr>
        <w:t>调</w:t>
      </w:r>
      <w:r>
        <w:rPr>
          <w:rFonts w:hint="eastAsia" w:ascii="Times New Roman" w:hAnsi="Times New Roman" w:eastAsia="黑体" w:cs="Times New Roman"/>
          <w:color w:val="000000" w:themeColor="text1"/>
          <w:sz w:val="44"/>
          <w:szCs w:val="44"/>
          <w:highlight w:val="none"/>
          <w:lang w:val="zh-CN" w:eastAsia="zh-CN" w:bidi="zh-CN"/>
          <w14:textFill>
            <w14:solidFill>
              <w14:schemeClr w14:val="tx1"/>
            </w14:solidFill>
          </w14:textFill>
        </w:rPr>
        <w:t>驱产能建设地面工程</w:t>
      </w:r>
    </w:p>
    <w:p>
      <w:pPr>
        <w:pStyle w:val="14"/>
        <w:spacing w:before="9"/>
        <w:jc w:val="both"/>
        <w:rPr>
          <w:rFonts w:ascii="Times New Roman" w:hAnsi="Times New Roman" w:cs="Times New Roman"/>
          <w:color w:val="000000" w:themeColor="text1"/>
          <w:w w:val="99"/>
          <w:sz w:val="63"/>
          <w:highlight w:val="none"/>
          <w14:textFill>
            <w14:solidFill>
              <w14:schemeClr w14:val="tx1"/>
            </w14:solidFill>
          </w14:textFill>
        </w:rPr>
      </w:pPr>
    </w:p>
    <w:p>
      <w:pPr>
        <w:spacing w:before="52"/>
        <w:ind w:right="17"/>
        <w:jc w:val="center"/>
        <w:rPr>
          <w:rFonts w:ascii="Times New Roman" w:hAnsi="Times New Roman" w:eastAsia="黑体" w:cs="Times New Roman"/>
          <w:color w:val="000000" w:themeColor="text1"/>
          <w:w w:val="99"/>
          <w:sz w:val="44"/>
          <w:szCs w:val="44"/>
          <w:highlight w:val="none"/>
          <w14:textFill>
            <w14:solidFill>
              <w14:schemeClr w14:val="tx1"/>
            </w14:solidFill>
          </w14:textFill>
        </w:rPr>
      </w:pPr>
      <w:r>
        <w:rPr>
          <w:rFonts w:ascii="Times New Roman" w:hAnsi="Times New Roman" w:eastAsia="黑体" w:cs="Times New Roman"/>
          <w:color w:val="000000" w:themeColor="text1"/>
          <w:w w:val="99"/>
          <w:sz w:val="44"/>
          <w:szCs w:val="44"/>
          <w:highlight w:val="none"/>
          <w14:textFill>
            <w14:solidFill>
              <w14:schemeClr w14:val="tx1"/>
            </w14:solidFill>
          </w14:textFill>
        </w:rPr>
        <w:t>环境影响报告书</w:t>
      </w:r>
    </w:p>
    <w:p>
      <w:pPr>
        <w:pStyle w:val="14"/>
        <w:spacing w:before="9"/>
        <w:jc w:val="center"/>
        <w:rPr>
          <w:rFonts w:ascii="Times New Roman" w:hAnsi="Times New Roman" w:cs="Times New Roman"/>
          <w:color w:val="000000" w:themeColor="text1"/>
          <w:w w:val="99"/>
          <w:sz w:val="44"/>
          <w:szCs w:val="44"/>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jc w:val="center"/>
        <w:rPr>
          <w:rFonts w:ascii="Times New Roman" w:hAnsi="Times New Roman" w:cs="Times New Roman"/>
          <w:color w:val="000000" w:themeColor="text1"/>
          <w:w w:val="99"/>
          <w:sz w:val="32"/>
          <w:highlight w:val="none"/>
          <w14:textFill>
            <w14:solidFill>
              <w14:schemeClr w14:val="tx1"/>
            </w14:solidFill>
          </w14:textFill>
        </w:rPr>
      </w:pPr>
    </w:p>
    <w:p>
      <w:pPr>
        <w:pStyle w:val="14"/>
        <w:spacing w:before="4"/>
        <w:jc w:val="center"/>
        <w:rPr>
          <w:rFonts w:ascii="Times New Roman" w:hAnsi="Times New Roman" w:cs="Times New Roman"/>
          <w:color w:val="000000" w:themeColor="text1"/>
          <w:w w:val="99"/>
          <w:sz w:val="34"/>
          <w:highlight w:val="none"/>
          <w14:textFill>
            <w14:solidFill>
              <w14:schemeClr w14:val="tx1"/>
            </w14:solidFill>
          </w14:textFill>
        </w:rPr>
      </w:pPr>
    </w:p>
    <w:p>
      <w:pPr>
        <w:ind w:right="13"/>
        <w:jc w:val="center"/>
        <w:rPr>
          <w:rFonts w:ascii="Times New Roman" w:hAnsi="Times New Roman" w:eastAsia="黑体" w:cs="Times New Roman"/>
          <w:bCs/>
          <w:color w:val="000000" w:themeColor="text1"/>
          <w:w w:val="99"/>
          <w:sz w:val="30"/>
          <w:highlight w:val="none"/>
          <w:lang w:val="en-US"/>
          <w14:textFill>
            <w14:solidFill>
              <w14:schemeClr w14:val="tx1"/>
            </w14:solidFill>
          </w14:textFill>
        </w:rPr>
      </w:pPr>
      <w:bookmarkStart w:id="0" w:name="_Hlk69490932"/>
      <w:r>
        <w:rPr>
          <w:rFonts w:hint="eastAsia" w:ascii="Times New Roman" w:hAnsi="Times New Roman" w:eastAsia="黑体" w:cs="Times New Roman"/>
          <w:color w:val="000000" w:themeColor="text1"/>
          <w:w w:val="99"/>
          <w:sz w:val="30"/>
          <w:highlight w:val="none"/>
          <w14:textFill>
            <w14:solidFill>
              <w14:schemeClr w14:val="tx1"/>
            </w14:solidFill>
          </w14:textFill>
        </w:rPr>
        <w:t>建设单位：</w:t>
      </w:r>
      <w:r>
        <w:rPr>
          <w:rFonts w:ascii="Times New Roman" w:hAnsi="Times New Roman" w:eastAsia="黑体" w:cs="Times New Roman"/>
          <w:bCs/>
          <w:color w:val="000000" w:themeColor="text1"/>
          <w:w w:val="99"/>
          <w:sz w:val="30"/>
          <w:highlight w:val="none"/>
          <w:lang w:val="en-US"/>
          <w14:textFill>
            <w14:solidFill>
              <w14:schemeClr w14:val="tx1"/>
            </w14:solidFill>
          </w14:textFill>
        </w:rPr>
        <w:t>大庆油田有限责任公司第七采油厂</w:t>
      </w:r>
    </w:p>
    <w:p>
      <w:pPr>
        <w:ind w:right="13"/>
        <w:jc w:val="center"/>
        <w:rPr>
          <w:rFonts w:ascii="Times New Roman" w:hAnsi="Times New Roman" w:eastAsia="黑体" w:cs="Times New Roman"/>
          <w:bCs/>
          <w:color w:val="000000" w:themeColor="text1"/>
          <w:w w:val="99"/>
          <w:sz w:val="30"/>
          <w:highlight w:val="none"/>
          <w:lang w:val="en-US"/>
          <w14:textFill>
            <w14:solidFill>
              <w14:schemeClr w14:val="tx1"/>
            </w14:solidFill>
          </w14:textFill>
        </w:rPr>
      </w:pPr>
    </w:p>
    <w:p>
      <w:pPr>
        <w:ind w:right="13"/>
        <w:jc w:val="center"/>
        <w:rPr>
          <w:rFonts w:ascii="Times New Roman" w:hAnsi="Times New Roman" w:eastAsia="黑体" w:cs="Times New Roman"/>
          <w:color w:val="000000" w:themeColor="text1"/>
          <w:w w:val="99"/>
          <w:sz w:val="30"/>
          <w:highlight w:val="none"/>
          <w14:textFill>
            <w14:solidFill>
              <w14:schemeClr w14:val="tx1"/>
            </w14:solidFill>
          </w14:textFill>
        </w:rPr>
      </w:pPr>
      <w:r>
        <w:rPr>
          <w:rFonts w:hint="eastAsia" w:ascii="Times New Roman" w:hAnsi="Times New Roman" w:eastAsia="黑体" w:cs="Times New Roman"/>
          <w:bCs/>
          <w:color w:val="000000" w:themeColor="text1"/>
          <w:w w:val="99"/>
          <w:sz w:val="30"/>
          <w:highlight w:val="none"/>
          <w:lang w:val="en-US"/>
          <w14:textFill>
            <w14:solidFill>
              <w14:schemeClr w14:val="tx1"/>
            </w14:solidFill>
          </w14:textFill>
        </w:rPr>
        <w:t>编制单位：</w:t>
      </w:r>
      <w:r>
        <w:rPr>
          <w:rFonts w:hint="eastAsia" w:ascii="Times New Roman" w:hAnsi="Times New Roman" w:eastAsia="黑体" w:cs="Times New Roman"/>
          <w:bCs/>
          <w:color w:val="000000" w:themeColor="text1"/>
          <w:w w:val="99"/>
          <w:sz w:val="30"/>
          <w:highlight w:val="none"/>
          <w:lang w:val="en-US" w:eastAsia="zh-CN"/>
          <w14:textFill>
            <w14:solidFill>
              <w14:schemeClr w14:val="tx1"/>
            </w14:solidFill>
          </w14:textFill>
        </w:rPr>
        <w:t>河北奇正环境科技</w:t>
      </w:r>
      <w:r>
        <w:rPr>
          <w:rFonts w:ascii="Times New Roman" w:hAnsi="Times New Roman" w:eastAsia="黑体" w:cs="Times New Roman"/>
          <w:color w:val="000000" w:themeColor="text1"/>
          <w:w w:val="99"/>
          <w:sz w:val="30"/>
          <w:highlight w:val="none"/>
          <w14:textFill>
            <w14:solidFill>
              <w14:schemeClr w14:val="tx1"/>
            </w14:solidFill>
          </w14:textFill>
        </w:rPr>
        <w:t>有限公司</w:t>
      </w:r>
    </w:p>
    <w:bookmarkEnd w:id="0"/>
    <w:p>
      <w:pPr>
        <w:pStyle w:val="14"/>
        <w:spacing w:before="12"/>
        <w:jc w:val="center"/>
        <w:rPr>
          <w:rFonts w:ascii="Times New Roman" w:hAnsi="Times New Roman" w:cs="Times New Roman"/>
          <w:color w:val="000000" w:themeColor="text1"/>
          <w:w w:val="99"/>
          <w:sz w:val="24"/>
          <w:highlight w:val="none"/>
          <w14:textFill>
            <w14:solidFill>
              <w14:schemeClr w14:val="tx1"/>
            </w14:solidFill>
          </w14:textFill>
        </w:rPr>
      </w:pPr>
    </w:p>
    <w:p>
      <w:pPr>
        <w:ind w:right="15"/>
        <w:jc w:val="center"/>
        <w:rPr>
          <w:rFonts w:ascii="Times New Roman" w:hAnsi="Times New Roman" w:cs="Times New Roman"/>
          <w:color w:val="000000" w:themeColor="text1"/>
          <w:w w:val="99"/>
          <w:sz w:val="17"/>
          <w:highlight w:val="none"/>
          <w14:textFill>
            <w14:solidFill>
              <w14:schemeClr w14:val="tx1"/>
            </w14:solidFill>
          </w14:textFill>
        </w:rPr>
      </w:pPr>
      <w:r>
        <w:rPr>
          <w:rFonts w:ascii="Times New Roman" w:hAnsi="Times New Roman" w:eastAsia="Times New Roman" w:cs="Times New Roman"/>
          <w:color w:val="000000" w:themeColor="text1"/>
          <w:w w:val="99"/>
          <w:sz w:val="30"/>
          <w:highlight w:val="none"/>
          <w14:textFill>
            <w14:solidFill>
              <w14:schemeClr w14:val="tx1"/>
            </w14:solidFill>
          </w14:textFill>
        </w:rPr>
        <w:t>20</w:t>
      </w:r>
      <w:r>
        <w:rPr>
          <w:rFonts w:hint="eastAsia" w:ascii="Times New Roman" w:hAnsi="Times New Roman" w:cs="Times New Roman"/>
          <w:color w:val="000000" w:themeColor="text1"/>
          <w:w w:val="99"/>
          <w:sz w:val="30"/>
          <w:highlight w:val="none"/>
          <w:lang w:val="en-US" w:eastAsia="zh-CN"/>
          <w14:textFill>
            <w14:solidFill>
              <w14:schemeClr w14:val="tx1"/>
            </w14:solidFill>
          </w14:textFill>
        </w:rPr>
        <w:t>2</w:t>
      </w:r>
      <w:r>
        <w:rPr>
          <w:rFonts w:ascii="Times New Roman" w:hAnsi="Times New Roman" w:cs="Times New Roman"/>
          <w:color w:val="000000" w:themeColor="text1"/>
          <w:w w:val="99"/>
          <w:sz w:val="30"/>
          <w:highlight w:val="none"/>
          <w:lang w:val="en-US"/>
          <w14:textFill>
            <w14:solidFill>
              <w14:schemeClr w14:val="tx1"/>
            </w14:solidFill>
          </w14:textFill>
        </w:rPr>
        <w:t>1</w:t>
      </w:r>
      <w:r>
        <w:rPr>
          <w:rFonts w:ascii="Times New Roman" w:hAnsi="Times New Roman" w:eastAsia="黑体" w:cs="Times New Roman"/>
          <w:color w:val="000000" w:themeColor="text1"/>
          <w:w w:val="99"/>
          <w:sz w:val="30"/>
          <w:highlight w:val="none"/>
          <w14:textFill>
            <w14:solidFill>
              <w14:schemeClr w14:val="tx1"/>
            </w14:solidFill>
          </w14:textFill>
        </w:rPr>
        <w:t>年</w:t>
      </w:r>
      <w:r>
        <w:rPr>
          <w:rFonts w:hint="eastAsia" w:ascii="Times New Roman" w:hAnsi="Times New Roman" w:eastAsia="黑体" w:cs="Times New Roman"/>
          <w:color w:val="000000" w:themeColor="text1"/>
          <w:w w:val="99"/>
          <w:sz w:val="30"/>
          <w:highlight w:val="none"/>
          <w:lang w:val="en-US" w:eastAsia="zh-CN"/>
          <w14:textFill>
            <w14:solidFill>
              <w14:schemeClr w14:val="tx1"/>
            </w14:solidFill>
          </w14:textFill>
        </w:rPr>
        <w:t>11</w:t>
      </w:r>
      <w:r>
        <w:rPr>
          <w:rFonts w:ascii="Times New Roman" w:hAnsi="Times New Roman" w:eastAsia="黑体" w:cs="Times New Roman"/>
          <w:color w:val="000000" w:themeColor="text1"/>
          <w:w w:val="99"/>
          <w:sz w:val="30"/>
          <w:highlight w:val="none"/>
          <w14:textFill>
            <w14:solidFill>
              <w14:schemeClr w14:val="tx1"/>
            </w14:solidFill>
          </w14:textFill>
        </w:rPr>
        <w:t>月</w:t>
      </w:r>
    </w:p>
    <w:p>
      <w:pPr>
        <w:jc w:val="center"/>
        <w:rPr>
          <w:rFonts w:ascii="Times New Roman" w:hAnsi="Times New Roman" w:cs="Times New Roman"/>
          <w:color w:val="000000" w:themeColor="text1"/>
          <w:w w:val="99"/>
          <w:sz w:val="17"/>
          <w:highlight w:val="none"/>
          <w14:textFill>
            <w14:solidFill>
              <w14:schemeClr w14:val="tx1"/>
            </w14:solidFill>
          </w14:textFill>
        </w:rPr>
        <w:sectPr>
          <w:pgSz w:w="11910" w:h="16850"/>
          <w:pgMar w:top="1417" w:right="1417" w:bottom="1417" w:left="1417" w:header="720" w:footer="720" w:gutter="0"/>
          <w:pgBorders>
            <w:top w:val="none" w:sz="0" w:space="0"/>
            <w:left w:val="none" w:sz="0" w:space="0"/>
            <w:bottom w:val="none" w:sz="0" w:space="0"/>
            <w:right w:val="none" w:sz="0" w:space="0"/>
          </w:pgBorders>
          <w:cols w:space="720" w:num="1"/>
        </w:sectPr>
      </w:pPr>
    </w:p>
    <w:p>
      <w:pPr>
        <w:tabs>
          <w:tab w:val="left" w:pos="796"/>
        </w:tabs>
        <w:jc w:val="cente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rFonts w:ascii="Times New Roman" w:hAnsi="Times New Roman" w:cs="Times New Roman"/>
          <w:b/>
          <w:color w:val="000000" w:themeColor="text1"/>
          <w:w w:val="99"/>
          <w:sz w:val="36"/>
          <w:szCs w:val="36"/>
          <w:highlight w:val="none"/>
          <w14:textFill>
            <w14:solidFill>
              <w14:schemeClr w14:val="tx1"/>
            </w14:solidFill>
          </w14:textFill>
        </w:rPr>
      </w:pPr>
    </w:p>
    <w:p>
      <w:pPr>
        <w:pStyle w:val="2"/>
        <w:rPr>
          <w:rFonts w:ascii="Times New Roman" w:hAnsi="Times New Roman" w:cs="Times New Roman"/>
          <w:b/>
          <w:color w:val="000000" w:themeColor="text1"/>
          <w:w w:val="99"/>
          <w:sz w:val="36"/>
          <w:szCs w:val="36"/>
          <w:highlight w:val="none"/>
          <w14:textFill>
            <w14:solidFill>
              <w14:schemeClr w14:val="tx1"/>
            </w14:solidFill>
          </w14:textFill>
        </w:rPr>
      </w:pPr>
    </w:p>
    <w:p>
      <w:pPr>
        <w:rPr>
          <w:color w:val="000000" w:themeColor="text1"/>
          <w:highlight w:val="none"/>
          <w14:textFill>
            <w14:solidFill>
              <w14:schemeClr w14:val="tx1"/>
            </w14:solidFill>
          </w14:textFill>
        </w:rPr>
      </w:pPr>
    </w:p>
    <w:p>
      <w:pPr>
        <w:tabs>
          <w:tab w:val="left" w:pos="796"/>
        </w:tabs>
        <w:jc w:val="center"/>
        <w:rPr>
          <w:rFonts w:ascii="Times New Roman" w:hAnsi="Times New Roman" w:cs="Times New Roman"/>
          <w:b/>
          <w:color w:val="000000" w:themeColor="text1"/>
          <w:w w:val="99"/>
          <w:sz w:val="36"/>
          <w:szCs w:val="36"/>
          <w:highlight w:val="none"/>
          <w14:textFill>
            <w14:solidFill>
              <w14:schemeClr w14:val="tx1"/>
            </w14:solidFill>
          </w14:textFill>
        </w:rPr>
      </w:pPr>
    </w:p>
    <w:p>
      <w:pPr>
        <w:tabs>
          <w:tab w:val="left" w:pos="796"/>
        </w:tabs>
        <w:jc w:val="center"/>
        <w:rPr>
          <w:rFonts w:ascii="Times New Roman" w:hAnsi="Times New Roman" w:cs="Times New Roman"/>
          <w:b/>
          <w:color w:val="000000" w:themeColor="text1"/>
          <w:w w:val="99"/>
          <w:sz w:val="36"/>
          <w:szCs w:val="36"/>
          <w:highlight w:val="none"/>
          <w14:textFill>
            <w14:solidFill>
              <w14:schemeClr w14:val="tx1"/>
            </w14:solidFill>
          </w14:textFill>
        </w:rPr>
      </w:pPr>
    </w:p>
    <w:p>
      <w:pPr>
        <w:tabs>
          <w:tab w:val="left" w:pos="796"/>
        </w:tabs>
        <w:jc w:val="center"/>
        <w:rPr>
          <w:rFonts w:ascii="Times New Roman" w:hAnsi="Times New Roman" w:cs="Times New Roman"/>
          <w:b/>
          <w:color w:val="000000" w:themeColor="text1"/>
          <w:w w:val="99"/>
          <w:sz w:val="36"/>
          <w:szCs w:val="36"/>
          <w:highlight w:val="none"/>
          <w14:textFill>
            <w14:solidFill>
              <w14:schemeClr w14:val="tx1"/>
            </w14:solidFill>
          </w14:textFill>
        </w:rPr>
      </w:pPr>
      <w:r>
        <w:rPr>
          <w:rFonts w:ascii="Times New Roman" w:hAnsi="Times New Roman" w:cs="Times New Roman"/>
          <w:b/>
          <w:color w:val="000000" w:themeColor="text1"/>
          <w:w w:val="99"/>
          <w:sz w:val="36"/>
          <w:szCs w:val="36"/>
          <w:highlight w:val="none"/>
          <w14:textFill>
            <w14:solidFill>
              <w14:schemeClr w14:val="tx1"/>
            </w14:solidFill>
          </w14:textFill>
        </w:rPr>
        <w:t>目</w:t>
      </w:r>
      <w:r>
        <w:rPr>
          <w:rFonts w:ascii="Times New Roman" w:hAnsi="Times New Roman" w:cs="Times New Roman"/>
          <w:b/>
          <w:color w:val="000000" w:themeColor="text1"/>
          <w:w w:val="99"/>
          <w:sz w:val="36"/>
          <w:szCs w:val="36"/>
          <w:highlight w:val="none"/>
          <w14:textFill>
            <w14:solidFill>
              <w14:schemeClr w14:val="tx1"/>
            </w14:solidFill>
          </w14:textFill>
        </w:rPr>
        <w:tab/>
      </w:r>
      <w:r>
        <w:rPr>
          <w:rFonts w:ascii="Times New Roman" w:hAnsi="Times New Roman" w:cs="Times New Roman"/>
          <w:b/>
          <w:color w:val="000000" w:themeColor="text1"/>
          <w:w w:val="99"/>
          <w:sz w:val="36"/>
          <w:szCs w:val="36"/>
          <w:highlight w:val="none"/>
          <w14:textFill>
            <w14:solidFill>
              <w14:schemeClr w14:val="tx1"/>
            </w14:solidFill>
          </w14:textFill>
        </w:rPr>
        <w:t>录</w:t>
      </w:r>
    </w:p>
    <w:sdt>
      <w:sdtPr>
        <w:rPr>
          <w:rFonts w:ascii="Times New Roman" w:hAnsi="Times New Roman" w:cs="Times New Roman"/>
          <w:b/>
          <w:bCs/>
          <w:color w:val="000000" w:themeColor="text1"/>
          <w:sz w:val="21"/>
          <w:szCs w:val="24"/>
          <w:highlight w:val="none"/>
          <w14:textFill>
            <w14:solidFill>
              <w14:schemeClr w14:val="tx1"/>
            </w14:solidFill>
          </w14:textFill>
        </w:rPr>
        <w:id w:val="147460177"/>
        <w:docPartObj>
          <w:docPartGallery w:val="Table of Contents"/>
          <w:docPartUnique/>
        </w:docPartObj>
      </w:sdtPr>
      <w:sdtEndPr>
        <w:rPr>
          <w:rFonts w:ascii="Times New Roman" w:hAnsi="Times New Roman" w:cs="Times New Roman"/>
          <w:b/>
          <w:bCs/>
          <w:color w:val="000000" w:themeColor="text1"/>
          <w:w w:val="99"/>
          <w:sz w:val="24"/>
          <w:szCs w:val="24"/>
          <w:highlight w:val="none"/>
          <w14:textFill>
            <w14:solidFill>
              <w14:schemeClr w14:val="tx1"/>
            </w14:solidFill>
          </w14:textFill>
        </w:rPr>
      </w:sdtEndPr>
      <w:sdtContent>
        <w:p>
          <w:pPr>
            <w:jc w:val="center"/>
            <w:rPr>
              <w:rFonts w:ascii="Times New Roman" w:hAnsi="Times New Roman" w:cs="Times New Roman"/>
              <w:color w:val="000000" w:themeColor="text1"/>
              <w:highlight w:val="none"/>
              <w14:textFill>
                <w14:solidFill>
                  <w14:schemeClr w14:val="tx1"/>
                </w14:solidFill>
              </w14:textFill>
            </w:rPr>
          </w:pPr>
        </w:p>
        <w:p>
          <w:pPr>
            <w:pStyle w:val="24"/>
            <w:tabs>
              <w:tab w:val="right" w:leader="dot" w:pos="9076"/>
            </w:tabs>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 w:val="21"/>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 w:val="21"/>
              <w:szCs w:val="21"/>
              <w:highlight w:val="none"/>
              <w14:textFill>
                <w14:solidFill>
                  <w14:schemeClr w14:val="tx1"/>
                </w14:solidFill>
              </w14:textFill>
            </w:rPr>
            <w:instrText xml:space="preserve">TOC \o "1-2" \h \u </w:instrText>
          </w:r>
          <w:r>
            <w:rPr>
              <w:rFonts w:hint="default" w:ascii="Times New Roman" w:hAnsi="Times New Roman" w:eastAsia="宋体" w:cs="Times New Roman"/>
              <w:b w:val="0"/>
              <w:bCs/>
              <w:color w:val="000000" w:themeColor="text1"/>
              <w:w w:val="99"/>
              <w:sz w:val="21"/>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_Toc18860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30"/>
              <w:highlight w:val="none"/>
              <w:lang w:val="en-US"/>
              <w14:textFill>
                <w14:solidFill>
                  <w14:schemeClr w14:val="tx1"/>
                </w14:solidFill>
              </w14:textFill>
            </w:rPr>
            <w:t>1.</w:t>
          </w:r>
          <w:r>
            <w:rPr>
              <w:rFonts w:hint="default" w:ascii="Times New Roman" w:hAnsi="Times New Roman" w:eastAsia="宋体" w:cs="Times New Roman"/>
              <w:b w:val="0"/>
              <w:bCs/>
              <w:color w:val="000000" w:themeColor="text1"/>
              <w:w w:val="99"/>
              <w:szCs w:val="30"/>
              <w:highlight w:val="none"/>
              <w14:textFill>
                <w14:solidFill>
                  <w14:schemeClr w14:val="tx1"/>
                </w14:solidFill>
              </w14:textFill>
            </w:rPr>
            <w:t>概述</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_Toc18860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_Toc24204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 xml:space="preserve">1.1 </w:t>
          </w:r>
          <w:r>
            <w:rPr>
              <w:rFonts w:hint="default" w:ascii="Times New Roman" w:hAnsi="Times New Roman" w:eastAsia="宋体" w:cs="Times New Roman"/>
              <w:b w:val="0"/>
              <w:bCs/>
              <w:color w:val="000000" w:themeColor="text1"/>
              <w:w w:val="99"/>
              <w:szCs w:val="28"/>
              <w:highlight w:val="none"/>
              <w:lang w:val="en-US" w:eastAsia="zh-CN"/>
              <w14:textFill>
                <w14:solidFill>
                  <w14:schemeClr w14:val="tx1"/>
                </w14:solidFill>
              </w14:textFill>
            </w:rPr>
            <w:t>建设项目由来</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_Toc24204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_Toc7550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1.2 建设项目的特点</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_Toc7550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_Toc24294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1.3 环境影响评价的工作过程</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_Toc24294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2</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_Toc31525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1.</w:t>
          </w:r>
          <w:r>
            <w:rPr>
              <w:rFonts w:hint="default" w:ascii="Times New Roman" w:hAnsi="Times New Roman" w:eastAsia="宋体" w:cs="Times New Roman"/>
              <w:b w:val="0"/>
              <w:bCs/>
              <w:color w:val="000000" w:themeColor="text1"/>
              <w:w w:val="99"/>
              <w:szCs w:val="28"/>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分析判定相关情况</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_Toc31525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4</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_Toc13166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1.</w:t>
          </w:r>
          <w:r>
            <w:rPr>
              <w:rFonts w:hint="default" w:ascii="Times New Roman" w:hAnsi="Times New Roman" w:eastAsia="宋体" w:cs="Times New Roman"/>
              <w:b w:val="0"/>
              <w:bCs/>
              <w:color w:val="000000" w:themeColor="text1"/>
              <w:w w:val="99"/>
              <w:szCs w:val="28"/>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 xml:space="preserve"> 关注的主要环境问题及环境影响</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_Toc13166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23</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_Toc6195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1.</w:t>
          </w:r>
          <w:r>
            <w:rPr>
              <w:rFonts w:hint="default" w:ascii="Times New Roman" w:hAnsi="Times New Roman" w:eastAsia="宋体" w:cs="Times New Roman"/>
              <w:b w:val="0"/>
              <w:bCs/>
              <w:color w:val="000000" w:themeColor="text1"/>
              <w:w w:val="99"/>
              <w:szCs w:val="28"/>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w w:val="99"/>
              <w:szCs w:val="28"/>
              <w:highlight w:val="none"/>
              <w14:textFill>
                <w14:solidFill>
                  <w14:schemeClr w14:val="tx1"/>
                </w14:solidFill>
              </w14:textFill>
            </w:rPr>
            <w:t>环境影响评价的主要结论</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_Toc6195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25</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4"/>
            <w:tabs>
              <w:tab w:val="right" w:leader="dot" w:pos="9076"/>
            </w:tabs>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_Toc25334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30"/>
              <w:highlight w:val="none"/>
              <w:lang w:val="en-US"/>
              <w14:textFill>
                <w14:solidFill>
                  <w14:schemeClr w14:val="tx1"/>
                </w14:solidFill>
              </w14:textFill>
            </w:rPr>
            <w:t xml:space="preserve">2 </w:t>
          </w:r>
          <w:r>
            <w:rPr>
              <w:rFonts w:hint="default" w:ascii="Times New Roman" w:hAnsi="Times New Roman" w:eastAsia="宋体" w:cs="Times New Roman"/>
              <w:b w:val="0"/>
              <w:bCs/>
              <w:color w:val="000000" w:themeColor="text1"/>
              <w:w w:val="99"/>
              <w:szCs w:val="30"/>
              <w:highlight w:val="none"/>
              <w14:textFill>
                <w14:solidFill>
                  <w14:schemeClr w14:val="tx1"/>
                </w14:solidFill>
              </w14:textFill>
            </w:rPr>
            <w:t>总则</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_Toc25334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27</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_Toc29098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2.1 编制依据</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_Toc29098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27</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_Toc10756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2.2 评价目的及原则</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_Toc10756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29</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_Toc32577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2.3 环境影响识别与评价因子筛选</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_Toc32577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30</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_Toc16794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2.4环境评价标准</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_Toc16794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32</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_Toc15759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2.5 评价工作等级</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_Toc15759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36</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_Toc9510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2.6 评价范围及环境保护目标</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_Toc9510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45</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_Toc11954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2.7 评价工作内容及重点</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_Toc11954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48</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4"/>
            <w:tabs>
              <w:tab w:val="right" w:leader="dot" w:pos="9076"/>
            </w:tabs>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_Toc6410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kern w:val="2"/>
              <w:szCs w:val="30"/>
              <w:highlight w:val="none"/>
              <w:lang w:val="en-US" w:bidi="ar-SA"/>
              <w14:textFill>
                <w14:solidFill>
                  <w14:schemeClr w14:val="tx1"/>
                </w14:solidFill>
              </w14:textFill>
            </w:rPr>
            <w:t>3 建设项目工程分析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_Toc6410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49</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_Toc11581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3.1建设项目概况</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_Toc11581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49</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_Toc32354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 xml:space="preserve">3.2 </w:t>
          </w:r>
          <w:r>
            <w:rPr>
              <w:rFonts w:hint="default" w:ascii="Times New Roman" w:hAnsi="Times New Roman" w:eastAsia="宋体" w:cs="Times New Roman"/>
              <w:b w:val="0"/>
              <w:bCs/>
              <w:color w:val="000000" w:themeColor="text1"/>
              <w:w w:val="99"/>
              <w:szCs w:val="28"/>
              <w:highlight w:val="none"/>
              <w:lang w:val="en-US" w:eastAsia="zh-CN"/>
              <w14:textFill>
                <w14:solidFill>
                  <w14:schemeClr w14:val="tx1"/>
                </w14:solidFill>
              </w14:textFill>
            </w:rPr>
            <w:t>现有区块情况</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_Toc32354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55</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_Toc2918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3.3 依托工程分析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_Toc2918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59</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_Toc9709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3.4 建设项目工程分析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_Toc9709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66</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_Toc2252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3.5清洁生产分析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_Toc2252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84</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4"/>
            <w:tabs>
              <w:tab w:val="right" w:leader="dot" w:pos="9076"/>
            </w:tabs>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_Toc9028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kern w:val="2"/>
              <w:szCs w:val="30"/>
              <w:highlight w:val="none"/>
              <w:lang w:val="en-US" w:bidi="ar-SA"/>
              <w14:textFill>
                <w14:solidFill>
                  <w14:schemeClr w14:val="tx1"/>
                </w14:solidFill>
              </w14:textFill>
            </w:rPr>
            <w:t>4 环境现状调查与评价</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_Toc9028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87</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_Toc15184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4.1 自然环境现状调查与评价</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_Toc15184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87</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_Toc27331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4.2 环境保护目标调查</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_Toc27331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92</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_Toc11221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4.3 环境质量现状调查与评价</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_Toc11221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93</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_Toc6100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4.4 区域环境污染源调查</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_Toc6100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119</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4"/>
            <w:tabs>
              <w:tab w:val="right" w:leader="dot" w:pos="9076"/>
            </w:tabs>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_Toc11747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kern w:val="2"/>
              <w:szCs w:val="30"/>
              <w:highlight w:val="none"/>
              <w:lang w:val="en-US" w:bidi="ar-SA"/>
              <w14:textFill>
                <w14:solidFill>
                  <w14:schemeClr w14:val="tx1"/>
                </w14:solidFill>
              </w14:textFill>
            </w:rPr>
            <w:t>5 环境影响预测与评价</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_Toc11747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121</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_Toc26240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5.1 环境空气影响预测与评价</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_Toc26240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121</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_Toc609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5.2 水环境影响预测与评价</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_Toc609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129</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_Toc2246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5.3 声环境影响分析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_Toc2246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136</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_Toc7801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5.4 固体废物环境影响分析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_Toc7801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138</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_Toc9958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5.5 生态环境影响评价</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_Toc9958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141</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_Toc9341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5.6 环境风险评价</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_Toc9341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143</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_Toc19663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5.7 土壤环境影响评价</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_Toc19663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150</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4"/>
            <w:tabs>
              <w:tab w:val="right" w:leader="dot" w:pos="9076"/>
            </w:tabs>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_Toc32644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kern w:val="2"/>
              <w:szCs w:val="30"/>
              <w:highlight w:val="none"/>
              <w:lang w:val="en-US" w:bidi="ar-SA"/>
              <w14:textFill>
                <w14:solidFill>
                  <w14:schemeClr w14:val="tx1"/>
                </w14:solidFill>
              </w14:textFill>
            </w:rPr>
            <w:t>6 环境保护措施及可行性论证</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_Toc32644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154</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_Toc30612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6.1 大气污染防治措施及可行性论证</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_Toc30612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154</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_Toc25929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6.2 水污染防治措施及可行性论证</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_Toc25929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155</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_Toc18223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6.3 噪声污染控制措施及可行性分析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_Toc18223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159</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_Toc23131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6.4 固体废物污染防治措施及其可行性分析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_Toc23131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160</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_Toc2154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6.5 生态保护措施</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_Toc2154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161</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_Toc20723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6.6 土壤防治措施及其可行性分析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_Toc20723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164</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_Toc8938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6.7 环境风险防范措施</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_Toc8938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165</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4"/>
            <w:tabs>
              <w:tab w:val="right" w:leader="dot" w:pos="9076"/>
            </w:tabs>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_Toc32578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kern w:val="2"/>
              <w:szCs w:val="30"/>
              <w:highlight w:val="none"/>
              <w:lang w:val="en-US" w:bidi="ar-SA"/>
              <w14:textFill>
                <w14:solidFill>
                  <w14:schemeClr w14:val="tx1"/>
                </w14:solidFill>
              </w14:textFill>
            </w:rPr>
            <w:t>7 环境影响经济损益分析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_Toc32578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171</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_Toc13487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7.1 环境损失费估算</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_Toc13487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171</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_Toc12668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7.2 环保投资估算及环境效益分析</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_Toc12668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171</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_Toc11915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7.3 环境经济损益分析结论</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_Toc11915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172</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4"/>
            <w:tabs>
              <w:tab w:val="right" w:leader="dot" w:pos="9076"/>
            </w:tabs>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_Toc15594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kern w:val="2"/>
              <w:szCs w:val="30"/>
              <w:highlight w:val="none"/>
              <w:lang w:val="en-US" w:bidi="ar-SA"/>
              <w14:textFill>
                <w14:solidFill>
                  <w14:schemeClr w14:val="tx1"/>
                </w14:solidFill>
              </w14:textFill>
            </w:rPr>
            <w:t>8 环境管理与监测计划</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_Toc15594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173</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_Toc8542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8.1 HSE 管理体系的建立和运行</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_Toc8542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173</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_Toc9407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8.2 环境监控</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_Toc9407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174</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_Toc10773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8.3 本工程污染源排放清单</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_Toc10773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175</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_Toc18068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8.4 总量控制</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_Toc18068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177</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_Toc6848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8.5 施工期环境管理与监测计划</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_Toc6848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177</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_Toc21423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8.6 运营期环境管理与监测计划</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_Toc21423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178</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_Toc12604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8.7 “三同时”项目一览表</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_Toc12604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180</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4"/>
            <w:tabs>
              <w:tab w:val="right" w:leader="dot" w:pos="9076"/>
            </w:tabs>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_Toc17785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kern w:val="2"/>
              <w:szCs w:val="30"/>
              <w:highlight w:val="none"/>
              <w:lang w:val="en-US" w:bidi="ar-SA"/>
              <w14:textFill>
                <w14:solidFill>
                  <w14:schemeClr w14:val="tx1"/>
                </w14:solidFill>
              </w14:textFill>
            </w:rPr>
            <w:t>9 环境影响评价结论</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_Toc17785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183</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_Toc28736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9.1 工程概况</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_Toc28736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183</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_Toc12000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9.2 政策符合性结论</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_Toc12000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183</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_Toc5589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9.3 环境质量现状</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_Toc5589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183</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_Toc6506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9.4 主要环境影响</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_Toc6506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184</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_Toc17020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9.5 环境影响经济损益分析结论</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_Toc17020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186</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_Toc21577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9.6 环境管理与监测计划结论</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_Toc21577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186</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_Toc16012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w w:val="99"/>
              <w:szCs w:val="32"/>
              <w:highlight w:val="none"/>
              <w:lang w:val="en-US" w:bidi="ar-SA"/>
              <w14:textFill>
                <w14:solidFill>
                  <w14:schemeClr w14:val="tx1"/>
                </w14:solidFill>
              </w14:textFill>
            </w:rPr>
            <w:t>9.7 公众意见采纳情况</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_Toc16012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187</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instrText xml:space="preserve"> HYPERLINK \l _Toc3252 </w:instrText>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w w:val="99"/>
              <w:szCs w:val="28"/>
              <w:highlight w:val="none"/>
              <w:lang w:val="en-US"/>
              <w14:textFill>
                <w14:solidFill>
                  <w14:schemeClr w14:val="tx1"/>
                </w14:solidFill>
              </w14:textFill>
            </w:rPr>
            <w:t>9.8 综合结论</w:t>
          </w:r>
          <w:r>
            <w:rPr>
              <w:rFonts w:hint="default" w:ascii="Times New Roman" w:hAnsi="Times New Roman" w:eastAsia="宋体" w:cs="Times New Roman"/>
              <w:b w:val="0"/>
              <w:bCs/>
              <w:color w:val="000000" w:themeColor="text1"/>
              <w:highlight w:val="none"/>
              <w14:textFill>
                <w14:solidFill>
                  <w14:schemeClr w14:val="tx1"/>
                </w14:solidFill>
              </w14:textFill>
            </w:rPr>
            <w:tab/>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begin"/>
          </w:r>
          <w:r>
            <w:rPr>
              <w:rFonts w:hint="default" w:ascii="Times New Roman" w:hAnsi="Times New Roman" w:eastAsia="宋体" w:cs="Times New Roman"/>
              <w:b w:val="0"/>
              <w:bCs/>
              <w:color w:val="000000" w:themeColor="text1"/>
              <w:highlight w:val="none"/>
              <w14:textFill>
                <w14:solidFill>
                  <w14:schemeClr w14:val="tx1"/>
                </w14:solidFill>
              </w14:textFill>
            </w:rPr>
            <w:instrText xml:space="preserve"> PAGEREF _Toc3252 \h </w:instrTex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separate"/>
          </w:r>
          <w:r>
            <w:rPr>
              <w:rFonts w:hint="default" w:ascii="Times New Roman" w:hAnsi="Times New Roman" w:eastAsia="宋体" w:cs="Times New Roman"/>
              <w:b w:val="0"/>
              <w:bCs/>
              <w:color w:val="000000" w:themeColor="text1"/>
              <w:highlight w:val="none"/>
              <w14:textFill>
                <w14:solidFill>
                  <w14:schemeClr w14:val="tx1"/>
                </w14:solidFill>
              </w14:textFill>
            </w:rPr>
            <w:t>187</w:t>
          </w:r>
          <w:r>
            <w:rPr>
              <w:rFonts w:hint="default" w:ascii="Times New Roman" w:hAnsi="Times New Roman" w:eastAsia="宋体" w:cs="Times New Roman"/>
              <w:b w:val="0"/>
              <w:bCs/>
              <w:color w:val="000000" w:themeColor="text1"/>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p>
        <w:p>
          <w:pPr>
            <w:pStyle w:val="27"/>
            <w:tabs>
              <w:tab w:val="right" w:leader="dot" w:pos="9076"/>
            </w:tabs>
            <w:ind w:left="726" w:leftChars="330" w:firstLine="85" w:firstLineChars="36"/>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pPr>
          <w:r>
            <w:rPr>
              <w:rFonts w:hint="default" w:ascii="Times New Roman" w:hAnsi="Times New Roman" w:eastAsia="宋体" w:cs="Times New Roman"/>
              <w:b w:val="0"/>
              <w:bCs/>
              <w:color w:val="000000" w:themeColor="text1"/>
              <w:w w:val="99"/>
              <w:szCs w:val="21"/>
              <w:highlight w:val="none"/>
              <w14:textFill>
                <w14:solidFill>
                  <w14:schemeClr w14:val="tx1"/>
                </w14:solidFill>
              </w14:textFill>
            </w:rPr>
            <w:fldChar w:fldCharType="end"/>
          </w:r>
          <w:r>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t>附图1：</w:t>
          </w:r>
          <w:r>
            <w:rPr>
              <w:rFonts w:hint="eastAsia" w:ascii="Times New Roman" w:hAnsi="Times New Roman" w:cs="Times New Roman"/>
              <w:b w:val="0"/>
              <w:bCs/>
              <w:snapToGrid w:val="0"/>
              <w:color w:val="000000" w:themeColor="text1"/>
              <w:w w:val="99"/>
              <w:szCs w:val="32"/>
              <w:highlight w:val="none"/>
              <w:lang w:val="zh-CN" w:bidi="ar-SA"/>
              <w14:textFill>
                <w14:solidFill>
                  <w14:schemeClr w14:val="tx1"/>
                </w14:solidFill>
              </w14:textFill>
            </w:rPr>
            <w:t>项目</w:t>
          </w:r>
          <w:r>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t>地理位置图</w:t>
          </w:r>
        </w:p>
        <w:p>
          <w:pPr>
            <w:pStyle w:val="27"/>
            <w:tabs>
              <w:tab w:val="right" w:leader="dot" w:pos="9076"/>
            </w:tabs>
            <w:ind w:left="726" w:leftChars="330" w:firstLine="85" w:firstLineChars="36"/>
            <w:rPr>
              <w:rFonts w:hint="eastAsia" w:ascii="Times New Roman" w:hAnsi="Times New Roman" w:eastAsia="宋体"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t>附图2：</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井场分布及依托站间位置关系图</w:t>
          </w:r>
        </w:p>
        <w:p>
          <w:pPr>
            <w:pStyle w:val="27"/>
            <w:tabs>
              <w:tab w:val="right" w:leader="dot" w:pos="9076"/>
            </w:tabs>
            <w:ind w:left="726" w:leftChars="330" w:firstLine="85" w:firstLineChars="36"/>
            <w:rPr>
              <w:rFonts w:hint="eastAsia" w:ascii="Times New Roman" w:hAnsi="Times New Roman" w:eastAsia="宋体"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t>附图3：</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大气环境评价范围及保护目标分布图</w:t>
          </w:r>
        </w:p>
        <w:p>
          <w:pPr>
            <w:pStyle w:val="27"/>
            <w:tabs>
              <w:tab w:val="right" w:leader="dot" w:pos="9076"/>
            </w:tabs>
            <w:ind w:left="726" w:leftChars="330" w:firstLine="85" w:firstLineChars="36"/>
            <w:rPr>
              <w:rFonts w:hint="eastAsia" w:ascii="Times New Roman" w:hAnsi="Times New Roman" w:eastAsia="宋体" w:cs="Times New Roman"/>
              <w:b w:val="0"/>
              <w:bCs/>
              <w:snapToGrid w:val="0"/>
              <w:color w:val="000000" w:themeColor="text1"/>
              <w:w w:val="99"/>
              <w:szCs w:val="32"/>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t>附图4：</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地下水评价范围、保护目标分布及跟踪监测井位置图</w:t>
          </w:r>
        </w:p>
        <w:p>
          <w:pPr>
            <w:pStyle w:val="27"/>
            <w:tabs>
              <w:tab w:val="right" w:leader="dot" w:pos="9076"/>
            </w:tabs>
            <w:ind w:left="726" w:leftChars="330" w:firstLine="85" w:firstLineChars="36"/>
            <w:rPr>
              <w:rFonts w:hint="eastAsia" w:ascii="Times New Roman" w:hAnsi="Times New Roman" w:eastAsia="宋体"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t>附图5：</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生态环境评价范围图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t>附图6：</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土壤环境评价范围及土壤跟踪监测点位置图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附图7：</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环境质量现状监测布点图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附图8：</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项目区域综合水文地质图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附图9：</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项目区域水文地质剖面图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附图10：</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项目区域综合水文地质柱状图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附图11：</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项目区域潜水等水位线图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附图12：</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项目区域承压水等水位线图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附图13：</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土地利用现状图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附图14：</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项目与生态功能区划分区图位置关系</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附图15：</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项目与</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8034655</wp:posOffset>
                    </wp:positionH>
                    <wp:positionV relativeFrom="paragraph">
                      <wp:posOffset>5168900</wp:posOffset>
                    </wp:positionV>
                    <wp:extent cx="821690" cy="29400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821690" cy="294005"/>
                            </a:xfrm>
                            <a:prstGeom prst="rect">
                              <a:avLst/>
                            </a:prstGeom>
                            <a:noFill/>
                            <a:ln w="6350">
                              <a:noFill/>
                            </a:ln>
                          </wps:spPr>
                          <wps:txbx>
                            <w:txbxContent>
                              <w:p>
                                <w:pPr>
                                  <w:rPr>
                                    <w:rFonts w:ascii="Times New Roman" w:hAnsi="Times New Roman"/>
                                    <w:w w:val="99"/>
                                    <w:sz w:val="15"/>
                                    <w:szCs w:val="15"/>
                                  </w:rPr>
                                </w:pPr>
                                <w:r>
                                  <w:rPr>
                                    <w:rFonts w:ascii="Times New Roman" w:hAnsi="Times New Roman"/>
                                    <w:w w:val="99"/>
                                    <w:sz w:val="15"/>
                                    <w:szCs w:val="15"/>
                                  </w:rPr>
                                  <w:t>比例尺1:</w:t>
                                </w:r>
                                <w:r>
                                  <w:rPr>
                                    <w:rFonts w:hint="eastAsia" w:ascii="Times New Roman" w:hAnsi="Times New Roman"/>
                                    <w:w w:val="99"/>
                                    <w:sz w:val="15"/>
                                    <w:szCs w:val="15"/>
                                  </w:rPr>
                                  <w:t>2</w:t>
                                </w:r>
                                <w:r>
                                  <w:rPr>
                                    <w:rFonts w:ascii="Times New Roman" w:hAnsi="Times New Roman"/>
                                    <w:w w:val="99"/>
                                    <w:sz w:val="15"/>
                                    <w:szCs w:val="15"/>
                                  </w:rPr>
                                  <w:t>50000</w:t>
                                </w:r>
                              </w:p>
                            </w:txbxContent>
                          </wps:txbx>
                          <wps:bodyPr upright="1"/>
                        </wps:wsp>
                      </a:graphicData>
                    </a:graphic>
                  </wp:anchor>
                </w:drawing>
              </mc:Choice>
              <mc:Fallback>
                <w:pict>
                  <v:shape id="_x0000_s1026" o:spid="_x0000_s1026" o:spt="202" type="#_x0000_t202" style="position:absolute;left:0pt;margin-left:632.65pt;margin-top:407pt;height:23.15pt;width:64.7pt;z-index:251691008;mso-width-relative:page;mso-height-relative:page;" filled="f" stroked="f" coordsize="21600,21600" o:gfxdata="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sc1p3QAAAA0BAAAPAAAAAAAAAAEAIAAAACIAAABkcnMvZG93bnJldi54bWxQSwEC&#10;FAAUAAAACACHTuJAEUj2DLYBAABYAwAADgAAAAAAAAABACAAAAAsAQAAZHJzL2Uyb0RvYy54bWxQ&#10;SwUGAAAAAAYABgBZAQAAVAUAAAAA&#10;">
                    <v:fill on="f" focussize="0,0"/>
                    <v:stroke on="f" weight="0.5pt"/>
                    <v:imagedata o:title=""/>
                    <o:lock v:ext="edit" aspectratio="f"/>
                    <v:textbox>
                      <w:txbxContent>
                        <w:p>
                          <w:pPr>
                            <w:rPr>
                              <w:rFonts w:ascii="Times New Roman" w:hAnsi="Times New Roman"/>
                              <w:w w:val="99"/>
                              <w:sz w:val="15"/>
                              <w:szCs w:val="15"/>
                            </w:rPr>
                          </w:pPr>
                          <w:r>
                            <w:rPr>
                              <w:rFonts w:ascii="Times New Roman" w:hAnsi="Times New Roman"/>
                              <w:w w:val="99"/>
                              <w:sz w:val="15"/>
                              <w:szCs w:val="15"/>
                            </w:rPr>
                            <w:t>比例尺1:</w:t>
                          </w:r>
                          <w:r>
                            <w:rPr>
                              <w:rFonts w:hint="eastAsia" w:ascii="Times New Roman" w:hAnsi="Times New Roman"/>
                              <w:w w:val="99"/>
                              <w:sz w:val="15"/>
                              <w:szCs w:val="15"/>
                            </w:rPr>
                            <w:t>2</w:t>
                          </w:r>
                          <w:r>
                            <w:rPr>
                              <w:rFonts w:ascii="Times New Roman" w:hAnsi="Times New Roman"/>
                              <w:w w:val="99"/>
                              <w:sz w:val="15"/>
                              <w:szCs w:val="15"/>
                            </w:rPr>
                            <w:t>50000</w:t>
                          </w:r>
                        </w:p>
                      </w:txbxContent>
                    </v:textbox>
                  </v:shape>
                </w:pict>
              </mc:Fallback>
            </mc:AlternateConten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水土流失重点预防区和治理区位置关系图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附图16：</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典型生态保护措施平面布置示意图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附图17：</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地表水系图</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附图18项目区域集输系统关系及井网布置图</w:t>
          </w:r>
        </w:p>
        <w:p>
          <w:pPr>
            <w:pStyle w:val="27"/>
            <w:tabs>
              <w:tab w:val="right" w:leader="dot" w:pos="9076"/>
            </w:tabs>
            <w:ind w:left="726" w:leftChars="330" w:firstLine="85" w:firstLineChars="36"/>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pPr>
          <w:r>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t>附件1：项目备案</w:t>
          </w:r>
        </w:p>
        <w:p>
          <w:pPr>
            <w:pStyle w:val="27"/>
            <w:tabs>
              <w:tab w:val="right" w:leader="dot" w:pos="9076"/>
            </w:tabs>
            <w:ind w:left="726" w:leftChars="330" w:firstLine="85" w:firstLineChars="36"/>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t>附件2：</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应急预案备案表</w:t>
          </w:r>
        </w:p>
        <w:p>
          <w:pPr>
            <w:pStyle w:val="27"/>
            <w:tabs>
              <w:tab w:val="right" w:leader="dot" w:pos="9076"/>
            </w:tabs>
            <w:ind w:left="726" w:leftChars="330" w:firstLine="85" w:firstLineChars="36"/>
            <w:rPr>
              <w:rFonts w:hint="eastAsia"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pPr>
          <w:r>
            <w:rPr>
              <w:rFonts w:hint="default" w:ascii="Times New Roman" w:hAnsi="Times New Roman" w:cs="Times New Roman"/>
              <w:b w:val="0"/>
              <w:bCs/>
              <w:snapToGrid w:val="0"/>
              <w:color w:val="000000" w:themeColor="text1"/>
              <w:w w:val="99"/>
              <w:szCs w:val="32"/>
              <w:highlight w:val="none"/>
              <w:lang w:val="zh-CN" w:eastAsia="zh-CN" w:bidi="ar-SA"/>
              <w14:textFill>
                <w14:solidFill>
                  <w14:schemeClr w14:val="tx1"/>
                </w14:solidFill>
              </w14:textFill>
            </w:rPr>
            <w:t>附件3：</w:t>
          </w:r>
          <w:r>
            <w:rPr>
              <w:rFonts w:hint="eastAsia" w:ascii="Times New Roman" w:hAnsi="Times New Roman" w:cs="Times New Roman"/>
              <w:b w:val="0"/>
              <w:bCs/>
              <w:snapToGrid w:val="0"/>
              <w:color w:val="000000" w:themeColor="text1"/>
              <w:w w:val="99"/>
              <w:szCs w:val="32"/>
              <w:highlight w:val="none"/>
              <w:lang w:val="en-US" w:eastAsia="zh-CN" w:bidi="ar-SA"/>
              <w14:textFill>
                <w14:solidFill>
                  <w14:schemeClr w14:val="tx1"/>
                </w14:solidFill>
              </w14:textFill>
            </w:rPr>
            <w:t>区块、依托场站的环评及验收手续</w:t>
          </w:r>
        </w:p>
        <w:p>
          <w:pPr>
            <w:pStyle w:val="27"/>
            <w:tabs>
              <w:tab w:val="right" w:leader="dot" w:pos="9076"/>
            </w:tabs>
            <w:ind w:left="726" w:leftChars="330" w:firstLine="85" w:firstLineChars="36"/>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pPr>
          <w:r>
            <w:rPr>
              <w:rFonts w:hint="default" w:ascii="Times New Roman" w:hAnsi="Times New Roman" w:eastAsia="宋体" w:cs="Times New Roman"/>
              <w:b w:val="0"/>
              <w:bCs/>
              <w:snapToGrid w:val="0"/>
              <w:color w:val="000000" w:themeColor="text1"/>
              <w:w w:val="99"/>
              <w:szCs w:val="32"/>
              <w:highlight w:val="none"/>
              <w:lang w:val="zh-CN" w:bidi="ar-SA"/>
              <w14:textFill>
                <w14:solidFill>
                  <w14:schemeClr w14:val="tx1"/>
                </w14:solidFill>
              </w14:textFill>
            </w:rPr>
            <w:t>附件4：环境质量现状监测报</w:t>
          </w:r>
        </w:p>
        <w:p>
          <w:pPr>
            <w:pStyle w:val="27"/>
            <w:tabs>
              <w:tab w:val="right" w:leader="dot" w:pos="9066"/>
            </w:tabs>
            <w:spacing w:before="0" w:line="400" w:lineRule="exact"/>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pStyle w:val="2"/>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pStyle w:val="2"/>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pStyle w:val="2"/>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pStyle w:val="2"/>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pStyle w:val="2"/>
            <w:rPr>
              <w:rFonts w:hint="default"/>
              <w:color w:val="000000" w:themeColor="text1"/>
              <w:highlight w:val="none"/>
              <w14:textFill>
                <w14:solidFill>
                  <w14:schemeClr w14:val="tx1"/>
                </w14:solidFill>
              </w14:textFill>
            </w:rPr>
          </w:pPr>
        </w:p>
        <w:p>
          <w:pPr>
            <w:pStyle w:val="27"/>
            <w:tabs>
              <w:tab w:val="right" w:leader="dot" w:pos="9066"/>
            </w:tabs>
            <w:spacing w:before="0" w:line="400" w:lineRule="exact"/>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pStyle w:val="27"/>
            <w:tabs>
              <w:tab w:val="right" w:leader="dot" w:pos="9066"/>
            </w:tabs>
            <w:spacing w:before="0" w:line="400" w:lineRule="exact"/>
            <w:rPr>
              <w:rFonts w:hint="default" w:ascii="Times New Roman" w:hAnsi="Times New Roman" w:eastAsia="宋体" w:cs="Times New Roman"/>
              <w:b w:val="0"/>
              <w:bCs/>
              <w:color w:val="000000" w:themeColor="text1"/>
              <w:w w:val="99"/>
              <w:szCs w:val="21"/>
              <w:highlight w:val="none"/>
              <w14:textFill>
                <w14:solidFill>
                  <w14:schemeClr w14:val="tx1"/>
                </w14:solidFill>
              </w14:textFill>
            </w:rPr>
          </w:pPr>
        </w:p>
        <w:p>
          <w:pPr>
            <w:pStyle w:val="27"/>
            <w:tabs>
              <w:tab w:val="right" w:leader="dot" w:pos="9066"/>
            </w:tabs>
            <w:spacing w:before="0" w:line="400" w:lineRule="exact"/>
            <w:rPr>
              <w:rFonts w:ascii="Times New Roman" w:hAnsi="Times New Roman" w:cs="Times New Roman"/>
              <w:color w:val="000000" w:themeColor="text1"/>
              <w:w w:val="99"/>
              <w:sz w:val="17"/>
              <w:highlight w:val="none"/>
              <w14:textFill>
                <w14:solidFill>
                  <w14:schemeClr w14:val="tx1"/>
                </w14:solidFill>
              </w14:textFill>
            </w:rPr>
            <w:sectPr>
              <w:footerReference r:id="rId3" w:type="default"/>
              <w:pgSz w:w="11910" w:h="16850"/>
              <w:pgMar w:top="1417" w:right="1417" w:bottom="1417" w:left="1417" w:header="720" w:footer="720" w:gutter="0"/>
              <w:pgBorders>
                <w:top w:val="none" w:sz="0" w:space="0"/>
                <w:left w:val="none" w:sz="0" w:space="0"/>
                <w:bottom w:val="none" w:sz="0" w:space="0"/>
                <w:right w:val="none" w:sz="0" w:space="0"/>
              </w:pgBorders>
              <w:cols w:space="720" w:num="1"/>
            </w:sectPr>
          </w:pPr>
        </w:p>
      </w:sdtContent>
    </w:sdt>
    <w:p>
      <w:pPr>
        <w:pStyle w:val="4"/>
        <w:keepNext w:val="0"/>
        <w:keepLines w:val="0"/>
        <w:pageBreakBefore w:val="0"/>
        <w:widowControl w:val="0"/>
        <w:tabs>
          <w:tab w:val="left" w:pos="4563"/>
        </w:tabs>
        <w:kinsoku/>
        <w:wordWrap/>
        <w:overflowPunct/>
        <w:topLinePunct w:val="0"/>
        <w:autoSpaceDE w:val="0"/>
        <w:autoSpaceDN w:val="0"/>
        <w:bidi w:val="0"/>
        <w:adjustRightInd/>
        <w:snapToGrid/>
        <w:spacing w:before="180" w:after="180" w:line="440" w:lineRule="exact"/>
        <w:ind w:left="0" w:firstLine="0"/>
        <w:jc w:val="both"/>
        <w:textAlignment w:val="auto"/>
        <w:rPr>
          <w:rFonts w:hint="default" w:ascii="Times New Roman" w:hAnsi="Times New Roman" w:eastAsia="宋体" w:cs="Times New Roman"/>
          <w:b/>
          <w:bCs/>
          <w:color w:val="000000" w:themeColor="text1"/>
          <w:w w:val="99"/>
          <w:sz w:val="30"/>
          <w:szCs w:val="30"/>
          <w:highlight w:val="none"/>
          <w14:textFill>
            <w14:solidFill>
              <w14:schemeClr w14:val="tx1"/>
            </w14:solidFill>
          </w14:textFill>
        </w:rPr>
      </w:pPr>
      <w:bookmarkStart w:id="1" w:name="_bookmark0"/>
      <w:bookmarkEnd w:id="1"/>
      <w:bookmarkStart w:id="2" w:name="_Toc18860"/>
      <w:r>
        <w:rPr>
          <w:rFonts w:hint="default" w:ascii="Times New Roman" w:hAnsi="Times New Roman" w:eastAsia="宋体" w:cs="Times New Roman"/>
          <w:b/>
          <w:bCs/>
          <w:color w:val="000000" w:themeColor="text1"/>
          <w:w w:val="99"/>
          <w:sz w:val="30"/>
          <w:szCs w:val="30"/>
          <w:highlight w:val="none"/>
          <w:lang w:val="en-US"/>
          <w14:textFill>
            <w14:solidFill>
              <w14:schemeClr w14:val="tx1"/>
            </w14:solidFill>
          </w14:textFill>
        </w:rPr>
        <w:t>1.</w:t>
      </w:r>
      <w:r>
        <w:rPr>
          <w:rFonts w:hint="default" w:ascii="Times New Roman" w:hAnsi="Times New Roman" w:eastAsia="宋体" w:cs="Times New Roman"/>
          <w:b/>
          <w:bCs/>
          <w:color w:val="000000" w:themeColor="text1"/>
          <w:w w:val="99"/>
          <w:sz w:val="30"/>
          <w:szCs w:val="30"/>
          <w:highlight w:val="none"/>
          <w14:textFill>
            <w14:solidFill>
              <w14:schemeClr w14:val="tx1"/>
            </w14:solidFill>
          </w14:textFill>
        </w:rPr>
        <w:t>概述</w:t>
      </w:r>
      <w:bookmarkEnd w:id="2"/>
    </w:p>
    <w:p>
      <w:pPr>
        <w:pStyle w:val="5"/>
        <w:keepNext w:val="0"/>
        <w:keepLines w:val="0"/>
        <w:pageBreakBefore w:val="0"/>
        <w:widowControl w:val="0"/>
        <w:tabs>
          <w:tab w:val="left" w:pos="751"/>
        </w:tabs>
        <w:kinsoku/>
        <w:wordWrap/>
        <w:overflowPunct/>
        <w:topLinePunct w:val="0"/>
        <w:autoSpaceDE w:val="0"/>
        <w:autoSpaceDN w:val="0"/>
        <w:bidi w:val="0"/>
        <w:adjustRightInd/>
        <w:snapToGrid/>
        <w:spacing w:before="120" w:after="120" w:line="440" w:lineRule="exact"/>
        <w:ind w:left="0" w:firstLine="0"/>
        <w:jc w:val="both"/>
        <w:textAlignment w:val="auto"/>
        <w:rPr>
          <w:rFonts w:hint="default" w:ascii="Times New Roman" w:hAnsi="Times New Roman" w:eastAsia="宋体" w:cs="Times New Roman"/>
          <w:b/>
          <w:bCs/>
          <w:color w:val="000000" w:themeColor="text1"/>
          <w:w w:val="99"/>
          <w:sz w:val="28"/>
          <w:szCs w:val="28"/>
          <w:highlight w:val="none"/>
          <w:lang w:val="en-US" w:eastAsia="zh-CN"/>
          <w14:textFill>
            <w14:solidFill>
              <w14:schemeClr w14:val="tx1"/>
            </w14:solidFill>
          </w14:textFill>
        </w:rPr>
      </w:pPr>
      <w:bookmarkStart w:id="3" w:name="_bookmark1"/>
      <w:bookmarkEnd w:id="3"/>
      <w:bookmarkStart w:id="4" w:name="_Toc24204"/>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 xml:space="preserve">1.1 </w:t>
      </w:r>
      <w:r>
        <w:rPr>
          <w:rFonts w:hint="default" w:ascii="Times New Roman" w:hAnsi="Times New Roman" w:eastAsia="宋体" w:cs="Times New Roman"/>
          <w:b/>
          <w:bCs/>
          <w:color w:val="000000" w:themeColor="text1"/>
          <w:w w:val="99"/>
          <w:sz w:val="28"/>
          <w:szCs w:val="28"/>
          <w:highlight w:val="none"/>
          <w:lang w:val="en-US" w:eastAsia="zh-CN"/>
          <w14:textFill>
            <w14:solidFill>
              <w14:schemeClr w14:val="tx1"/>
            </w14:solidFill>
          </w14:textFill>
        </w:rPr>
        <w:t>建设项目由来</w:t>
      </w:r>
      <w:bookmarkEnd w:id="4"/>
    </w:p>
    <w:p>
      <w:pPr>
        <w:pStyle w:val="6"/>
        <w:keepNext w:val="0"/>
        <w:keepLines w:val="0"/>
        <w:pageBreakBefore w:val="0"/>
        <w:widowControl w:val="0"/>
        <w:kinsoku/>
        <w:wordWrap/>
        <w:overflowPunct/>
        <w:topLinePunct w:val="0"/>
        <w:autoSpaceDE w:val="0"/>
        <w:autoSpaceDN w:val="0"/>
        <w:bidi w:val="0"/>
        <w:adjustRightInd/>
        <w:snapToGrid/>
        <w:spacing w:line="440" w:lineRule="exact"/>
        <w:ind w:left="0" w:leftChars="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原油属于国家战略安全物资，特别是近几年随着国际油价的波动，国内需求持续增长，国家对国内石油资源的需求越来越大。随着原油含水</w:t>
      </w:r>
      <w:r>
        <w:rPr>
          <w:rFonts w:hint="eastAsia" w:ascii="Times New Roman" w:hAnsi="Times New Roman" w:cs="Times New Roman"/>
          <w:color w:val="000000" w:themeColor="text1"/>
          <w:w w:val="99"/>
          <w:sz w:val="24"/>
          <w:szCs w:val="24"/>
          <w:highlight w:val="none"/>
          <w14:textFill>
            <w14:solidFill>
              <w14:schemeClr w14:val="tx1"/>
            </w14:solidFill>
          </w14:textFill>
        </w:rPr>
        <w:t>率</w:t>
      </w:r>
      <w:r>
        <w:rPr>
          <w:rFonts w:ascii="Times New Roman" w:hAnsi="Times New Roman" w:cs="Times New Roman"/>
          <w:color w:val="000000" w:themeColor="text1"/>
          <w:w w:val="99"/>
          <w:sz w:val="24"/>
          <w:szCs w:val="24"/>
          <w:highlight w:val="none"/>
          <w14:textFill>
            <w14:solidFill>
              <w14:schemeClr w14:val="tx1"/>
            </w14:solidFill>
          </w14:textFill>
        </w:rPr>
        <w:t>升高和</w:t>
      </w:r>
      <w:r>
        <w:rPr>
          <w:rFonts w:hint="eastAsia" w:ascii="Times New Roman" w:hAnsi="Times New Roman" w:cs="Times New Roman"/>
          <w:color w:val="000000" w:themeColor="text1"/>
          <w:w w:val="99"/>
          <w:sz w:val="24"/>
          <w:szCs w:val="24"/>
          <w:highlight w:val="none"/>
          <w14:textFill>
            <w14:solidFill>
              <w14:schemeClr w14:val="tx1"/>
            </w14:solidFill>
          </w14:textFill>
        </w:rPr>
        <w:t>产油量</w:t>
      </w:r>
      <w:r>
        <w:rPr>
          <w:rFonts w:ascii="Times New Roman" w:hAnsi="Times New Roman" w:cs="Times New Roman"/>
          <w:color w:val="000000" w:themeColor="text1"/>
          <w:w w:val="99"/>
          <w:sz w:val="24"/>
          <w:szCs w:val="24"/>
          <w:highlight w:val="none"/>
          <w14:textFill>
            <w14:solidFill>
              <w14:schemeClr w14:val="tx1"/>
            </w14:solidFill>
          </w14:textFill>
        </w:rPr>
        <w:t>自然递减，大庆油田老区产量呈逐年下降的态势，按照国家的总体要求，大庆油田公司加大了油田老区的开发力度，为大庆油田的可持续发展提供保障。</w:t>
      </w:r>
      <w:r>
        <w:rPr>
          <w:rFonts w:hint="eastAsia" w:ascii="Times New Roman" w:hAnsi="Times New Roman" w:cs="Times New Roman"/>
          <w:color w:val="000000" w:themeColor="text1"/>
          <w:w w:val="99"/>
          <w:sz w:val="24"/>
          <w:szCs w:val="24"/>
          <w:highlight w:val="none"/>
          <w14:textFill>
            <w14:solidFill>
              <w14:schemeClr w14:val="tx1"/>
            </w14:solidFill>
          </w14:textFill>
        </w:rPr>
        <w:t>为了增加油田</w:t>
      </w:r>
      <w:r>
        <w:rPr>
          <w:rFonts w:ascii="Times New Roman" w:hAnsi="Times New Roman" w:cs="Times New Roman"/>
          <w:color w:val="000000" w:themeColor="text1"/>
          <w:w w:val="99"/>
          <w:sz w:val="24"/>
          <w:szCs w:val="24"/>
          <w:highlight w:val="none"/>
          <w14:textFill>
            <w14:solidFill>
              <w14:schemeClr w14:val="tx1"/>
            </w14:solidFill>
          </w14:textFill>
        </w:rPr>
        <w:t>产能，</w:t>
      </w:r>
      <w:r>
        <w:rPr>
          <w:rFonts w:ascii="Times New Roman" w:hAnsi="Times New Roman" w:cs="Times New Roman"/>
          <w:color w:val="000000" w:themeColor="text1"/>
          <w:w w:val="99"/>
          <w:sz w:val="24"/>
          <w:szCs w:val="24"/>
          <w:highlight w:val="none"/>
          <w:lang w:val="en-US"/>
          <w14:textFill>
            <w14:solidFill>
              <w14:schemeClr w14:val="tx1"/>
            </w14:solidFill>
          </w14:textFill>
        </w:rPr>
        <w:t>大庆油田有限责任公司第七采油厂</w:t>
      </w:r>
      <w:r>
        <w:rPr>
          <w:rFonts w:ascii="Times New Roman" w:hAnsi="Times New Roman" w:cs="Times New Roman"/>
          <w:color w:val="000000" w:themeColor="text1"/>
          <w:w w:val="99"/>
          <w:sz w:val="24"/>
          <w:szCs w:val="24"/>
          <w:highlight w:val="none"/>
          <w14:textFill>
            <w14:solidFill>
              <w14:schemeClr w14:val="tx1"/>
            </w14:solidFill>
          </w14:textFill>
        </w:rPr>
        <w:t>2013年在葡北油田三断块开展了葡125深部调驱先导现场试验，累积增油6.95×10</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t，提高采收率5.85个百分点，调驱效果显著。在先导试验成功的基础上，为进一步扩大应用规模，完善深部调驱配套技术，“十三五”中后期在葡北油田三、四断块先后推广应用了三个深部调驱区块（126、67-64、70-52），控制含油面积2.95k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，地质储量288.92×10</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t。其中葡126区块于2018年9月实施现场注入，截至2020年底，阶段累积增油3.18×10</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t，提高采收率2.39个百分点。葡67-64、葡70-52区块于2020年8月实施现场注入，截至2020年底，阶段累积增油0.05×10</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t，提高采收率0.07个百分点。</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pPr>
      <w:r>
        <w:rPr>
          <w:rFonts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本</w:t>
      </w: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项目《</w:t>
      </w:r>
      <w:bookmarkStart w:id="232" w:name="_GoBack"/>
      <w:r>
        <w:rPr>
          <w:rFonts w:hint="eastAsia"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采油七厂葡北油田三断块葡72-70井区深部调驱产能建设地面工程</w:t>
      </w:r>
      <w:bookmarkEnd w:id="232"/>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优选葡北油田三断块葡72-70井区深部调驱区块作为深部调驱推广应用区块。葡72-70井区位于葡北三断块北部，</w:t>
      </w:r>
      <w:r>
        <w:rPr>
          <w:rFonts w:hint="eastAsia"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该区块于</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2018年1月完成</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《葡北油田三断块深部调驱扩大应用现场试验产能建设工程》</w:t>
      </w: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环境影响报告书的编制，并取得批复（</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庆环审〔2018〕20号</w:t>
      </w: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，大庆市生态环境局</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2018年2月1日</w:t>
      </w: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w:t>
      </w: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于</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2019年11月30日完成自主验收</w:t>
      </w: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葡北油田三断块于1980年投入开发，井区含油面积0.96km</w:t>
      </w:r>
      <w:r>
        <w:rPr>
          <w:rFonts w:ascii="Times New Roman" w:hAnsi="Times New Roman" w:eastAsia="宋体" w:cs="Times New Roman"/>
          <w:color w:val="000000" w:themeColor="text1"/>
          <w:w w:val="99"/>
          <w:sz w:val="24"/>
          <w:szCs w:val="24"/>
          <w:highlight w:val="none"/>
          <w:vertAlign w:val="superscript"/>
          <w:lang w:val="zh-CN" w:eastAsia="zh-CN" w:bidi="zh-CN"/>
          <w14:textFill>
            <w14:solidFill>
              <w14:schemeClr w14:val="tx1"/>
            </w14:solidFill>
          </w14:textFill>
        </w:rPr>
        <w:t>2</w:t>
      </w:r>
      <w:r>
        <w:rPr>
          <w:rFonts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，动用地质储量102.35×10</w:t>
      </w:r>
      <w:r>
        <w:rPr>
          <w:rFonts w:ascii="Times New Roman" w:hAnsi="Times New Roman" w:eastAsia="宋体" w:cs="Times New Roman"/>
          <w:color w:val="000000" w:themeColor="text1"/>
          <w:w w:val="99"/>
          <w:sz w:val="24"/>
          <w:szCs w:val="24"/>
          <w:highlight w:val="none"/>
          <w:vertAlign w:val="superscript"/>
          <w:lang w:val="zh-CN" w:eastAsia="zh-CN" w:bidi="zh-CN"/>
          <w14:textFill>
            <w14:solidFill>
              <w14:schemeClr w14:val="tx1"/>
            </w14:solidFill>
          </w14:textFill>
        </w:rPr>
        <w:t>4</w:t>
      </w:r>
      <w:r>
        <w:rPr>
          <w:rFonts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t。经过基础井网开采、一次均匀加密调整、二次非均匀加密调整，截至2020年12月，井区总井数30口，其中，采出井21口，注入井9口，综合含水95.54%，已进入特高含水期开发阶段</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w:t>
      </w:r>
    </w:p>
    <w:p>
      <w:pPr>
        <w:pStyle w:val="11"/>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zh-CN"/>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本项目为</w:t>
      </w: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深部</w:t>
      </w:r>
      <w:r>
        <w:rPr>
          <w:rFonts w:hint="eastAsia"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调驱驱油工程，未增加新井或采油设备</w:t>
      </w: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的工程内容，主要</w:t>
      </w:r>
      <w:r>
        <w:rPr>
          <w:rFonts w:ascii="Times New Roman" w:hAnsi="Times New Roman" w:cs="Times New Roman"/>
          <w:color w:val="000000" w:themeColor="text1"/>
          <w:w w:val="99"/>
          <w:sz w:val="24"/>
          <w:szCs w:val="24"/>
          <w:highlight w:val="none"/>
          <w14:textFill>
            <w14:solidFill>
              <w14:schemeClr w14:val="tx1"/>
            </w14:solidFill>
          </w14:textFill>
        </w:rPr>
        <w:t>建设内容包括：</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扩</w:t>
      </w:r>
      <w:r>
        <w:rPr>
          <w:rFonts w:ascii="Times New Roman" w:hAnsi="Times New Roman" w:cs="Times New Roman"/>
          <w:color w:val="000000" w:themeColor="text1"/>
          <w:w w:val="99"/>
          <w:sz w:val="24"/>
          <w:szCs w:val="24"/>
          <w:highlight w:val="none"/>
          <w14:textFill>
            <w14:solidFill>
              <w14:schemeClr w14:val="tx1"/>
            </w14:solidFill>
          </w14:textFill>
        </w:rPr>
        <w:t>建</w:t>
      </w:r>
      <w:r>
        <w:rPr>
          <w:rFonts w:hint="eastAsia" w:ascii="Times New Roman" w:hAnsi="Times New Roman" w:cs="Times New Roman"/>
          <w:color w:val="000000" w:themeColor="text1"/>
          <w:w w:val="99"/>
          <w:sz w:val="24"/>
          <w:szCs w:val="24"/>
          <w:highlight w:val="none"/>
          <w14:textFill>
            <w14:solidFill>
              <w14:schemeClr w14:val="tx1"/>
            </w14:solidFill>
          </w14:textFill>
        </w:rPr>
        <w:t>配水</w:t>
      </w:r>
      <w:r>
        <w:rPr>
          <w:rFonts w:ascii="Times New Roman" w:hAnsi="Times New Roman" w:cs="Times New Roman"/>
          <w:color w:val="000000" w:themeColor="text1"/>
          <w:w w:val="99"/>
          <w:sz w:val="24"/>
          <w:szCs w:val="24"/>
          <w:highlight w:val="none"/>
          <w14:textFill>
            <w14:solidFill>
              <w14:schemeClr w14:val="tx1"/>
            </w14:solidFill>
          </w14:textFill>
        </w:rPr>
        <w:t>间1座，</w:t>
      </w:r>
      <w:r>
        <w:rPr>
          <w:rFonts w:hint="eastAsia" w:ascii="Times New Roman" w:hAnsi="Times New Roman" w:cs="Times New Roman"/>
          <w:color w:val="000000" w:themeColor="text1"/>
          <w:w w:val="99"/>
          <w:sz w:val="24"/>
          <w:szCs w:val="24"/>
          <w:highlight w:val="none"/>
          <w14:textFill>
            <w14:solidFill>
              <w14:schemeClr w14:val="tx1"/>
            </w14:solidFill>
          </w14:textFill>
        </w:rPr>
        <w:t>新建配水阀组4</w:t>
      </w:r>
      <w:r>
        <w:rPr>
          <w:rFonts w:ascii="Times New Roman" w:hAnsi="Times New Roman" w:cs="Times New Roman"/>
          <w:color w:val="000000" w:themeColor="text1"/>
          <w:w w:val="99"/>
          <w:sz w:val="24"/>
          <w:szCs w:val="24"/>
          <w:highlight w:val="none"/>
          <w14:textFill>
            <w14:solidFill>
              <w14:schemeClr w14:val="tx1"/>
            </w14:solidFill>
          </w14:textFill>
        </w:rPr>
        <w:t>套。新建注水支干线Ф114×9~</w:t>
      </w:r>
      <w:r>
        <w:rPr>
          <w:rFonts w:hint="eastAsia" w:ascii="Times New Roman" w:hAnsi="Times New Roman" w:cs="Times New Roman"/>
          <w:color w:val="000000" w:themeColor="text1"/>
          <w:w w:val="99"/>
          <w:sz w:val="24"/>
          <w:szCs w:val="24"/>
          <w:highlight w:val="none"/>
          <w14:textFill>
            <w14:solidFill>
              <w14:schemeClr w14:val="tx1"/>
            </w14:solidFill>
          </w14:textFill>
        </w:rPr>
        <w:t>0.1</w:t>
      </w:r>
      <w:r>
        <w:rPr>
          <w:rFonts w:ascii="Times New Roman" w:hAnsi="Times New Roman" w:cs="Times New Roman"/>
          <w:color w:val="000000" w:themeColor="text1"/>
          <w:w w:val="99"/>
          <w:sz w:val="24"/>
          <w:szCs w:val="24"/>
          <w:highlight w:val="none"/>
          <w14:textFill>
            <w14:solidFill>
              <w14:schemeClr w14:val="tx1"/>
            </w14:solidFill>
          </w14:textFill>
        </w:rPr>
        <w:t>km，新建单井注水</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支线</w:t>
      </w:r>
      <w:r>
        <w:rPr>
          <w:rFonts w:ascii="Times New Roman" w:hAnsi="Times New Roman" w:cs="Times New Roman"/>
          <w:color w:val="000000" w:themeColor="text1"/>
          <w:w w:val="99"/>
          <w:sz w:val="24"/>
          <w:szCs w:val="24"/>
          <w:highlight w:val="none"/>
          <w14:textFill>
            <w14:solidFill>
              <w14:schemeClr w14:val="tx1"/>
            </w14:solidFill>
          </w14:textFill>
        </w:rPr>
        <w:t>Ф60×5~4.62km。租用橇装配注站1座</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配套厂区地面平整1</w:t>
      </w:r>
      <w:r>
        <w:rPr>
          <w:rFonts w:ascii="Times New Roman" w:hAnsi="Times New Roman" w:cs="Times New Roman"/>
          <w:color w:val="000000" w:themeColor="text1"/>
          <w:w w:val="99"/>
          <w:sz w:val="24"/>
          <w:szCs w:val="24"/>
          <w:highlight w:val="none"/>
          <w14:textFill>
            <w14:solidFill>
              <w14:schemeClr w14:val="tx1"/>
            </w14:solidFill>
          </w14:textFill>
        </w:rPr>
        <w:t>900</w:t>
      </w:r>
      <w:r>
        <w:rPr>
          <w:rFonts w:hint="eastAsia" w:ascii="Times New Roman" w:hAnsi="Times New Roman" w:cs="Times New Roman"/>
          <w:color w:val="000000" w:themeColor="text1"/>
          <w:w w:val="99"/>
          <w:sz w:val="24"/>
          <w:szCs w:val="24"/>
          <w:highlight w:val="none"/>
          <w14:textFill>
            <w14:solidFill>
              <w14:schemeClr w14:val="tx1"/>
            </w14:solidFill>
          </w14:textFill>
        </w:rPr>
        <w:t>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hint="eastAsia" w:ascii="Times New Roman" w:hAnsi="Times New Roman" w:cs="Times New Roman"/>
          <w:color w:val="000000" w:themeColor="text1"/>
          <w:w w:val="99"/>
          <w:sz w:val="24"/>
          <w:szCs w:val="24"/>
          <w:highlight w:val="none"/>
          <w14:textFill>
            <w14:solidFill>
              <w14:schemeClr w14:val="tx1"/>
            </w14:solidFill>
          </w14:textFill>
        </w:rPr>
        <w:t>，4m宽水泥路1</w:t>
      </w:r>
      <w:r>
        <w:rPr>
          <w:rFonts w:ascii="Times New Roman" w:hAnsi="Times New Roman" w:cs="Times New Roman"/>
          <w:color w:val="000000" w:themeColor="text1"/>
          <w:w w:val="99"/>
          <w:sz w:val="24"/>
          <w:szCs w:val="24"/>
          <w:highlight w:val="none"/>
          <w14:textFill>
            <w14:solidFill>
              <w14:schemeClr w14:val="tx1"/>
            </w14:solidFill>
          </w14:textFill>
        </w:rPr>
        <w:t>20</w:t>
      </w:r>
      <w:r>
        <w:rPr>
          <w:rFonts w:hint="eastAsia" w:ascii="Times New Roman" w:hAnsi="Times New Roman" w:cs="Times New Roman"/>
          <w:color w:val="000000" w:themeColor="text1"/>
          <w:w w:val="99"/>
          <w:sz w:val="24"/>
          <w:szCs w:val="24"/>
          <w:highlight w:val="none"/>
          <w14:textFill>
            <w14:solidFill>
              <w14:schemeClr w14:val="tx1"/>
            </w14:solidFill>
          </w14:textFill>
        </w:rPr>
        <w:t>m，水泥回车场地2</w:t>
      </w:r>
      <w:r>
        <w:rPr>
          <w:rFonts w:ascii="Times New Roman" w:hAnsi="Times New Roman" w:cs="Times New Roman"/>
          <w:color w:val="000000" w:themeColor="text1"/>
          <w:w w:val="99"/>
          <w:sz w:val="24"/>
          <w:szCs w:val="24"/>
          <w:highlight w:val="none"/>
          <w14:textFill>
            <w14:solidFill>
              <w14:schemeClr w14:val="tx1"/>
            </w14:solidFill>
          </w14:textFill>
        </w:rPr>
        <w:t>25</w:t>
      </w:r>
      <w:r>
        <w:rPr>
          <w:rFonts w:hint="eastAsia" w:ascii="Times New Roman" w:hAnsi="Times New Roman" w:cs="Times New Roman"/>
          <w:color w:val="000000" w:themeColor="text1"/>
          <w:w w:val="99"/>
          <w:sz w:val="24"/>
          <w:szCs w:val="24"/>
          <w:highlight w:val="none"/>
          <w14:textFill>
            <w14:solidFill>
              <w14:schemeClr w14:val="tx1"/>
            </w14:solidFill>
          </w14:textFill>
        </w:rPr>
        <w:t>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新建砂石路0.1km</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预计</w:t>
      </w:r>
      <w:r>
        <w:rPr>
          <w:rFonts w:hint="eastAsia" w:ascii="Times New Roman" w:hAnsi="Times New Roman" w:cs="Times New Roman"/>
          <w:color w:val="000000" w:themeColor="text1"/>
          <w:w w:val="99"/>
          <w:sz w:val="24"/>
          <w:szCs w:val="24"/>
          <w:highlight w:val="none"/>
          <w:lang w:val="zh-CN"/>
          <w14:textFill>
            <w14:solidFill>
              <w14:schemeClr w14:val="tx1"/>
            </w14:solidFill>
          </w14:textFill>
        </w:rPr>
        <w:t>本项目深部调区驱油</w:t>
      </w:r>
      <w:r>
        <w:rPr>
          <w:rFonts w:ascii="Times New Roman" w:hAnsi="Times New Roman" w:cs="Times New Roman"/>
          <w:color w:val="000000" w:themeColor="text1"/>
          <w:w w:val="99"/>
          <w:sz w:val="24"/>
          <w:szCs w:val="24"/>
          <w:highlight w:val="none"/>
          <w:lang w:val="zh-CN"/>
          <w14:textFill>
            <w14:solidFill>
              <w14:schemeClr w14:val="tx1"/>
            </w14:solidFill>
          </w14:textFill>
        </w:rPr>
        <w:t>实施后</w:t>
      </w:r>
      <w:r>
        <w:rPr>
          <w:rFonts w:hint="eastAsia" w:ascii="Times New Roman" w:hAnsi="Times New Roman" w:cs="Times New Roman"/>
          <w:color w:val="000000" w:themeColor="text1"/>
          <w:w w:val="99"/>
          <w:sz w:val="24"/>
          <w:szCs w:val="24"/>
          <w:highlight w:val="none"/>
          <w:lang w:val="zh-CN"/>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21口</w:t>
      </w:r>
      <w:r>
        <w:rPr>
          <w:rFonts w:hint="eastAsia" w:ascii="Times New Roman" w:hAnsi="Times New Roman" w:cs="Times New Roman"/>
          <w:color w:val="000000" w:themeColor="text1"/>
          <w:w w:val="99"/>
          <w:sz w:val="24"/>
          <w:szCs w:val="24"/>
          <w:highlight w:val="none"/>
          <w:lang w:val="zh-CN"/>
          <w14:textFill>
            <w14:solidFill>
              <w14:schemeClr w14:val="tx1"/>
            </w14:solidFill>
          </w14:textFill>
        </w:rPr>
        <w:t>油井在产液未增加的基础上年产油由</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0.67</w:t>
      </w:r>
      <w:r>
        <w:rPr>
          <w:rFonts w:ascii="Times New Roman" w:hAnsi="Times New Roman" w:cs="Times New Roman"/>
          <w:color w:val="000000" w:themeColor="text1"/>
          <w:w w:val="99"/>
          <w:sz w:val="24"/>
          <w:szCs w:val="24"/>
          <w:highlight w:val="none"/>
          <w14:textFill>
            <w14:solidFill>
              <w14:schemeClr w14:val="tx1"/>
            </w14:solidFill>
          </w14:textFill>
        </w:rPr>
        <w:t>×10</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4</w:t>
      </w:r>
      <w:r>
        <w:rPr>
          <w:rFonts w:hint="eastAsia" w:ascii="Times New Roman" w:hAnsi="Times New Roman" w:cs="Times New Roman"/>
          <w:color w:val="000000" w:themeColor="text1"/>
          <w:w w:val="99"/>
          <w:sz w:val="24"/>
          <w:szCs w:val="24"/>
          <w:highlight w:val="none"/>
          <w:lang w:val="zh-CN"/>
          <w14:textFill>
            <w14:solidFill>
              <w14:schemeClr w14:val="tx1"/>
            </w14:solidFill>
          </w14:textFill>
        </w:rPr>
        <w:t>t增加至年产油</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1.71</w:t>
      </w:r>
      <w:r>
        <w:rPr>
          <w:rFonts w:ascii="Times New Roman" w:hAnsi="Times New Roman" w:cs="Times New Roman"/>
          <w:color w:val="000000" w:themeColor="text1"/>
          <w:w w:val="99"/>
          <w:sz w:val="24"/>
          <w:szCs w:val="24"/>
          <w:highlight w:val="none"/>
          <w14:textFill>
            <w14:solidFill>
              <w14:schemeClr w14:val="tx1"/>
            </w14:solidFill>
          </w14:textFill>
        </w:rPr>
        <w:t>×10</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4</w:t>
      </w:r>
      <w:r>
        <w:rPr>
          <w:rFonts w:hint="eastAsia" w:ascii="Times New Roman" w:hAnsi="Times New Roman" w:cs="Times New Roman"/>
          <w:color w:val="000000" w:themeColor="text1"/>
          <w:w w:val="99"/>
          <w:sz w:val="24"/>
          <w:szCs w:val="24"/>
          <w:highlight w:val="none"/>
          <w:lang w:val="zh-CN"/>
          <w14:textFill>
            <w14:solidFill>
              <w14:schemeClr w14:val="tx1"/>
            </w14:solidFill>
          </w14:textFill>
        </w:rPr>
        <w:t>t，产能提高</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155.2%</w:t>
      </w:r>
      <w:r>
        <w:rPr>
          <w:rFonts w:hint="eastAsia" w:ascii="Times New Roman" w:hAnsi="Times New Roman" w:cs="Times New Roman"/>
          <w:color w:val="000000" w:themeColor="text1"/>
          <w:w w:val="99"/>
          <w:sz w:val="24"/>
          <w:szCs w:val="24"/>
          <w:highlight w:val="none"/>
          <w:lang w:val="zh-CN"/>
          <w14:textFill>
            <w14:solidFill>
              <w14:schemeClr w14:val="tx1"/>
            </w14:solidFill>
          </w14:textFill>
        </w:rPr>
        <w:t>，可</w:t>
      </w:r>
      <w:r>
        <w:rPr>
          <w:rFonts w:ascii="Times New Roman" w:hAnsi="Times New Roman" w:cs="Times New Roman"/>
          <w:color w:val="000000" w:themeColor="text1"/>
          <w:w w:val="99"/>
          <w:sz w:val="24"/>
          <w:szCs w:val="24"/>
          <w:highlight w:val="none"/>
          <w:lang w:val="zh-CN"/>
          <w14:textFill>
            <w14:solidFill>
              <w14:schemeClr w14:val="tx1"/>
            </w14:solidFill>
          </w14:textFill>
        </w:rPr>
        <w:t>实现</w:t>
      </w:r>
      <w:r>
        <w:rPr>
          <w:rFonts w:hint="eastAsia" w:ascii="Times New Roman" w:hAnsi="Times New Roman" w:cs="Times New Roman"/>
          <w:color w:val="000000" w:themeColor="text1"/>
          <w:w w:val="99"/>
          <w:sz w:val="24"/>
          <w:szCs w:val="24"/>
          <w:highlight w:val="none"/>
          <w:lang w:val="zh-CN"/>
          <w14:textFill>
            <w14:solidFill>
              <w14:schemeClr w14:val="tx1"/>
            </w14:solidFill>
          </w14:textFill>
        </w:rPr>
        <w:t>老井增加产能</w:t>
      </w:r>
      <w:r>
        <w:rPr>
          <w:rFonts w:ascii="Times New Roman" w:hAnsi="Times New Roman" w:cs="Times New Roman"/>
          <w:color w:val="000000" w:themeColor="text1"/>
          <w:w w:val="99"/>
          <w:sz w:val="24"/>
          <w:szCs w:val="24"/>
          <w:highlight w:val="none"/>
          <w:lang w:val="zh-CN"/>
          <w14:textFill>
            <w14:solidFill>
              <w14:schemeClr w14:val="tx1"/>
            </w14:solidFill>
          </w14:textFill>
        </w:rPr>
        <w:t>的目标。</w:t>
      </w:r>
    </w:p>
    <w:p>
      <w:pPr>
        <w:pStyle w:val="5"/>
        <w:keepNext w:val="0"/>
        <w:keepLines w:val="0"/>
        <w:pageBreakBefore w:val="0"/>
        <w:widowControl w:val="0"/>
        <w:tabs>
          <w:tab w:val="left" w:pos="751"/>
        </w:tabs>
        <w:kinsoku/>
        <w:wordWrap/>
        <w:overflowPunct/>
        <w:topLinePunct w:val="0"/>
        <w:autoSpaceDE w:val="0"/>
        <w:autoSpaceDN w:val="0"/>
        <w:bidi w:val="0"/>
        <w:adjustRightInd/>
        <w:snapToGrid/>
        <w:spacing w:before="120" w:after="120" w:line="440" w:lineRule="exact"/>
        <w:ind w:left="0" w:firstLine="0"/>
        <w:jc w:val="both"/>
        <w:textAlignment w:val="auto"/>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pPr>
      <w:bookmarkStart w:id="5" w:name="_bookmark2"/>
      <w:bookmarkEnd w:id="5"/>
      <w:bookmarkStart w:id="6" w:name="_Toc7550"/>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1.2 建设项目的特点</w:t>
      </w:r>
      <w:bookmarkEnd w:id="6"/>
    </w:p>
    <w:p>
      <w:pPr>
        <w:keepNext w:val="0"/>
        <w:keepLines w:val="0"/>
        <w:pageBreakBefore w:val="0"/>
        <w:widowControl w:val="0"/>
        <w:kinsoku/>
        <w:wordWrap/>
        <w:overflowPunct/>
        <w:topLinePunct w:val="0"/>
        <w:autoSpaceDE w:val="0"/>
        <w:autoSpaceDN w:val="0"/>
        <w:bidi w:val="0"/>
        <w:adjustRightInd/>
        <w:snapToGrid/>
        <w:spacing w:line="440" w:lineRule="exact"/>
        <w:ind w:firstLine="561"/>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本工程位于黑龙江省大庆市</w:t>
      </w:r>
      <w:r>
        <w:rPr>
          <w:rFonts w:hint="eastAsia" w:ascii="Times New Roman" w:hAnsi="Times New Roman" w:cs="Times New Roman"/>
          <w:color w:val="000000" w:themeColor="text1"/>
          <w:w w:val="99"/>
          <w:sz w:val="24"/>
          <w:szCs w:val="24"/>
          <w:highlight w:val="none"/>
          <w14:textFill>
            <w14:solidFill>
              <w14:schemeClr w14:val="tx1"/>
            </w14:solidFill>
          </w14:textFill>
        </w:rPr>
        <w:t>大同区</w:t>
      </w:r>
      <w:r>
        <w:rPr>
          <w:rFonts w:ascii="Times New Roman" w:hAnsi="Times New Roman" w:cs="Times New Roman"/>
          <w:color w:val="000000" w:themeColor="text1"/>
          <w:w w:val="99"/>
          <w:sz w:val="24"/>
          <w:szCs w:val="24"/>
          <w:highlight w:val="none"/>
          <w14:textFill>
            <w14:solidFill>
              <w14:schemeClr w14:val="tx1"/>
            </w14:solidFill>
          </w14:textFill>
        </w:rPr>
        <w:t>八井子乡。本工程建设内容包括：</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扩</w:t>
      </w:r>
      <w:r>
        <w:rPr>
          <w:rFonts w:ascii="Times New Roman" w:hAnsi="Times New Roman" w:cs="Times New Roman"/>
          <w:color w:val="000000" w:themeColor="text1"/>
          <w:w w:val="99"/>
          <w:sz w:val="24"/>
          <w:szCs w:val="24"/>
          <w:highlight w:val="none"/>
          <w14:textFill>
            <w14:solidFill>
              <w14:schemeClr w14:val="tx1"/>
            </w14:solidFill>
          </w14:textFill>
        </w:rPr>
        <w:t>建</w:t>
      </w:r>
      <w:r>
        <w:rPr>
          <w:rFonts w:hint="eastAsia" w:ascii="Times New Roman" w:hAnsi="Times New Roman" w:cs="Times New Roman"/>
          <w:color w:val="000000" w:themeColor="text1"/>
          <w:w w:val="99"/>
          <w:sz w:val="24"/>
          <w:szCs w:val="24"/>
          <w:highlight w:val="none"/>
          <w14:textFill>
            <w14:solidFill>
              <w14:schemeClr w14:val="tx1"/>
            </w14:solidFill>
          </w14:textFill>
        </w:rPr>
        <w:t>配水</w:t>
      </w:r>
      <w:r>
        <w:rPr>
          <w:rFonts w:ascii="Times New Roman" w:hAnsi="Times New Roman" w:cs="Times New Roman"/>
          <w:color w:val="000000" w:themeColor="text1"/>
          <w:w w:val="99"/>
          <w:sz w:val="24"/>
          <w:szCs w:val="24"/>
          <w:highlight w:val="none"/>
          <w14:textFill>
            <w14:solidFill>
              <w14:schemeClr w14:val="tx1"/>
            </w14:solidFill>
          </w14:textFill>
        </w:rPr>
        <w:t>间1座，</w:t>
      </w:r>
      <w:r>
        <w:rPr>
          <w:rFonts w:hint="eastAsia" w:ascii="Times New Roman" w:hAnsi="Times New Roman" w:cs="Times New Roman"/>
          <w:color w:val="000000" w:themeColor="text1"/>
          <w:w w:val="99"/>
          <w:sz w:val="24"/>
          <w:szCs w:val="24"/>
          <w:highlight w:val="none"/>
          <w14:textFill>
            <w14:solidFill>
              <w14:schemeClr w14:val="tx1"/>
            </w14:solidFill>
          </w14:textFill>
        </w:rPr>
        <w:t>新建配水阀组4</w:t>
      </w:r>
      <w:r>
        <w:rPr>
          <w:rFonts w:ascii="Times New Roman" w:hAnsi="Times New Roman" w:cs="Times New Roman"/>
          <w:color w:val="000000" w:themeColor="text1"/>
          <w:w w:val="99"/>
          <w:sz w:val="24"/>
          <w:szCs w:val="24"/>
          <w:highlight w:val="none"/>
          <w14:textFill>
            <w14:solidFill>
              <w14:schemeClr w14:val="tx1"/>
            </w14:solidFill>
          </w14:textFill>
        </w:rPr>
        <w:t>套。新建注水支干线Ф114×9~</w:t>
      </w:r>
      <w:r>
        <w:rPr>
          <w:rFonts w:hint="eastAsia" w:ascii="Times New Roman" w:hAnsi="Times New Roman" w:cs="Times New Roman"/>
          <w:color w:val="000000" w:themeColor="text1"/>
          <w:w w:val="99"/>
          <w:sz w:val="24"/>
          <w:szCs w:val="24"/>
          <w:highlight w:val="none"/>
          <w14:textFill>
            <w14:solidFill>
              <w14:schemeClr w14:val="tx1"/>
            </w14:solidFill>
          </w14:textFill>
        </w:rPr>
        <w:t>0.1</w:t>
      </w:r>
      <w:r>
        <w:rPr>
          <w:rFonts w:ascii="Times New Roman" w:hAnsi="Times New Roman" w:cs="Times New Roman"/>
          <w:color w:val="000000" w:themeColor="text1"/>
          <w:w w:val="99"/>
          <w:sz w:val="24"/>
          <w:szCs w:val="24"/>
          <w:highlight w:val="none"/>
          <w14:textFill>
            <w14:solidFill>
              <w14:schemeClr w14:val="tx1"/>
            </w14:solidFill>
          </w14:textFill>
        </w:rPr>
        <w:t>km，新建单井注水</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支线</w:t>
      </w:r>
      <w:r>
        <w:rPr>
          <w:rFonts w:ascii="Times New Roman" w:hAnsi="Times New Roman" w:cs="Times New Roman"/>
          <w:color w:val="000000" w:themeColor="text1"/>
          <w:w w:val="99"/>
          <w:sz w:val="24"/>
          <w:szCs w:val="24"/>
          <w:highlight w:val="none"/>
          <w14:textFill>
            <w14:solidFill>
              <w14:schemeClr w14:val="tx1"/>
            </w14:solidFill>
          </w14:textFill>
        </w:rPr>
        <w:t>Ф60×5~4.62km。租用橇装配注站1座</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配套厂区地面平整1</w:t>
      </w:r>
      <w:r>
        <w:rPr>
          <w:rFonts w:ascii="Times New Roman" w:hAnsi="Times New Roman" w:cs="Times New Roman"/>
          <w:color w:val="000000" w:themeColor="text1"/>
          <w:w w:val="99"/>
          <w:sz w:val="24"/>
          <w:szCs w:val="24"/>
          <w:highlight w:val="none"/>
          <w14:textFill>
            <w14:solidFill>
              <w14:schemeClr w14:val="tx1"/>
            </w14:solidFill>
          </w14:textFill>
        </w:rPr>
        <w:t>900</w:t>
      </w:r>
      <w:r>
        <w:rPr>
          <w:rFonts w:hint="eastAsia" w:ascii="Times New Roman" w:hAnsi="Times New Roman" w:cs="Times New Roman"/>
          <w:color w:val="000000" w:themeColor="text1"/>
          <w:w w:val="99"/>
          <w:sz w:val="24"/>
          <w:szCs w:val="24"/>
          <w:highlight w:val="none"/>
          <w14:textFill>
            <w14:solidFill>
              <w14:schemeClr w14:val="tx1"/>
            </w14:solidFill>
          </w14:textFill>
        </w:rPr>
        <w:t>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hint="eastAsia" w:ascii="Times New Roman" w:hAnsi="Times New Roman" w:cs="Times New Roman"/>
          <w:color w:val="000000" w:themeColor="text1"/>
          <w:w w:val="99"/>
          <w:sz w:val="24"/>
          <w:szCs w:val="24"/>
          <w:highlight w:val="none"/>
          <w14:textFill>
            <w14:solidFill>
              <w14:schemeClr w14:val="tx1"/>
            </w14:solidFill>
          </w14:textFill>
        </w:rPr>
        <w:t>，4m宽水泥路1</w:t>
      </w:r>
      <w:r>
        <w:rPr>
          <w:rFonts w:ascii="Times New Roman" w:hAnsi="Times New Roman" w:cs="Times New Roman"/>
          <w:color w:val="000000" w:themeColor="text1"/>
          <w:w w:val="99"/>
          <w:sz w:val="24"/>
          <w:szCs w:val="24"/>
          <w:highlight w:val="none"/>
          <w14:textFill>
            <w14:solidFill>
              <w14:schemeClr w14:val="tx1"/>
            </w14:solidFill>
          </w14:textFill>
        </w:rPr>
        <w:t>20</w:t>
      </w:r>
      <w:r>
        <w:rPr>
          <w:rFonts w:hint="eastAsia" w:ascii="Times New Roman" w:hAnsi="Times New Roman" w:cs="Times New Roman"/>
          <w:color w:val="000000" w:themeColor="text1"/>
          <w:w w:val="99"/>
          <w:sz w:val="24"/>
          <w:szCs w:val="24"/>
          <w:highlight w:val="none"/>
          <w14:textFill>
            <w14:solidFill>
              <w14:schemeClr w14:val="tx1"/>
            </w14:solidFill>
          </w14:textFill>
        </w:rPr>
        <w:t>m，水泥回车场地2</w:t>
      </w:r>
      <w:r>
        <w:rPr>
          <w:rFonts w:ascii="Times New Roman" w:hAnsi="Times New Roman" w:cs="Times New Roman"/>
          <w:color w:val="000000" w:themeColor="text1"/>
          <w:w w:val="99"/>
          <w:sz w:val="24"/>
          <w:szCs w:val="24"/>
          <w:highlight w:val="none"/>
          <w14:textFill>
            <w14:solidFill>
              <w14:schemeClr w14:val="tx1"/>
            </w14:solidFill>
          </w14:textFill>
        </w:rPr>
        <w:t>25</w:t>
      </w:r>
      <w:r>
        <w:rPr>
          <w:rFonts w:hint="eastAsia" w:ascii="Times New Roman" w:hAnsi="Times New Roman" w:cs="Times New Roman"/>
          <w:color w:val="000000" w:themeColor="text1"/>
          <w:w w:val="99"/>
          <w:sz w:val="24"/>
          <w:szCs w:val="24"/>
          <w:highlight w:val="none"/>
          <w14:textFill>
            <w14:solidFill>
              <w14:schemeClr w14:val="tx1"/>
            </w14:solidFill>
          </w14:textFill>
        </w:rPr>
        <w:t>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新建砂石路0.1km</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。建成产能</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1.71</w:t>
      </w:r>
      <w:r>
        <w:rPr>
          <w:rFonts w:ascii="Times New Roman" w:hAnsi="Times New Roman" w:cs="Times New Roman"/>
          <w:color w:val="000000" w:themeColor="text1"/>
          <w:w w:val="99"/>
          <w:sz w:val="24"/>
          <w:szCs w:val="24"/>
          <w:highlight w:val="none"/>
          <w14:textFill>
            <w14:solidFill>
              <w14:schemeClr w14:val="tx1"/>
            </w14:solidFill>
          </w14:textFill>
        </w:rPr>
        <w:t>×10</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t/a。</w:t>
      </w:r>
    </w:p>
    <w:p>
      <w:pPr>
        <w:keepNext w:val="0"/>
        <w:keepLines w:val="0"/>
        <w:pageBreakBefore w:val="0"/>
        <w:widowControl w:val="0"/>
        <w:kinsoku/>
        <w:wordWrap/>
        <w:overflowPunct/>
        <w:topLinePunct w:val="0"/>
        <w:autoSpaceDE w:val="0"/>
        <w:autoSpaceDN w:val="0"/>
        <w:bidi w:val="0"/>
        <w:adjustRightInd/>
        <w:snapToGrid/>
        <w:spacing w:line="440" w:lineRule="exact"/>
        <w:ind w:firstLine="561"/>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本工程属于陆地石油开采项目，建设性质为改扩建</w:t>
      </w:r>
      <w:r>
        <w:rPr>
          <w:rFonts w:hint="eastAsia" w:ascii="Times New Roman" w:hAnsi="Times New Roman" w:cs="Times New Roman"/>
          <w:color w:val="000000" w:themeColor="text1"/>
          <w:w w:val="99"/>
          <w:sz w:val="24"/>
          <w:szCs w:val="24"/>
          <w:highlight w:val="none"/>
          <w14:textFill>
            <w14:solidFill>
              <w14:schemeClr w14:val="tx1"/>
            </w14:solidFill>
          </w14:textFill>
        </w:rPr>
        <w:t>。本项目为调驱驱油工程，未增加新井或采油设备，故钻井工程及采油工程无新增工程内容。</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本项目总</w:t>
      </w:r>
      <w:r>
        <w:rPr>
          <w:rFonts w:ascii="Times New Roman" w:hAnsi="Times New Roman" w:cs="Times New Roman"/>
          <w:color w:val="000000" w:themeColor="text1"/>
          <w:w w:val="99"/>
          <w:sz w:val="24"/>
          <w:szCs w:val="24"/>
          <w:highlight w:val="none"/>
          <w:lang w:val="en-US"/>
          <w14:textFill>
            <w14:solidFill>
              <w14:schemeClr w14:val="tx1"/>
            </w14:solidFill>
          </w14:textFill>
        </w:rPr>
        <w:t>占地面积</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4.97</w:t>
      </w:r>
      <w:r>
        <w:rPr>
          <w:rFonts w:ascii="Times New Roman" w:hAnsi="Times New Roman" w:cs="Times New Roman"/>
          <w:bCs/>
          <w:color w:val="000000" w:themeColor="text1"/>
          <w:w w:val="99"/>
          <w:sz w:val="24"/>
          <w:szCs w:val="24"/>
          <w:highlight w:val="none"/>
          <w:lang w:val="en-US"/>
          <w14:textFill>
            <w14:solidFill>
              <w14:schemeClr w14:val="tx1"/>
            </w14:solidFill>
          </w14:textFill>
        </w:rPr>
        <w:t>hm</w:t>
      </w:r>
      <w:r>
        <w:rPr>
          <w:rFonts w:ascii="Times New Roman" w:hAnsi="Times New Roman" w:cs="Times New Roman"/>
          <w:bCs/>
          <w:color w:val="000000" w:themeColor="text1"/>
          <w:w w:val="99"/>
          <w:sz w:val="24"/>
          <w:szCs w:val="24"/>
          <w:highlight w:val="none"/>
          <w:vertAlign w:val="superscript"/>
          <w:lang w:val="en-US"/>
          <w14:textFill>
            <w14:solidFill>
              <w14:schemeClr w14:val="tx1"/>
            </w14:solidFill>
          </w14:textFill>
        </w:rPr>
        <w:t>2</w:t>
      </w:r>
      <w:r>
        <w:rPr>
          <w:rFonts w:hint="eastAsia" w:ascii="Times New Roman" w:hAnsi="Times New Roman" w:cs="Times New Roman"/>
          <w:bCs/>
          <w:color w:val="000000" w:themeColor="text1"/>
          <w:w w:val="99"/>
          <w:sz w:val="24"/>
          <w:szCs w:val="24"/>
          <w:highlight w:val="none"/>
          <w:lang w:val="en-US"/>
          <w14:textFill>
            <w14:solidFill>
              <w14:schemeClr w14:val="tx1"/>
            </w14:solidFill>
          </w14:textFill>
        </w:rPr>
        <w:t>，其中</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新增</w:t>
      </w:r>
      <w:r>
        <w:rPr>
          <w:rFonts w:ascii="Times New Roman" w:hAnsi="Times New Roman" w:cs="Times New Roman"/>
          <w:color w:val="000000" w:themeColor="text1"/>
          <w:w w:val="99"/>
          <w:sz w:val="24"/>
          <w:szCs w:val="24"/>
          <w:highlight w:val="none"/>
          <w:lang w:val="en-US"/>
          <w14:textFill>
            <w14:solidFill>
              <w14:schemeClr w14:val="tx1"/>
            </w14:solidFill>
          </w14:textFill>
        </w:rPr>
        <w:t>永久占地</w:t>
      </w:r>
      <w:r>
        <w:rPr>
          <w:rFonts w:ascii="Times New Roman" w:hAnsi="Times New Roman" w:cs="Times New Roman"/>
          <w:bCs/>
          <w:color w:val="000000" w:themeColor="text1"/>
          <w:w w:val="99"/>
          <w:sz w:val="24"/>
          <w:szCs w:val="24"/>
          <w:highlight w:val="none"/>
          <w:lang w:val="en-US"/>
          <w14:textFill>
            <w14:solidFill>
              <w14:schemeClr w14:val="tx1"/>
            </w14:solidFill>
          </w14:textFill>
        </w:rPr>
        <w:t>0.</w:t>
      </w:r>
      <w:r>
        <w:rPr>
          <w:rFonts w:hint="eastAsia" w:ascii="Times New Roman" w:hAnsi="Times New Roman" w:cs="Times New Roman"/>
          <w:bCs/>
          <w:color w:val="000000" w:themeColor="text1"/>
          <w:w w:val="99"/>
          <w:sz w:val="24"/>
          <w:szCs w:val="24"/>
          <w:highlight w:val="none"/>
          <w:lang w:val="en-US" w:eastAsia="zh-CN"/>
          <w14:textFill>
            <w14:solidFill>
              <w14:schemeClr w14:val="tx1"/>
            </w14:solidFill>
          </w14:textFill>
        </w:rPr>
        <w:t>25</w:t>
      </w:r>
      <w:r>
        <w:rPr>
          <w:rFonts w:ascii="Times New Roman" w:hAnsi="Times New Roman" w:cs="Times New Roman"/>
          <w:bCs/>
          <w:color w:val="000000" w:themeColor="text1"/>
          <w:w w:val="99"/>
          <w:sz w:val="24"/>
          <w:szCs w:val="24"/>
          <w:highlight w:val="none"/>
          <w:lang w:val="en-US"/>
          <w14:textFill>
            <w14:solidFill>
              <w14:schemeClr w14:val="tx1"/>
            </w14:solidFill>
          </w14:textFill>
        </w:rPr>
        <w:t>hm</w:t>
      </w:r>
      <w:r>
        <w:rPr>
          <w:rFonts w:ascii="Times New Roman" w:hAnsi="Times New Roman" w:cs="Times New Roman"/>
          <w:bCs/>
          <w:color w:val="000000" w:themeColor="text1"/>
          <w:w w:val="99"/>
          <w:sz w:val="24"/>
          <w:szCs w:val="24"/>
          <w:highlight w:val="none"/>
          <w:vertAlign w:val="superscript"/>
          <w:lang w:val="en-US"/>
          <w14:textFill>
            <w14:solidFill>
              <w14:schemeClr w14:val="tx1"/>
            </w14:solidFill>
          </w14:textFill>
        </w:rPr>
        <w:t>2</w:t>
      </w:r>
      <w:r>
        <w:rPr>
          <w:rFonts w:hint="eastAsia" w:ascii="Times New Roman" w:hAnsi="Times New Roman" w:cs="Times New Roman"/>
          <w:bCs/>
          <w:color w:val="000000" w:themeColor="text1"/>
          <w:w w:val="99"/>
          <w:sz w:val="24"/>
          <w:szCs w:val="24"/>
          <w:highlight w:val="none"/>
          <w:lang w:val="en-US"/>
          <w14:textFill>
            <w14:solidFill>
              <w14:schemeClr w14:val="tx1"/>
            </w14:solidFill>
          </w14:textFill>
        </w:rPr>
        <w:t>，</w:t>
      </w:r>
      <w:r>
        <w:rPr>
          <w:rFonts w:ascii="Times New Roman" w:hAnsi="Times New Roman" w:cs="Times New Roman"/>
          <w:bCs/>
          <w:color w:val="000000" w:themeColor="text1"/>
          <w:w w:val="99"/>
          <w:sz w:val="24"/>
          <w:szCs w:val="24"/>
          <w:highlight w:val="none"/>
          <w:lang w:val="en-US"/>
          <w14:textFill>
            <w14:solidFill>
              <w14:schemeClr w14:val="tx1"/>
            </w14:solidFill>
          </w14:textFill>
        </w:rPr>
        <w:t>临时占地</w:t>
      </w:r>
      <w:r>
        <w:rPr>
          <w:rFonts w:hint="eastAsia" w:ascii="Times New Roman" w:hAnsi="Times New Roman" w:cs="Times New Roman"/>
          <w:bCs/>
          <w:color w:val="000000" w:themeColor="text1"/>
          <w:w w:val="99"/>
          <w:sz w:val="24"/>
          <w:szCs w:val="24"/>
          <w:highlight w:val="none"/>
          <w:lang w:val="en-US" w:eastAsia="zh-CN"/>
          <w14:textFill>
            <w14:solidFill>
              <w14:schemeClr w14:val="tx1"/>
            </w14:solidFill>
          </w14:textFill>
        </w:rPr>
        <w:t>4.72</w:t>
      </w:r>
      <w:r>
        <w:rPr>
          <w:rFonts w:ascii="Times New Roman" w:hAnsi="Times New Roman" w:cs="Times New Roman"/>
          <w:bCs/>
          <w:color w:val="000000" w:themeColor="text1"/>
          <w:w w:val="99"/>
          <w:sz w:val="24"/>
          <w:szCs w:val="24"/>
          <w:highlight w:val="none"/>
          <w:lang w:val="en-US"/>
          <w14:textFill>
            <w14:solidFill>
              <w14:schemeClr w14:val="tx1"/>
            </w14:solidFill>
          </w14:textFill>
        </w:rPr>
        <w:t>hm</w:t>
      </w:r>
      <w:r>
        <w:rPr>
          <w:rFonts w:ascii="Times New Roman" w:hAnsi="Times New Roman" w:cs="Times New Roman"/>
          <w:bCs/>
          <w:color w:val="000000" w:themeColor="text1"/>
          <w:w w:val="99"/>
          <w:sz w:val="24"/>
          <w:szCs w:val="24"/>
          <w:highlight w:val="none"/>
          <w:vertAlign w:val="superscript"/>
          <w:lang w:val="en-US"/>
          <w14:textFill>
            <w14:solidFill>
              <w14:schemeClr w14:val="tx1"/>
            </w14:solidFill>
          </w14:textFill>
        </w:rPr>
        <w:t>2</w:t>
      </w:r>
      <w:r>
        <w:rPr>
          <w:rFonts w:hint="eastAsia" w:ascii="Times New Roman" w:hAnsi="Times New Roman" w:cs="Times New Roman"/>
          <w:bCs/>
          <w:color w:val="000000" w:themeColor="text1"/>
          <w:w w:val="99"/>
          <w:sz w:val="24"/>
          <w:szCs w:val="24"/>
          <w:highlight w:val="none"/>
          <w:lang w:val="en-US"/>
          <w14:textFill>
            <w14:solidFill>
              <w14:schemeClr w14:val="tx1"/>
            </w14:solidFill>
          </w14:textFill>
        </w:rPr>
        <w:t>，占地</w:t>
      </w:r>
      <w:r>
        <w:rPr>
          <w:rFonts w:ascii="Times New Roman" w:hAnsi="Times New Roman" w:cs="Times New Roman"/>
          <w:bCs/>
          <w:color w:val="000000" w:themeColor="text1"/>
          <w:w w:val="99"/>
          <w:sz w:val="24"/>
          <w:szCs w:val="24"/>
          <w:highlight w:val="none"/>
          <w:lang w:val="en-US"/>
          <w14:textFill>
            <w14:solidFill>
              <w14:schemeClr w14:val="tx1"/>
            </w14:solidFill>
          </w14:textFill>
        </w:rPr>
        <w:t>类型</w:t>
      </w:r>
      <w:r>
        <w:rPr>
          <w:rFonts w:hint="eastAsia" w:ascii="Times New Roman" w:hAnsi="Times New Roman" w:cs="Times New Roman"/>
          <w:bCs/>
          <w:color w:val="000000" w:themeColor="text1"/>
          <w:w w:val="99"/>
          <w:sz w:val="24"/>
          <w:szCs w:val="24"/>
          <w:highlight w:val="none"/>
          <w:lang w:val="en-US" w:eastAsia="zh-CN"/>
          <w14:textFill>
            <w14:solidFill>
              <w14:schemeClr w14:val="tx1"/>
            </w14:solidFill>
          </w14:textFill>
        </w:rPr>
        <w:t>为</w:t>
      </w:r>
      <w:r>
        <w:rPr>
          <w:rFonts w:hint="eastAsia" w:ascii="Times New Roman" w:hAnsi="Times New Roman" w:cs="Times New Roman"/>
          <w:bCs/>
          <w:color w:val="000000" w:themeColor="text1"/>
          <w:w w:val="99"/>
          <w:sz w:val="24"/>
          <w:szCs w:val="24"/>
          <w:highlight w:val="none"/>
          <w:lang w:val="en-US"/>
          <w14:textFill>
            <w14:solidFill>
              <w14:schemeClr w14:val="tx1"/>
            </w14:solidFill>
          </w14:textFill>
        </w:rPr>
        <w:t>草地（非基本</w:t>
      </w:r>
      <w:r>
        <w:rPr>
          <w:rFonts w:ascii="Times New Roman" w:hAnsi="Times New Roman" w:cs="Times New Roman"/>
          <w:bCs/>
          <w:color w:val="000000" w:themeColor="text1"/>
          <w:w w:val="99"/>
          <w:sz w:val="24"/>
          <w:szCs w:val="24"/>
          <w:highlight w:val="none"/>
          <w:lang w:val="en-US"/>
          <w14:textFill>
            <w14:solidFill>
              <w14:schemeClr w14:val="tx1"/>
            </w14:solidFill>
          </w14:textFill>
        </w:rPr>
        <w:t>草原</w:t>
      </w:r>
      <w:r>
        <w:rPr>
          <w:rFonts w:hint="eastAsia" w:ascii="Times New Roman" w:hAnsi="Times New Roman" w:cs="Times New Roman"/>
          <w:bCs/>
          <w:color w:val="000000" w:themeColor="text1"/>
          <w:w w:val="99"/>
          <w:sz w:val="24"/>
          <w:szCs w:val="24"/>
          <w:highlight w:val="none"/>
          <w:lang w:val="en-US"/>
          <w14:textFill>
            <w14:solidFill>
              <w14:schemeClr w14:val="tx1"/>
            </w14:solidFill>
          </w14:textFill>
        </w:rPr>
        <w:t>）。</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根据《建设项目环境影响评价分类管理名录》（2021年版），</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本项目位于</w:t>
      </w:r>
      <w:r>
        <w:rPr>
          <w:rFonts w:hint="eastAsia" w:ascii="Times New Roman" w:hAnsi="Times New Roman" w:cs="Times New Roman"/>
          <w:color w:val="000000" w:themeColor="text1"/>
          <w:w w:val="99"/>
          <w:sz w:val="24"/>
          <w:szCs w:val="24"/>
          <w:highlight w:val="none"/>
          <w:lang w:val="en"/>
          <w14:textFill>
            <w14:solidFill>
              <w14:schemeClr w14:val="tx1"/>
            </w14:solidFill>
          </w14:textFill>
        </w:rPr>
        <w:t>大庆市大同区</w:t>
      </w:r>
      <w:r>
        <w:rPr>
          <w:rFonts w:hint="eastAsia" w:ascii="Times New Roman" w:hAnsi="Times New Roman" w:cs="Times New Roman"/>
          <w:color w:val="000000" w:themeColor="text1"/>
          <w:w w:val="99"/>
          <w:sz w:val="24"/>
          <w:szCs w:val="24"/>
          <w:highlight w:val="none"/>
          <w:lang w:val="en" w:eastAsia="zh-CN"/>
          <w14:textFill>
            <w14:solidFill>
              <w14:schemeClr w14:val="tx1"/>
            </w14:solidFill>
          </w14:textFill>
        </w:rPr>
        <w:t>八井子乡</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境内</w:t>
      </w:r>
      <w:r>
        <w:rPr>
          <w:rFonts w:hint="eastAsia" w:ascii="Times New Roman" w:hAnsi="Times New Roman" w:cs="Times New Roman"/>
          <w:color w:val="000000" w:themeColor="text1"/>
          <w:w w:val="99"/>
          <w:sz w:val="24"/>
          <w:szCs w:val="24"/>
          <w:highlight w:val="none"/>
          <w:lang w:val="en"/>
          <w14:textFill>
            <w14:solidFill>
              <w14:schemeClr w14:val="tx1"/>
            </w14:solidFill>
          </w14:textFill>
        </w:rPr>
        <w:t>，</w:t>
      </w:r>
      <w:r>
        <w:rPr>
          <w:rFonts w:ascii="Times New Roman" w:hAnsi="Times New Roman" w:cs="Times New Roman"/>
          <w:color w:val="000000" w:themeColor="text1"/>
          <w:w w:val="99"/>
          <w:sz w:val="24"/>
          <w:szCs w:val="24"/>
          <w:highlight w:val="none"/>
          <w:lang w:val="en"/>
          <w14:textFill>
            <w14:solidFill>
              <w14:schemeClr w14:val="tx1"/>
            </w14:solidFill>
          </w14:textFill>
        </w:rPr>
        <w:t>八井子乡</w:t>
      </w:r>
      <w:r>
        <w:rPr>
          <w:rFonts w:hint="eastAsia" w:ascii="Times New Roman" w:hAnsi="Times New Roman" w:cs="Times New Roman"/>
          <w:color w:val="000000" w:themeColor="text1"/>
          <w:w w:val="99"/>
          <w:sz w:val="24"/>
          <w:szCs w:val="24"/>
          <w:highlight w:val="none"/>
          <w:lang w:val="en"/>
          <w14:textFill>
            <w14:solidFill>
              <w14:schemeClr w14:val="tx1"/>
            </w14:solidFill>
          </w14:textFill>
        </w:rPr>
        <w:t>属于水土流失重点治理区，</w:t>
      </w:r>
      <w:r>
        <w:rPr>
          <w:rFonts w:ascii="Times New Roman" w:hAnsi="Times New Roman" w:cs="Times New Roman"/>
          <w:color w:val="000000" w:themeColor="text1"/>
          <w:w w:val="99"/>
          <w:sz w:val="24"/>
          <w:szCs w:val="24"/>
          <w:highlight w:val="none"/>
          <w:lang w:val="en"/>
          <w14:textFill>
            <w14:solidFill>
              <w14:schemeClr w14:val="tx1"/>
            </w14:solidFill>
          </w14:textFill>
        </w:rPr>
        <w:t>且</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葡71-72井</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距离钱家</w:t>
      </w:r>
      <w:r>
        <w:rPr>
          <w:rFonts w:ascii="Times New Roman" w:hAnsi="Times New Roman" w:cs="Times New Roman"/>
          <w:color w:val="000000" w:themeColor="text1"/>
          <w:w w:val="99"/>
          <w:sz w:val="24"/>
          <w:szCs w:val="24"/>
          <w:highlight w:val="none"/>
          <w:lang w:val="en-US"/>
          <w14:textFill>
            <w14:solidFill>
              <w14:schemeClr w14:val="tx1"/>
            </w14:solidFill>
          </w14:textFill>
        </w:rPr>
        <w:t>屯</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50</w:t>
      </w:r>
      <w:r>
        <w:rPr>
          <w:rFonts w:ascii="Times New Roman" w:hAnsi="Times New Roman" w:cs="Times New Roman"/>
          <w:color w:val="000000" w:themeColor="text1"/>
          <w:w w:val="99"/>
          <w:sz w:val="24"/>
          <w:szCs w:val="24"/>
          <w:highlight w:val="none"/>
          <w:lang w:val="en-US"/>
          <w14:textFill>
            <w14:solidFill>
              <w14:schemeClr w14:val="tx1"/>
            </w14:solidFill>
          </w14:textFill>
        </w:rPr>
        <w:t>m，</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距离村屯环境</w:t>
      </w:r>
      <w:r>
        <w:rPr>
          <w:rFonts w:ascii="Times New Roman" w:hAnsi="Times New Roman" w:cs="Times New Roman"/>
          <w:color w:val="000000" w:themeColor="text1"/>
          <w:w w:val="99"/>
          <w:sz w:val="24"/>
          <w:szCs w:val="24"/>
          <w:highlight w:val="none"/>
          <w:lang w:val="en-US"/>
          <w14:textFill>
            <w14:solidFill>
              <w14:schemeClr w14:val="tx1"/>
            </w14:solidFill>
          </w14:textFill>
        </w:rPr>
        <w:t>敏感区</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较近，评价范围内不涉及自然保护区、风景名胜区、文物古迹、基本农田保护区</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饮用水水源保护区等其他</w:t>
      </w:r>
      <w:r>
        <w:rPr>
          <w:rFonts w:ascii="Times New Roman" w:hAnsi="Times New Roman" w:cs="Times New Roman"/>
          <w:color w:val="000000" w:themeColor="text1"/>
          <w:w w:val="99"/>
          <w:sz w:val="24"/>
          <w:szCs w:val="24"/>
          <w:highlight w:val="none"/>
          <w:lang w:val="en-US"/>
          <w14:textFill>
            <w14:solidFill>
              <w14:schemeClr w14:val="tx1"/>
            </w14:solidFill>
          </w14:textFill>
        </w:rPr>
        <w:t>环境敏感区</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，且不在生态红线范围内。所以判定本</w:t>
      </w:r>
      <w:r>
        <w:rPr>
          <w:rFonts w:ascii="Times New Roman" w:hAnsi="Times New Roman" w:cs="Times New Roman"/>
          <w:color w:val="000000" w:themeColor="text1"/>
          <w:w w:val="99"/>
          <w:sz w:val="24"/>
          <w:szCs w:val="24"/>
          <w:highlight w:val="none"/>
          <w14:textFill>
            <w14:solidFill>
              <w14:schemeClr w14:val="tx1"/>
            </w14:solidFill>
          </w14:textFill>
        </w:rPr>
        <w:t>项目为“五、石油和天然气开采业-07、陆地石油开采0711”中“涉及环境敏感区的（含内部集输管线建设）”，应编制环境影响评价报告书。</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根据2017年7月16日《国务院关于修改〈建设项目环境保护管理条例〉的决定》（中华人民共和国国务院令第682号）、《中华人民共和国环境影响评价法》、《建设项目环境影响评价分类管理名录》（</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2021年版</w:t>
      </w:r>
      <w:r>
        <w:rPr>
          <w:rFonts w:ascii="Times New Roman" w:hAnsi="Times New Roman" w:cs="Times New Roman"/>
          <w:color w:val="000000" w:themeColor="text1"/>
          <w:w w:val="99"/>
          <w:sz w:val="24"/>
          <w:szCs w:val="24"/>
          <w:highlight w:val="none"/>
          <w14:textFill>
            <w14:solidFill>
              <w14:schemeClr w14:val="tx1"/>
            </w14:solidFill>
          </w14:textFill>
        </w:rPr>
        <w:t>）及《关于进一步加强石油天然气行业环境影响评价管理的通知》（环办环评函[2019]910号）等法律法规，为保证建设项目与环境保护协调发展，从环境保护角度评价建设项目的可行性，</w:t>
      </w:r>
      <w:r>
        <w:rPr>
          <w:rFonts w:ascii="Times New Roman" w:hAnsi="Times New Roman" w:cs="Times New Roman"/>
          <w:color w:val="000000" w:themeColor="text1"/>
          <w:w w:val="99"/>
          <w:sz w:val="24"/>
          <w:szCs w:val="24"/>
          <w:highlight w:val="none"/>
          <w:lang w:val="en-US"/>
          <w14:textFill>
            <w14:solidFill>
              <w14:schemeClr w14:val="tx1"/>
            </w14:solidFill>
          </w14:textFill>
        </w:rPr>
        <w:t>大庆油田有限责任公司第七采油厂</w:t>
      </w:r>
      <w:r>
        <w:rPr>
          <w:rFonts w:ascii="Times New Roman" w:hAnsi="Times New Roman" w:cs="Times New Roman"/>
          <w:color w:val="000000" w:themeColor="text1"/>
          <w:w w:val="99"/>
          <w:sz w:val="24"/>
          <w:szCs w:val="24"/>
          <w:highlight w:val="none"/>
          <w14:textFill>
            <w14:solidFill>
              <w14:schemeClr w14:val="tx1"/>
            </w14:solidFill>
          </w14:textFill>
        </w:rPr>
        <w:t>委托</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河北奇正环境科技有限公司</w:t>
      </w:r>
      <w:r>
        <w:rPr>
          <w:rFonts w:ascii="Times New Roman" w:hAnsi="Times New Roman" w:cs="Times New Roman"/>
          <w:color w:val="000000" w:themeColor="text1"/>
          <w:w w:val="99"/>
          <w:sz w:val="24"/>
          <w:szCs w:val="24"/>
          <w:highlight w:val="none"/>
          <w14:textFill>
            <w14:solidFill>
              <w14:schemeClr w14:val="tx1"/>
            </w14:solidFill>
          </w14:textFill>
        </w:rPr>
        <w:t>编制环境影响报告书。</w:t>
      </w:r>
    </w:p>
    <w:p>
      <w:pPr>
        <w:pStyle w:val="5"/>
        <w:keepNext w:val="0"/>
        <w:keepLines w:val="0"/>
        <w:pageBreakBefore w:val="0"/>
        <w:widowControl w:val="0"/>
        <w:tabs>
          <w:tab w:val="left" w:pos="751"/>
        </w:tabs>
        <w:kinsoku/>
        <w:wordWrap/>
        <w:overflowPunct/>
        <w:topLinePunct w:val="0"/>
        <w:autoSpaceDE w:val="0"/>
        <w:autoSpaceDN w:val="0"/>
        <w:bidi w:val="0"/>
        <w:adjustRightInd/>
        <w:snapToGrid/>
        <w:spacing w:before="120" w:after="120" w:line="440" w:lineRule="exact"/>
        <w:ind w:left="0" w:firstLine="0"/>
        <w:jc w:val="both"/>
        <w:textAlignment w:val="auto"/>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pPr>
      <w:bookmarkStart w:id="7" w:name="_bookmark3"/>
      <w:bookmarkEnd w:id="7"/>
      <w:bookmarkStart w:id="8" w:name="_Toc24294"/>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1.3 环境影响评价的工作过程</w:t>
      </w:r>
      <w:bookmarkEnd w:id="8"/>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我单位在接受委托后，按照《建设项目环境影响评价技术导则总纲》（HJ2.1-2016）、《环境影响评价技术导则 陆地石油天然气开发建设项目》（HJ/T349-2007）等国家有关环境影响评价规范、技术导则及环境保护管理部门的要求，依次完成以下环境影响评价工作：</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第一阶段：首先，依据《建设项目环境影响评价分类管理名录》（2021年版）规定，确定</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采油七厂葡北油田三断块葡72-70井区深部调驱产能建设地面工程</w:t>
      </w:r>
      <w:r>
        <w:rPr>
          <w:rFonts w:ascii="Times New Roman" w:hAnsi="Times New Roman" w:cs="Times New Roman"/>
          <w:color w:val="000000" w:themeColor="text1"/>
          <w:w w:val="99"/>
          <w:sz w:val="24"/>
          <w:szCs w:val="24"/>
          <w:highlight w:val="none"/>
          <w:lang w:val="en-US"/>
          <w14:textFill>
            <w14:solidFill>
              <w14:schemeClr w14:val="tx1"/>
            </w14:solidFill>
          </w14:textFill>
        </w:rPr>
        <w:t>环境影响评价技术文件类型为环境影响报告书。</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其次，在仔细研究项目开发方案、采油工程方案及地面工程建设方案的基础上，进行了初步工程分析，并对项目所在区域进行实地踏勘和调研，了解项目周围情况。在此基础上，完成环境影响因素识别、评价因子筛选、评价重点和主要环境保护目标确定等工作。通过对项目概况及周围环境敏感性分析确定：确定本项目大气环境影响评价工作等级为二级；声环境影响评价工作等级确定为二级；地下水环境影响评价工作等级为二级；生态环境影响评价工作等级为三级；土壤环境影响评价工作等级为一级</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；地表水环境影响评价工作等级为三级B</w:t>
      </w:r>
      <w:r>
        <w:rPr>
          <w:rFonts w:ascii="Times New Roman" w:hAnsi="Times New Roman" w:cs="Times New Roman"/>
          <w:color w:val="000000" w:themeColor="text1"/>
          <w:w w:val="99"/>
          <w:sz w:val="24"/>
          <w:szCs w:val="24"/>
          <w:highlight w:val="none"/>
          <w:lang w:val="en-US"/>
          <w14:textFill>
            <w14:solidFill>
              <w14:schemeClr w14:val="tx1"/>
            </w14:solidFill>
          </w14:textFill>
        </w:rPr>
        <w:t>。并以此确定评价范围和评价标准，制定了工作方案。</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第二阶段：根据工作方案，针对各环境要素的评价工作等级，调查了评价范围内的环境状况，制定了监测方案。并进行了详细的项目工程分析，在环境质量现状监测与评价的基础上，进行各环境要素的环境影响预测和评价，编制完成各专题环境影响分析与评价章节。</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第三阶段：通过工程分析、环境影响分析的结果，确定项目所采取的环保措施，并对其技术、经济可行性进行论证，进一步完善环保措施，给出污染物排放清单，完成报告的编制。</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具体环境影响评价工作程序见下图。</w:t>
      </w:r>
    </w:p>
    <w:p>
      <w:pPr>
        <w:pStyle w:val="14"/>
        <w:jc w:val="center"/>
        <w:rPr>
          <w:rFonts w:ascii="Times New Roman" w:hAnsi="Times New Roman" w:cs="Times New Roman"/>
          <w:color w:val="000000" w:themeColor="text1"/>
          <w:w w:val="99"/>
          <w:highlight w:val="none"/>
          <w14:textFill>
            <w14:solidFill>
              <w14:schemeClr w14:val="tx1"/>
            </w14:solidFill>
          </w14:textFill>
        </w:rPr>
      </w:pPr>
      <w:r>
        <w:rPr>
          <w:rFonts w:ascii="Times New Roman" w:hAnsi="Times New Roman" w:cs="Times New Roman"/>
          <w:color w:val="000000" w:themeColor="text1"/>
          <w:w w:val="99"/>
          <w:highlight w:val="none"/>
          <w:lang w:val="en-US" w:bidi="ar-SA"/>
          <w14:textFill>
            <w14:solidFill>
              <w14:schemeClr w14:val="tx1"/>
            </w14:solidFill>
          </w14:textFill>
        </w:rPr>
        <w:drawing>
          <wp:inline distT="0" distB="0" distL="0" distR="0">
            <wp:extent cx="5420995" cy="519366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 cstate="print"/>
                    <a:stretch>
                      <a:fillRect/>
                    </a:stretch>
                  </pic:blipFill>
                  <pic:spPr>
                    <a:xfrm>
                      <a:off x="0" y="0"/>
                      <a:ext cx="5421490" cy="5193792"/>
                    </a:xfrm>
                    <a:prstGeom prst="rect">
                      <a:avLst/>
                    </a:prstGeom>
                  </pic:spPr>
                </pic:pic>
              </a:graphicData>
            </a:graphic>
          </wp:inline>
        </w:drawing>
      </w:r>
    </w:p>
    <w:p>
      <w:pPr>
        <w:pStyle w:val="14"/>
        <w:spacing w:line="440" w:lineRule="exact"/>
        <w:ind w:firstLine="476" w:firstLineChars="200"/>
        <w:jc w:val="center"/>
        <w:rPr>
          <w:rFonts w:ascii="Times New Roman" w:hAnsi="Times New Roman" w:cs="Times New Roman"/>
          <w:color w:val="000000" w:themeColor="text1"/>
          <w:w w:val="99"/>
          <w:highlight w:val="none"/>
          <w14:textFill>
            <w14:solidFill>
              <w14:schemeClr w14:val="tx1"/>
            </w14:solidFill>
          </w14:textFill>
        </w:rPr>
      </w:pPr>
      <w:bookmarkStart w:id="9" w:name="_bookmark4"/>
      <w:bookmarkEnd w:id="9"/>
      <w:r>
        <w:rPr>
          <w:rFonts w:ascii="Times New Roman" w:hAnsi="Times New Roman" w:cs="Times New Roman"/>
          <w:b/>
          <w:bCs/>
          <w:color w:val="000000" w:themeColor="text1"/>
          <w:w w:val="99"/>
          <w:sz w:val="24"/>
          <w:highlight w:val="none"/>
          <w14:textFill>
            <w14:solidFill>
              <w14:schemeClr w14:val="tx1"/>
            </w14:solidFill>
          </w14:textFill>
        </w:rPr>
        <w:t>图1.</w:t>
      </w:r>
      <w:r>
        <w:rPr>
          <w:rFonts w:hint="eastAsia" w:ascii="Times New Roman" w:hAnsi="Times New Roman" w:cs="Times New Roman"/>
          <w:b/>
          <w:bCs/>
          <w:color w:val="000000" w:themeColor="text1"/>
          <w:w w:val="99"/>
          <w:sz w:val="24"/>
          <w:highlight w:val="none"/>
          <w:lang w:val="en-US" w:eastAsia="zh-CN"/>
          <w14:textFill>
            <w14:solidFill>
              <w14:schemeClr w14:val="tx1"/>
            </w14:solidFill>
          </w14:textFill>
        </w:rPr>
        <w:t>3</w:t>
      </w:r>
      <w:r>
        <w:rPr>
          <w:rFonts w:ascii="Times New Roman" w:hAnsi="Times New Roman" w:cs="Times New Roman"/>
          <w:b/>
          <w:bCs/>
          <w:color w:val="000000" w:themeColor="text1"/>
          <w:w w:val="99"/>
          <w:sz w:val="24"/>
          <w:highlight w:val="none"/>
          <w14:textFill>
            <w14:solidFill>
              <w14:schemeClr w14:val="tx1"/>
            </w14:solidFill>
          </w14:textFill>
        </w:rPr>
        <w:t>-1</w:t>
      </w:r>
      <w:r>
        <w:rPr>
          <w:rFonts w:hint="eastAsia" w:ascii="Times New Roman" w:hAnsi="Times New Roman" w:cs="Times New Roman"/>
          <w:b/>
          <w:bCs/>
          <w:color w:val="000000" w:themeColor="text1"/>
          <w:w w:val="99"/>
          <w:sz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highlight w:val="none"/>
          <w14:textFill>
            <w14:solidFill>
              <w14:schemeClr w14:val="tx1"/>
            </w14:solidFill>
          </w14:textFill>
        </w:rPr>
        <w:t xml:space="preserve">    建设项目环境影响评价工作程序图</w:t>
      </w:r>
    </w:p>
    <w:p>
      <w:pPr>
        <w:pStyle w:val="14"/>
        <w:keepNext w:val="0"/>
        <w:keepLines w:val="0"/>
        <w:pageBreakBefore w:val="0"/>
        <w:widowControl w:val="0"/>
        <w:kinsoku/>
        <w:wordWrap/>
        <w:overflowPunct/>
        <w:topLinePunct w:val="0"/>
        <w:autoSpaceDE w:val="0"/>
        <w:autoSpaceDN w:val="0"/>
        <w:bidi w:val="0"/>
        <w:adjustRightInd/>
        <w:snapToGrid/>
        <w:spacing w:before="0" w:after="0" w:line="440" w:lineRule="exact"/>
        <w:ind w:left="0" w:right="0" w:firstLine="474" w:firstLineChars="200"/>
        <w:jc w:val="both"/>
        <w:textAlignment w:val="auto"/>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在本项目环境影响报告书编制过程及初稿完成后，建设单位依据《中华人民共和国环境影响评价法》、《环境影响评价公众参与办法》及建设项目环境影响评价的相关规定开展项目的公众参与工作并单独出具公众参与</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说明</w:t>
      </w:r>
      <w:r>
        <w:rPr>
          <w:rFonts w:ascii="Times New Roman" w:hAnsi="Times New Roman" w:cs="Times New Roman"/>
          <w:color w:val="000000" w:themeColor="text1"/>
          <w:w w:val="99"/>
          <w:sz w:val="24"/>
          <w:szCs w:val="24"/>
          <w:highlight w:val="none"/>
          <w:lang w:val="en-US"/>
          <w14:textFill>
            <w14:solidFill>
              <w14:schemeClr w14:val="tx1"/>
            </w14:solidFill>
          </w14:textFill>
        </w:rPr>
        <w:t>。公众参与工作采用网络公示、报纸公示以及张贴公告等相结合的方式进行。</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首次环 境 影 响 评 价 公 众 参 与 相 关 信 息 通 过黑龙江环保技术网 网 站 （ 网 址 为http://www.hljhbjsfw.cn/NewsDetail.aspx?ID=427）公开，时间为 20</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21</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 xml:space="preserve"> 年</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8</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 xml:space="preserve"> 月</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25</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 xml:space="preserve"> 日，征求意见稿公示日期为202</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1</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 xml:space="preserve"> 年</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10</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月</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29</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 xml:space="preserve">日（ 网址为http://www.hljhbjsfw.cn/NewsDetail.aspx?id=436）；报纸第一次公告日期为 2021年 </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11</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月</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1</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 xml:space="preserve"> 日（大庆油田日报），报纸第二次公告日期为 2021 年</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11</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月</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4</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 xml:space="preserve"> 日（大庆油田日报）；现场公示日期为 2021 年</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11</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 xml:space="preserve"> 月 </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2</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 xml:space="preserve"> 日，公示地点为附近村屯（</w:t>
      </w:r>
      <w:r>
        <w:rPr>
          <w:rFonts w:hint="eastAsia"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钱家屯、八井子村</w:t>
      </w:r>
      <w:r>
        <w:rPr>
          <w:rFonts w:hint="default" w:ascii="Times New Roman" w:hAnsi="Times New Roman" w:cs="Times New Roman"/>
          <w:color w:val="000000" w:themeColor="text1"/>
          <w:spacing w:val="0"/>
          <w:w w:val="99"/>
          <w:kern w:val="2"/>
          <w:position w:val="0"/>
          <w:sz w:val="24"/>
          <w:szCs w:val="24"/>
          <w:highlight w:val="none"/>
          <w:lang w:val="en-US" w:eastAsia="zh-CN" w:bidi="ar-SA"/>
          <w14:textFill>
            <w14:solidFill>
              <w14:schemeClr w14:val="tx1"/>
            </w14:solidFill>
          </w14:textFill>
        </w:rPr>
        <w:t>等）</w:t>
      </w:r>
      <w:r>
        <w:rPr>
          <w:rFonts w:ascii="Times New Roman" w:hAnsi="Times New Roman" w:cs="Times New Roman"/>
          <w:color w:val="000000" w:themeColor="text1"/>
          <w:w w:val="99"/>
          <w:sz w:val="24"/>
          <w:szCs w:val="24"/>
          <w:highlight w:val="none"/>
          <w:lang w:val="en-US"/>
          <w14:textFill>
            <w14:solidFill>
              <w14:schemeClr w14:val="tx1"/>
            </w14:solidFill>
          </w14:textFill>
        </w:rPr>
        <w:t>；在公示期间建设单位及环评单位未收到相关反馈，建设单位承诺将加强企业环境管理，主动公开环保信息，接受公众监督</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w:t>
      </w:r>
    </w:p>
    <w:p>
      <w:pPr>
        <w:pStyle w:val="5"/>
        <w:keepNext w:val="0"/>
        <w:keepLines w:val="0"/>
        <w:pageBreakBefore w:val="0"/>
        <w:widowControl w:val="0"/>
        <w:tabs>
          <w:tab w:val="left" w:pos="751"/>
        </w:tabs>
        <w:kinsoku/>
        <w:wordWrap/>
        <w:overflowPunct/>
        <w:topLinePunct w:val="0"/>
        <w:autoSpaceDE w:val="0"/>
        <w:autoSpaceDN w:val="0"/>
        <w:bidi w:val="0"/>
        <w:adjustRightInd/>
        <w:snapToGrid/>
        <w:spacing w:before="120" w:after="120" w:line="440" w:lineRule="exact"/>
        <w:ind w:left="0" w:firstLine="0"/>
        <w:jc w:val="both"/>
        <w:textAlignment w:val="auto"/>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pPr>
      <w:bookmarkStart w:id="10" w:name="_Toc31525"/>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1.</w:t>
      </w:r>
      <w:r>
        <w:rPr>
          <w:rFonts w:hint="eastAsia" w:ascii="Times New Roman" w:hAnsi="Times New Roman" w:eastAsia="宋体" w:cs="Times New Roman"/>
          <w:b/>
          <w:bCs/>
          <w:color w:val="000000" w:themeColor="text1"/>
          <w:w w:val="99"/>
          <w:sz w:val="28"/>
          <w:szCs w:val="28"/>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分析判定相关情况</w:t>
      </w:r>
      <w:bookmarkEnd w:id="10"/>
    </w:p>
    <w:p>
      <w:pPr>
        <w:pStyle w:val="45"/>
        <w:keepNext w:val="0"/>
        <w:keepLines w:val="0"/>
        <w:pageBreakBefore w:val="0"/>
        <w:widowControl w:val="0"/>
        <w:tabs>
          <w:tab w:val="left" w:pos="930"/>
        </w:tabs>
        <w:kinsoku/>
        <w:wordWrap/>
        <w:overflowPunct/>
        <w:topLinePunct w:val="0"/>
        <w:autoSpaceDE w:val="0"/>
        <w:autoSpaceDN w:val="0"/>
        <w:bidi w:val="0"/>
        <w:adjustRightInd/>
        <w:snapToGrid/>
        <w:spacing w:before="60" w:after="60" w:line="440" w:lineRule="exact"/>
        <w:ind w:left="0" w:firstLine="0"/>
        <w:jc w:val="both"/>
        <w:textAlignment w:val="auto"/>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1.</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.1 产业政策符合性分析</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textAlignment w:val="auto"/>
        <w:rPr>
          <w:rFonts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pPr>
      <w:bookmarkStart w:id="11" w:name="_Hlk69493338"/>
      <w:r>
        <w:rPr>
          <w:rFonts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本项目为</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陆地</w:t>
      </w:r>
      <w:r>
        <w:rPr>
          <w:rFonts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石油开采项目，</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参照</w:t>
      </w:r>
      <w:r>
        <w:rPr>
          <w:rFonts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国民经济</w:t>
      </w:r>
      <w:r>
        <w:rPr>
          <w:rFonts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行业分类》</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（G</w:t>
      </w:r>
      <w:r>
        <w:rPr>
          <w:rFonts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B/T4754-2017</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），行业类别</w:t>
      </w:r>
      <w:r>
        <w:rPr>
          <w:rFonts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代码为</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B0711-陆地石油</w:t>
      </w:r>
      <w:r>
        <w:rPr>
          <w:rFonts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开采。根据《产业结构调整指导目录（2019年本）》，本项目属于鼓励类“七、石油、天然气”中“1、常规石油、天然气勘探与开采”，因此，该项目建设符合国家的产业政策</w:t>
      </w:r>
      <w:bookmarkEnd w:id="11"/>
      <w:r>
        <w:rPr>
          <w:rFonts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w:t>
      </w:r>
    </w:p>
    <w:p>
      <w:pPr>
        <w:pStyle w:val="45"/>
        <w:keepNext w:val="0"/>
        <w:keepLines w:val="0"/>
        <w:pageBreakBefore w:val="0"/>
        <w:widowControl w:val="0"/>
        <w:tabs>
          <w:tab w:val="left" w:pos="930"/>
        </w:tabs>
        <w:kinsoku/>
        <w:wordWrap/>
        <w:overflowPunct/>
        <w:topLinePunct w:val="0"/>
        <w:autoSpaceDE w:val="0"/>
        <w:autoSpaceDN w:val="0"/>
        <w:bidi w:val="0"/>
        <w:adjustRightInd/>
        <w:snapToGrid/>
        <w:spacing w:before="60" w:after="60" w:line="440" w:lineRule="exact"/>
        <w:ind w:left="0" w:firstLine="0"/>
        <w:jc w:val="both"/>
        <w:textAlignment w:val="auto"/>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1.</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.2 相关规划符合性分析</w:t>
      </w:r>
    </w:p>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w:t>
      </w: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.2.1 主体功能区划符合性分析</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eastAsia"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本工程位于黑龙江省大庆市</w:t>
      </w:r>
      <w:r>
        <w:rPr>
          <w:rFonts w:hint="eastAsia" w:ascii="Times New Roman" w:hAnsi="Times New Roman" w:cs="Times New Roman"/>
          <w:color w:val="000000" w:themeColor="text1"/>
          <w:w w:val="99"/>
          <w:sz w:val="24"/>
          <w:szCs w:val="24"/>
          <w:highlight w:val="none"/>
          <w14:textFill>
            <w14:solidFill>
              <w14:schemeClr w14:val="tx1"/>
            </w14:solidFill>
          </w14:textFill>
        </w:rPr>
        <w:t>大同区</w:t>
      </w:r>
      <w:r>
        <w:rPr>
          <w:rFonts w:ascii="Times New Roman" w:hAnsi="Times New Roman" w:cs="Times New Roman"/>
          <w:color w:val="000000" w:themeColor="text1"/>
          <w:w w:val="99"/>
          <w:sz w:val="24"/>
          <w:szCs w:val="24"/>
          <w:highlight w:val="none"/>
          <w14:textFill>
            <w14:solidFill>
              <w14:schemeClr w14:val="tx1"/>
            </w14:solidFill>
          </w14:textFill>
        </w:rPr>
        <w:t>八井子</w:t>
      </w:r>
      <w:r>
        <w:rPr>
          <w:rFonts w:hint="eastAsia" w:ascii="Times New Roman" w:hAnsi="Times New Roman" w:cs="Times New Roman"/>
          <w:color w:val="000000" w:themeColor="text1"/>
          <w:w w:val="99"/>
          <w:sz w:val="24"/>
          <w:szCs w:val="24"/>
          <w:highlight w:val="none"/>
          <w14:textFill>
            <w14:solidFill>
              <w14:schemeClr w14:val="tx1"/>
            </w14:solidFill>
          </w14:textFill>
        </w:rPr>
        <w:t>乡，</w:t>
      </w:r>
      <w:r>
        <w:rPr>
          <w:rFonts w:ascii="Times New Roman" w:hAnsi="Times New Roman" w:cs="Times New Roman"/>
          <w:color w:val="000000" w:themeColor="text1"/>
          <w:w w:val="99"/>
          <w:sz w:val="24"/>
          <w:szCs w:val="24"/>
          <w:highlight w:val="none"/>
          <w:lang w:val="en-US"/>
          <w14:textFill>
            <w14:solidFill>
              <w14:schemeClr w14:val="tx1"/>
            </w14:solidFill>
          </w14:textFill>
        </w:rPr>
        <w:t>根据《黑龙江省主体功能区规划》</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，大同区功能定位为国家级重点开发区，属于重点开发区域。</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根据</w:t>
      </w:r>
      <w:r>
        <w:rPr>
          <w:rFonts w:ascii="Times New Roman" w:hAnsi="Times New Roman" w:cs="Times New Roman"/>
          <w:color w:val="000000" w:themeColor="text1"/>
          <w:w w:val="99"/>
          <w:sz w:val="24"/>
          <w:szCs w:val="24"/>
          <w:highlight w:val="none"/>
          <w:lang w:val="en-US"/>
          <w14:textFill>
            <w14:solidFill>
              <w14:schemeClr w14:val="tx1"/>
            </w14:solidFill>
          </w14:textFill>
        </w:rPr>
        <w:t>《黑龙江省主体功能区规划》</w:t>
      </w:r>
      <w:bookmarkStart w:id="12" w:name="_Toc321823622"/>
      <w:bookmarkStart w:id="13" w:name="_Toc273096878"/>
      <w:r>
        <w:rPr>
          <w:rFonts w:ascii="Times New Roman" w:hAnsi="Times New Roman" w:cs="Times New Roman"/>
          <w:color w:val="000000" w:themeColor="text1"/>
          <w:w w:val="99"/>
          <w:sz w:val="24"/>
          <w:szCs w:val="24"/>
          <w:highlight w:val="none"/>
          <w:lang w:val="en-US"/>
          <w14:textFill>
            <w14:solidFill>
              <w14:schemeClr w14:val="tx1"/>
            </w14:solidFill>
          </w14:textFill>
        </w:rPr>
        <w:t>第八章第二节能源开发利用</w:t>
      </w:r>
      <w:bookmarkEnd w:id="12"/>
      <w:bookmarkEnd w:id="13"/>
      <w:r>
        <w:rPr>
          <w:rFonts w:ascii="Times New Roman" w:hAnsi="Times New Roman" w:cs="Times New Roman"/>
          <w:color w:val="000000" w:themeColor="text1"/>
          <w:w w:val="99"/>
          <w:sz w:val="24"/>
          <w:szCs w:val="24"/>
          <w:highlight w:val="none"/>
          <w:lang w:val="en-US"/>
          <w14:textFill>
            <w14:solidFill>
              <w14:schemeClr w14:val="tx1"/>
            </w14:solidFill>
          </w14:textFill>
        </w:rPr>
        <w:t>中明确：“在大庆及周边地区，加大石油勘探开发力度，实施老油田二次开发工程和三次采油工程，稳定石油产量”。</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第八章第三节主要矿产资源开发利用中指出，鼓励开采石油、天然气、煤层气、地热、油页岩等矿产资源。第九章第八节环境政策，重点开发区要结合环境容量，实行严格的污染物排放总量控制指标，较大幅度减少污染物排放量。</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根据《黑龙江省主体功能区规划》第九章保障措施中第八节环境政策：限制开发区要通过治理、限制或关闭污染物排放企业等手段，实现污染物排放总量持续下降，完成污染物减排目标，实现环境质量状况达标；加大水资源保护力度，适度开发利用水资源，实行全面节水，满足基本的生态用水需求。第八章能源与资源中提出：“位于限制开发区域的重点生态功能区的能源和矿产资源，在进行点状开发时，必须进行生态环境影响评估。尽可能减少对生态空间的占用，并同步修复生态环境” 。</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本工程属于改扩建项目，为调驱驱油工程，未增加新井或采油设备，</w:t>
      </w:r>
      <w:r>
        <w:rPr>
          <w:rFonts w:ascii="Times New Roman" w:hAnsi="Times New Roman" w:cs="Times New Roman"/>
          <w:color w:val="000000" w:themeColor="text1"/>
          <w:w w:val="99"/>
          <w:sz w:val="24"/>
          <w:szCs w:val="24"/>
          <w:highlight w:val="none"/>
          <w:lang w:val="en-US"/>
          <w14:textFill>
            <w14:solidFill>
              <w14:schemeClr w14:val="tx1"/>
            </w14:solidFill>
          </w14:textFill>
        </w:rPr>
        <w:t>调驱采出井集输与水驱采出井集输方式一致，</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油井产液未增加，各依托集输场站未</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新增</w:t>
      </w:r>
      <w:r>
        <w:rPr>
          <w:rFonts w:ascii="Times New Roman" w:hAnsi="Times New Roman" w:cs="Times New Roman"/>
          <w:color w:val="000000" w:themeColor="text1"/>
          <w:w w:val="99"/>
          <w:sz w:val="24"/>
          <w:szCs w:val="24"/>
          <w:highlight w:val="none"/>
          <w:lang w:val="en-US"/>
          <w14:textFill>
            <w14:solidFill>
              <w14:schemeClr w14:val="tx1"/>
            </w14:solidFill>
          </w14:textFill>
        </w:rPr>
        <w:t>负荷</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color w:val="000000" w:themeColor="text1"/>
          <w:w w:val="99"/>
          <w:sz w:val="24"/>
          <w:szCs w:val="24"/>
          <w:highlight w:val="none"/>
          <w:lang w:val="en-US"/>
          <w14:textFill>
            <w14:solidFill>
              <w14:schemeClr w14:val="tx1"/>
            </w14:solidFill>
          </w14:textFill>
        </w:rPr>
        <w:t>，污染物</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总量控制指标</w:t>
      </w:r>
      <w:r>
        <w:rPr>
          <w:rFonts w:ascii="Times New Roman" w:hAnsi="Times New Roman" w:cs="Times New Roman"/>
          <w:color w:val="000000" w:themeColor="text1"/>
          <w:w w:val="99"/>
          <w:sz w:val="24"/>
          <w:szCs w:val="24"/>
          <w:highlight w:val="none"/>
          <w:lang w:val="en-US"/>
          <w14:textFill>
            <w14:solidFill>
              <w14:schemeClr w14:val="tx1"/>
            </w14:solidFill>
          </w14:textFill>
        </w:rPr>
        <w:t>不增加</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。运行期产生的废气主要为井场</w:t>
      </w:r>
      <w:r>
        <w:rPr>
          <w:rFonts w:ascii="Times New Roman" w:hAnsi="Times New Roman" w:cs="Times New Roman"/>
          <w:color w:val="000000" w:themeColor="text1"/>
          <w:w w:val="99"/>
          <w:sz w:val="24"/>
          <w:szCs w:val="24"/>
          <w:highlight w:val="none"/>
          <w:lang w:val="en-US"/>
          <w14:textFill>
            <w14:solidFill>
              <w14:schemeClr w14:val="tx1"/>
            </w14:solidFill>
          </w14:textFill>
        </w:rPr>
        <w:t>和场站</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无组织挥发的非甲烷总烃、场站加热装置产生的烟气，项目加热装置使用的燃料为清洁能源天然气，且产生的污染物量较小，项目油井产液采用密闭集输工艺，且在采油井口安装了密封垫，处理装置均为密闭流程，最大程度减少了非甲烷总烃的无组织排放；项目施工期及运行期产生的废水均进入葡</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二</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联含油污水处理站处理后回注油层，不排入外环境；产生的各类固体废物均进行了相应的处理，对外环境无影响。</w:t>
      </w:r>
      <w:r>
        <w:rPr>
          <w:rFonts w:ascii="Times New Roman" w:hAnsi="Times New Roman" w:cs="Times New Roman"/>
          <w:color w:val="000000" w:themeColor="text1"/>
          <w:w w:val="99"/>
          <w:sz w:val="24"/>
          <w:szCs w:val="24"/>
          <w:highlight w:val="none"/>
          <w:lang w:val="en-US"/>
          <w14:textFill>
            <w14:solidFill>
              <w14:schemeClr w14:val="tx1"/>
            </w14:solidFill>
          </w14:textFill>
        </w:rPr>
        <w:t>项目运行期工业用水为洗井用水及井下作业用水，</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均为</w:t>
      </w:r>
      <w:r>
        <w:rPr>
          <w:rFonts w:ascii="Times New Roman" w:hAnsi="Times New Roman" w:cs="Times New Roman"/>
          <w:color w:val="000000" w:themeColor="text1"/>
          <w:w w:val="99"/>
          <w:sz w:val="24"/>
          <w:szCs w:val="24"/>
          <w:highlight w:val="none"/>
          <w:lang w:val="en-US"/>
          <w14:textFill>
            <w14:solidFill>
              <w14:schemeClr w14:val="tx1"/>
            </w14:solidFill>
          </w14:textFill>
        </w:rPr>
        <w:t>采出液分离水再利用，不进行地下水资源的开采。</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eastAsia"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因此本工程符合《黑龙江省主体功能区规划》要求。</w:t>
      </w:r>
    </w:p>
    <w:p>
      <w:pPr>
        <w:pStyle w:val="67"/>
        <w:widowControl w:val="0"/>
        <w:autoSpaceDE/>
        <w:autoSpaceDN/>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1.4.2.</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2与《黑龙江省生态功能区划》符合性分析</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iCs/>
          <w:color w:val="000000" w:themeColor="text1"/>
          <w:w w:val="99"/>
          <w:sz w:val="24"/>
          <w:highlight w:val="none"/>
          <w:lang w:val="en-US" w:bidi="ar-SA"/>
          <w14:textFill>
            <w14:solidFill>
              <w14:schemeClr w14:val="tx1"/>
            </w14:solidFill>
          </w14:textFill>
        </w:rPr>
      </w:pPr>
      <w:r>
        <w:rPr>
          <w:rFonts w:ascii="Times New Roman" w:hAnsi="Times New Roman" w:cs="Times New Roman"/>
          <w:iCs/>
          <w:color w:val="000000" w:themeColor="text1"/>
          <w:w w:val="99"/>
          <w:sz w:val="24"/>
          <w:highlight w:val="none"/>
          <w:lang w:val="en-US" w:bidi="ar-SA"/>
          <w14:textFill>
            <w14:solidFill>
              <w14:schemeClr w14:val="tx1"/>
            </w14:solidFill>
          </w14:textFill>
        </w:rPr>
        <w:t>根据《黑龙江省生态功能区划》，本工程所在区域位于</w:t>
      </w:r>
      <w:r>
        <w:rPr>
          <w:rFonts w:hint="eastAsia"/>
          <w:iCs/>
          <w:color w:val="000000" w:themeColor="text1"/>
          <w:w w:val="99"/>
          <w:sz w:val="24"/>
          <w:highlight w:val="none"/>
          <w:lang w:val="en-US" w:bidi="ar-SA"/>
          <w14:textFill>
            <w14:solidFill>
              <w14:schemeClr w14:val="tx1"/>
            </w14:solidFill>
          </w14:textFill>
        </w:rPr>
        <w:t>Ⅰ</w:t>
      </w:r>
      <w:r>
        <w:rPr>
          <w:rFonts w:ascii="Times New Roman" w:hAnsi="Times New Roman" w:cs="Times New Roman"/>
          <w:iCs/>
          <w:color w:val="000000" w:themeColor="text1"/>
          <w:w w:val="99"/>
          <w:sz w:val="24"/>
          <w:highlight w:val="none"/>
          <w:lang w:val="en-US" w:bidi="ar-SA"/>
          <w14:textFill>
            <w14:solidFill>
              <w14:schemeClr w14:val="tx1"/>
            </w14:solidFill>
          </w14:textFill>
        </w:rPr>
        <w:t>-6-1-2</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大庆地区矿业</w:t>
      </w:r>
      <w:r>
        <w:rPr>
          <w:rFonts w:ascii="Times New Roman" w:hAnsi="Times New Roman" w:cs="Times New Roman"/>
          <w:iCs/>
          <w:color w:val="000000" w:themeColor="text1"/>
          <w:w w:val="99"/>
          <w:sz w:val="24"/>
          <w:highlight w:val="none"/>
          <w:lang w:val="en-US" w:bidi="ar-SA"/>
          <w14:textFill>
            <w14:solidFill>
              <w14:schemeClr w14:val="tx1"/>
            </w14:solidFill>
          </w14:textFill>
        </w:rPr>
        <w:t>与土壤保持生态功能区</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，该区位于黑龙江省大庆市，总面积</w:t>
      </w:r>
      <w:r>
        <w:rPr>
          <w:rFonts w:ascii="Times New Roman" w:hAnsi="Times New Roman" w:cs="Times New Roman"/>
          <w:iCs/>
          <w:color w:val="000000" w:themeColor="text1"/>
          <w:w w:val="99"/>
          <w:sz w:val="24"/>
          <w:highlight w:val="none"/>
          <w:lang w:val="en-US" w:bidi="ar-SA"/>
          <w14:textFill>
            <w14:solidFill>
              <w14:schemeClr w14:val="tx1"/>
            </w14:solidFill>
          </w14:textFill>
        </w:rPr>
        <w:t>5170</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km</w:t>
      </w:r>
      <w:r>
        <w:rPr>
          <w:rFonts w:ascii="Times New Roman" w:hAnsi="Times New Roman" w:cs="Times New Roman"/>
          <w:iCs/>
          <w:color w:val="000000" w:themeColor="text1"/>
          <w:w w:val="99"/>
          <w:sz w:val="24"/>
          <w:highlight w:val="none"/>
          <w:vertAlign w:val="superscript"/>
          <w:lang w:val="en-US" w:bidi="ar-SA"/>
          <w14:textFill>
            <w14:solidFill>
              <w14:schemeClr w14:val="tx1"/>
            </w14:solidFill>
          </w14:textFill>
        </w:rPr>
        <w:t>2</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，该功能区的主要生态系统服务功能为沙漠化控制</w:t>
      </w:r>
      <w:r>
        <w:rPr>
          <w:rFonts w:ascii="Times New Roman" w:hAnsi="Times New Roman" w:cs="Times New Roman"/>
          <w:iCs/>
          <w:color w:val="000000" w:themeColor="text1"/>
          <w:w w:val="99"/>
          <w:sz w:val="24"/>
          <w:highlight w:val="none"/>
          <w:lang w:val="en-US" w:bidi="ar-SA"/>
          <w14:textFill>
            <w14:solidFill>
              <w14:schemeClr w14:val="tx1"/>
            </w14:solidFill>
          </w14:textFill>
        </w:rPr>
        <w:t>、</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植被保护</w:t>
      </w:r>
      <w:r>
        <w:rPr>
          <w:rFonts w:ascii="Times New Roman" w:hAnsi="Times New Roman" w:cs="Times New Roman"/>
          <w:iCs/>
          <w:color w:val="000000" w:themeColor="text1"/>
          <w:w w:val="99"/>
          <w:sz w:val="24"/>
          <w:highlight w:val="none"/>
          <w:lang w:val="en-US" w:bidi="ar-SA"/>
          <w14:textFill>
            <w14:solidFill>
              <w14:schemeClr w14:val="tx1"/>
            </w14:solidFill>
          </w14:textFill>
        </w:rPr>
        <w:t>、生物多样性保护、石油开采</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pPr>
      <w:r>
        <w:rPr>
          <w:rFonts w:ascii="Times New Roman" w:hAnsi="Times New Roman" w:cs="Times New Roman"/>
          <w:iCs/>
          <w:color w:val="000000" w:themeColor="text1"/>
          <w:w w:val="99"/>
          <w:sz w:val="24"/>
          <w:highlight w:val="none"/>
          <w:lang w:val="en-US" w:bidi="ar-SA"/>
          <w14:textFill>
            <w14:solidFill>
              <w14:schemeClr w14:val="tx1"/>
            </w14:solidFill>
          </w14:textFill>
        </w:rPr>
        <w:t>本工程位于黑龙江省大庆市</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大同区</w:t>
      </w:r>
      <w:r>
        <w:rPr>
          <w:rFonts w:hint="eastAsia" w:ascii="Times New Roman" w:hAnsi="Times New Roman" w:cs="Times New Roman"/>
          <w:iCs/>
          <w:color w:val="000000" w:themeColor="text1"/>
          <w:w w:val="99"/>
          <w:sz w:val="24"/>
          <w:highlight w:val="none"/>
          <w:lang w:val="en-US" w:eastAsia="zh-CN" w:bidi="ar-SA"/>
          <w14:textFill>
            <w14:solidFill>
              <w14:schemeClr w14:val="tx1"/>
            </w14:solidFill>
          </w14:textFill>
        </w:rPr>
        <w:t>八井子乡</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境内</w:t>
      </w:r>
      <w:r>
        <w:rPr>
          <w:rFonts w:ascii="Times New Roman" w:hAnsi="Times New Roman" w:cs="Times New Roman"/>
          <w:iCs/>
          <w:color w:val="000000" w:themeColor="text1"/>
          <w:w w:val="99"/>
          <w:sz w:val="24"/>
          <w:highlight w:val="none"/>
          <w:lang w:val="en-US" w:bidi="ar-SA"/>
          <w14:textFill>
            <w14:solidFill>
              <w14:schemeClr w14:val="tx1"/>
            </w14:solidFill>
          </w14:textFill>
        </w:rPr>
        <w:t>，</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项目新增</w:t>
      </w:r>
      <w:r>
        <w:rPr>
          <w:rFonts w:ascii="Times New Roman" w:hAnsi="Times New Roman" w:cs="Times New Roman"/>
          <w:iCs/>
          <w:color w:val="000000" w:themeColor="text1"/>
          <w:w w:val="99"/>
          <w:sz w:val="24"/>
          <w:highlight w:val="none"/>
          <w:lang w:val="en-US" w:bidi="ar-SA"/>
          <w14:textFill>
            <w14:solidFill>
              <w14:schemeClr w14:val="tx1"/>
            </w14:solidFill>
          </w14:textFill>
        </w:rPr>
        <w:t>永久占地</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主要是</w:t>
      </w:r>
      <w:r>
        <w:rPr>
          <w:rFonts w:hint="eastAsia" w:ascii="Times New Roman" w:hAnsi="Times New Roman" w:cs="Times New Roman"/>
          <w:iCs/>
          <w:color w:val="000000" w:themeColor="text1"/>
          <w:w w:val="99"/>
          <w:sz w:val="24"/>
          <w:highlight w:val="none"/>
          <w:lang w:val="en-US" w:eastAsia="zh-CN" w:bidi="ar-SA"/>
          <w14:textFill>
            <w14:solidFill>
              <w14:schemeClr w14:val="tx1"/>
            </w14:solidFill>
          </w14:textFill>
        </w:rPr>
        <w:t>道路、租赁配注站配套场地</w:t>
      </w:r>
      <w:r>
        <w:rPr>
          <w:rFonts w:ascii="Times New Roman" w:hAnsi="Times New Roman" w:cs="Times New Roman"/>
          <w:iCs/>
          <w:color w:val="000000" w:themeColor="text1"/>
          <w:w w:val="99"/>
          <w:sz w:val="24"/>
          <w:highlight w:val="none"/>
          <w:lang w:val="en-US" w:bidi="ar-SA"/>
          <w14:textFill>
            <w14:solidFill>
              <w14:schemeClr w14:val="tx1"/>
            </w14:solidFill>
          </w14:textFill>
        </w:rPr>
        <w:t>占地</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，占地类型为盐碱草地，</w:t>
      </w:r>
      <w:r>
        <w:rPr>
          <w:rFonts w:ascii="Times New Roman" w:hAnsi="Times New Roman" w:cs="Times New Roman"/>
          <w:iCs/>
          <w:color w:val="000000" w:themeColor="text1"/>
          <w:w w:val="99"/>
          <w:sz w:val="24"/>
          <w:highlight w:val="none"/>
          <w:lang w:val="en-US"/>
          <w14:textFill>
            <w14:solidFill>
              <w14:schemeClr w14:val="tx1"/>
            </w14:solidFill>
          </w14:textFill>
        </w:rPr>
        <w:t>运行期作业、洗井等施工作业均在井场永久占地内进行，不会造成大面积的土地退化，项目的建设不会对区域生态功能产生明显影响，在项目实施过程中，应加强防沙治沙措施的实施，如尽量减少施工作业范围，施工过程中做到挖填平衡，施工结束后对破坏的土地进行平整并覆土压实，及时进行植被恢复等，</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同时，</w:t>
      </w:r>
      <w:r>
        <w:rPr>
          <w:rFonts w:ascii="Times New Roman" w:hAnsi="Times New Roman" w:cs="Times New Roman"/>
          <w:iCs/>
          <w:color w:val="000000" w:themeColor="text1"/>
          <w:w w:val="99"/>
          <w:sz w:val="24"/>
          <w:highlight w:val="none"/>
          <w:lang w:val="en-US" w:bidi="ar-SA"/>
          <w14:textFill>
            <w14:solidFill>
              <w14:schemeClr w14:val="tx1"/>
            </w14:solidFill>
          </w14:textFill>
        </w:rPr>
        <w:t>在项目实施过程中，</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严控</w:t>
      </w:r>
      <w:r>
        <w:rPr>
          <w:rFonts w:ascii="Times New Roman" w:hAnsi="Times New Roman" w:cs="Times New Roman"/>
          <w:iCs/>
          <w:color w:val="000000" w:themeColor="text1"/>
          <w:w w:val="99"/>
          <w:sz w:val="24"/>
          <w:highlight w:val="none"/>
          <w:lang w:val="en-US" w:bidi="ar-SA"/>
          <w14:textFill>
            <w14:solidFill>
              <w14:schemeClr w14:val="tx1"/>
            </w14:solidFill>
          </w14:textFill>
        </w:rPr>
        <w:t>施工</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占地</w:t>
      </w:r>
      <w:r>
        <w:rPr>
          <w:rFonts w:ascii="Times New Roman" w:hAnsi="Times New Roman" w:cs="Times New Roman"/>
          <w:iCs/>
          <w:color w:val="000000" w:themeColor="text1"/>
          <w:w w:val="99"/>
          <w:sz w:val="24"/>
          <w:highlight w:val="none"/>
          <w:lang w:val="en-US" w:bidi="ar-SA"/>
          <w14:textFill>
            <w14:solidFill>
              <w14:schemeClr w14:val="tx1"/>
            </w14:solidFill>
          </w14:textFill>
        </w:rPr>
        <w:t>范围，加强</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对周边</w:t>
      </w:r>
      <w:r>
        <w:rPr>
          <w:rFonts w:ascii="Times New Roman" w:hAnsi="Times New Roman" w:cs="Times New Roman"/>
          <w:iCs/>
          <w:color w:val="000000" w:themeColor="text1"/>
          <w:w w:val="99"/>
          <w:sz w:val="24"/>
          <w:highlight w:val="none"/>
          <w:lang w:val="en-US" w:bidi="ar-SA"/>
          <w14:textFill>
            <w14:solidFill>
              <w14:schemeClr w14:val="tx1"/>
            </w14:solidFill>
          </w14:textFill>
        </w:rPr>
        <w:t>现有植被的保护</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，因此本工程符合</w:t>
      </w:r>
      <w:r>
        <w:rPr>
          <w:rFonts w:ascii="Times New Roman" w:hAnsi="Times New Roman" w:cs="Times New Roman"/>
          <w:iCs/>
          <w:color w:val="000000" w:themeColor="text1"/>
          <w:w w:val="99"/>
          <w:sz w:val="24"/>
          <w:highlight w:val="none"/>
          <w:lang w:val="en-US" w:bidi="ar-SA"/>
          <w14:textFill>
            <w14:solidFill>
              <w14:schemeClr w14:val="tx1"/>
            </w14:solidFill>
          </w14:textFill>
        </w:rPr>
        <w:t>《黑龙江省生态功能区划》</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的要求</w:t>
      </w:r>
      <w:r>
        <w:rPr>
          <w:rFonts w:ascii="Times New Roman" w:hAnsi="Times New Roman" w:cs="Times New Roman"/>
          <w:iCs/>
          <w:color w:val="000000" w:themeColor="text1"/>
          <w:w w:val="99"/>
          <w:sz w:val="24"/>
          <w:highlight w:val="none"/>
          <w:lang w:val="en-US" w:bidi="ar-SA"/>
          <w14:textFill>
            <w14:solidFill>
              <w14:schemeClr w14:val="tx1"/>
            </w14:solidFill>
          </w14:textFill>
        </w:rPr>
        <w:t>。</w:t>
      </w:r>
    </w:p>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w:t>
      </w: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3</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《大庆市土地利用总体规划》（2006-2020年）符合性分析</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根据《大庆市土地利用总体规划》（2006-2020年），在</w:t>
      </w:r>
      <w:r>
        <w:rPr>
          <w:rFonts w:ascii="Times New Roman" w:hAnsi="Times New Roman" w:cs="Times New Roman"/>
          <w:color w:val="000000" w:themeColor="text1"/>
          <w:w w:val="99"/>
          <w:sz w:val="24"/>
          <w:szCs w:val="24"/>
          <w:highlight w:val="none"/>
          <w:lang w:val="en-US" w:bidi="ar-SA"/>
          <w14:textFill>
            <w14:solidFill>
              <w14:schemeClr w14:val="tx1"/>
            </w14:solidFill>
          </w14:textFill>
        </w:rPr>
        <w:t>统筹优化城乡建设用地中明确提出要</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有效</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保障大庆油田生产用地，</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保障</w:t>
      </w:r>
      <w:r>
        <w:rPr>
          <w:rFonts w:ascii="Times New Roman" w:hAnsi="Times New Roman" w:cs="Times New Roman"/>
          <w:color w:val="000000" w:themeColor="text1"/>
          <w:w w:val="99"/>
          <w:sz w:val="24"/>
          <w:szCs w:val="24"/>
          <w:highlight w:val="none"/>
          <w:lang w:val="en-US" w:bidi="ar-SA"/>
          <w14:textFill>
            <w14:solidFill>
              <w14:schemeClr w14:val="tx1"/>
            </w14:solidFill>
          </w14:textFill>
        </w:rPr>
        <w:t>石油等工况用地需求</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。并</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做好油田用地内部挖潜，</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提高</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油田集约用地水平，对外围新增油田用地区按照地上服从地下</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的</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原则做好油田生产用地安排。</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第五章</w:t>
      </w:r>
      <w:r>
        <w:rPr>
          <w:rFonts w:ascii="Times New Roman" w:hAnsi="Times New Roman" w:cs="Times New Roman"/>
          <w:color w:val="000000" w:themeColor="text1"/>
          <w:w w:val="99"/>
          <w:sz w:val="24"/>
          <w:szCs w:val="24"/>
          <w:highlight w:val="none"/>
          <w:lang w:val="en-US" w:bidi="ar-SA"/>
          <w14:textFill>
            <w14:solidFill>
              <w14:schemeClr w14:val="tx1"/>
            </w14:solidFill>
          </w14:textFill>
        </w:rPr>
        <w:t>第三节</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规定大同区</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土地</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利用应保障</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城市用地，统筹安排协调城市基础设施建设用地，提高</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节约集约用地</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和土地利用水平。</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肇源县土地利用</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以保护耕地为主，统筹</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城乡</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建设用地，提高</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节约集约用地</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水平。</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本次</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产能主要是</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为调驱驱油工程，未增加新井或采油设备</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bookmarkStart w:id="14" w:name="_Hlk69493523"/>
      <w:r>
        <w:rPr>
          <w:rFonts w:ascii="Times New Roman" w:hAnsi="Times New Roman" w:cs="Times New Roman"/>
          <w:color w:val="000000" w:themeColor="text1"/>
          <w:w w:val="99"/>
          <w:sz w:val="24"/>
          <w:szCs w:val="24"/>
          <w:highlight w:val="none"/>
          <w:lang w:val="en-US" w:bidi="ar-SA"/>
          <w14:textFill>
            <w14:solidFill>
              <w14:schemeClr w14:val="tx1"/>
            </w14:solidFill>
          </w14:textFill>
        </w:rPr>
        <w:t>新增永久占地</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主要是</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租赁配注站配套场</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地，</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管线</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施工临时占地为草地</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（一般草地），施工结束</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后进行生态恢复，</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项目</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建设</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符合土地利用总体规划要求。</w:t>
      </w:r>
      <w:bookmarkEnd w:id="14"/>
    </w:p>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w:t>
      </w: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 xml:space="preserve"> 与《大庆市水土保持规划》（2015～2030年）符合性分析</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 w:bidi="ar-SA"/>
          <w14:textFill>
            <w14:solidFill>
              <w14:schemeClr w14:val="tx1"/>
            </w14:solidFill>
          </w14:textFill>
        </w:rPr>
      </w:pPr>
      <w:r>
        <w:rPr>
          <w:rFonts w:ascii="Times New Roman" w:hAnsi="Times New Roman" w:cs="Times New Roman"/>
          <w:color w:val="000000" w:themeColor="text1"/>
          <w:w w:val="99"/>
          <w:sz w:val="24"/>
          <w:szCs w:val="24"/>
          <w:highlight w:val="none"/>
          <w:lang w:val="en-US" w:bidi="ar-SA"/>
          <w14:textFill>
            <w14:solidFill>
              <w14:schemeClr w14:val="tx1"/>
            </w14:solidFill>
          </w14:textFill>
        </w:rPr>
        <w:t>根据《大庆市水土保持规划》（2015～2030年），</w:t>
      </w:r>
      <w:r>
        <w:rPr>
          <w:rFonts w:ascii="Times New Roman" w:hAnsi="Times New Roman" w:cs="Times New Roman"/>
          <w:color w:val="000000" w:themeColor="text1"/>
          <w:w w:val="99"/>
          <w:sz w:val="24"/>
          <w:szCs w:val="24"/>
          <w:highlight w:val="none"/>
          <w:lang w:val="en" w:bidi="ar-SA"/>
          <w14:textFill>
            <w14:solidFill>
              <w14:schemeClr w14:val="tx1"/>
            </w14:solidFill>
          </w14:textFill>
        </w:rPr>
        <w:t>大庆市划定了市级水土流失重点预防区和重点治理区，</w:t>
      </w:r>
      <w:r>
        <w:rPr>
          <w:rFonts w:hint="eastAsia" w:ascii="Times New Roman" w:hAnsi="Times New Roman" w:cs="Times New Roman"/>
          <w:color w:val="000000" w:themeColor="text1"/>
          <w:w w:val="99"/>
          <w:sz w:val="24"/>
          <w:szCs w:val="24"/>
          <w:highlight w:val="none"/>
          <w:lang w:val="en"/>
          <w14:textFill>
            <w14:solidFill>
              <w14:schemeClr w14:val="tx1"/>
            </w14:solidFill>
          </w14:textFill>
        </w:rPr>
        <w:t>本项目</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部分</w:t>
      </w:r>
      <w:r>
        <w:rPr>
          <w:rFonts w:hint="eastAsia" w:ascii="Times New Roman" w:hAnsi="Times New Roman" w:cs="Times New Roman"/>
          <w:color w:val="000000" w:themeColor="text1"/>
          <w:w w:val="99"/>
          <w:sz w:val="24"/>
          <w:szCs w:val="24"/>
          <w:highlight w:val="none"/>
          <w:lang w:val="en" w:eastAsia="zh-CN"/>
          <w14:textFill>
            <w14:solidFill>
              <w14:schemeClr w14:val="tx1"/>
            </w14:solidFill>
          </w14:textFill>
        </w:rPr>
        <w:t>井场</w:t>
      </w:r>
      <w:r>
        <w:rPr>
          <w:rFonts w:hint="eastAsia" w:ascii="Times New Roman" w:hAnsi="Times New Roman" w:cs="Times New Roman"/>
          <w:color w:val="000000" w:themeColor="text1"/>
          <w:w w:val="99"/>
          <w:sz w:val="24"/>
          <w:szCs w:val="24"/>
          <w:highlight w:val="none"/>
          <w:lang w:val="en"/>
          <w14:textFill>
            <w14:solidFill>
              <w14:schemeClr w14:val="tx1"/>
            </w14:solidFill>
          </w14:textFill>
        </w:rPr>
        <w:t>所处</w:t>
      </w:r>
      <w:r>
        <w:rPr>
          <w:rFonts w:ascii="Times New Roman" w:hAnsi="Times New Roman" w:cs="Times New Roman"/>
          <w:color w:val="000000" w:themeColor="text1"/>
          <w:w w:val="99"/>
          <w:sz w:val="24"/>
          <w:szCs w:val="24"/>
          <w:highlight w:val="none"/>
          <w:lang w:val="en"/>
          <w14:textFill>
            <w14:solidFill>
              <w14:schemeClr w14:val="tx1"/>
            </w14:solidFill>
          </w14:textFill>
        </w:rPr>
        <w:t>的八井子乡</w:t>
      </w:r>
      <w:r>
        <w:rPr>
          <w:rFonts w:hint="eastAsia" w:ascii="Times New Roman" w:hAnsi="Times New Roman" w:cs="Times New Roman"/>
          <w:color w:val="000000" w:themeColor="text1"/>
          <w:w w:val="99"/>
          <w:sz w:val="24"/>
          <w:szCs w:val="24"/>
          <w:highlight w:val="none"/>
          <w:lang w:val="en"/>
          <w14:textFill>
            <w14:solidFill>
              <w14:schemeClr w14:val="tx1"/>
            </w14:solidFill>
          </w14:textFill>
        </w:rPr>
        <w:t>属于水土流失重点治理区</w:t>
      </w:r>
      <w:r>
        <w:rPr>
          <w:rFonts w:ascii="Times New Roman" w:hAnsi="Times New Roman" w:cs="Times New Roman"/>
          <w:color w:val="000000" w:themeColor="text1"/>
          <w:w w:val="99"/>
          <w:sz w:val="24"/>
          <w:szCs w:val="24"/>
          <w:highlight w:val="none"/>
          <w:lang w:val="en" w:bidi="ar-SA"/>
          <w14:textFill>
            <w14:solidFill>
              <w14:schemeClr w14:val="tx1"/>
            </w14:solidFill>
          </w14:textFill>
        </w:rPr>
        <w:t>。本项目</w:t>
      </w:r>
      <w:r>
        <w:rPr>
          <w:rFonts w:hint="eastAsia" w:ascii="Times New Roman" w:hAnsi="Times New Roman" w:cs="Times New Roman"/>
          <w:color w:val="000000" w:themeColor="text1"/>
          <w:w w:val="99"/>
          <w:sz w:val="24"/>
          <w:szCs w:val="24"/>
          <w:highlight w:val="none"/>
          <w:lang w:val="en" w:eastAsia="zh-CN" w:bidi="ar-SA"/>
          <w14:textFill>
            <w14:solidFill>
              <w14:schemeClr w14:val="tx1"/>
            </w14:solidFill>
          </w14:textFill>
        </w:rPr>
        <w:t>井区</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与</w:t>
      </w:r>
      <w:r>
        <w:rPr>
          <w:rFonts w:ascii="Times New Roman" w:hAnsi="Times New Roman" w:cs="Times New Roman"/>
          <w:color w:val="000000" w:themeColor="text1"/>
          <w:w w:val="99"/>
          <w:sz w:val="24"/>
          <w:szCs w:val="24"/>
          <w:highlight w:val="none"/>
          <w:lang w:val="en" w:bidi="ar-SA"/>
          <w14:textFill>
            <w14:solidFill>
              <w14:schemeClr w14:val="tx1"/>
            </w14:solidFill>
          </w14:textFill>
        </w:rPr>
        <w:t>水土保持重点治理区</w:t>
      </w:r>
      <w:r>
        <w:rPr>
          <w:rFonts w:hint="eastAsia" w:ascii="Times New Roman" w:hAnsi="Times New Roman" w:cs="Times New Roman"/>
          <w:color w:val="000000" w:themeColor="text1"/>
          <w:w w:val="99"/>
          <w:sz w:val="24"/>
          <w:szCs w:val="24"/>
          <w:highlight w:val="none"/>
          <w:lang w:val="en" w:bidi="ar-SA"/>
          <w14:textFill>
            <w14:solidFill>
              <w14:schemeClr w14:val="tx1"/>
            </w14:solidFill>
          </w14:textFill>
        </w:rPr>
        <w:t>和重点预防</w:t>
      </w:r>
      <w:r>
        <w:rPr>
          <w:rFonts w:ascii="Times New Roman" w:hAnsi="Times New Roman" w:cs="Times New Roman"/>
          <w:color w:val="000000" w:themeColor="text1"/>
          <w:w w:val="99"/>
          <w:sz w:val="24"/>
          <w:szCs w:val="24"/>
          <w:highlight w:val="none"/>
          <w:lang w:val="en" w:bidi="ar-SA"/>
          <w14:textFill>
            <w14:solidFill>
              <w14:schemeClr w14:val="tx1"/>
            </w14:solidFill>
          </w14:textFill>
        </w:rPr>
        <w:t>区</w:t>
      </w:r>
      <w:r>
        <w:rPr>
          <w:rFonts w:hint="eastAsia" w:ascii="Times New Roman" w:hAnsi="Times New Roman" w:cs="Times New Roman"/>
          <w:color w:val="000000" w:themeColor="text1"/>
          <w:w w:val="99"/>
          <w:sz w:val="24"/>
          <w:szCs w:val="24"/>
          <w:highlight w:val="none"/>
          <w:lang w:val="en" w:bidi="ar-SA"/>
          <w14:textFill>
            <w14:solidFill>
              <w14:schemeClr w14:val="tx1"/>
            </w14:solidFill>
          </w14:textFill>
        </w:rPr>
        <w:t>位置关系</w:t>
      </w:r>
      <w:r>
        <w:rPr>
          <w:rFonts w:ascii="Times New Roman" w:hAnsi="Times New Roman" w:cs="Times New Roman"/>
          <w:color w:val="000000" w:themeColor="text1"/>
          <w:w w:val="99"/>
          <w:sz w:val="24"/>
          <w:szCs w:val="24"/>
          <w:highlight w:val="none"/>
          <w:lang w:val="en" w:bidi="ar-SA"/>
          <w14:textFill>
            <w14:solidFill>
              <w14:schemeClr w14:val="tx1"/>
            </w14:solidFill>
          </w14:textFill>
        </w:rPr>
        <w:t>见</w:t>
      </w:r>
      <w:r>
        <w:rPr>
          <w:rFonts w:hint="eastAsia" w:ascii="Times New Roman" w:hAnsi="Times New Roman" w:cs="Times New Roman"/>
          <w:color w:val="000000" w:themeColor="text1"/>
          <w:w w:val="99"/>
          <w:sz w:val="24"/>
          <w:szCs w:val="24"/>
          <w:highlight w:val="none"/>
          <w:lang w:val="en" w:bidi="ar-SA"/>
          <w14:textFill>
            <w14:solidFill>
              <w14:schemeClr w14:val="tx1"/>
            </w14:solidFill>
          </w14:textFill>
        </w:rPr>
        <w:t>附图</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15</w:t>
      </w:r>
      <w:r>
        <w:rPr>
          <w:rFonts w:hint="eastAsia" w:ascii="Times New Roman" w:hAnsi="Times New Roman" w:cs="Times New Roman"/>
          <w:color w:val="000000" w:themeColor="text1"/>
          <w:w w:val="99"/>
          <w:sz w:val="24"/>
          <w:szCs w:val="24"/>
          <w:highlight w:val="none"/>
          <w:lang w:val="en" w:bidi="ar-SA"/>
          <w14:textFill>
            <w14:solidFill>
              <w14:schemeClr w14:val="tx1"/>
            </w14:solidFill>
          </w14:textFill>
        </w:rPr>
        <w:t>。</w:t>
      </w:r>
    </w:p>
    <w:p>
      <w:pPr>
        <w:pStyle w:val="67"/>
        <w:bidi w:val="0"/>
        <w:jc w:val="both"/>
        <w:rPr>
          <w:rFonts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t>本项目施工期开挖面积小，施工期短，土石方就近占地进行临时堆放，无转运丢弃，实际新增水土流失量小。根据项目土石方平衡，项目不产生弃土。剥离表层土</w:t>
      </w:r>
      <w:r>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t>的</w:t>
      </w:r>
      <w:r>
        <w:rPr>
          <w:rFonts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t>临时堆</w:t>
      </w:r>
      <w:r>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t>放</w:t>
      </w:r>
      <w:r>
        <w:rPr>
          <w:rFonts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t>场地设置严格的水土保措施。同时，利用土工布或塑料膜遮盖的方法来减少水土流失。施工结束后及时清理施工现场，对临时占地采取植被恢复、耕地复垦、水土保持等措施进行生态恢复。在采取水土保持措施后，本项目满足《大庆市水土保持规划》（2015～2030年）要求。</w:t>
      </w:r>
    </w:p>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w:t>
      </w: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5</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与《大庆市生态环境保护“十三五”规划》符合性分析</w:t>
      </w:r>
    </w:p>
    <w:p>
      <w:pPr>
        <w:autoSpaceDE/>
        <w:autoSpaceDN/>
        <w:spacing w:line="500" w:lineRule="exact"/>
        <w:ind w:firstLine="476" w:firstLineChars="200"/>
        <w:jc w:val="both"/>
        <w:rPr>
          <w:rFonts w:ascii="Times New Roman" w:hAnsi="Times New Roman" w:cs="Times New Roman"/>
          <w:b/>
          <w:bCs/>
          <w:color w:val="000000" w:themeColor="text1"/>
          <w:w w:val="99"/>
          <w:kern w:val="21"/>
          <w:sz w:val="24"/>
          <w:szCs w:val="20"/>
          <w:highlight w:val="none"/>
          <w:lang w:val="en-US" w:bidi="ar-SA"/>
          <w14:textFill>
            <w14:solidFill>
              <w14:schemeClr w14:val="tx1"/>
            </w14:solidFill>
          </w14:textFill>
        </w:rPr>
      </w:pPr>
      <w:r>
        <w:rPr>
          <w:rFonts w:hint="eastAsia" w:ascii="Times New Roman" w:hAnsi="Times New Roman" w:cs="Times New Roman"/>
          <w:b/>
          <w:bCs/>
          <w:color w:val="000000" w:themeColor="text1"/>
          <w:w w:val="99"/>
          <w:kern w:val="21"/>
          <w:sz w:val="24"/>
          <w:szCs w:val="20"/>
          <w:highlight w:val="none"/>
          <w:lang w:val="en-US" w:bidi="ar-SA"/>
          <w14:textFill>
            <w14:solidFill>
              <w14:schemeClr w14:val="tx1"/>
            </w14:solidFill>
          </w14:textFill>
        </w:rPr>
        <w:t>表</w:t>
      </w:r>
      <w:r>
        <w:rPr>
          <w:rFonts w:ascii="Times New Roman" w:hAnsi="Times New Roman" w:cs="Times New Roman"/>
          <w:b/>
          <w:bCs/>
          <w:color w:val="000000" w:themeColor="text1"/>
          <w:w w:val="99"/>
          <w:kern w:val="21"/>
          <w:sz w:val="24"/>
          <w:szCs w:val="20"/>
          <w:highlight w:val="none"/>
          <w:lang w:val="en-US" w:bidi="ar-SA"/>
          <w14:textFill>
            <w14:solidFill>
              <w14:schemeClr w14:val="tx1"/>
            </w14:solidFill>
          </w14:textFill>
        </w:rPr>
        <w:t>1.</w:t>
      </w:r>
      <w:r>
        <w:rPr>
          <w:rFonts w:hint="eastAsia" w:ascii="Times New Roman" w:hAnsi="Times New Roman" w:cs="Times New Roman"/>
          <w:b/>
          <w:bCs/>
          <w:color w:val="000000" w:themeColor="text1"/>
          <w:w w:val="99"/>
          <w:kern w:val="21"/>
          <w:sz w:val="24"/>
          <w:szCs w:val="20"/>
          <w:highlight w:val="none"/>
          <w:lang w:val="en-US" w:eastAsia="zh-CN" w:bidi="ar-SA"/>
          <w14:textFill>
            <w14:solidFill>
              <w14:schemeClr w14:val="tx1"/>
            </w14:solidFill>
          </w14:textFill>
        </w:rPr>
        <w:t>4</w:t>
      </w:r>
      <w:r>
        <w:rPr>
          <w:rFonts w:ascii="Times New Roman" w:hAnsi="Times New Roman" w:cs="Times New Roman"/>
          <w:b/>
          <w:bCs/>
          <w:color w:val="000000" w:themeColor="text1"/>
          <w:w w:val="99"/>
          <w:kern w:val="21"/>
          <w:sz w:val="24"/>
          <w:szCs w:val="20"/>
          <w:highlight w:val="none"/>
          <w:lang w:val="en-US" w:bidi="ar-SA"/>
          <w14:textFill>
            <w14:solidFill>
              <w14:schemeClr w14:val="tx1"/>
            </w14:solidFill>
          </w14:textFill>
        </w:rPr>
        <w:t>-1</w:t>
      </w:r>
      <w:r>
        <w:rPr>
          <w:rFonts w:hint="eastAsia" w:ascii="Times New Roman" w:hAnsi="Times New Roman" w:cs="Times New Roman"/>
          <w:b/>
          <w:bCs/>
          <w:color w:val="000000" w:themeColor="text1"/>
          <w:w w:val="99"/>
          <w:kern w:val="21"/>
          <w:sz w:val="24"/>
          <w:szCs w:val="20"/>
          <w:highlight w:val="none"/>
          <w:lang w:val="en-US" w:eastAsia="zh-CN" w:bidi="ar-SA"/>
          <w14:textFill>
            <w14:solidFill>
              <w14:schemeClr w14:val="tx1"/>
            </w14:solidFill>
          </w14:textFill>
        </w:rPr>
        <w:t xml:space="preserve">       </w:t>
      </w:r>
      <w:r>
        <w:rPr>
          <w:rFonts w:ascii="Times New Roman" w:hAnsi="Times New Roman" w:cs="Times New Roman"/>
          <w:b/>
          <w:bCs/>
          <w:color w:val="000000" w:themeColor="text1"/>
          <w:w w:val="99"/>
          <w:kern w:val="21"/>
          <w:sz w:val="24"/>
          <w:szCs w:val="20"/>
          <w:highlight w:val="none"/>
          <w:lang w:val="en-US" w:bidi="ar-SA"/>
          <w14:textFill>
            <w14:solidFill>
              <w14:schemeClr w14:val="tx1"/>
            </w14:solidFill>
          </w14:textFill>
        </w:rPr>
        <w:t>本项目与《大庆市生态环境保护</w:t>
      </w:r>
      <w:r>
        <w:rPr>
          <w:rFonts w:hint="eastAsia" w:ascii="Times New Roman" w:hAnsi="Times New Roman" w:cs="Times New Roman"/>
          <w:b/>
          <w:bCs/>
          <w:color w:val="000000" w:themeColor="text1"/>
          <w:w w:val="99"/>
          <w:kern w:val="21"/>
          <w:sz w:val="24"/>
          <w:szCs w:val="20"/>
          <w:highlight w:val="none"/>
          <w:lang w:val="en-US" w:bidi="ar-SA"/>
          <w14:textFill>
            <w14:solidFill>
              <w14:schemeClr w14:val="tx1"/>
            </w14:solidFill>
          </w14:textFill>
        </w:rPr>
        <w:t>“十三五”规划》相关要求符合性</w:t>
      </w:r>
    </w:p>
    <w:tbl>
      <w:tblPr>
        <w:tblStyle w:val="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2610"/>
        <w:gridCol w:w="4674"/>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序号</w:t>
            </w:r>
          </w:p>
        </w:tc>
        <w:tc>
          <w:tcPr>
            <w:tcW w:w="2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相关要求</w:t>
            </w:r>
          </w:p>
        </w:tc>
        <w:tc>
          <w:tcPr>
            <w:tcW w:w="467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符合性分析</w:t>
            </w:r>
          </w:p>
        </w:tc>
        <w:tc>
          <w:tcPr>
            <w:tcW w:w="93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w:t>
            </w:r>
          </w:p>
        </w:tc>
        <w:tc>
          <w:tcPr>
            <w:tcW w:w="2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加强城市面源大气污染防 </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治。综合整治城市扬尘，加强 城市绿化建设，扩大城市机械 化清扫范围，增加道路冲洗保 洁频次，运输渣土、沙石等车辆必须采取密闭措施。</w:t>
            </w:r>
          </w:p>
        </w:tc>
        <w:tc>
          <w:tcPr>
            <w:tcW w:w="4674" w:type="dxa"/>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①</w:t>
            </w:r>
            <w:r>
              <w:rPr>
                <w:rFonts w:ascii="Times New Roman" w:hAnsi="Times New Roman" w:cs="Times New Roman"/>
                <w:color w:val="000000" w:themeColor="text1"/>
                <w:w w:val="99"/>
                <w:sz w:val="21"/>
                <w:szCs w:val="21"/>
                <w:highlight w:val="none"/>
                <w:lang w:val="en-US" w:bidi="ar-SA"/>
                <w14:textFill>
                  <w14:solidFill>
                    <w14:schemeClr w14:val="tx1"/>
                  </w14:solidFill>
                </w14:textFill>
              </w:rPr>
              <w:t>为防止因交通运输量的增加而导致的扬尘污染，合理规划道路运输路线，尽量利用现有公路 网络。</w:t>
            </w:r>
            <w:r>
              <w:rPr>
                <w:rFonts w:hint="eastAsia"/>
                <w:color w:val="000000" w:themeColor="text1"/>
                <w:w w:val="99"/>
                <w:sz w:val="21"/>
                <w:szCs w:val="21"/>
                <w:highlight w:val="none"/>
                <w:lang w:val="en-US" w:bidi="ar-SA"/>
                <w14:textFill>
                  <w14:solidFill>
                    <w14:schemeClr w14:val="tx1"/>
                  </w14:solidFill>
                </w14:textFill>
              </w:rPr>
              <w:t>②</w:t>
            </w:r>
            <w:r>
              <w:rPr>
                <w:rFonts w:ascii="Times New Roman" w:hAnsi="Times New Roman" w:cs="Times New Roman"/>
                <w:color w:val="000000" w:themeColor="text1"/>
                <w:w w:val="99"/>
                <w:sz w:val="21"/>
                <w:szCs w:val="21"/>
                <w:highlight w:val="none"/>
                <w:lang w:val="en-US" w:bidi="ar-SA"/>
                <w14:textFill>
                  <w14:solidFill>
                    <w14:schemeClr w14:val="tx1"/>
                  </w14:solidFill>
                </w14:textFill>
              </w:rPr>
              <w:t>运输道路、施工场地应定时洒水抑尘，定期 清扫散落在施工场地的泥土，应实行湿法吸扫，严禁干扫和吹扫，以减少扬尘对周边土壤和植被的影响。</w:t>
            </w:r>
            <w:r>
              <w:rPr>
                <w:rFonts w:hint="eastAsia"/>
                <w:color w:val="000000" w:themeColor="text1"/>
                <w:w w:val="99"/>
                <w:sz w:val="21"/>
                <w:szCs w:val="21"/>
                <w:highlight w:val="none"/>
                <w:lang w:val="en-US" w:bidi="ar-SA"/>
                <w14:textFill>
                  <w14:solidFill>
                    <w14:schemeClr w14:val="tx1"/>
                  </w14:solidFill>
                </w14:textFill>
              </w:rPr>
              <w:t>③</w:t>
            </w: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运料车辆在运输时，车辆应当采取全密闭 措施，需要在运料顶部加盖篷布，严禁敞开式、半 敞开式运输，不得装载过满，以防洒落在地，形成二次扬尘。 </w:t>
            </w:r>
            <w:r>
              <w:rPr>
                <w:rFonts w:hint="eastAsia"/>
                <w:color w:val="000000" w:themeColor="text1"/>
                <w:w w:val="99"/>
                <w:sz w:val="21"/>
                <w:szCs w:val="21"/>
                <w:highlight w:val="none"/>
                <w:lang w:val="en-US" w:bidi="ar-SA"/>
                <w14:textFill>
                  <w14:solidFill>
                    <w14:schemeClr w14:val="tx1"/>
                  </w14:solidFill>
                </w14:textFill>
              </w:rPr>
              <w:t>④</w:t>
            </w: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土方开挖应采取遮盖、围挡、洒水等防尘措施。临时弃土集中堆放在背风侧，临时堆放土堆应采取覆盖、洒水等防尘措施；缩短土方裸露时间，且不宜堆积过久、过高，堆放过程中应在顶部加盖篷布；对易产生扬尘污染的建筑材料堆应覆盖到位。 </w:t>
            </w:r>
            <w:r>
              <w:rPr>
                <w:rFonts w:hint="eastAsia"/>
                <w:color w:val="000000" w:themeColor="text1"/>
                <w:w w:val="99"/>
                <w:sz w:val="21"/>
                <w:szCs w:val="21"/>
                <w:highlight w:val="none"/>
                <w:lang w:val="en-US" w:bidi="ar-SA"/>
                <w14:textFill>
                  <w14:solidFill>
                    <w14:schemeClr w14:val="tx1"/>
                  </w14:solidFill>
                </w14:textFill>
              </w:rPr>
              <w:t>⑤</w:t>
            </w: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合理规划施工进度，表土剥离及时开挖，及时回填，防止弃土风化失水而起沙起尘；遇大风天气应停止土方工程施工作业。 </w:t>
            </w:r>
            <w:r>
              <w:rPr>
                <w:rFonts w:hint="eastAsia"/>
                <w:color w:val="000000" w:themeColor="text1"/>
                <w:w w:val="99"/>
                <w:sz w:val="21"/>
                <w:szCs w:val="21"/>
                <w:highlight w:val="none"/>
                <w:lang w:val="en-US" w:bidi="ar-SA"/>
                <w14:textFill>
                  <w14:solidFill>
                    <w14:schemeClr w14:val="tx1"/>
                  </w14:solidFill>
                </w14:textFill>
              </w:rPr>
              <w:t>⑥</w:t>
            </w: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施工完成后，在绿化季节到来时应立即对 临时占地进行植被恢复。 </w:t>
            </w:r>
            <w:r>
              <w:rPr>
                <w:rFonts w:hint="eastAsia"/>
                <w:color w:val="000000" w:themeColor="text1"/>
                <w:w w:val="99"/>
                <w:sz w:val="21"/>
                <w:szCs w:val="21"/>
                <w:highlight w:val="none"/>
                <w:lang w:val="en-US" w:bidi="ar-SA"/>
                <w14:textFill>
                  <w14:solidFill>
                    <w14:schemeClr w14:val="tx1"/>
                  </w14:solidFill>
                </w14:textFill>
              </w:rPr>
              <w:t>⑦</w:t>
            </w:r>
            <w:r>
              <w:rPr>
                <w:rFonts w:ascii="Times New Roman" w:hAnsi="Times New Roman" w:cs="Times New Roman"/>
                <w:color w:val="000000" w:themeColor="text1"/>
                <w:w w:val="99"/>
                <w:sz w:val="21"/>
                <w:szCs w:val="21"/>
                <w:highlight w:val="none"/>
                <w:lang w:val="en-US" w:bidi="ar-SA"/>
                <w14:textFill>
                  <w14:solidFill>
                    <w14:schemeClr w14:val="tx1"/>
                  </w14:solidFill>
                </w14:textFill>
              </w:rPr>
              <w:t>施工结束后，应及时进行施工场地的清理，清除积土、堆物。</w:t>
            </w:r>
          </w:p>
        </w:tc>
        <w:tc>
          <w:tcPr>
            <w:tcW w:w="93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2</w:t>
            </w:r>
          </w:p>
        </w:tc>
        <w:tc>
          <w:tcPr>
            <w:tcW w:w="2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推进地下水环境保护。推 </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进我市地表水、地下水以及土壤污染协同控制，按照部门职责，开展地下水污染防治工作。</w:t>
            </w:r>
          </w:p>
        </w:tc>
        <w:tc>
          <w:tcPr>
            <w:tcW w:w="4674" w:type="dxa"/>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项目定期对油井套管进行检查等地下水污染防治措施，新建</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注入管线</w:t>
            </w: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采取防腐管，消除对地下水的污染隐患。施工人员生活污水排入附近计量间内已建防渗旱厕，污水均不外排。同时，本次评价要求项目采取分区防渗措施，最大程度保证不污染地下水及土壤等环境。 </w:t>
            </w:r>
          </w:p>
        </w:tc>
        <w:tc>
          <w:tcPr>
            <w:tcW w:w="93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3</w:t>
            </w:r>
          </w:p>
        </w:tc>
        <w:tc>
          <w:tcPr>
            <w:tcW w:w="2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建立土壤环境质量例行监 </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测点位，加强土壤环境质量监 测网络建设，提高土壤环境监 测能力。规范我市土壤环境背景点位建设，加快制定大庆市土壤环境污染事故应急预案， </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健全土壤环境应急能力和预警体系。</w:t>
            </w:r>
          </w:p>
        </w:tc>
        <w:tc>
          <w:tcPr>
            <w:tcW w:w="4674" w:type="dxa"/>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大庆油田有限责任公司第</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七</w:t>
            </w: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采油厂作为土壤重点企业每年对区域内土壤进行监测，并在大庆油田信息港进行信息公开。根据监测结果，各监测点位污染物浓度均满足《土壤环境质量 建设用地土壤污染风险管控标准（试行）》（GB36600-2018）中第二类用地风险筛选值。同时，本次评价设置了土壤跟踪监测点位，能够及时有效的跟踪调查项目土壤的受污染情况。 </w:t>
            </w:r>
          </w:p>
        </w:tc>
        <w:tc>
          <w:tcPr>
            <w:tcW w:w="93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4</w:t>
            </w:r>
          </w:p>
        </w:tc>
        <w:tc>
          <w:tcPr>
            <w:tcW w:w="261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 xml:space="preserve">保护水和湿地生态系统。 </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加强河湖水生态保护，禁止侵占自然湿地等水源涵养空间。 强化水源涵养林建设与保护，开展湿地保护与修复，加大退耕还林、还草、还湿力度。</w:t>
            </w:r>
          </w:p>
        </w:tc>
        <w:tc>
          <w:tcPr>
            <w:tcW w:w="4674" w:type="dxa"/>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本项目</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不占用湿地，</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管线施工临时</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占用</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草地</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sz w:val="21"/>
                <w:szCs w:val="21"/>
                <w:highlight w:val="none"/>
                <w:lang w:val="en-US" w:bidi="ar-SA"/>
                <w14:textFill>
                  <w14:solidFill>
                    <w14:schemeClr w14:val="tx1"/>
                  </w14:solidFill>
                </w14:textFill>
              </w:rPr>
              <w:t>严格控制施工占地范围，</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完工后</w:t>
            </w:r>
            <w:r>
              <w:rPr>
                <w:rFonts w:ascii="Times New Roman" w:hAnsi="Times New Roman" w:cs="Times New Roman"/>
                <w:color w:val="000000" w:themeColor="text1"/>
                <w:w w:val="99"/>
                <w:sz w:val="21"/>
                <w:szCs w:val="21"/>
                <w:highlight w:val="none"/>
                <w:lang w:val="en-US" w:bidi="ar-SA"/>
                <w14:textFill>
                  <w14:solidFill>
                    <w14:schemeClr w14:val="tx1"/>
                  </w14:solidFill>
                </w14:textFill>
              </w:rPr>
              <w:t>进行植被</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恢复</w:t>
            </w:r>
            <w:r>
              <w:rPr>
                <w:rFonts w:ascii="Times New Roman" w:hAnsi="Times New Roman" w:cs="Times New Roman"/>
                <w:color w:val="000000" w:themeColor="text1"/>
                <w:w w:val="99"/>
                <w:sz w:val="21"/>
                <w:szCs w:val="21"/>
                <w:highlight w:val="none"/>
                <w:lang w:val="en-US" w:bidi="ar-SA"/>
                <w14:textFill>
                  <w14:solidFill>
                    <w14:schemeClr w14:val="tx1"/>
                  </w14:solidFill>
                </w14:textFill>
              </w:rPr>
              <w:t>。项目的建设不会对地表水造成影响。</w:t>
            </w:r>
          </w:p>
        </w:tc>
        <w:tc>
          <w:tcPr>
            <w:tcW w:w="93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符合</w:t>
            </w:r>
          </w:p>
        </w:tc>
      </w:tr>
    </w:tbl>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1.4.2.6</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与</w:t>
      </w: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《2021年大庆油田生产建设规划》</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符合性分析</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ascii="Times New Roman" w:hAnsi="Times New Roman" w:cs="Times New Roman"/>
          <w:color w:val="000000" w:themeColor="text1"/>
          <w:w w:val="99"/>
          <w:sz w:val="24"/>
          <w:szCs w:val="24"/>
          <w:highlight w:val="none"/>
          <w:lang w:val="en-US" w:bidi="ar-SA"/>
          <w14:textFill>
            <w14:solidFill>
              <w14:schemeClr w14:val="tx1"/>
            </w14:solidFill>
          </w14:textFill>
        </w:rPr>
        <w:t>根据《2021年大庆油田生产建设规划》（庆油发〔2020〕152号）中要求，各单位、各部门要按照规划的总体安排部署，落实好油气产量等各项规划目标。油气勘探开发部门要进一步明确任务，突出高效勘探，推进精准开发，加大难采储量有效动用，加快天然气上产，积极做好2021年油气生产指标的分解落实工作，确保完成2021年各项生产任务目标。</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ascii="Times New Roman" w:hAnsi="Times New Roman" w:cs="Times New Roman"/>
          <w:color w:val="000000" w:themeColor="text1"/>
          <w:w w:val="99"/>
          <w:sz w:val="24"/>
          <w:szCs w:val="24"/>
          <w:highlight w:val="none"/>
          <w:lang w:val="en-US" w:bidi="ar-SA"/>
          <w14:textFill>
            <w14:solidFill>
              <w14:schemeClr w14:val="tx1"/>
            </w14:solidFill>
          </w14:textFill>
        </w:rPr>
        <w:t>2021年油气生产指标</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已分解落实</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到大庆油田有限责任公司第七采油厂</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本项目属于2021年大庆油田生产建设规划的一部分，该项目的开发建设对稳定大庆原油产量具有重要的现实意义</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sz w:val="24"/>
          <w:szCs w:val="24"/>
          <w:highlight w:val="none"/>
          <w:lang w:val="en-US" w:bidi="ar-SA"/>
          <w14:textFill>
            <w14:solidFill>
              <w14:schemeClr w14:val="tx1"/>
            </w14:solidFill>
          </w14:textFill>
        </w:rPr>
        <w:t>符合大庆油田生产建设规划的要求。</w:t>
      </w:r>
    </w:p>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1.4.2.7</w:t>
      </w: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与《关于进一步加强石油天然气行业环境影响评价管理的通知》（环办环评函[2019]910号）符合性分析</w:t>
      </w:r>
    </w:p>
    <w:p>
      <w:pPr>
        <w:pStyle w:val="14"/>
        <w:spacing w:line="440" w:lineRule="exact"/>
        <w:ind w:firstLine="476"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b/>
          <w:bCs/>
          <w:color w:val="000000" w:themeColor="text1"/>
          <w:w w:val="99"/>
          <w:kern w:val="21"/>
          <w:sz w:val="24"/>
          <w:szCs w:val="20"/>
          <w:highlight w:val="none"/>
          <w:lang w:val="en-US" w:eastAsia="zh-CN" w:bidi="ar-SA"/>
          <w14:textFill>
            <w14:solidFill>
              <w14:schemeClr w14:val="tx1"/>
            </w14:solidFill>
          </w14:textFill>
        </w:rPr>
        <w:t>表1.4-2        与《关于进一步加强石油天然气行业环境影响评价管理的通知》（环办环评函〔2019〕910 号）符合性一览表</w:t>
      </w:r>
    </w:p>
    <w:tbl>
      <w:tblPr>
        <w:tblStyle w:val="32"/>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0"/>
        <w:gridCol w:w="4028"/>
        <w:gridCol w:w="3808"/>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50"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序号</w:t>
            </w:r>
          </w:p>
        </w:tc>
        <w:tc>
          <w:tcPr>
            <w:tcW w:w="402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文件要求</w:t>
            </w:r>
          </w:p>
        </w:tc>
        <w:tc>
          <w:tcPr>
            <w:tcW w:w="380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ascii="Times New Roman" w:hAnsi="Times New Roman"/>
                <w:color w:val="000000" w:themeColor="text1"/>
                <w:w w:val="99"/>
                <w:szCs w:val="24"/>
                <w:highlight w:val="none"/>
                <w14:textFill>
                  <w14:solidFill>
                    <w14:schemeClr w14:val="tx1"/>
                  </w14:solidFill>
                </w14:textFill>
              </w:rPr>
              <w:t>拟建项目情况</w:t>
            </w:r>
          </w:p>
        </w:tc>
        <w:tc>
          <w:tcPr>
            <w:tcW w:w="696"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ascii="Times New Roman" w:hAnsi="Times New Roman"/>
                <w:color w:val="000000" w:themeColor="text1"/>
                <w:w w:val="99"/>
                <w:szCs w:val="24"/>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0"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1</w:t>
            </w:r>
          </w:p>
        </w:tc>
        <w:tc>
          <w:tcPr>
            <w:tcW w:w="402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油气开采项目（含新开发和滚动开发项目）原则上应当以区块为单位开展环评（以下简称区块环评），一般包括区块内拟建的新井、加密井、调整井、站场、设备、管道和电缆及其更换工程、弃置工程及配套工程等。</w:t>
            </w:r>
          </w:p>
        </w:tc>
        <w:tc>
          <w:tcPr>
            <w:tcW w:w="380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本项目</w:t>
            </w:r>
            <w:r>
              <w:rPr>
                <w:rFonts w:ascii="Times New Roman" w:hAnsi="Times New Roman"/>
                <w:color w:val="000000" w:themeColor="text1"/>
                <w:w w:val="99"/>
                <w:sz w:val="21"/>
                <w:szCs w:val="21"/>
                <w:highlight w:val="none"/>
                <w14:textFill>
                  <w14:solidFill>
                    <w14:schemeClr w14:val="tx1"/>
                  </w14:solidFill>
                </w14:textFill>
              </w:rPr>
              <w:t>属于</w:t>
            </w:r>
            <w:r>
              <w:rPr>
                <w:rFonts w:hint="eastAsia" w:ascii="Times New Roman" w:hAnsi="Times New Roman" w:cs="Times New Roman"/>
                <w:color w:val="000000" w:themeColor="text1"/>
                <w:w w:val="99"/>
                <w:sz w:val="21"/>
                <w:szCs w:val="21"/>
                <w:highlight w:val="none"/>
                <w14:textFill>
                  <w14:solidFill>
                    <w14:schemeClr w14:val="tx1"/>
                  </w14:solidFill>
                </w14:textFill>
              </w:rPr>
              <w:t>本项目为调驱驱油工程，未增加新井或采油设备，</w:t>
            </w:r>
            <w:r>
              <w:rPr>
                <w:rFonts w:ascii="Times New Roman" w:hAnsi="Times New Roman"/>
                <w:color w:val="000000" w:themeColor="text1"/>
                <w:w w:val="99"/>
                <w:szCs w:val="24"/>
                <w:highlight w:val="none"/>
                <w14:textFill>
                  <w14:solidFill>
                    <w14:schemeClr w14:val="tx1"/>
                  </w14:solidFill>
                </w14:textFill>
              </w:rPr>
              <w:t>不属于新</w:t>
            </w:r>
            <w:r>
              <w:rPr>
                <w:rFonts w:hint="eastAsia" w:ascii="Times New Roman" w:hAnsi="Times New Roman"/>
                <w:color w:val="000000" w:themeColor="text1"/>
                <w:w w:val="99"/>
                <w:szCs w:val="24"/>
                <w:highlight w:val="none"/>
                <w14:textFill>
                  <w14:solidFill>
                    <w14:schemeClr w14:val="tx1"/>
                  </w14:solidFill>
                </w14:textFill>
              </w:rPr>
              <w:t>开发</w:t>
            </w:r>
            <w:r>
              <w:rPr>
                <w:rFonts w:ascii="Times New Roman" w:hAnsi="Times New Roman"/>
                <w:color w:val="000000" w:themeColor="text1"/>
                <w:w w:val="99"/>
                <w:szCs w:val="24"/>
                <w:highlight w:val="none"/>
                <w14:textFill>
                  <w14:solidFill>
                    <w14:schemeClr w14:val="tx1"/>
                  </w14:solidFill>
                </w14:textFill>
              </w:rPr>
              <w:t>或滚动开发等新</w:t>
            </w:r>
            <w:r>
              <w:rPr>
                <w:rFonts w:hint="eastAsia" w:ascii="Times New Roman" w:hAnsi="Times New Roman"/>
                <w:color w:val="000000" w:themeColor="text1"/>
                <w:w w:val="99"/>
                <w:szCs w:val="24"/>
                <w:highlight w:val="none"/>
                <w14:textFill>
                  <w14:solidFill>
                    <w14:schemeClr w14:val="tx1"/>
                  </w14:solidFill>
                </w14:textFill>
              </w:rPr>
              <w:t>井</w:t>
            </w:r>
            <w:r>
              <w:rPr>
                <w:rFonts w:ascii="Times New Roman" w:hAnsi="Times New Roman"/>
                <w:color w:val="000000" w:themeColor="text1"/>
                <w:w w:val="99"/>
                <w:szCs w:val="24"/>
                <w:highlight w:val="none"/>
                <w14:textFill>
                  <w14:solidFill>
                    <w14:schemeClr w14:val="tx1"/>
                  </w14:solidFill>
                </w14:textFill>
              </w:rPr>
              <w:t>工程</w:t>
            </w:r>
          </w:p>
        </w:tc>
        <w:tc>
          <w:tcPr>
            <w:tcW w:w="696"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50"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lang w:val="en-US"/>
                <w14:textFill>
                  <w14:solidFill>
                    <w14:schemeClr w14:val="tx1"/>
                  </w14:solidFill>
                </w14:textFill>
              </w:rPr>
            </w:pPr>
            <w:r>
              <w:rPr>
                <w:rFonts w:ascii="Times New Roman" w:hAnsi="Times New Roman"/>
                <w:color w:val="000000" w:themeColor="text1"/>
                <w:w w:val="99"/>
                <w:szCs w:val="24"/>
                <w:highlight w:val="none"/>
                <w:lang w:val="en-US"/>
                <w14:textFill>
                  <w14:solidFill>
                    <w14:schemeClr w14:val="tx1"/>
                  </w14:solidFill>
                </w14:textFill>
              </w:rPr>
              <w:t>2</w:t>
            </w:r>
          </w:p>
        </w:tc>
        <w:tc>
          <w:tcPr>
            <w:tcW w:w="402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ascii="Times New Roman" w:hAnsi="Times New Roman"/>
                <w:color w:val="000000" w:themeColor="text1"/>
                <w:w w:val="99"/>
                <w:szCs w:val="24"/>
                <w:highlight w:val="none"/>
                <w:lang w:val="en-US"/>
                <w14:textFill>
                  <w14:solidFill>
                    <w14:schemeClr w14:val="tx1"/>
                  </w14:solidFill>
                </w14:textFill>
              </w:rPr>
              <w:t>涉及向地表水体排放污染物的陆地油气开采项目，应当符合国家和地方污染物排放标准，满足重点污染物排放总量控制要求。</w:t>
            </w:r>
          </w:p>
        </w:tc>
        <w:tc>
          <w:tcPr>
            <w:tcW w:w="380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项目管线试压废水进入葡二联含油</w:t>
            </w:r>
            <w:r>
              <w:rPr>
                <w:rFonts w:ascii="Times New Roman" w:hAnsi="Times New Roman"/>
                <w:color w:val="000000" w:themeColor="text1"/>
                <w:w w:val="99"/>
                <w:szCs w:val="24"/>
                <w:highlight w:val="none"/>
                <w14:textFill>
                  <w14:solidFill>
                    <w14:schemeClr w14:val="tx1"/>
                  </w14:solidFill>
                </w14:textFill>
              </w:rPr>
              <w:t>污水站</w:t>
            </w:r>
            <w:r>
              <w:rPr>
                <w:rFonts w:hint="eastAsia" w:ascii="Times New Roman" w:hAnsi="Times New Roman"/>
                <w:color w:val="000000" w:themeColor="text1"/>
                <w:w w:val="99"/>
                <w:szCs w:val="24"/>
                <w:highlight w:val="none"/>
                <w14:textFill>
                  <w14:solidFill>
                    <w14:schemeClr w14:val="tx1"/>
                  </w14:solidFill>
                </w14:textFill>
              </w:rPr>
              <w:t>，产液分离废水经</w:t>
            </w:r>
            <w:r>
              <w:rPr>
                <w:rFonts w:hint="eastAsia" w:ascii="Times New Roman" w:hAnsi="Times New Roman"/>
                <w:color w:val="000000" w:themeColor="text1"/>
                <w:w w:val="99"/>
                <w:szCs w:val="24"/>
                <w:highlight w:val="none"/>
                <w:lang w:val="en-US"/>
                <w14:textFill>
                  <w14:solidFill>
                    <w14:schemeClr w14:val="tx1"/>
                  </w14:solidFill>
                </w14:textFill>
              </w:rPr>
              <w:t>葡二联含油污水处理站处理</w:t>
            </w:r>
            <w:r>
              <w:rPr>
                <w:rFonts w:hint="eastAsia" w:ascii="Times New Roman" w:hAnsi="Times New Roman"/>
                <w:color w:val="000000" w:themeColor="text1"/>
                <w:w w:val="99"/>
                <w:szCs w:val="24"/>
                <w:highlight w:val="none"/>
                <w14:textFill>
                  <w14:solidFill>
                    <w14:schemeClr w14:val="tx1"/>
                  </w14:solidFill>
                </w14:textFill>
              </w:rPr>
              <w:t>后满足《大庆油田地面工程建设设计规定》（Q/SYDQ 0639-2015）限值要求“</w:t>
            </w:r>
            <w:r>
              <w:rPr>
                <w:rFonts w:ascii="Times New Roman" w:hAnsi="Times New Roman" w:cs="Times New Roman"/>
                <w:color w:val="000000" w:themeColor="text1"/>
                <w:w w:val="99"/>
                <w:szCs w:val="24"/>
                <w:highlight w:val="none"/>
                <w14:textFill>
                  <w14:solidFill>
                    <w14:schemeClr w14:val="tx1"/>
                  </w14:solidFill>
                </w14:textFill>
              </w:rPr>
              <w:t>含油量≤10mg/L、悬浮固体含量≤5mg/L、粒径中值≤2μm</w:t>
            </w:r>
            <w:r>
              <w:rPr>
                <w:rFonts w:hint="eastAsia" w:ascii="Times New Roman" w:hAnsi="Times New Roman"/>
                <w:color w:val="000000" w:themeColor="text1"/>
                <w:w w:val="99"/>
                <w:szCs w:val="24"/>
                <w:highlight w:val="none"/>
                <w14:textFill>
                  <w14:solidFill>
                    <w14:schemeClr w14:val="tx1"/>
                  </w14:solidFill>
                </w14:textFill>
              </w:rPr>
              <w:t>”，处理后污水回注油层，不排入地表水体。</w:t>
            </w:r>
          </w:p>
        </w:tc>
        <w:tc>
          <w:tcPr>
            <w:tcW w:w="696"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50"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lang w:val="en-US"/>
                <w14:textFill>
                  <w14:solidFill>
                    <w14:schemeClr w14:val="tx1"/>
                  </w14:solidFill>
                </w14:textFill>
              </w:rPr>
            </w:pPr>
          </w:p>
        </w:tc>
        <w:tc>
          <w:tcPr>
            <w:tcW w:w="402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p>
        </w:tc>
        <w:tc>
          <w:tcPr>
            <w:tcW w:w="380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p>
        </w:tc>
        <w:tc>
          <w:tcPr>
            <w:tcW w:w="696"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0"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ascii="Times New Roman" w:hAnsi="Times New Roman"/>
                <w:color w:val="000000" w:themeColor="text1"/>
                <w:w w:val="99"/>
                <w:szCs w:val="24"/>
                <w:highlight w:val="none"/>
                <w14:textFill>
                  <w14:solidFill>
                    <w14:schemeClr w14:val="tx1"/>
                  </w14:solidFill>
                </w14:textFill>
              </w:rPr>
              <w:t>3</w:t>
            </w:r>
          </w:p>
        </w:tc>
        <w:tc>
          <w:tcPr>
            <w:tcW w:w="402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ascii="Times New Roman" w:hAnsi="Times New Roman"/>
                <w:color w:val="000000" w:themeColor="text1"/>
                <w:w w:val="99"/>
                <w:szCs w:val="24"/>
                <w:highlight w:val="none"/>
                <w14:textFill>
                  <w14:solidFill>
                    <w14:schemeClr w14:val="tx1"/>
                  </w14:solidFill>
                </w14:textFill>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380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项目管线试压废水进入葡二联含油</w:t>
            </w:r>
            <w:r>
              <w:rPr>
                <w:rFonts w:ascii="Times New Roman" w:hAnsi="Times New Roman"/>
                <w:color w:val="000000" w:themeColor="text1"/>
                <w:w w:val="99"/>
                <w:szCs w:val="24"/>
                <w:highlight w:val="none"/>
                <w14:textFill>
                  <w14:solidFill>
                    <w14:schemeClr w14:val="tx1"/>
                  </w14:solidFill>
                </w14:textFill>
              </w:rPr>
              <w:t>污水站</w:t>
            </w:r>
            <w:r>
              <w:rPr>
                <w:rFonts w:hint="eastAsia" w:ascii="Times New Roman" w:hAnsi="Times New Roman"/>
                <w:color w:val="000000" w:themeColor="text1"/>
                <w:w w:val="99"/>
                <w:szCs w:val="24"/>
                <w:highlight w:val="none"/>
                <w14:textFill>
                  <w14:solidFill>
                    <w14:schemeClr w14:val="tx1"/>
                  </w14:solidFill>
                </w14:textFill>
              </w:rPr>
              <w:t>，产液分离废水经</w:t>
            </w:r>
            <w:r>
              <w:rPr>
                <w:rFonts w:hint="eastAsia" w:ascii="Times New Roman" w:hAnsi="Times New Roman"/>
                <w:color w:val="000000" w:themeColor="text1"/>
                <w:w w:val="99"/>
                <w:szCs w:val="24"/>
                <w:highlight w:val="none"/>
                <w:lang w:val="en-US" w:eastAsia="zh-CN"/>
                <w14:textFill>
                  <w14:solidFill>
                    <w14:schemeClr w14:val="tx1"/>
                  </w14:solidFill>
                </w14:textFill>
              </w:rPr>
              <w:t>葡二联含油污水处理站</w:t>
            </w:r>
            <w:r>
              <w:rPr>
                <w:rFonts w:hint="eastAsia" w:ascii="Times New Roman" w:hAnsi="Times New Roman"/>
                <w:color w:val="000000" w:themeColor="text1"/>
                <w:w w:val="99"/>
                <w:szCs w:val="24"/>
                <w:highlight w:val="none"/>
                <w:lang w:val="en-US"/>
                <w14:textFill>
                  <w14:solidFill>
                    <w14:schemeClr w14:val="tx1"/>
                  </w14:solidFill>
                </w14:textFill>
              </w:rPr>
              <w:t>处理</w:t>
            </w:r>
            <w:r>
              <w:rPr>
                <w:rFonts w:hint="eastAsia" w:ascii="Times New Roman" w:hAnsi="Times New Roman"/>
                <w:color w:val="000000" w:themeColor="text1"/>
                <w:w w:val="99"/>
                <w:szCs w:val="24"/>
                <w:highlight w:val="none"/>
                <w14:textFill>
                  <w14:solidFill>
                    <w14:schemeClr w14:val="tx1"/>
                  </w14:solidFill>
                </w14:textFill>
              </w:rPr>
              <w:t>后满足《大庆油田地面工程建设设计规定》（Q/SYDQ 0639-2015）限值要求“</w:t>
            </w:r>
            <w:r>
              <w:rPr>
                <w:rFonts w:ascii="Times New Roman" w:hAnsi="Times New Roman" w:cs="Times New Roman"/>
                <w:color w:val="000000" w:themeColor="text1"/>
                <w:w w:val="99"/>
                <w:szCs w:val="24"/>
                <w:highlight w:val="none"/>
                <w14:textFill>
                  <w14:solidFill>
                    <w14:schemeClr w14:val="tx1"/>
                  </w14:solidFill>
                </w14:textFill>
              </w:rPr>
              <w:t>含油量≤10mg/L、悬浮固体含量≤5mg/L、粒径中值≤2μm</w:t>
            </w:r>
            <w:r>
              <w:rPr>
                <w:rFonts w:hint="eastAsia" w:ascii="Times New Roman" w:hAnsi="Times New Roman"/>
                <w:color w:val="000000" w:themeColor="text1"/>
                <w:w w:val="99"/>
                <w:szCs w:val="24"/>
                <w:highlight w:val="none"/>
                <w14:textFill>
                  <w14:solidFill>
                    <w14:schemeClr w14:val="tx1"/>
                  </w14:solidFill>
                </w14:textFill>
              </w:rPr>
              <w:t>”，处理后污水回注油层，属于回注到现役油气藏层位。本项目</w:t>
            </w:r>
            <w:r>
              <w:rPr>
                <w:rFonts w:ascii="Times New Roman" w:hAnsi="Times New Roman"/>
                <w:color w:val="000000" w:themeColor="text1"/>
                <w:w w:val="99"/>
                <w:szCs w:val="24"/>
                <w:highlight w:val="none"/>
                <w14:textFill>
                  <w14:solidFill>
                    <w14:schemeClr w14:val="tx1"/>
                  </w14:solidFill>
                </w14:textFill>
              </w:rPr>
              <w:t>未回注与</w:t>
            </w:r>
            <w:r>
              <w:rPr>
                <w:rFonts w:hint="eastAsia" w:ascii="Times New Roman" w:hAnsi="Times New Roman"/>
                <w:color w:val="000000" w:themeColor="text1"/>
                <w:w w:val="99"/>
                <w:szCs w:val="24"/>
                <w:highlight w:val="none"/>
                <w14:textFill>
                  <w14:solidFill>
                    <w14:schemeClr w14:val="tx1"/>
                  </w14:solidFill>
                </w14:textFill>
              </w:rPr>
              <w:t>项目</w:t>
            </w:r>
            <w:r>
              <w:rPr>
                <w:rFonts w:ascii="Times New Roman" w:hAnsi="Times New Roman"/>
                <w:color w:val="000000" w:themeColor="text1"/>
                <w:w w:val="99"/>
                <w:szCs w:val="24"/>
                <w:highlight w:val="none"/>
                <w14:textFill>
                  <w14:solidFill>
                    <w14:schemeClr w14:val="tx1"/>
                  </w14:solidFill>
                </w14:textFill>
              </w:rPr>
              <w:t>油气开采</w:t>
            </w:r>
            <w:r>
              <w:rPr>
                <w:rFonts w:hint="eastAsia" w:ascii="Times New Roman" w:hAnsi="Times New Roman"/>
                <w:color w:val="000000" w:themeColor="text1"/>
                <w:w w:val="99"/>
                <w:szCs w:val="24"/>
                <w:highlight w:val="none"/>
                <w14:textFill>
                  <w14:solidFill>
                    <w14:schemeClr w14:val="tx1"/>
                  </w14:solidFill>
                </w14:textFill>
              </w:rPr>
              <w:t>无关</w:t>
            </w:r>
            <w:r>
              <w:rPr>
                <w:rFonts w:ascii="Times New Roman" w:hAnsi="Times New Roman"/>
                <w:color w:val="000000" w:themeColor="text1"/>
                <w:w w:val="99"/>
                <w:szCs w:val="24"/>
                <w:highlight w:val="none"/>
                <w14:textFill>
                  <w14:solidFill>
                    <w14:schemeClr w14:val="tx1"/>
                  </w14:solidFill>
                </w14:textFill>
              </w:rPr>
              <w:t>的废水。</w:t>
            </w:r>
          </w:p>
        </w:tc>
        <w:tc>
          <w:tcPr>
            <w:tcW w:w="696"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50"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ascii="Times New Roman" w:hAnsi="Times New Roman"/>
                <w:color w:val="000000" w:themeColor="text1"/>
                <w:w w:val="99"/>
                <w:szCs w:val="24"/>
                <w:highlight w:val="none"/>
                <w14:textFill>
                  <w14:solidFill>
                    <w14:schemeClr w14:val="tx1"/>
                  </w14:solidFill>
                </w14:textFill>
              </w:rPr>
              <w:t>4</w:t>
            </w:r>
          </w:p>
        </w:tc>
        <w:tc>
          <w:tcPr>
            <w:tcW w:w="402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陆地油气开采项目的建设单位应当对挥发性有机物液体储存和装载损失、废水液面逸散、设备与管线组件泄漏、非正常工况等挥发性有机物无组织排放源进行有效管控，</w:t>
            </w:r>
            <w:r>
              <w:rPr>
                <w:rFonts w:ascii="Times New Roman" w:hAnsi="Times New Roman"/>
                <w:color w:val="000000" w:themeColor="text1"/>
                <w:w w:val="99"/>
                <w:szCs w:val="24"/>
                <w:highlight w:val="none"/>
                <w14:textFill>
                  <w14:solidFill>
                    <w14:schemeClr w14:val="tx1"/>
                  </w14:solidFill>
                </w14:textFill>
              </w:rPr>
              <w:t>通过采取设备密闭、废气有效收集及配套高效末端处理设施等措施，有效控制挥发性有机物和恶臭气体无组排放</w:t>
            </w:r>
            <w:r>
              <w:rPr>
                <w:rFonts w:hint="eastAsia" w:ascii="Times New Roman" w:hAnsi="Times New Roman"/>
                <w:color w:val="000000" w:themeColor="text1"/>
                <w:w w:val="99"/>
                <w:szCs w:val="24"/>
                <w:highlight w:val="none"/>
                <w14:textFill>
                  <w14:solidFill>
                    <w14:schemeClr w14:val="tx1"/>
                  </w14:solidFill>
                </w14:textFill>
              </w:rPr>
              <w:t>。</w:t>
            </w:r>
          </w:p>
        </w:tc>
        <w:tc>
          <w:tcPr>
            <w:tcW w:w="380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本</w:t>
            </w:r>
            <w:r>
              <w:rPr>
                <w:rFonts w:ascii="Times New Roman" w:hAnsi="Times New Roman"/>
                <w:color w:val="000000" w:themeColor="text1"/>
                <w:w w:val="99"/>
                <w:szCs w:val="24"/>
                <w:highlight w:val="none"/>
                <w14:textFill>
                  <w14:solidFill>
                    <w14:schemeClr w14:val="tx1"/>
                  </w14:solidFill>
                </w14:textFill>
              </w:rPr>
              <w:t>项目油井井口安装密封垫</w:t>
            </w:r>
            <w:r>
              <w:rPr>
                <w:rFonts w:hint="eastAsia" w:ascii="Times New Roman" w:hAnsi="Times New Roman"/>
                <w:color w:val="000000" w:themeColor="text1"/>
                <w:w w:val="99"/>
                <w:szCs w:val="24"/>
                <w:highlight w:val="none"/>
                <w14:textFill>
                  <w14:solidFill>
                    <w14:schemeClr w14:val="tx1"/>
                  </w14:solidFill>
                </w14:textFill>
              </w:rPr>
              <w:t>，降低了非甲烷总烃的挥发；采出液经管线</w:t>
            </w:r>
            <w:r>
              <w:rPr>
                <w:rFonts w:ascii="Times New Roman" w:hAnsi="Times New Roman"/>
                <w:color w:val="000000" w:themeColor="text1"/>
                <w:w w:val="99"/>
                <w:szCs w:val="24"/>
                <w:highlight w:val="none"/>
                <w14:textFill>
                  <w14:solidFill>
                    <w14:schemeClr w14:val="tx1"/>
                  </w14:solidFill>
                </w14:textFill>
              </w:rPr>
              <w:t>集输</w:t>
            </w:r>
            <w:r>
              <w:rPr>
                <w:rFonts w:hint="eastAsia" w:ascii="Times New Roman" w:hAnsi="Times New Roman"/>
                <w:color w:val="000000" w:themeColor="text1"/>
                <w:w w:val="99"/>
                <w:szCs w:val="24"/>
                <w:highlight w:val="none"/>
                <w14:textFill>
                  <w14:solidFill>
                    <w14:schemeClr w14:val="tx1"/>
                  </w14:solidFill>
                </w14:textFill>
              </w:rPr>
              <w:t>、转油站处理、</w:t>
            </w:r>
            <w:r>
              <w:rPr>
                <w:rFonts w:ascii="Times New Roman" w:hAnsi="Times New Roman"/>
                <w:color w:val="000000" w:themeColor="text1"/>
                <w:w w:val="99"/>
                <w:szCs w:val="24"/>
                <w:highlight w:val="none"/>
                <w14:textFill>
                  <w14:solidFill>
                    <w14:schemeClr w14:val="tx1"/>
                  </w14:solidFill>
                </w14:textFill>
              </w:rPr>
              <w:t>脱水后外输</w:t>
            </w:r>
            <w:r>
              <w:rPr>
                <w:rFonts w:hint="eastAsia" w:ascii="Times New Roman" w:hAnsi="Times New Roman"/>
                <w:color w:val="000000" w:themeColor="text1"/>
                <w:w w:val="99"/>
                <w:szCs w:val="24"/>
                <w:highlight w:val="none"/>
                <w14:textFill>
                  <w14:solidFill>
                    <w14:schemeClr w14:val="tx1"/>
                  </w14:solidFill>
                </w14:textFill>
              </w:rPr>
              <w:t>、</w:t>
            </w:r>
            <w:r>
              <w:rPr>
                <w:rFonts w:ascii="Times New Roman" w:hAnsi="Times New Roman"/>
                <w:color w:val="000000" w:themeColor="text1"/>
                <w:w w:val="99"/>
                <w:szCs w:val="24"/>
                <w:highlight w:val="none"/>
                <w14:textFill>
                  <w14:solidFill>
                    <w14:schemeClr w14:val="tx1"/>
                  </w14:solidFill>
                </w14:textFill>
              </w:rPr>
              <w:t>储存等全过程密闭</w:t>
            </w:r>
            <w:r>
              <w:rPr>
                <w:rFonts w:hint="eastAsia" w:ascii="Times New Roman" w:hAnsi="Times New Roman"/>
                <w:color w:val="000000" w:themeColor="text1"/>
                <w:w w:val="99"/>
                <w:szCs w:val="24"/>
                <w:highlight w:val="none"/>
                <w14:textFill>
                  <w14:solidFill>
                    <w14:schemeClr w14:val="tx1"/>
                  </w14:solidFill>
                </w14:textFill>
              </w:rPr>
              <w:t>，有效控制挥发性有机物无组织排放。同时</w:t>
            </w:r>
            <w:r>
              <w:rPr>
                <w:rFonts w:ascii="Times New Roman" w:hAnsi="Times New Roman"/>
                <w:color w:val="000000" w:themeColor="text1"/>
                <w:w w:val="99"/>
                <w:szCs w:val="24"/>
                <w:highlight w:val="none"/>
                <w14:textFill>
                  <w14:solidFill>
                    <w14:schemeClr w14:val="tx1"/>
                  </w14:solidFill>
                </w14:textFill>
              </w:rPr>
              <w:t>随产液一起采出的伴生气经油气分离</w:t>
            </w:r>
            <w:r>
              <w:rPr>
                <w:rFonts w:hint="eastAsia" w:ascii="Times New Roman" w:hAnsi="Times New Roman"/>
                <w:color w:val="000000" w:themeColor="text1"/>
                <w:w w:val="99"/>
                <w:szCs w:val="24"/>
                <w:highlight w:val="none"/>
                <w14:textFill>
                  <w14:solidFill>
                    <w14:schemeClr w14:val="tx1"/>
                  </w14:solidFill>
                </w14:textFill>
              </w:rPr>
              <w:t>器</w:t>
            </w:r>
            <w:r>
              <w:rPr>
                <w:rFonts w:ascii="Times New Roman" w:hAnsi="Times New Roman"/>
                <w:color w:val="000000" w:themeColor="text1"/>
                <w:w w:val="99"/>
                <w:szCs w:val="24"/>
                <w:highlight w:val="none"/>
                <w14:textFill>
                  <w14:solidFill>
                    <w14:schemeClr w14:val="tx1"/>
                  </w14:solidFill>
                </w14:textFill>
              </w:rPr>
              <w:t>装置处理后，进入</w:t>
            </w:r>
            <w:r>
              <w:rPr>
                <w:rFonts w:hint="eastAsia" w:ascii="Times New Roman" w:hAnsi="Times New Roman"/>
                <w:color w:val="000000" w:themeColor="text1"/>
                <w:w w:val="99"/>
                <w:szCs w:val="24"/>
                <w:highlight w:val="none"/>
                <w14:textFill>
                  <w14:solidFill>
                    <w14:schemeClr w14:val="tx1"/>
                  </w14:solidFill>
                </w14:textFill>
              </w:rPr>
              <w:t>天然气除油干燥器</w:t>
            </w:r>
            <w:r>
              <w:rPr>
                <w:rFonts w:ascii="Times New Roman" w:hAnsi="Times New Roman"/>
                <w:color w:val="000000" w:themeColor="text1"/>
                <w:w w:val="99"/>
                <w:szCs w:val="24"/>
                <w:highlight w:val="none"/>
                <w14:textFill>
                  <w14:solidFill>
                    <w14:schemeClr w14:val="tx1"/>
                  </w14:solidFill>
                </w14:textFill>
              </w:rPr>
              <w:t>进行天然气脱水、干燥，处理后用于</w:t>
            </w:r>
            <w:r>
              <w:rPr>
                <w:rFonts w:hint="eastAsia" w:ascii="Times New Roman" w:hAnsi="Times New Roman"/>
                <w:color w:val="000000" w:themeColor="text1"/>
                <w:w w:val="99"/>
                <w:szCs w:val="24"/>
                <w:highlight w:val="none"/>
                <w14:textFill>
                  <w14:solidFill>
                    <w14:schemeClr w14:val="tx1"/>
                  </w14:solidFill>
                </w14:textFill>
              </w:rPr>
              <w:t>依托场站</w:t>
            </w:r>
            <w:r>
              <w:rPr>
                <w:rFonts w:ascii="Times New Roman" w:hAnsi="Times New Roman"/>
                <w:color w:val="000000" w:themeColor="text1"/>
                <w:w w:val="99"/>
                <w:szCs w:val="24"/>
                <w:highlight w:val="none"/>
                <w14:textFill>
                  <w14:solidFill>
                    <w14:schemeClr w14:val="tx1"/>
                  </w14:solidFill>
                </w14:textFill>
              </w:rPr>
              <w:t>加热炉的自耗</w:t>
            </w:r>
            <w:r>
              <w:rPr>
                <w:rFonts w:hint="eastAsia" w:ascii="Times New Roman" w:hAnsi="Times New Roman"/>
                <w:color w:val="000000" w:themeColor="text1"/>
                <w:w w:val="99"/>
                <w:szCs w:val="24"/>
                <w:highlight w:val="none"/>
                <w14:textFill>
                  <w14:solidFill>
                    <w14:schemeClr w14:val="tx1"/>
                  </w14:solidFill>
                </w14:textFill>
              </w:rPr>
              <w:t>，伴生气处理均是在密闭的压力容器内进行，降低了非甲烷总烃的无组织挥发</w:t>
            </w:r>
            <w:r>
              <w:rPr>
                <w:rFonts w:ascii="Times New Roman" w:hAnsi="Times New Roman"/>
                <w:color w:val="000000" w:themeColor="text1"/>
                <w:w w:val="99"/>
                <w:szCs w:val="24"/>
                <w:highlight w:val="none"/>
                <w14:textFill>
                  <w14:solidFill>
                    <w14:schemeClr w14:val="tx1"/>
                  </w14:solidFill>
                </w14:textFill>
              </w:rPr>
              <w:t>。</w:t>
            </w:r>
            <w:r>
              <w:rPr>
                <w:rFonts w:hint="eastAsia" w:ascii="Times New Roman" w:hAnsi="Times New Roman"/>
                <w:color w:val="000000" w:themeColor="text1"/>
                <w:w w:val="99"/>
                <w:szCs w:val="24"/>
                <w:highlight w:val="none"/>
                <w14:textFill>
                  <w14:solidFill>
                    <w14:schemeClr w14:val="tx1"/>
                  </w14:solidFill>
                </w14:textFill>
              </w:rPr>
              <w:t>处理过程中</w:t>
            </w:r>
            <w:r>
              <w:rPr>
                <w:rFonts w:ascii="Times New Roman" w:hAnsi="Times New Roman"/>
                <w:color w:val="000000" w:themeColor="text1"/>
                <w:w w:val="99"/>
                <w:szCs w:val="24"/>
                <w:highlight w:val="none"/>
                <w14:textFill>
                  <w14:solidFill>
                    <w14:schemeClr w14:val="tx1"/>
                  </w14:solidFill>
                </w14:textFill>
              </w:rPr>
              <w:t>污水全部回收</w:t>
            </w:r>
            <w:r>
              <w:rPr>
                <w:rFonts w:hint="eastAsia" w:ascii="Times New Roman" w:hAnsi="Times New Roman"/>
                <w:color w:val="000000" w:themeColor="text1"/>
                <w:w w:val="99"/>
                <w:szCs w:val="24"/>
                <w:highlight w:val="none"/>
                <w14:textFill>
                  <w14:solidFill>
                    <w14:schemeClr w14:val="tx1"/>
                  </w14:solidFill>
                </w14:textFill>
              </w:rPr>
              <w:t>。</w:t>
            </w:r>
          </w:p>
        </w:tc>
        <w:tc>
          <w:tcPr>
            <w:tcW w:w="696"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50"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ascii="Times New Roman" w:hAnsi="Times New Roman"/>
                <w:color w:val="000000" w:themeColor="text1"/>
                <w:w w:val="99"/>
                <w:szCs w:val="24"/>
                <w:highlight w:val="none"/>
                <w14:textFill>
                  <w14:solidFill>
                    <w14:schemeClr w14:val="tx1"/>
                  </w14:solidFill>
                </w14:textFill>
              </w:rPr>
              <w:t>5</w:t>
            </w:r>
          </w:p>
        </w:tc>
        <w:tc>
          <w:tcPr>
            <w:tcW w:w="402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ascii="Times New Roman" w:hAnsi="Times New Roman"/>
                <w:color w:val="000000" w:themeColor="text1"/>
                <w:w w:val="99"/>
                <w:szCs w:val="24"/>
                <w:highlight w:val="none"/>
                <w14:textFill>
                  <w14:solidFill>
                    <w14:schemeClr w14:val="tx1"/>
                  </w14:solidFill>
                </w14:textFill>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380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本工程为产能建设地面工程，无钻井工程，施工期不产生水基泥浆、钻井废水等污染物；废包装袋和废</w:t>
            </w:r>
            <w:r>
              <w:rPr>
                <w:rFonts w:ascii="Times New Roman" w:hAnsi="Times New Roman"/>
                <w:color w:val="000000" w:themeColor="text1"/>
                <w:w w:val="99"/>
                <w:szCs w:val="24"/>
                <w:highlight w:val="none"/>
                <w14:textFill>
                  <w14:solidFill>
                    <w14:schemeClr w14:val="tx1"/>
                  </w14:solidFill>
                </w14:textFill>
              </w:rPr>
              <w:t>防渗布送至采油七厂工业固废</w:t>
            </w:r>
            <w:r>
              <w:rPr>
                <w:rFonts w:hint="eastAsia" w:ascii="Times New Roman" w:hAnsi="Times New Roman"/>
                <w:color w:val="000000" w:themeColor="text1"/>
                <w:w w:val="99"/>
                <w:szCs w:val="24"/>
                <w:highlight w:val="none"/>
                <w14:textFill>
                  <w14:solidFill>
                    <w14:schemeClr w14:val="tx1"/>
                  </w14:solidFill>
                </w14:textFill>
              </w:rPr>
              <w:t>填埋场，生活垃圾送至大庆市生活垃圾综合处理厂；含油污泥送葡萄花含油污泥处理站处理，</w:t>
            </w:r>
            <w:r>
              <w:rPr>
                <w:rFonts w:hint="eastAsia" w:ascii="Times New Roman" w:hAnsi="Times New Roman"/>
                <w:color w:val="000000" w:themeColor="text1"/>
                <w:w w:val="99"/>
                <w:szCs w:val="24"/>
                <w:highlight w:val="none"/>
                <w:lang w:val="en-US"/>
                <w14:textFill>
                  <w14:solidFill>
                    <w14:schemeClr w14:val="tx1"/>
                  </w14:solidFill>
                </w14:textFill>
              </w:rPr>
              <w:t>处理后的含油污泥满足</w:t>
            </w:r>
            <w:r>
              <w:rPr>
                <w:rFonts w:hint="eastAsia" w:ascii="Times New Roman" w:hAnsi="Times New Roman"/>
                <w:color w:val="000000" w:themeColor="text1"/>
                <w:w w:val="99"/>
                <w:szCs w:val="24"/>
                <w:highlight w:val="none"/>
                <w14:textFill>
                  <w14:solidFill>
                    <w14:schemeClr w14:val="tx1"/>
                  </w14:solidFill>
                </w14:textFill>
              </w:rPr>
              <w:t>油田含油污泥综合利用污染控制标准》（DB23/T1413-2010）</w:t>
            </w:r>
            <w:r>
              <w:rPr>
                <w:rFonts w:hint="eastAsia" w:ascii="Times New Roman" w:hAnsi="Times New Roman"/>
                <w:color w:val="000000" w:themeColor="text1"/>
                <w:w w:val="99"/>
                <w:szCs w:val="24"/>
                <w:highlight w:val="none"/>
                <w:lang w:val="en-US"/>
                <w14:textFill>
                  <w14:solidFill>
                    <w14:schemeClr w14:val="tx1"/>
                  </w14:solidFill>
                </w14:textFill>
              </w:rPr>
              <w:t>后用于井场及通井路的平整</w:t>
            </w:r>
            <w:r>
              <w:rPr>
                <w:rFonts w:hint="eastAsia" w:ascii="Times New Roman" w:hAnsi="Times New Roman"/>
                <w:color w:val="000000" w:themeColor="text1"/>
                <w:w w:val="99"/>
                <w:szCs w:val="24"/>
                <w:highlight w:val="none"/>
                <w14:textFill>
                  <w14:solidFill>
                    <w14:schemeClr w14:val="tx1"/>
                  </w14:solidFill>
                </w14:textFill>
              </w:rPr>
              <w:t>；含油废防渗布属于危险废物，定期送至有资质单位进行处置。</w:t>
            </w:r>
          </w:p>
        </w:tc>
        <w:tc>
          <w:tcPr>
            <w:tcW w:w="696"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50"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ascii="Times New Roman" w:hAnsi="Times New Roman"/>
                <w:color w:val="000000" w:themeColor="text1"/>
                <w:w w:val="99"/>
                <w:szCs w:val="24"/>
                <w:highlight w:val="none"/>
                <w14:textFill>
                  <w14:solidFill>
                    <w14:schemeClr w14:val="tx1"/>
                  </w14:solidFill>
                </w14:textFill>
              </w:rPr>
              <w:t>6</w:t>
            </w:r>
          </w:p>
        </w:tc>
        <w:tc>
          <w:tcPr>
            <w:tcW w:w="402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380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施工期管线均在临时</w:t>
            </w:r>
            <w:r>
              <w:rPr>
                <w:rFonts w:ascii="Times New Roman" w:hAnsi="Times New Roman"/>
                <w:color w:val="000000" w:themeColor="text1"/>
                <w:w w:val="99"/>
                <w:szCs w:val="24"/>
                <w:highlight w:val="none"/>
                <w14:textFill>
                  <w14:solidFill>
                    <w14:schemeClr w14:val="tx1"/>
                  </w14:solidFill>
                </w14:textFill>
              </w:rPr>
              <w:t>用地内进行施工，施工采用人工开挖和机械开挖相结合的方式</w:t>
            </w:r>
            <w:r>
              <w:rPr>
                <w:rFonts w:hint="eastAsia" w:ascii="Times New Roman" w:hAnsi="Times New Roman"/>
                <w:color w:val="000000" w:themeColor="text1"/>
                <w:w w:val="99"/>
                <w:szCs w:val="24"/>
                <w:highlight w:val="none"/>
                <w14:textFill>
                  <w14:solidFill>
                    <w14:schemeClr w14:val="tx1"/>
                  </w14:solidFill>
                </w14:textFill>
              </w:rPr>
              <w:t>，充分</w:t>
            </w:r>
            <w:r>
              <w:rPr>
                <w:rFonts w:ascii="Times New Roman" w:hAnsi="Times New Roman"/>
                <w:color w:val="000000" w:themeColor="text1"/>
                <w:w w:val="99"/>
                <w:szCs w:val="24"/>
                <w:highlight w:val="none"/>
                <w14:textFill>
                  <w14:solidFill>
                    <w14:schemeClr w14:val="tx1"/>
                  </w14:solidFill>
                </w14:textFill>
              </w:rPr>
              <w:t>利用现有</w:t>
            </w:r>
            <w:r>
              <w:rPr>
                <w:rFonts w:hint="eastAsia" w:ascii="Times New Roman" w:hAnsi="Times New Roman"/>
                <w:color w:val="000000" w:themeColor="text1"/>
                <w:w w:val="99"/>
                <w:szCs w:val="24"/>
                <w:highlight w:val="none"/>
                <w14:textFill>
                  <w14:solidFill>
                    <w14:schemeClr w14:val="tx1"/>
                  </w14:solidFill>
                </w14:textFill>
              </w:rPr>
              <w:t>井场和道路，减少</w:t>
            </w:r>
            <w:r>
              <w:rPr>
                <w:rFonts w:ascii="Times New Roman" w:hAnsi="Times New Roman"/>
                <w:color w:val="000000" w:themeColor="text1"/>
                <w:w w:val="99"/>
                <w:szCs w:val="24"/>
                <w:highlight w:val="none"/>
                <w14:textFill>
                  <w14:solidFill>
                    <w14:schemeClr w14:val="tx1"/>
                  </w14:solidFill>
                </w14:textFill>
              </w:rPr>
              <w:t>占地</w:t>
            </w:r>
            <w:r>
              <w:rPr>
                <w:rFonts w:hint="eastAsia" w:ascii="Times New Roman" w:hAnsi="Times New Roman"/>
                <w:color w:val="000000" w:themeColor="text1"/>
                <w:w w:val="99"/>
                <w:szCs w:val="24"/>
                <w:highlight w:val="none"/>
                <w14:textFill>
                  <w14:solidFill>
                    <w14:schemeClr w14:val="tx1"/>
                  </w14:solidFill>
                </w14:textFill>
              </w:rPr>
              <w:t>。</w:t>
            </w:r>
            <w:r>
              <w:rPr>
                <w:rFonts w:ascii="Times New Roman" w:hAnsi="Times New Roman"/>
                <w:color w:val="000000" w:themeColor="text1"/>
                <w:w w:val="99"/>
                <w:szCs w:val="24"/>
                <w:highlight w:val="none"/>
                <w14:textFill>
                  <w14:solidFill>
                    <w14:schemeClr w14:val="tx1"/>
                  </w14:solidFill>
                </w14:textFill>
              </w:rPr>
              <w:t>制定</w:t>
            </w:r>
            <w:r>
              <w:rPr>
                <w:rFonts w:hint="eastAsia" w:ascii="Times New Roman" w:hAnsi="Times New Roman"/>
                <w:color w:val="000000" w:themeColor="text1"/>
                <w:w w:val="99"/>
                <w:szCs w:val="24"/>
                <w:highlight w:val="none"/>
                <w14:textFill>
                  <w14:solidFill>
                    <w14:schemeClr w14:val="tx1"/>
                  </w14:solidFill>
                </w14:textFill>
              </w:rPr>
              <w:t>施工方案</w:t>
            </w:r>
            <w:r>
              <w:rPr>
                <w:rFonts w:ascii="Times New Roman" w:hAnsi="Times New Roman"/>
                <w:color w:val="000000" w:themeColor="text1"/>
                <w:w w:val="99"/>
                <w:szCs w:val="24"/>
                <w:highlight w:val="none"/>
                <w14:textFill>
                  <w14:solidFill>
                    <w14:schemeClr w14:val="tx1"/>
                  </w14:solidFill>
                </w14:textFill>
              </w:rPr>
              <w:t>和流程，</w:t>
            </w:r>
            <w:r>
              <w:rPr>
                <w:rFonts w:hint="eastAsia" w:ascii="Times New Roman" w:hAnsi="Times New Roman"/>
                <w:color w:val="000000" w:themeColor="text1"/>
                <w:w w:val="99"/>
                <w:szCs w:val="24"/>
                <w:highlight w:val="none"/>
                <w14:textFill>
                  <w14:solidFill>
                    <w14:schemeClr w14:val="tx1"/>
                  </w14:solidFill>
                </w14:textFill>
              </w:rPr>
              <w:t>压缩</w:t>
            </w:r>
            <w:r>
              <w:rPr>
                <w:rFonts w:ascii="Times New Roman" w:hAnsi="Times New Roman"/>
                <w:color w:val="000000" w:themeColor="text1"/>
                <w:w w:val="99"/>
                <w:szCs w:val="24"/>
                <w:highlight w:val="none"/>
                <w14:textFill>
                  <w14:solidFill>
                    <w14:schemeClr w14:val="tx1"/>
                  </w14:solidFill>
                </w14:textFill>
              </w:rPr>
              <w:t>施工时间。</w:t>
            </w:r>
            <w:r>
              <w:rPr>
                <w:rFonts w:hint="eastAsia" w:ascii="Times New Roman" w:hAnsi="Times New Roman"/>
                <w:color w:val="000000" w:themeColor="text1"/>
                <w:w w:val="99"/>
                <w:szCs w:val="24"/>
                <w:highlight w:val="none"/>
                <w14:textFill>
                  <w14:solidFill>
                    <w14:schemeClr w14:val="tx1"/>
                  </w14:solidFill>
                </w14:textFill>
              </w:rPr>
              <w:t>本项目为产能建设工程，无钻井工程内容</w:t>
            </w:r>
            <w:r>
              <w:rPr>
                <w:rFonts w:ascii="Times New Roman" w:hAnsi="Times New Roman"/>
                <w:color w:val="000000" w:themeColor="text1"/>
                <w:w w:val="99"/>
                <w:szCs w:val="24"/>
                <w:highlight w:val="none"/>
                <w14:textFill>
                  <w14:solidFill>
                    <w14:schemeClr w14:val="tx1"/>
                  </w14:solidFill>
                </w14:textFill>
              </w:rPr>
              <w:t>。</w:t>
            </w:r>
          </w:p>
        </w:tc>
        <w:tc>
          <w:tcPr>
            <w:tcW w:w="696"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50"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ascii="Times New Roman" w:hAnsi="Times New Roman"/>
                <w:color w:val="000000" w:themeColor="text1"/>
                <w:w w:val="99"/>
                <w:szCs w:val="24"/>
                <w:highlight w:val="none"/>
                <w14:textFill>
                  <w14:solidFill>
                    <w14:schemeClr w14:val="tx1"/>
                  </w14:solidFill>
                </w14:textFill>
              </w:rPr>
              <w:t>7</w:t>
            </w:r>
          </w:p>
        </w:tc>
        <w:tc>
          <w:tcPr>
            <w:tcW w:w="402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油气企业应当加强风险防控，按规定编制突发环境事件应急预案，报所在地生态环境主管部门备案。</w:t>
            </w:r>
          </w:p>
        </w:tc>
        <w:tc>
          <w:tcPr>
            <w:tcW w:w="380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lang w:val="en-US"/>
                <w14:textFill>
                  <w14:solidFill>
                    <w14:schemeClr w14:val="tx1"/>
                  </w14:solidFill>
                </w14:textFill>
              </w:rPr>
              <w:t>大庆油田有限责任公司已编制发布突发环境事件专项应急预案，该预案已于2018年1月10日在原大庆市环境保护局备案。第七采油厂</w:t>
            </w:r>
            <w:r>
              <w:rPr>
                <w:rFonts w:ascii="Times New Roman" w:hAnsi="Times New Roman"/>
                <w:color w:val="000000" w:themeColor="text1"/>
                <w:w w:val="99"/>
                <w:szCs w:val="24"/>
                <w:highlight w:val="none"/>
                <w:lang w:val="en-US"/>
                <w14:textFill>
                  <w14:solidFill>
                    <w14:schemeClr w14:val="tx1"/>
                  </w14:solidFill>
                </w14:textFill>
              </w:rPr>
              <w:t>已建立较完善的应急预案体系，综合性预案为《</w:t>
            </w:r>
            <w:r>
              <w:rPr>
                <w:rFonts w:hint="eastAsia" w:ascii="Times New Roman" w:hAnsi="Times New Roman"/>
                <w:color w:val="000000" w:themeColor="text1"/>
                <w:w w:val="99"/>
                <w:szCs w:val="24"/>
                <w:highlight w:val="none"/>
                <w:lang w:val="en-US"/>
                <w14:textFill>
                  <w14:solidFill>
                    <w14:schemeClr w14:val="tx1"/>
                  </w14:solidFill>
                </w14:textFill>
              </w:rPr>
              <w:t>大庆油田有限责任公司第七采油厂</w:t>
            </w:r>
            <w:r>
              <w:rPr>
                <w:rFonts w:ascii="Times New Roman" w:hAnsi="Times New Roman"/>
                <w:color w:val="000000" w:themeColor="text1"/>
                <w:w w:val="99"/>
                <w:szCs w:val="24"/>
                <w:highlight w:val="none"/>
                <w:lang w:val="en-US"/>
                <w14:textFill>
                  <w14:solidFill>
                    <w14:schemeClr w14:val="tx1"/>
                  </w14:solidFill>
                </w14:textFill>
              </w:rPr>
              <w:t>突发事件总体应急预案》，</w:t>
            </w:r>
            <w:r>
              <w:rPr>
                <w:rFonts w:hint="eastAsia" w:ascii="Times New Roman" w:hAnsi="Times New Roman"/>
                <w:color w:val="000000" w:themeColor="text1"/>
                <w:w w:val="99"/>
                <w:szCs w:val="24"/>
                <w:highlight w:val="none"/>
                <w:lang w:val="en-US"/>
                <w14:textFill>
                  <w14:solidFill>
                    <w14:schemeClr w14:val="tx1"/>
                  </w14:solidFill>
                </w14:textFill>
              </w:rPr>
              <w:t>以及</w:t>
            </w:r>
            <w:r>
              <w:rPr>
                <w:rFonts w:ascii="Times New Roman" w:hAnsi="Times New Roman"/>
                <w:color w:val="000000" w:themeColor="text1"/>
                <w:w w:val="99"/>
                <w:szCs w:val="24"/>
                <w:highlight w:val="none"/>
                <w:lang w:val="en-US"/>
                <w14:textFill>
                  <w14:solidFill>
                    <w14:schemeClr w14:val="tx1"/>
                  </w14:solidFill>
                </w14:textFill>
              </w:rPr>
              <w:t>《环境突发事件专项应急预案》、《生产场所突发火灾、爆炸事件专项应急预案》、《井喷失控突发事件专项应急预案》、《油气集输系统突发事故专项应急预案》、《洪涝灾害专项预案》等专项应急预案，预案中</w:t>
            </w:r>
            <w:r>
              <w:rPr>
                <w:rFonts w:hint="eastAsia" w:ascii="Times New Roman" w:hAnsi="Times New Roman"/>
                <w:color w:val="000000" w:themeColor="text1"/>
                <w:w w:val="99"/>
                <w:szCs w:val="24"/>
                <w:highlight w:val="none"/>
                <w:lang w:val="en-US"/>
                <w14:textFill>
                  <w14:solidFill>
                    <w14:schemeClr w14:val="tx1"/>
                  </w14:solidFill>
                </w14:textFill>
              </w:rPr>
              <w:t>明确了</w:t>
            </w:r>
            <w:r>
              <w:rPr>
                <w:rFonts w:ascii="Times New Roman" w:hAnsi="Times New Roman"/>
                <w:color w:val="000000" w:themeColor="text1"/>
                <w:w w:val="99"/>
                <w:szCs w:val="24"/>
                <w:highlight w:val="none"/>
                <w:lang w:val="en-US"/>
                <w14:textFill>
                  <w14:solidFill>
                    <w14:schemeClr w14:val="tx1"/>
                  </w14:solidFill>
                </w14:textFill>
              </w:rPr>
              <w:t>应急救援任务和目标、原则、组织机构、应急救援职责、突发事件信息报送及处置、应急响应和处置、应急措施以及应急救援值班电话和联络电话，充分保证了项目运行期发生的风险事故得到及时救援和处理，降低了环境风险的危害，能够满足应急要求</w:t>
            </w:r>
            <w:r>
              <w:rPr>
                <w:rFonts w:hint="eastAsia" w:ascii="Times New Roman" w:hAnsi="Times New Roman"/>
                <w:color w:val="000000" w:themeColor="text1"/>
                <w:w w:val="99"/>
                <w:szCs w:val="24"/>
                <w:highlight w:val="none"/>
                <w:lang w:val="en-US"/>
                <w14:textFill>
                  <w14:solidFill>
                    <w14:schemeClr w14:val="tx1"/>
                  </w14:solidFill>
                </w14:textFill>
              </w:rPr>
              <w:t>，详见附件</w:t>
            </w:r>
            <w:r>
              <w:rPr>
                <w:rFonts w:ascii="Times New Roman" w:hAnsi="Times New Roman"/>
                <w:color w:val="000000" w:themeColor="text1"/>
                <w:w w:val="99"/>
                <w:szCs w:val="24"/>
                <w:highlight w:val="none"/>
                <w:lang w:val="en-US"/>
                <w14:textFill>
                  <w14:solidFill>
                    <w14:schemeClr w14:val="tx1"/>
                  </w14:solidFill>
                </w14:textFill>
              </w:rPr>
              <w:t>3</w:t>
            </w:r>
            <w:r>
              <w:rPr>
                <w:rFonts w:hint="eastAsia" w:ascii="Times New Roman" w:hAnsi="Times New Roman"/>
                <w:color w:val="000000" w:themeColor="text1"/>
                <w:w w:val="99"/>
                <w:szCs w:val="24"/>
                <w:highlight w:val="none"/>
                <w:lang w:val="en-US"/>
                <w14:textFill>
                  <w14:solidFill>
                    <w14:schemeClr w14:val="tx1"/>
                  </w14:solidFill>
                </w14:textFill>
              </w:rPr>
              <w:t>。</w:t>
            </w:r>
          </w:p>
        </w:tc>
        <w:tc>
          <w:tcPr>
            <w:tcW w:w="696"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w:t>
            </w:r>
          </w:p>
        </w:tc>
      </w:tr>
    </w:tbl>
    <w:p>
      <w:pPr>
        <w:keepNext w:val="0"/>
        <w:keepLines w:val="0"/>
        <w:pageBreakBefore w:val="0"/>
        <w:widowControl w:val="0"/>
        <w:kinsoku/>
        <w:wordWrap/>
        <w:overflowPunct/>
        <w:topLinePunct w:val="0"/>
        <w:autoSpaceDE w:val="0"/>
        <w:autoSpaceDN w:val="0"/>
        <w:bidi w:val="0"/>
        <w:adjustRightInd/>
        <w:snapToGrid/>
        <w:spacing w:line="440" w:lineRule="exact"/>
        <w:ind w:firstLine="476" w:firstLineChars="200"/>
        <w:jc w:val="both"/>
        <w:textAlignment w:val="auto"/>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1.4.2.8</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 xml:space="preserve"> 与《黑龙江省重点行业挥发性有机物综合治理行动方案》（黑环发〔2019〕153号）符合性判定</w:t>
      </w:r>
    </w:p>
    <w:p>
      <w:pPr>
        <w:adjustRightInd w:val="0"/>
        <w:snapToGrid w:val="0"/>
        <w:jc w:val="center"/>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表1.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w:t>
      </w:r>
      <w:r>
        <w:rPr>
          <w:rFonts w:ascii="Times New Roman" w:hAnsi="Times New Roman" w:cs="Times New Roman"/>
          <w:b/>
          <w:bCs/>
          <w:color w:val="000000" w:themeColor="text1"/>
          <w:w w:val="99"/>
          <w:sz w:val="24"/>
          <w:szCs w:val="24"/>
          <w:highlight w:val="none"/>
          <w:lang w:val="en-US"/>
          <w14:textFill>
            <w14:solidFill>
              <w14:schemeClr w14:val="tx1"/>
            </w14:solidFill>
          </w14:textFill>
        </w:rPr>
        <w:t>3</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本工程与《黑龙江省重点行业挥发性有机物综合治理行动方案》相关要求符合性判定</w:t>
      </w:r>
    </w:p>
    <w:tbl>
      <w:tblPr>
        <w:tblStyle w:val="32"/>
        <w:tblW w:w="9180"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Layout w:type="fixed"/>
        <w:tblCellMar>
          <w:top w:w="0" w:type="dxa"/>
          <w:left w:w="108" w:type="dxa"/>
          <w:bottom w:w="0" w:type="dxa"/>
          <w:right w:w="108" w:type="dxa"/>
        </w:tblCellMar>
      </w:tblPr>
      <w:tblGrid>
        <w:gridCol w:w="657"/>
        <w:gridCol w:w="1577"/>
        <w:gridCol w:w="4434"/>
        <w:gridCol w:w="251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5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序号</w:t>
            </w:r>
          </w:p>
        </w:tc>
        <w:tc>
          <w:tcPr>
            <w:tcW w:w="157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类别</w:t>
            </w:r>
          </w:p>
        </w:tc>
        <w:tc>
          <w:tcPr>
            <w:tcW w:w="4434"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相关要求</w:t>
            </w:r>
          </w:p>
        </w:tc>
        <w:tc>
          <w:tcPr>
            <w:tcW w:w="2512"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本工程符合性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5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1</w:t>
            </w:r>
          </w:p>
        </w:tc>
        <w:tc>
          <w:tcPr>
            <w:tcW w:w="157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加强政策引导</w:t>
            </w:r>
          </w:p>
        </w:tc>
        <w:tc>
          <w:tcPr>
            <w:tcW w:w="4434"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2512"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本工程为石油开采工程，</w:t>
            </w:r>
            <w:r>
              <w:rPr>
                <w:rFonts w:hint="eastAsia" w:ascii="Times New Roman" w:hAnsi="Times New Roman"/>
                <w:color w:val="000000" w:themeColor="text1"/>
                <w:w w:val="99"/>
                <w:szCs w:val="24"/>
                <w:highlight w:val="none"/>
                <w:lang w:val="en-US"/>
                <w14:textFill>
                  <w14:solidFill>
                    <w14:schemeClr w14:val="tx1"/>
                  </w14:solidFill>
                </w14:textFill>
              </w:rPr>
              <w:t>在石油开采集输的过程中采取了</w:t>
            </w:r>
            <w:r>
              <w:rPr>
                <w:rFonts w:hint="eastAsia" w:ascii="Times New Roman" w:hAnsi="Times New Roman"/>
                <w:color w:val="000000" w:themeColor="text1"/>
                <w:w w:val="99"/>
                <w:szCs w:val="24"/>
                <w:highlight w:val="none"/>
                <w:lang w:val="en-US" w:eastAsia="zh-CN"/>
                <w14:textFill>
                  <w14:solidFill>
                    <w14:schemeClr w14:val="tx1"/>
                  </w14:solidFill>
                </w14:textFill>
              </w:rPr>
              <w:t>注入管线</w:t>
            </w:r>
            <w:r>
              <w:rPr>
                <w:rFonts w:hint="eastAsia" w:ascii="Times New Roman" w:hAnsi="Times New Roman"/>
                <w:color w:val="000000" w:themeColor="text1"/>
                <w:w w:val="99"/>
                <w:szCs w:val="24"/>
                <w:highlight w:val="none"/>
                <w:lang w:val="en-US"/>
                <w14:textFill>
                  <w14:solidFill>
                    <w14:schemeClr w14:val="tx1"/>
                  </w14:solidFill>
                </w14:textFill>
              </w:rPr>
              <w:t>密闭输送等措施来控制挥发性气体的扩散，且本工程在采油井井口安装了密封垫，在采取了上述措施后，本项目的建设符合《黑龙江省重点行业挥发性有机物综合治理行动方案》。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5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2</w:t>
            </w:r>
          </w:p>
        </w:tc>
        <w:tc>
          <w:tcPr>
            <w:tcW w:w="157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加强设备与场所密闭管理</w:t>
            </w:r>
          </w:p>
        </w:tc>
        <w:tc>
          <w:tcPr>
            <w:tcW w:w="4434"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含 VOCs 物料应储存于密闭容器、包装袋，高效密封储罐，封闭式储库、料仓等。含VOCs 物料转移和输送，应采用密闭管道或密闭容器、罐车等。</w:t>
            </w:r>
          </w:p>
        </w:tc>
        <w:tc>
          <w:tcPr>
            <w:tcW w:w="2512"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5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3</w:t>
            </w:r>
          </w:p>
        </w:tc>
        <w:tc>
          <w:tcPr>
            <w:tcW w:w="157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推进使用先进生产工艺</w:t>
            </w:r>
          </w:p>
        </w:tc>
        <w:tc>
          <w:tcPr>
            <w:tcW w:w="4434"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通过采用全密闭、连续化、自动化等生产技术，以及高效工艺与设备等，减少工艺过程无组织排放。挥发性有机液体装载优先采用底部装载方式。</w:t>
            </w:r>
          </w:p>
        </w:tc>
        <w:tc>
          <w:tcPr>
            <w:tcW w:w="2512"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5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4</w:t>
            </w:r>
          </w:p>
        </w:tc>
        <w:tc>
          <w:tcPr>
            <w:tcW w:w="157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加大废水集输系统改造力度</w:t>
            </w:r>
          </w:p>
        </w:tc>
        <w:tc>
          <w:tcPr>
            <w:tcW w:w="4434"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哈尔滨市、大庆市现有重点企业通过采取密闭管道等措施逐步替代地漏、沟、渠、井等敞开式集输方式。</w:t>
            </w:r>
          </w:p>
        </w:tc>
        <w:tc>
          <w:tcPr>
            <w:tcW w:w="2512"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p>
        </w:tc>
      </w:tr>
    </w:tbl>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1.4.2.9</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与《石油天然气开采业污染防治技术政策》（环保部公告2012年第18号）符合性判定</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textAlignment w:val="auto"/>
        <w:rPr>
          <w:rFonts w:ascii="Times New Roman" w:hAnsi="Times New Roman" w:cs="Times New Roman" w:eastAsiaTheme="majorEastAsia"/>
          <w:color w:val="000000" w:themeColor="text1"/>
          <w:w w:val="99"/>
          <w:sz w:val="24"/>
          <w:szCs w:val="32"/>
          <w:highlight w:val="none"/>
          <w:lang w:val="en-US"/>
          <w14:textFill>
            <w14:solidFill>
              <w14:schemeClr w14:val="tx1"/>
            </w14:solidFill>
          </w14:textFill>
        </w:rPr>
      </w:pP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根据《挥发性有机物（VOCs）污染防治技术政策》要求，石油和天然气开采业的VOCs污染防治可参照相应的污染防治技术政策。</w:t>
      </w:r>
    </w:p>
    <w:p>
      <w:pPr>
        <w:adjustRightInd w:val="0"/>
        <w:snapToGrid w:val="0"/>
        <w:spacing w:line="440" w:lineRule="exact"/>
        <w:jc w:val="cente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pPr>
      <w:r>
        <w:rPr>
          <w:rFonts w:hint="eastAsia"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表1.</w:t>
      </w:r>
      <w:r>
        <w:rPr>
          <w:rFonts w:hint="eastAsia" w:ascii="Times New Roman" w:hAnsi="Times New Roman" w:cs="Times New Roman" w:eastAsiaTheme="majorEastAsia"/>
          <w:b/>
          <w:bCs/>
          <w:color w:val="000000" w:themeColor="text1"/>
          <w:w w:val="99"/>
          <w:sz w:val="24"/>
          <w:szCs w:val="32"/>
          <w:highlight w:val="none"/>
          <w:lang w:val="en-US" w:eastAsia="zh-CN"/>
          <w14:textFill>
            <w14:solidFill>
              <w14:schemeClr w14:val="tx1"/>
            </w14:solidFill>
          </w14:textFill>
        </w:rPr>
        <w:t>4</w:t>
      </w:r>
      <w:r>
        <w:rPr>
          <w:rFonts w:hint="eastAsia"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w:t>
      </w: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4</w:t>
      </w:r>
      <w:r>
        <w:rPr>
          <w:rFonts w:hint="eastAsia"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 xml:space="preserve"> </w:t>
      </w:r>
      <w:r>
        <w:rPr>
          <w:rFonts w:hint="eastAsia" w:ascii="Times New Roman" w:hAnsi="Times New Roman" w:cs="Times New Roman" w:eastAsiaTheme="majorEastAsia"/>
          <w:b/>
          <w:bCs/>
          <w:color w:val="000000" w:themeColor="text1"/>
          <w:w w:val="99"/>
          <w:sz w:val="24"/>
          <w:szCs w:val="32"/>
          <w:highlight w:val="none"/>
          <w:lang w:val="en-US" w:eastAsia="zh-CN"/>
          <w14:textFill>
            <w14:solidFill>
              <w14:schemeClr w14:val="tx1"/>
            </w14:solidFill>
          </w14:textFill>
        </w:rPr>
        <w:t xml:space="preserve">      </w:t>
      </w:r>
      <w:r>
        <w:rPr>
          <w:rFonts w:hint="eastAsia"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本工程与《石油天然气开采业污染防治技术政策》相关要求符合性</w:t>
      </w:r>
    </w:p>
    <w:tbl>
      <w:tblPr>
        <w:tblStyle w:val="32"/>
        <w:tblW w:w="9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337"/>
        <w:gridCol w:w="3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序号</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相关要求</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本工程符合性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1</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到2015年末，行业新、改、扩建项目均采用清洁生产工艺和技术，工业废水回用率达到90%以上，工业固体废物资源化及无害化处理处置率达到100%。</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符合。本项目运行期作业废水回用率100%，工业固废（落地油、含油废弃防渗布、含油污泥）均得到妥善处置。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2</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油气田建设应总体规划，优化布局，整体开发，减少占地和油气损失，实现油气和废物的集中收集、处理处置。</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符合。本项目为现有区块的改扩建项目，油气处置和废物收集处置均依托现有集中处置站场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3</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井下作业过程中应配备泄油器、刮油器等。落地原油应及时回收，落地原油回收率应达到100%。</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符合。井下作业过程中配备泄油器、刮油器等配套措施，落地油在施工结束后100%回收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4</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在开发过程中，适宜注水开采的油气田，应将采出水处理满足标准后回注。</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符合。本项目采出水均处理达标后回注油层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5</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在油气集输过程中，应采用密闭流程，减少烃类气体排放。新、改、扩建油气田油气集输损耗率不高于0.5%</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符合。本项目油气集输均采用密闭流程，集输过程中烃类挥发系数为</w:t>
            </w:r>
            <w:r>
              <w:rPr>
                <w:rFonts w:hint="eastAsia" w:ascii="Times New Roman" w:hAnsi="Times New Roman"/>
                <w:color w:val="000000" w:themeColor="text1"/>
                <w:w w:val="99"/>
                <w:szCs w:val="24"/>
                <w:highlight w:val="none"/>
                <w:lang w:val="en-US" w:eastAsia="zh-CN"/>
                <w14:textFill>
                  <w14:solidFill>
                    <w14:schemeClr w14:val="tx1"/>
                  </w14:solidFill>
                </w14:textFill>
              </w:rPr>
              <w:t>0.</w:t>
            </w:r>
            <w:r>
              <w:rPr>
                <w:rFonts w:hint="eastAsia" w:ascii="Times New Roman" w:hAnsi="Times New Roman"/>
                <w:color w:val="000000" w:themeColor="text1"/>
                <w:w w:val="99"/>
                <w:szCs w:val="24"/>
                <w:highlight w:val="none"/>
                <w14:textFill>
                  <w14:solidFill>
                    <w14:schemeClr w14:val="tx1"/>
                  </w14:solidFill>
                </w14:textFill>
              </w:rPr>
              <w:t>14175</w:t>
            </w:r>
            <w:r>
              <w:rPr>
                <w:rFonts w:hint="eastAsia" w:ascii="Times New Roman" w:hAnsi="Times New Roman"/>
                <w:color w:val="000000" w:themeColor="text1"/>
                <w:w w:val="99"/>
                <w:szCs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6</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油气田建设宜布置丛式井组，采用多分支井、水平井、小孔钻井、空气钻井等钻井技术，以减少废物产生和占地。</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符合。本项目为调驱驱油工程，未增加新井或采油设备，井场无新增占地。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7</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在开发过程中，伴生气应回收利用，减少温室气体排放，不具备回收利用条件的，应充分燃烧，伴生气回收利用率应达到80%以上；站场放空天然气应充分燃烧。</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en-US"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符合。本项目开发过程中产生的伴生气经油气分离，分离出的湿伴生气进入联合站内现有天然气除油器脱水除油后作为燃料自用，不外排。</w:t>
            </w:r>
            <w:r>
              <w:rPr>
                <w:rFonts w:hint="eastAsia" w:ascii="Times New Roman" w:hAnsi="Times New Roman"/>
                <w:color w:val="000000" w:themeColor="text1"/>
                <w:w w:val="99"/>
                <w:szCs w:val="24"/>
                <w:highlight w:val="none"/>
                <w:lang w:val="en-US"/>
                <w14:textFill>
                  <w14:solidFill>
                    <w14:schemeClr w14:val="tx1"/>
                  </w14:solidFill>
                </w14:textFill>
              </w:rPr>
              <w:t>各天然气场站放空均通过火炬燃烧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8</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应设立地下水水质监测井，加强对油气田地下水水质的监控，防止回注过程对地下水造成污染。</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en-US"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符合。本项目设置了</w:t>
            </w:r>
            <w:r>
              <w:rPr>
                <w:rFonts w:hint="eastAsia" w:ascii="Times New Roman" w:hAnsi="Times New Roman"/>
                <w:color w:val="000000" w:themeColor="text1"/>
                <w:w w:val="99"/>
                <w:szCs w:val="24"/>
                <w:highlight w:val="none"/>
                <w:lang w:val="en-US" w:eastAsia="zh-CN"/>
                <w14:textFill>
                  <w14:solidFill>
                    <w14:schemeClr w14:val="tx1"/>
                  </w14:solidFill>
                </w14:textFill>
              </w:rPr>
              <w:t>3</w:t>
            </w:r>
            <w:r>
              <w:rPr>
                <w:rFonts w:hint="eastAsia" w:ascii="Times New Roman" w:hAnsi="Times New Roman"/>
                <w:color w:val="000000" w:themeColor="text1"/>
                <w:w w:val="99"/>
                <w:szCs w:val="24"/>
                <w:highlight w:val="none"/>
                <w14:textFill>
                  <w14:solidFill>
                    <w14:schemeClr w14:val="tx1"/>
                  </w14:solidFill>
                </w14:textFill>
              </w:rPr>
              <w:t>口地下水监测井，定期进行监测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9</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在钻井和井下作业过程中，鼓励污油、污水进入生产流程循环利用，未进入生产流程的污油、污水应采用固液分离、废水处理一体化装置等处理后达标外排。</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符合。作业污水由罐车回收后分别</w:t>
            </w:r>
            <w:r>
              <w:rPr>
                <w:rFonts w:hint="eastAsia" w:ascii="Times New Roman" w:hAnsi="Times New Roman"/>
                <w:color w:val="000000" w:themeColor="text1"/>
                <w:w w:val="99"/>
                <w:szCs w:val="24"/>
                <w:highlight w:val="none"/>
                <w:lang w:val="en-US"/>
                <w14:textFill>
                  <w14:solidFill>
                    <w14:schemeClr w14:val="tx1"/>
                  </w14:solidFill>
                </w14:textFill>
              </w:rPr>
              <w:t>葡</w:t>
            </w:r>
            <w:r>
              <w:rPr>
                <w:rFonts w:hint="eastAsia" w:ascii="Times New Roman" w:hAnsi="Times New Roman"/>
                <w:color w:val="000000" w:themeColor="text1"/>
                <w:w w:val="99"/>
                <w:szCs w:val="24"/>
                <w:highlight w:val="none"/>
                <w:lang w:val="en-US" w:eastAsia="zh-CN"/>
                <w14:textFill>
                  <w14:solidFill>
                    <w14:schemeClr w14:val="tx1"/>
                  </w14:solidFill>
                </w14:textFill>
              </w:rPr>
              <w:t>二</w:t>
            </w:r>
            <w:r>
              <w:rPr>
                <w:rFonts w:ascii="Times New Roman" w:hAnsi="Times New Roman"/>
                <w:color w:val="000000" w:themeColor="text1"/>
                <w:w w:val="99"/>
                <w:szCs w:val="24"/>
                <w:highlight w:val="none"/>
                <w:lang w:val="en-US"/>
                <w14:textFill>
                  <w14:solidFill>
                    <w14:schemeClr w14:val="tx1"/>
                  </w14:solidFill>
                </w14:textFill>
              </w:rPr>
              <w:t>联含油污水站</w:t>
            </w:r>
            <w:r>
              <w:rPr>
                <w:rFonts w:hint="eastAsia" w:ascii="Times New Roman" w:hAnsi="Times New Roman"/>
                <w:color w:val="000000" w:themeColor="text1"/>
                <w:w w:val="99"/>
                <w:szCs w:val="24"/>
                <w:highlight w:val="none"/>
                <w14:textFill>
                  <w14:solidFill>
                    <w14:schemeClr w14:val="tx1"/>
                  </w14:solidFill>
                </w14:textFill>
              </w:rPr>
              <w:t>，处理达标后回注</w:t>
            </w:r>
            <w:r>
              <w:rPr>
                <w:rFonts w:hint="eastAsia" w:ascii="Times New Roman" w:hAnsi="Times New Roman"/>
                <w:color w:val="000000" w:themeColor="text1"/>
                <w:w w:val="99"/>
                <w:szCs w:val="24"/>
                <w:highlight w:val="none"/>
                <w:lang w:val="en-US"/>
                <w14:textFill>
                  <w14:solidFill>
                    <w14:schemeClr w14:val="tx1"/>
                  </w14:solidFill>
                </w14:textFill>
              </w:rPr>
              <w:t>油层</w:t>
            </w:r>
            <w:r>
              <w:rPr>
                <w:rFonts w:hint="eastAsia" w:ascii="Times New Roman" w:hAnsi="Times New Roman"/>
                <w:color w:val="000000" w:themeColor="text1"/>
                <w:w w:val="99"/>
                <w:szCs w:val="24"/>
                <w:highlight w:val="none"/>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color w:val="000000" w:themeColor="text1"/>
                <w:w w:val="99"/>
                <w:szCs w:val="24"/>
                <w:highlight w:val="none"/>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10</w:t>
            </w:r>
          </w:p>
        </w:tc>
        <w:tc>
          <w:tcPr>
            <w:tcW w:w="5337"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3078" w:type="dxa"/>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auto"/>
              <w:rPr>
                <w:rFonts w:ascii="Times New Roman" w:hAnsi="Times New Roman" w:eastAsia="宋体" w:cs="宋体"/>
                <w:color w:val="000000" w:themeColor="text1"/>
                <w:w w:val="99"/>
                <w:sz w:val="22"/>
                <w:szCs w:val="24"/>
                <w:highlight w:val="none"/>
                <w:lang w:val="zh-CN" w:eastAsia="zh-CN" w:bidi="zh-CN"/>
                <w14:textFill>
                  <w14:solidFill>
                    <w14:schemeClr w14:val="tx1"/>
                  </w14:solidFill>
                </w14:textFill>
              </w:rPr>
            </w:pPr>
            <w:r>
              <w:rPr>
                <w:rFonts w:hint="eastAsia" w:ascii="Times New Roman" w:hAnsi="Times New Roman"/>
                <w:color w:val="000000" w:themeColor="text1"/>
                <w:w w:val="99"/>
                <w:szCs w:val="24"/>
                <w:highlight w:val="none"/>
                <w14:textFill>
                  <w14:solidFill>
                    <w14:schemeClr w14:val="tx1"/>
                  </w14:solidFill>
                </w14:textFill>
              </w:rPr>
              <w:t>符合。油气水分离器、储罐产生的油泥（砂）通过罐车拉运至葡萄花含油污泥处理站处理，处理后的污泥达到《油田含油污泥综合利用污染控制标准》（DB23/T1413-2010）后，用于井场及通井路平整</w:t>
            </w:r>
          </w:p>
        </w:tc>
      </w:tr>
    </w:tbl>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1.4.2.10</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 xml:space="preserve"> </w:t>
      </w: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与“水十条”符合性判定</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iCs/>
          <w:color w:val="000000" w:themeColor="text1"/>
          <w:w w:val="99"/>
          <w:sz w:val="24"/>
          <w:highlight w:val="none"/>
          <w:lang w:val="en-US" w:bidi="ar-SA"/>
          <w14:textFill>
            <w14:solidFill>
              <w14:schemeClr w14:val="tx1"/>
            </w14:solidFill>
          </w14:textFill>
        </w:rPr>
      </w:pPr>
      <w:r>
        <w:rPr>
          <w:rFonts w:ascii="Times New Roman" w:hAnsi="Times New Roman" w:cs="Times New Roman"/>
          <w:iCs/>
          <w:color w:val="000000" w:themeColor="text1"/>
          <w:w w:val="99"/>
          <w:sz w:val="24"/>
          <w:highlight w:val="none"/>
          <w:lang w:val="en-US" w:bidi="ar-SA"/>
          <w14:textFill>
            <w14:solidFill>
              <w14:schemeClr w14:val="tx1"/>
            </w14:solidFill>
          </w14:textFill>
        </w:rPr>
        <w:t>根据《水污染防治行动计划》（国发〔2015〕17 号）、《黑龙江省水污染防治实施方案》（黑政发〔2016〕3 号）及《大庆市加强水污染防治工作实施方案》（庆政办发〔2015〕55号），本项目与“水十条”相关要求符合性见表</w:t>
      </w:r>
      <w:r>
        <w:rPr>
          <w:rFonts w:hint="eastAsia" w:ascii="Times New Roman" w:hAnsi="Times New Roman" w:cs="Times New Roman"/>
          <w:iCs/>
          <w:color w:val="000000" w:themeColor="text1"/>
          <w:w w:val="99"/>
          <w:sz w:val="24"/>
          <w:highlight w:val="none"/>
          <w:lang w:val="en-US" w:eastAsia="zh-CN" w:bidi="ar-SA"/>
          <w14:textFill>
            <w14:solidFill>
              <w14:schemeClr w14:val="tx1"/>
            </w14:solidFill>
          </w14:textFill>
        </w:rPr>
        <w:t>1.4-</w:t>
      </w:r>
      <w:r>
        <w:rPr>
          <w:rFonts w:ascii="Times New Roman" w:hAnsi="Times New Roman" w:cs="Times New Roman"/>
          <w:iCs/>
          <w:color w:val="000000" w:themeColor="text1"/>
          <w:w w:val="99"/>
          <w:sz w:val="24"/>
          <w:highlight w:val="none"/>
          <w:lang w:val="en-US" w:bidi="ar-SA"/>
          <w14:textFill>
            <w14:solidFill>
              <w14:schemeClr w14:val="tx1"/>
            </w14:solidFill>
          </w14:textFill>
        </w:rPr>
        <w:t>5。</w:t>
      </w:r>
    </w:p>
    <w:p>
      <w:pPr>
        <w:adjustRightInd w:val="0"/>
        <w:snapToGrid w:val="0"/>
        <w:spacing w:line="440" w:lineRule="exact"/>
        <w:ind w:firstLine="476" w:firstLineChars="200"/>
        <w:jc w:val="both"/>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pP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表1.</w:t>
      </w:r>
      <w:r>
        <w:rPr>
          <w:rFonts w:hint="eastAsia" w:ascii="Times New Roman" w:hAnsi="Times New Roman" w:cs="Times New Roman" w:eastAsiaTheme="majorEastAsia"/>
          <w:b/>
          <w:bCs/>
          <w:color w:val="000000" w:themeColor="text1"/>
          <w:w w:val="99"/>
          <w:sz w:val="24"/>
          <w:szCs w:val="32"/>
          <w:highlight w:val="none"/>
          <w:lang w:val="en-US" w:eastAsia="zh-CN"/>
          <w14:textFill>
            <w14:solidFill>
              <w14:schemeClr w14:val="tx1"/>
            </w14:solidFill>
          </w14:textFill>
        </w:rPr>
        <w:t>4</w:t>
      </w: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-5</w:t>
      </w:r>
      <w:r>
        <w:rPr>
          <w:rFonts w:hint="eastAsia"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 xml:space="preserve">  </w:t>
      </w: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 xml:space="preserve">  </w:t>
      </w:r>
      <w:r>
        <w:rPr>
          <w:rFonts w:hint="eastAsia" w:ascii="Times New Roman" w:hAnsi="Times New Roman" w:cs="Times New Roman" w:eastAsiaTheme="majorEastAsia"/>
          <w:b/>
          <w:bCs/>
          <w:color w:val="000000" w:themeColor="text1"/>
          <w:w w:val="99"/>
          <w:sz w:val="24"/>
          <w:szCs w:val="32"/>
          <w:highlight w:val="none"/>
          <w:lang w:val="en-US" w:eastAsia="zh-CN"/>
          <w14:textFill>
            <w14:solidFill>
              <w14:schemeClr w14:val="tx1"/>
            </w14:solidFill>
          </w14:textFill>
        </w:rPr>
        <w:t xml:space="preserve">    </w:t>
      </w: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本项目与“水十条”相关要求符合性一览表</w:t>
      </w:r>
    </w:p>
    <w:tbl>
      <w:tblPr>
        <w:tblStyle w:val="32"/>
        <w:tblW w:w="911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883"/>
        <w:gridCol w:w="3686"/>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级别</w:t>
            </w:r>
          </w:p>
        </w:tc>
        <w:tc>
          <w:tcPr>
            <w:tcW w:w="388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eastAsia="TimesNewRomanPSMT" w:cs="Times New Roman"/>
                <w:iCs/>
                <w:color w:val="000000" w:themeColor="text1"/>
                <w:w w:val="99"/>
                <w:sz w:val="21"/>
                <w:szCs w:val="21"/>
                <w:highlight w:val="none"/>
                <w:lang w:val="en-US" w:bidi="ar-SA"/>
                <w14:textFill>
                  <w14:solidFill>
                    <w14:schemeClr w14:val="tx1"/>
                  </w14:solidFill>
                </w14:textFill>
              </w:rPr>
              <w:t>“</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水十条</w:t>
            </w:r>
            <w:r>
              <w:rPr>
                <w:rFonts w:ascii="Times New Roman" w:hAnsi="Times New Roman" w:eastAsia="TimesNewRomanPSMT" w:cs="Times New Roman"/>
                <w:iCs/>
                <w:color w:val="000000" w:themeColor="text1"/>
                <w:w w:val="99"/>
                <w:sz w:val="21"/>
                <w:szCs w:val="21"/>
                <w:highlight w:val="none"/>
                <w:lang w:val="en-US" w:bidi="ar-SA"/>
                <w14:textFill>
                  <w14:solidFill>
                    <w14:schemeClr w14:val="tx1"/>
                  </w14:solidFill>
                </w14:textFill>
              </w:rPr>
              <w:t>”</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的要求</w:t>
            </w:r>
          </w:p>
        </w:tc>
        <w:tc>
          <w:tcPr>
            <w:tcW w:w="3686"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本项目分析</w:t>
            </w:r>
          </w:p>
        </w:tc>
        <w:tc>
          <w:tcPr>
            <w:tcW w:w="7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国家</w:t>
            </w:r>
          </w:p>
        </w:tc>
        <w:tc>
          <w:tcPr>
            <w:tcW w:w="3883" w:type="dxa"/>
            <w:vAlign w:val="center"/>
          </w:tcPr>
          <w:p>
            <w:pPr>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污水处理设施产生的污泥应进行稳定化、无害化和资源化处理处置，禁止处理处置不达标的污泥进入耕地。非法污泥堆放点一律予以取缔。</w:t>
            </w:r>
          </w:p>
        </w:tc>
        <w:tc>
          <w:tcPr>
            <w:tcW w:w="3686"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本工程所依托含油污水处理站污泥</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集中收集</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送至葡萄花含油污泥处理站处理，</w:t>
            </w:r>
            <w:r>
              <w:rPr>
                <w:rFonts w:hint="eastAsia" w:ascii="Times New Roman" w:hAnsi="Times New Roman" w:cs="Times New Roman"/>
                <w:iCs/>
                <w:color w:val="000000" w:themeColor="text1"/>
                <w:w w:val="99"/>
                <w:sz w:val="21"/>
                <w:szCs w:val="21"/>
                <w:highlight w:val="none"/>
                <w:lang w:val="en-US"/>
                <w14:textFill>
                  <w14:solidFill>
                    <w14:schemeClr w14:val="tx1"/>
                  </w14:solidFill>
                </w14:textFill>
              </w:rPr>
              <w:t>处理后的污泥达到《油田含油污泥综合利用污染控制标准》（DB23/T1413-2010）后，用于井场及通井路平整。</w:t>
            </w:r>
          </w:p>
        </w:tc>
        <w:tc>
          <w:tcPr>
            <w:tcW w:w="7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3883" w:type="dxa"/>
            <w:vAlign w:val="center"/>
          </w:tcPr>
          <w:p>
            <w:pPr>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七大重点流域干流沿岸，要严格控制石油加工、化学原料和化学制品制造、医药制造、化学纤维制造、有色金属冶炼、纺织印染等项目环境风险，合理布局生产装置及危险化学品仓储等设施。</w:t>
            </w:r>
          </w:p>
        </w:tc>
        <w:tc>
          <w:tcPr>
            <w:tcW w:w="3686"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本工程位于</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大同</w:t>
            </w:r>
            <w:r>
              <w:rPr>
                <w:rFonts w:hint="eastAsia" w:ascii="Times New Roman" w:hAnsi="Times New Roman" w:cs="Times New Roman"/>
                <w:iCs/>
                <w:color w:val="000000" w:themeColor="text1"/>
                <w:w w:val="99"/>
                <w:sz w:val="21"/>
                <w:szCs w:val="21"/>
                <w:highlight w:val="none"/>
                <w:lang w:val="en-US" w:eastAsia="zh-CN" w:bidi="ar-SA"/>
                <w14:textFill>
                  <w14:solidFill>
                    <w14:schemeClr w14:val="tx1"/>
                  </w14:solidFill>
                </w14:textFill>
              </w:rPr>
              <w:t>区八井子乡</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境内，周边主要的地表水体主要为</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康家围子泡</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，不属于七大重点流域干流沿岸，且项目不属于需严格控制的项目</w:t>
            </w:r>
          </w:p>
        </w:tc>
        <w:tc>
          <w:tcPr>
            <w:tcW w:w="7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3883" w:type="dxa"/>
            <w:vAlign w:val="center"/>
          </w:tcPr>
          <w:p>
            <w:pPr>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加大执法力度，所有排污单位必须依法实现全面达标排放。逐一排查工业企业排污情况，达标企业应采取措施确保稳定达标；</w:t>
            </w:r>
          </w:p>
        </w:tc>
        <w:tc>
          <w:tcPr>
            <w:tcW w:w="3686"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本工程产出液经脱水站分离后产生的含油污水全部进入</w:t>
            </w:r>
            <w:r>
              <w:rPr>
                <w:rFonts w:hint="eastAsia" w:ascii="Times New Roman" w:hAnsi="Times New Roman" w:cs="Times New Roman"/>
                <w:iCs/>
                <w:color w:val="000000" w:themeColor="text1"/>
                <w:w w:val="99"/>
                <w:sz w:val="21"/>
                <w:szCs w:val="21"/>
                <w:highlight w:val="none"/>
                <w:lang w:val="en-US" w:eastAsia="zh-CN"/>
                <w14:textFill>
                  <w14:solidFill>
                    <w14:schemeClr w14:val="tx1"/>
                  </w14:solidFill>
                </w14:textFill>
              </w:rPr>
              <w:t>葡二联含油污水处理站</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处理后回注油层，回注水满足《大庆油田地面工程建设设计规定》（Q/SYDQ0639-2015）要求</w:t>
            </w:r>
          </w:p>
        </w:tc>
        <w:tc>
          <w:tcPr>
            <w:tcW w:w="7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vAlign w:val="center"/>
          </w:tcPr>
          <w:p>
            <w:pPr>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黑龙</w:t>
            </w:r>
          </w:p>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江省</w:t>
            </w:r>
          </w:p>
        </w:tc>
        <w:tc>
          <w:tcPr>
            <w:tcW w:w="3883" w:type="dxa"/>
            <w:vAlign w:val="center"/>
          </w:tcPr>
          <w:p>
            <w:pPr>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合理确定发展布局、结构和规模。严格控制缺水地区、水污染严重地区和敏感区域高耗水、高污染行业发展。松花江干流及一级支流沿岸，要着重防控石油加工、化学原料和化学品制造、医药制造、化学纤维制造、有色金属冶炼、纺织印染等项目环境风险，合理布局生产装置及危险化学品仓储等设施。</w:t>
            </w:r>
          </w:p>
        </w:tc>
        <w:tc>
          <w:tcPr>
            <w:tcW w:w="3686"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本工程位于</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大同区</w:t>
            </w:r>
            <w:r>
              <w:rPr>
                <w:rFonts w:hint="eastAsia" w:ascii="Times New Roman" w:hAnsi="Times New Roman" w:cs="Times New Roman"/>
                <w:iCs/>
                <w:color w:val="000000" w:themeColor="text1"/>
                <w:w w:val="99"/>
                <w:sz w:val="21"/>
                <w:szCs w:val="21"/>
                <w:highlight w:val="none"/>
                <w:lang w:val="en-US" w:eastAsia="zh-CN" w:bidi="ar-SA"/>
                <w14:textFill>
                  <w14:solidFill>
                    <w14:schemeClr w14:val="tx1"/>
                  </w14:solidFill>
                </w14:textFill>
              </w:rPr>
              <w:t>八井子乡</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境内，</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距本项目</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井场较近的地表水体主要为</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康家围子泡</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，不属于缺水地区、水污染严重地区，本项目不位于松花江干流及以及支流沿岸，且石油天然气开采不属于高耗水、高污染及需严格控制的行业</w:t>
            </w:r>
          </w:p>
        </w:tc>
        <w:tc>
          <w:tcPr>
            <w:tcW w:w="7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790" w:type="dxa"/>
            <w:vMerge w:val="continue"/>
            <w:vAlign w:val="center"/>
          </w:tcPr>
          <w:p>
            <w:pPr>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3883" w:type="dxa"/>
            <w:vAlign w:val="center"/>
          </w:tcPr>
          <w:p>
            <w:pPr>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重点推进阿什河、呼兰河、安肇新河、乌裕尔河、讷谟尔河、穆棱河等流域和大庆市及周边闭流区综合治理。加大化学需氧量、氨氮、总磷及其他影响人体健康的污染物整治力度。</w:t>
            </w:r>
          </w:p>
        </w:tc>
        <w:tc>
          <w:tcPr>
            <w:tcW w:w="3686"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本工程</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运行期产生的含油污水以及依托场站职工产生的生活污水均不外排。距井场</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较近地表水体</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康家围子泡</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未进行水环境功能区划，根据现状监测</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结果</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均为</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劣V类</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水体</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w:t>
            </w:r>
          </w:p>
        </w:tc>
        <w:tc>
          <w:tcPr>
            <w:tcW w:w="7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大庆市</w:t>
            </w:r>
          </w:p>
        </w:tc>
        <w:tc>
          <w:tcPr>
            <w:tcW w:w="388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污水处理设施产生的污泥应进行稳定化、无害化和资源化处理处置，对污水处理厂产生污泥实行储存、运输、处理处置全过程监管，禁止处理处置不达标的污泥进入耕地，配套完善市污泥处理厂应急储存池建设，非法污泥堆放点一律予以取缔。</w:t>
            </w:r>
          </w:p>
        </w:tc>
        <w:tc>
          <w:tcPr>
            <w:tcW w:w="3686"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本工程依托含油污水处理站处理设施污泥</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收集</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送至葡萄花含油污泥处理站处理，</w:t>
            </w:r>
            <w:r>
              <w:rPr>
                <w:rFonts w:hint="eastAsia" w:ascii="Times New Roman" w:hAnsi="Times New Roman" w:cs="Times New Roman"/>
                <w:iCs/>
                <w:color w:val="000000" w:themeColor="text1"/>
                <w:w w:val="99"/>
                <w:sz w:val="21"/>
                <w:szCs w:val="21"/>
                <w:highlight w:val="none"/>
                <w:lang w:val="en-US"/>
                <w14:textFill>
                  <w14:solidFill>
                    <w14:schemeClr w14:val="tx1"/>
                  </w14:solidFill>
                </w14:textFill>
              </w:rPr>
              <w:t>处理后的污泥达到《油田含油污泥综合利用污染控制标准》（DB23/T1413-2010）后，用于井场及通井路平整。</w:t>
            </w:r>
          </w:p>
        </w:tc>
        <w:tc>
          <w:tcPr>
            <w:tcW w:w="7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0" w:type="dxa"/>
            <w:vMerge w:val="continue"/>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388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加强工业水循环利用。进一步加强采油废水管理，确保全部用于油田回注。</w:t>
            </w:r>
          </w:p>
        </w:tc>
        <w:tc>
          <w:tcPr>
            <w:tcW w:w="3686"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本工程产出液经脱水站分离后产生的含油污水全部进入</w:t>
            </w:r>
            <w:r>
              <w:rPr>
                <w:rFonts w:hint="eastAsia" w:ascii="Times New Roman" w:hAnsi="Times New Roman" w:cs="Times New Roman"/>
                <w:iCs/>
                <w:color w:val="000000" w:themeColor="text1"/>
                <w:w w:val="99"/>
                <w:sz w:val="21"/>
                <w:szCs w:val="21"/>
                <w:highlight w:val="none"/>
                <w:lang w:val="en-US" w:eastAsia="zh-CN" w:bidi="ar-SA"/>
                <w14:textFill>
                  <w14:solidFill>
                    <w14:schemeClr w14:val="tx1"/>
                  </w14:solidFill>
                </w14:textFill>
              </w:rPr>
              <w:t>葡二联含油污水处理站</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处理后回注油层，回注水满足《大庆油田地面工程建设设计规定》（Q/SYDQ0639-2015）要求</w:t>
            </w:r>
            <w:r>
              <w:rPr>
                <w:rFonts w:ascii="Times New Roman" w:hAnsi="Times New Roman" w:cs="Times New Roman"/>
                <w:color w:val="000000" w:themeColor="text1"/>
                <w:w w:val="99"/>
                <w:sz w:val="21"/>
                <w:szCs w:val="21"/>
                <w:highlight w:val="none"/>
                <w14:textFill>
                  <w14:solidFill>
                    <w14:schemeClr w14:val="tx1"/>
                  </w14:solidFill>
                </w14:textFill>
              </w:rPr>
              <w:t>“含油量≤10mg/L、悬浮固体含量≤5mg/L、粒径中值≤2μm”</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后回注油层</w:t>
            </w:r>
          </w:p>
        </w:tc>
        <w:tc>
          <w:tcPr>
            <w:tcW w:w="7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bl>
    <w:p>
      <w:pPr>
        <w:widowControl/>
        <w:autoSpaceDE/>
        <w:autoSpaceDN/>
        <w:spacing w:line="440" w:lineRule="exact"/>
        <w:ind w:firstLine="474" w:firstLineChars="200"/>
        <w:jc w:val="both"/>
        <w:rPr>
          <w:rFonts w:ascii="Times New Roman" w:hAnsi="Times New Roman" w:cs="Times New Roman"/>
          <w:iCs/>
          <w:color w:val="000000" w:themeColor="text1"/>
          <w:w w:val="99"/>
          <w:sz w:val="24"/>
          <w:highlight w:val="none"/>
          <w:lang w:val="en-US" w:bidi="ar-SA"/>
          <w14:textFill>
            <w14:solidFill>
              <w14:schemeClr w14:val="tx1"/>
            </w14:solidFill>
          </w14:textFill>
        </w:rPr>
      </w:pP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综上可知，本项目</w:t>
      </w:r>
      <w:r>
        <w:rPr>
          <w:rFonts w:ascii="Times New Roman" w:hAnsi="Times New Roman" w:cs="Times New Roman"/>
          <w:iCs/>
          <w:color w:val="000000" w:themeColor="text1"/>
          <w:w w:val="99"/>
          <w:sz w:val="24"/>
          <w:highlight w:val="none"/>
          <w:lang w:val="en-US" w:bidi="ar-SA"/>
          <w14:textFill>
            <w14:solidFill>
              <w14:schemeClr w14:val="tx1"/>
            </w14:solidFill>
          </w14:textFill>
        </w:rPr>
        <w:t>符合《水污染防治行动计划》（国发〔2015〕17 号）、《黑龙江省水污染防治实施方案》（黑政发〔2016〕3 号）及《大庆市加强水污染防治工作实施方案》（庆政办发〔2015〕55 号）相关要求。</w:t>
      </w:r>
    </w:p>
    <w:p>
      <w:pPr>
        <w:pStyle w:val="67"/>
        <w:widowControl w:val="0"/>
        <w:autoSpaceDE/>
        <w:autoSpaceDN/>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1.4.2.</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 xml:space="preserve"> 与“土十条”符合性判定</w:t>
      </w:r>
    </w:p>
    <w:p>
      <w:pPr>
        <w:autoSpaceDE/>
        <w:autoSpaceDN/>
        <w:adjustRightInd w:val="0"/>
        <w:snapToGrid w:val="0"/>
        <w:spacing w:line="440" w:lineRule="exact"/>
        <w:ind w:firstLine="474" w:firstLineChars="200"/>
        <w:jc w:val="both"/>
        <w:rPr>
          <w:rFonts w:ascii="Times New Roman" w:hAnsi="Times New Roman" w:cs="Times New Roman"/>
          <w:b/>
          <w:bCs/>
          <w:iCs/>
          <w:snapToGrid w:val="0"/>
          <w:color w:val="000000" w:themeColor="text1"/>
          <w:w w:val="99"/>
          <w:sz w:val="24"/>
          <w:szCs w:val="28"/>
          <w:highlight w:val="none"/>
          <w:lang w:val="en-US" w:bidi="ar-SA"/>
          <w14:textFill>
            <w14:solidFill>
              <w14:schemeClr w14:val="tx1"/>
            </w14:solidFill>
          </w14:textFill>
        </w:rPr>
      </w:pPr>
      <w:r>
        <w:rPr>
          <w:rFonts w:ascii="Times New Roman" w:hAnsi="Times New Roman" w:cs="Times New Roman"/>
          <w:iCs/>
          <w:color w:val="000000" w:themeColor="text1"/>
          <w:w w:val="99"/>
          <w:sz w:val="24"/>
          <w:highlight w:val="none"/>
          <w:lang w:val="en-US" w:bidi="ar-SA"/>
          <w14:textFill>
            <w14:solidFill>
              <w14:schemeClr w14:val="tx1"/>
            </w14:solidFill>
          </w14:textFill>
        </w:rPr>
        <w:t>根据《土壤污染防治行动计划》（国发〔2016〕31 号）、《黑龙江省土壤污染防治实施方案》（黑政发〔2016〕46 号）及《大庆市土壤污染防治实施方案》（庆政规〔2017〕2号），本项目与“土十条”相关要求符合性详见表</w:t>
      </w:r>
      <w:r>
        <w:rPr>
          <w:rFonts w:hint="eastAsia" w:ascii="Times New Roman" w:hAnsi="Times New Roman" w:cs="Times New Roman"/>
          <w:iCs/>
          <w:color w:val="000000" w:themeColor="text1"/>
          <w:w w:val="99"/>
          <w:sz w:val="24"/>
          <w:highlight w:val="none"/>
          <w:lang w:val="en-US" w:eastAsia="zh-CN" w:bidi="ar-SA"/>
          <w14:textFill>
            <w14:solidFill>
              <w14:schemeClr w14:val="tx1"/>
            </w14:solidFill>
          </w14:textFill>
        </w:rPr>
        <w:t>1.4-</w:t>
      </w:r>
      <w:r>
        <w:rPr>
          <w:rFonts w:ascii="Times New Roman" w:hAnsi="Times New Roman" w:cs="Times New Roman"/>
          <w:iCs/>
          <w:color w:val="000000" w:themeColor="text1"/>
          <w:w w:val="99"/>
          <w:sz w:val="24"/>
          <w:highlight w:val="none"/>
          <w:lang w:val="en-US" w:bidi="ar-SA"/>
          <w14:textFill>
            <w14:solidFill>
              <w14:schemeClr w14:val="tx1"/>
            </w14:solidFill>
          </w14:textFill>
        </w:rPr>
        <w:t>6。</w:t>
      </w: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表1</w:t>
      </w:r>
      <w:r>
        <w:rPr>
          <w:rFonts w:hint="eastAsia"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w:t>
      </w:r>
      <w:r>
        <w:rPr>
          <w:rFonts w:hint="eastAsia" w:ascii="Times New Roman" w:hAnsi="Times New Roman" w:cs="Times New Roman" w:eastAsiaTheme="majorEastAsia"/>
          <w:b/>
          <w:bCs/>
          <w:color w:val="000000" w:themeColor="text1"/>
          <w:w w:val="99"/>
          <w:sz w:val="24"/>
          <w:szCs w:val="32"/>
          <w:highlight w:val="none"/>
          <w:lang w:val="en-US" w:eastAsia="zh-CN"/>
          <w14:textFill>
            <w14:solidFill>
              <w14:schemeClr w14:val="tx1"/>
            </w14:solidFill>
          </w14:textFill>
        </w:rPr>
        <w:t>4</w:t>
      </w:r>
      <w:r>
        <w:rPr>
          <w:rFonts w:hint="eastAsia"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w:t>
      </w: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6</w:t>
      </w:r>
      <w:r>
        <w:rPr>
          <w:rFonts w:hint="eastAsia" w:ascii="Times New Roman" w:hAnsi="Times New Roman" w:cs="Times New Roman" w:eastAsiaTheme="majorEastAsia"/>
          <w:b/>
          <w:bCs/>
          <w:color w:val="000000" w:themeColor="text1"/>
          <w:w w:val="99"/>
          <w:sz w:val="24"/>
          <w:szCs w:val="32"/>
          <w:highlight w:val="none"/>
          <w:lang w:val="en-US" w:eastAsia="zh-CN"/>
          <w14:textFill>
            <w14:solidFill>
              <w14:schemeClr w14:val="tx1"/>
            </w14:solidFill>
          </w14:textFill>
        </w:rPr>
        <w:t xml:space="preserve">     </w:t>
      </w:r>
      <w:r>
        <w:rPr>
          <w:rFonts w:hint="eastAsia"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 xml:space="preserve">  </w:t>
      </w: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 xml:space="preserve"> 本项目与“土十条”相关要求符合性一览表</w:t>
      </w:r>
    </w:p>
    <w:tbl>
      <w:tblPr>
        <w:tblStyle w:val="32"/>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4926"/>
        <w:gridCol w:w="2715"/>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级别</w:t>
            </w: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eastAsia="TimesNewRomanPSMT" w:cs="Times New Roman"/>
                <w:iCs/>
                <w:color w:val="000000" w:themeColor="text1"/>
                <w:w w:val="99"/>
                <w:sz w:val="21"/>
                <w:szCs w:val="21"/>
                <w:highlight w:val="none"/>
                <w:lang w:val="en-US" w:bidi="ar-SA"/>
                <w14:textFill>
                  <w14:solidFill>
                    <w14:schemeClr w14:val="tx1"/>
                  </w14:solidFill>
                </w14:textFill>
              </w:rPr>
              <w:t>“</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土十条</w:t>
            </w:r>
            <w:r>
              <w:rPr>
                <w:rFonts w:ascii="Times New Roman" w:hAnsi="Times New Roman" w:eastAsia="TimesNewRomanPSMT" w:cs="Times New Roman"/>
                <w:iCs/>
                <w:color w:val="000000" w:themeColor="text1"/>
                <w:w w:val="99"/>
                <w:sz w:val="21"/>
                <w:szCs w:val="21"/>
                <w:highlight w:val="none"/>
                <w:lang w:val="en-US" w:bidi="ar-SA"/>
                <w14:textFill>
                  <w14:solidFill>
                    <w14:schemeClr w14:val="tx1"/>
                  </w14:solidFill>
                </w14:textFill>
              </w:rPr>
              <w:t>”</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的要求</w:t>
            </w:r>
          </w:p>
        </w:tc>
        <w:tc>
          <w:tcPr>
            <w:tcW w:w="271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本项目分析</w:t>
            </w:r>
          </w:p>
        </w:tc>
        <w:tc>
          <w:tcPr>
            <w:tcW w:w="88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b/>
                <w:bCs/>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国家</w:t>
            </w: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eastAsia="TimesNewRomanPSMT" w:cs="Times New Roman"/>
                <w:b/>
                <w:bCs/>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深入开展土壤环境质量调查。2020年底前掌握重点行业企业用地中的污染地块分布及其环境风险情况。</w:t>
            </w:r>
          </w:p>
        </w:tc>
        <w:tc>
          <w:tcPr>
            <w:tcW w:w="271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b/>
                <w:bCs/>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t>大庆油田有限责任公司</w:t>
            </w:r>
            <w:r>
              <w:rPr>
                <w:rFonts w:hint="eastAsia" w:ascii="Times New Roman" w:hAnsi="Times New Roman" w:cs="Times New Roman"/>
                <w:iCs/>
                <w:color w:val="000000" w:themeColor="text1"/>
                <w:w w:val="99"/>
                <w:kern w:val="2"/>
                <w:sz w:val="21"/>
                <w:szCs w:val="21"/>
                <w:highlight w:val="none"/>
                <w:lang w:val="en-US" w:bidi="ar-SA"/>
                <w14:textFill>
                  <w14:solidFill>
                    <w14:schemeClr w14:val="tx1"/>
                  </w14:solidFill>
                </w14:textFill>
              </w:rPr>
              <w:t>第七采油厂</w:t>
            </w:r>
            <w:r>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t>作为土壤重点企业每年对区域内土壤进行监测，并进行信息公开。（2020年公布信息见http://www.dqt.com.cn/turang/255904.html）</w:t>
            </w:r>
          </w:p>
        </w:tc>
        <w:tc>
          <w:tcPr>
            <w:tcW w:w="88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271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t>本工程</w:t>
            </w:r>
            <w:r>
              <w:rPr>
                <w:rFonts w:hint="eastAsia" w:ascii="Times New Roman" w:hAnsi="Times New Roman" w:cs="Times New Roman"/>
                <w:iCs/>
                <w:color w:val="000000" w:themeColor="text1"/>
                <w:w w:val="99"/>
                <w:kern w:val="2"/>
                <w:sz w:val="21"/>
                <w:szCs w:val="21"/>
                <w:highlight w:val="none"/>
                <w:lang w:val="en-US" w:bidi="ar-SA"/>
                <w14:textFill>
                  <w14:solidFill>
                    <w14:schemeClr w14:val="tx1"/>
                  </w14:solidFill>
                </w14:textFill>
              </w:rPr>
              <w:t>新增临时</w:t>
            </w:r>
            <w:r>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t>占地</w:t>
            </w:r>
            <w:r>
              <w:rPr>
                <w:rFonts w:hint="eastAsia" w:ascii="Times New Roman" w:hAnsi="Times New Roman" w:cs="Times New Roman"/>
                <w:iCs/>
                <w:color w:val="000000" w:themeColor="text1"/>
                <w:w w:val="99"/>
                <w:kern w:val="2"/>
                <w:sz w:val="21"/>
                <w:szCs w:val="21"/>
                <w:highlight w:val="none"/>
                <w:lang w:val="en-US" w:eastAsia="zh-CN" w:bidi="ar-SA"/>
                <w14:textFill>
                  <w14:solidFill>
                    <w14:schemeClr w14:val="tx1"/>
                  </w14:solidFill>
                </w14:textFill>
              </w:rPr>
              <w:t>为</w:t>
            </w:r>
            <w:r>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t>草地</w:t>
            </w:r>
            <w:r>
              <w:rPr>
                <w:rFonts w:hint="eastAsia" w:ascii="Times New Roman" w:hAnsi="Times New Roman" w:cs="Times New Roman"/>
                <w:iCs/>
                <w:color w:val="000000" w:themeColor="text1"/>
                <w:w w:val="99"/>
                <w:kern w:val="2"/>
                <w:sz w:val="21"/>
                <w:szCs w:val="21"/>
                <w:highlight w:val="none"/>
                <w:lang w:val="en-US" w:bidi="ar-SA"/>
                <w14:textFill>
                  <w14:solidFill>
                    <w14:schemeClr w14:val="tx1"/>
                  </w14:solidFill>
                </w14:textFill>
              </w:rPr>
              <w:t>，不占用基本</w:t>
            </w:r>
            <w:r>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t>农田</w:t>
            </w:r>
            <w:r>
              <w:rPr>
                <w:rFonts w:hint="eastAsia" w:ascii="Times New Roman" w:hAnsi="Times New Roman" w:cs="Times New Roman"/>
                <w:iCs/>
                <w:color w:val="000000" w:themeColor="text1"/>
                <w:w w:val="99"/>
                <w:kern w:val="2"/>
                <w:sz w:val="21"/>
                <w:szCs w:val="21"/>
                <w:highlight w:val="none"/>
                <w:lang w:val="en-US" w:bidi="ar-SA"/>
                <w14:textFill>
                  <w14:solidFill>
                    <w14:schemeClr w14:val="tx1"/>
                  </w14:solidFill>
                </w14:textFill>
              </w:rPr>
              <w:t>。</w:t>
            </w:r>
          </w:p>
        </w:tc>
        <w:tc>
          <w:tcPr>
            <w:tcW w:w="88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71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本工程环评阶段开展了评价范围内土壤的环境质量现状调查、土壤环境影响分析及土壤污染防治措施及其可行性论证，提出土壤跟踪监测计划，并提出三同时验收的出落实要求。</w:t>
            </w:r>
          </w:p>
        </w:tc>
        <w:tc>
          <w:tcPr>
            <w:tcW w:w="88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全面强化监管执法。明确监管重点。重点监测土壤中镉、汞、砷、铅、铬等重金属和多环芳烃、石油烃等有机污染物，重点监管有色金属矿采选、有色金属冶炼、石油开采、石油加工、化工、焦化、电镀、制革等行业，以及产粮（油）大县、地级以上城市建成区等区域。</w:t>
            </w:r>
          </w:p>
        </w:tc>
        <w:tc>
          <w:tcPr>
            <w:tcW w:w="271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t>本工程为陆地石油天然气开采项目，其建设单位大庆油田有限责任公司第七采油厂作为土壤重点监管重点企业每年对区域内土壤环境质量进行监测，并进行信息公开。（2020年公布信息见http://www.dqt.com.cn/turang</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t>/255904.html）。</w:t>
            </w:r>
          </w:p>
        </w:tc>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b/>
                <w:bCs/>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严控工矿污染。加强日常环境监管。各地要根据工矿企业分布和污染排放情况，确定土壤环境重点监管企业名单，实行动态更新，并向社会公布。列入名单的企业每年要自行对其用地进行土壤环境监测，结果向社会公开。</w:t>
            </w:r>
          </w:p>
        </w:tc>
        <w:tc>
          <w:tcPr>
            <w:tcW w:w="271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黑龙江省</w:t>
            </w: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明确监管重点。重点监测土壤中镉、汞、砷、铅、铬等重金属和多环芳烂、石油经等有机污染物。重点监管有色金属矿采选、有色金属冶炼、石油开采、石油加工、化工、焦化、电镀、制革等行业，以及产粮（油）大县、市级以上城市建成区等区。</w:t>
            </w:r>
          </w:p>
        </w:tc>
        <w:tc>
          <w:tcPr>
            <w:tcW w:w="271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271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本工程</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新增</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占地</w:t>
            </w:r>
            <w:r>
              <w:rPr>
                <w:rFonts w:hint="eastAsia" w:ascii="Times New Roman" w:hAnsi="Times New Roman" w:cs="Times New Roman"/>
                <w:iCs/>
                <w:color w:val="000000" w:themeColor="text1"/>
                <w:w w:val="99"/>
                <w:sz w:val="21"/>
                <w:szCs w:val="21"/>
                <w:highlight w:val="none"/>
                <w:lang w:val="en-US" w:eastAsia="zh-CN" w:bidi="ar-SA"/>
                <w14:textFill>
                  <w14:solidFill>
                    <w14:schemeClr w14:val="tx1"/>
                  </w14:solidFill>
                </w14:textFill>
              </w:rPr>
              <w:t>为</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草地</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，不占用基本</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农田</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w:t>
            </w:r>
          </w:p>
        </w:tc>
        <w:tc>
          <w:tcPr>
            <w:tcW w:w="88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71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本工程环评阶段开展了评价范围内土壤的环境质量现状调查、土壤环境影响分析及土壤污染防治措施及其可行性论证，提出土壤跟踪监测计划，并提出三同时验收的出落实要求。</w:t>
            </w:r>
          </w:p>
        </w:tc>
        <w:tc>
          <w:tcPr>
            <w:tcW w:w="88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大庆市</w:t>
            </w: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重点监测土壤中镉、汞、砷、铅、铬等重金属和多环芳烃、石油烃等有机污染物。重点监管有色金属冶炼、石油开采、石油加工、化工、焦化、电镀、制革等行业，以及产粮大县、市级城市建成区等区域。</w:t>
            </w:r>
          </w:p>
        </w:tc>
        <w:tc>
          <w:tcPr>
            <w:tcW w:w="271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t>大庆油田有限责任公司第七采油厂作为土壤重点监管重点企业每年对区域内土壤环境质量进行监测，并进行信息公开。（2020年公布信息见http://www.dqt.com.cn/turang</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t>/255904.html）。</w:t>
            </w:r>
          </w:p>
        </w:tc>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加强日常环境监管。依据国家有关规定，2017年底前，各县（区）、高新区、经开区根据工矿企业分布和污染排放情况，确定土壤环境重点监管企业名单，实行动态更新，并向社会公布。督促列入名单的企业自2018年起，每年要自行对其用地进行土壤环境监测，结果向社会公开。</w:t>
            </w:r>
          </w:p>
        </w:tc>
        <w:tc>
          <w:tcPr>
            <w:tcW w:w="271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pPr>
          </w:p>
        </w:tc>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各县（区）要将符合条件的优先保护类耕地划为永久基本农田，实行严格保护，确保其面积不减少、土壤环境质量不下降，除法律规定的重点建设项目选址确实无法避让外，其他任何建设不得占用。对优先保护类耕地面积减少或土壤环境质量下降的县（区），市政府将对其进行预警提醒并依法采取环评限批等限制性措施。</w:t>
            </w:r>
          </w:p>
        </w:tc>
        <w:tc>
          <w:tcPr>
            <w:tcW w:w="271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本工程</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新增</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占地</w:t>
            </w:r>
            <w:r>
              <w:rPr>
                <w:rFonts w:hint="eastAsia" w:ascii="Times New Roman" w:hAnsi="Times New Roman" w:cs="Times New Roman"/>
                <w:iCs/>
                <w:color w:val="000000" w:themeColor="text1"/>
                <w:w w:val="99"/>
                <w:sz w:val="21"/>
                <w:szCs w:val="21"/>
                <w:highlight w:val="none"/>
                <w:lang w:val="en-US" w:eastAsia="zh-CN" w:bidi="ar-SA"/>
                <w14:textFill>
                  <w14:solidFill>
                    <w14:schemeClr w14:val="tx1"/>
                  </w14:solidFill>
                </w14:textFill>
              </w:rPr>
              <w:t>为</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草地</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，不占用基本</w:t>
            </w: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农田</w:t>
            </w:r>
            <w:r>
              <w:rPr>
                <w:rFonts w:hint="eastAsia" w:ascii="Times New Roman" w:hAnsi="Times New Roman" w:cs="Times New Roman"/>
                <w:iCs/>
                <w:color w:val="000000" w:themeColor="text1"/>
                <w:w w:val="99"/>
                <w:sz w:val="21"/>
                <w:szCs w:val="21"/>
                <w:highlight w:val="none"/>
                <w:lang w:val="en-US" w:bidi="ar-SA"/>
                <w14:textFill>
                  <w14:solidFill>
                    <w14:schemeClr w14:val="tx1"/>
                  </w14:solidFill>
                </w14:textFill>
              </w:rPr>
              <w:t>。</w:t>
            </w:r>
          </w:p>
        </w:tc>
        <w:tc>
          <w:tcPr>
            <w:tcW w:w="88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p>
        </w:tc>
        <w:tc>
          <w:tcPr>
            <w:tcW w:w="4926"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71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本工程环评阶段开展了评价范围内土壤的环境质量现状调查、土壤环境影响分析及土壤污染防治措施及其可行性论证，提出土壤跟踪监测计划，并提出三同时验收的出落实要求。</w:t>
            </w:r>
          </w:p>
        </w:tc>
        <w:tc>
          <w:tcPr>
            <w:tcW w:w="88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i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sz w:val="21"/>
                <w:szCs w:val="21"/>
                <w:highlight w:val="none"/>
                <w:lang w:val="en-US" w:bidi="ar-SA"/>
                <w14:textFill>
                  <w14:solidFill>
                    <w14:schemeClr w14:val="tx1"/>
                  </w14:solidFill>
                </w14:textFill>
              </w:rPr>
              <w:t>符合</w:t>
            </w:r>
          </w:p>
        </w:tc>
      </w:tr>
    </w:tbl>
    <w:p>
      <w:pPr>
        <w:pStyle w:val="67"/>
        <w:widowControl w:val="0"/>
        <w:autoSpaceDE/>
        <w:autoSpaceDN/>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1.4.2.</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2</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与“气十条”、《黑龙江省人民政府关于印发黑龙江省打赢蓝天保卫战三年行动计划的通知》（黑政规〔2018〕19号）符合性分析</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eastAsiaTheme="majorEastAsia"/>
          <w:color w:val="000000" w:themeColor="text1"/>
          <w:w w:val="99"/>
          <w:sz w:val="24"/>
          <w:szCs w:val="32"/>
          <w:highlight w:val="none"/>
          <w:lang w:val="en-US"/>
          <w14:textFill>
            <w14:solidFill>
              <w14:schemeClr w14:val="tx1"/>
            </w14:solidFill>
          </w14:textFill>
        </w:rPr>
      </w:pPr>
      <w:r>
        <w:rPr>
          <w:rFonts w:ascii="Times New Roman" w:hAnsi="Times New Roman" w:cs="Times New Roman"/>
          <w:iCs/>
          <w:color w:val="000000" w:themeColor="text1"/>
          <w:w w:val="99"/>
          <w:sz w:val="24"/>
          <w:highlight w:val="none"/>
          <w:lang w:val="en-US" w:bidi="ar-SA"/>
          <w14:textFill>
            <w14:solidFill>
              <w14:schemeClr w14:val="tx1"/>
            </w14:solidFill>
          </w14:textFill>
        </w:rPr>
        <w:t>根据《打赢蓝天保卫战三年行动计划》（国发〔2018〕22 号）、《黑龙江省打赢蓝天保卫战三年行动计划》（黑政规〔2018〕19 号）及《大庆市人民政府关于印发大庆市打赢蓝天保卫战三年行动计划的通知》（庆政规〔2019〕5 号），本项目与“大气行动计划”相关要求符合性详见表</w:t>
      </w:r>
      <w:r>
        <w:rPr>
          <w:rFonts w:hint="eastAsia" w:ascii="Times New Roman" w:hAnsi="Times New Roman" w:cs="Times New Roman"/>
          <w:iCs/>
          <w:color w:val="000000" w:themeColor="text1"/>
          <w:w w:val="99"/>
          <w:sz w:val="24"/>
          <w:highlight w:val="none"/>
          <w:lang w:val="en-US" w:eastAsia="zh-CN" w:bidi="ar-SA"/>
          <w14:textFill>
            <w14:solidFill>
              <w14:schemeClr w14:val="tx1"/>
            </w14:solidFill>
          </w14:textFill>
        </w:rPr>
        <w:t>1.4-</w:t>
      </w:r>
      <w:r>
        <w:rPr>
          <w:rFonts w:ascii="Times New Roman" w:hAnsi="Times New Roman" w:cs="Times New Roman"/>
          <w:iCs/>
          <w:color w:val="000000" w:themeColor="text1"/>
          <w:w w:val="99"/>
          <w:sz w:val="24"/>
          <w:highlight w:val="none"/>
          <w:lang w:val="en-US" w:bidi="ar-SA"/>
          <w14:textFill>
            <w14:solidFill>
              <w14:schemeClr w14:val="tx1"/>
            </w14:solidFill>
          </w14:textFill>
        </w:rPr>
        <w:t>7</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、表</w:t>
      </w:r>
      <w:r>
        <w:rPr>
          <w:rFonts w:hint="eastAsia" w:ascii="Times New Roman" w:hAnsi="Times New Roman" w:cs="Times New Roman"/>
          <w:iCs/>
          <w:color w:val="000000" w:themeColor="text1"/>
          <w:w w:val="99"/>
          <w:sz w:val="24"/>
          <w:highlight w:val="none"/>
          <w:lang w:val="en-US" w:eastAsia="zh-CN" w:bidi="ar-SA"/>
          <w14:textFill>
            <w14:solidFill>
              <w14:schemeClr w14:val="tx1"/>
            </w14:solidFill>
          </w14:textFill>
        </w:rPr>
        <w:t>1.4-</w:t>
      </w:r>
      <w:r>
        <w:rPr>
          <w:rFonts w:ascii="Times New Roman" w:hAnsi="Times New Roman" w:cs="Times New Roman"/>
          <w:iCs/>
          <w:color w:val="000000" w:themeColor="text1"/>
          <w:w w:val="99"/>
          <w:sz w:val="24"/>
          <w:highlight w:val="none"/>
          <w:lang w:val="en-US" w:bidi="ar-SA"/>
          <w14:textFill>
            <w14:solidFill>
              <w14:schemeClr w14:val="tx1"/>
            </w14:solidFill>
          </w14:textFill>
        </w:rPr>
        <w:t>8</w:t>
      </w:r>
      <w:r>
        <w:rPr>
          <w:rFonts w:hint="eastAsia" w:ascii="Times New Roman" w:hAnsi="Times New Roman" w:cs="Times New Roman"/>
          <w:iCs/>
          <w:color w:val="000000" w:themeColor="text1"/>
          <w:w w:val="99"/>
          <w:sz w:val="24"/>
          <w:highlight w:val="none"/>
          <w:lang w:val="en-US" w:bidi="ar-SA"/>
          <w14:textFill>
            <w14:solidFill>
              <w14:schemeClr w14:val="tx1"/>
            </w14:solidFill>
          </w14:textFill>
        </w:rPr>
        <w:t>。</w:t>
      </w:r>
    </w:p>
    <w:p>
      <w:pPr>
        <w:autoSpaceDE/>
        <w:autoSpaceDN/>
        <w:adjustRightInd w:val="0"/>
        <w:snapToGrid w:val="0"/>
        <w:spacing w:line="440" w:lineRule="exact"/>
        <w:ind w:firstLine="476" w:firstLineChars="200"/>
        <w:jc w:val="both"/>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pP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表</w:t>
      </w:r>
      <w:r>
        <w:rPr>
          <w:rFonts w:hint="eastAsia" w:ascii="Times New Roman" w:hAnsi="Times New Roman" w:cs="Times New Roman" w:eastAsiaTheme="majorEastAsia"/>
          <w:b/>
          <w:bCs/>
          <w:color w:val="000000" w:themeColor="text1"/>
          <w:w w:val="99"/>
          <w:sz w:val="24"/>
          <w:szCs w:val="32"/>
          <w:highlight w:val="none"/>
          <w:lang w:val="en-US" w:eastAsia="zh-CN"/>
          <w14:textFill>
            <w14:solidFill>
              <w14:schemeClr w14:val="tx1"/>
            </w14:solidFill>
          </w14:textFill>
        </w:rPr>
        <w:t>1.4-</w:t>
      </w: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7</w:t>
      </w:r>
      <w:r>
        <w:rPr>
          <w:rFonts w:hint="eastAsia" w:ascii="Times New Roman" w:hAnsi="Times New Roman" w:cs="Times New Roman" w:eastAsiaTheme="majorEastAsia"/>
          <w:b/>
          <w:bCs/>
          <w:color w:val="000000" w:themeColor="text1"/>
          <w:w w:val="99"/>
          <w:sz w:val="24"/>
          <w:szCs w:val="32"/>
          <w:highlight w:val="none"/>
          <w:lang w:val="en-US" w:eastAsia="zh-CN"/>
          <w14:textFill>
            <w14:solidFill>
              <w14:schemeClr w14:val="tx1"/>
            </w14:solidFill>
          </w14:textFill>
        </w:rPr>
        <w:t xml:space="preserve">      </w:t>
      </w:r>
      <w:r>
        <w:rPr>
          <w:rFonts w:hint="eastAsia"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 xml:space="preserve">  </w:t>
      </w:r>
      <w:r>
        <w:rPr>
          <w:rFonts w:ascii="Times New Roman" w:hAnsi="Times New Roman" w:cs="Times New Roman" w:eastAsiaTheme="majorEastAsia"/>
          <w:b/>
          <w:bCs/>
          <w:color w:val="000000" w:themeColor="text1"/>
          <w:w w:val="99"/>
          <w:sz w:val="24"/>
          <w:szCs w:val="32"/>
          <w:highlight w:val="none"/>
          <w:lang w:val="en-US"/>
          <w14:textFill>
            <w14:solidFill>
              <w14:schemeClr w14:val="tx1"/>
            </w14:solidFill>
          </w14:textFill>
        </w:rPr>
        <w:t>本项目与“气十条”相关要求符合性一览表</w:t>
      </w:r>
    </w:p>
    <w:tbl>
      <w:tblPr>
        <w:tblStyle w:val="32"/>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3261"/>
        <w:gridCol w:w="369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级别</w:t>
            </w:r>
          </w:p>
        </w:tc>
        <w:tc>
          <w:tcPr>
            <w:tcW w:w="326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文件要求</w:t>
            </w:r>
          </w:p>
        </w:tc>
        <w:tc>
          <w:tcPr>
            <w:tcW w:w="369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本项目分析</w:t>
            </w:r>
          </w:p>
        </w:tc>
        <w:tc>
          <w:tcPr>
            <w:tcW w:w="92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国家</w:t>
            </w:r>
          </w:p>
        </w:tc>
        <w:tc>
          <w:tcPr>
            <w:tcW w:w="326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建立覆盖所有固定污染源的企业排放许可制度，2020年底前，完成排污许可管理名录规定的行业许可证核发。</w:t>
            </w:r>
          </w:p>
        </w:tc>
        <w:tc>
          <w:tcPr>
            <w:tcW w:w="369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大庆油田有限责任公司第七采油厂</w:t>
            </w: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已</w:t>
            </w: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完成固定污染源排污许可登记</w:t>
            </w:r>
          </w:p>
        </w:tc>
        <w:tc>
          <w:tcPr>
            <w:tcW w:w="92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w:t>
            </w:r>
          </w:p>
        </w:tc>
      </w:tr>
    </w:tbl>
    <w:p>
      <w:pPr>
        <w:pStyle w:val="75"/>
        <w:spacing w:line="440" w:lineRule="exact"/>
        <w:ind w:firstLine="476" w:firstLineChars="200"/>
        <w:jc w:val="center"/>
        <w:rPr>
          <w:rFonts w:ascii="Times New Roman" w:hAnsi="Times New Roman" w:cs="Times New Roman"/>
          <w:b/>
          <w:bCs/>
          <w:snapToGrid/>
          <w:color w:val="000000" w:themeColor="text1"/>
          <w:w w:val="99"/>
          <w:sz w:val="24"/>
          <w:szCs w:val="24"/>
          <w:highlight w:val="none"/>
          <w14:textFill>
            <w14:solidFill>
              <w14:schemeClr w14:val="tx1"/>
            </w14:solidFill>
          </w14:textFill>
        </w:rPr>
      </w:pPr>
      <w:r>
        <w:rPr>
          <w:rFonts w:ascii="Times New Roman" w:hAnsi="Times New Roman" w:cs="Times New Roman"/>
          <w:b/>
          <w:bCs/>
          <w:snapToGrid/>
          <w:color w:val="000000" w:themeColor="text1"/>
          <w:w w:val="99"/>
          <w:sz w:val="24"/>
          <w:szCs w:val="24"/>
          <w:highlight w:val="none"/>
          <w14:textFill>
            <w14:solidFill>
              <w14:schemeClr w14:val="tx1"/>
            </w14:solidFill>
          </w14:textFill>
        </w:rPr>
        <w:t>表</w:t>
      </w:r>
      <w:r>
        <w:rPr>
          <w:rFonts w:hint="eastAsia" w:ascii="Times New Roman" w:hAnsi="Times New Roman" w:cs="Times New Roman"/>
          <w:b/>
          <w:bCs/>
          <w:snapToGrid/>
          <w:color w:val="000000" w:themeColor="text1"/>
          <w:w w:val="99"/>
          <w:sz w:val="24"/>
          <w:szCs w:val="24"/>
          <w:highlight w:val="none"/>
          <w:lang w:eastAsia="zh-CN"/>
          <w14:textFill>
            <w14:solidFill>
              <w14:schemeClr w14:val="tx1"/>
            </w14:solidFill>
          </w14:textFill>
        </w:rPr>
        <w:t>1.4-</w:t>
      </w:r>
      <w:r>
        <w:rPr>
          <w:rFonts w:ascii="Times New Roman" w:hAnsi="Times New Roman" w:cs="Times New Roman"/>
          <w:b/>
          <w:bCs/>
          <w:snapToGrid/>
          <w:color w:val="000000" w:themeColor="text1"/>
          <w:w w:val="99"/>
          <w:sz w:val="24"/>
          <w:szCs w:val="24"/>
          <w:highlight w:val="none"/>
          <w:lang w:val="en-US"/>
          <w14:textFill>
            <w14:solidFill>
              <w14:schemeClr w14:val="tx1"/>
            </w14:solidFill>
          </w14:textFill>
        </w:rPr>
        <w:t>8</w:t>
      </w:r>
      <w:r>
        <w:rPr>
          <w:rFonts w:hint="eastAsia" w:ascii="Times New Roman" w:hAnsi="Times New Roman" w:cs="Times New Roman"/>
          <w:b/>
          <w:bCs/>
          <w:snapToGrid/>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snapToGrid/>
          <w:color w:val="000000" w:themeColor="text1"/>
          <w:w w:val="99"/>
          <w:sz w:val="24"/>
          <w:szCs w:val="24"/>
          <w:highlight w:val="none"/>
          <w14:textFill>
            <w14:solidFill>
              <w14:schemeClr w14:val="tx1"/>
            </w14:solidFill>
          </w14:textFill>
        </w:rPr>
        <w:t xml:space="preserve">  与</w:t>
      </w:r>
      <w:r>
        <w:rPr>
          <w:rFonts w:hint="eastAsia" w:ascii="Times New Roman" w:hAnsi="Times New Roman" w:cs="Times New Roman"/>
          <w:b/>
          <w:bCs/>
          <w:snapToGrid/>
          <w:color w:val="000000" w:themeColor="text1"/>
          <w:w w:val="99"/>
          <w:sz w:val="24"/>
          <w:szCs w:val="24"/>
          <w:highlight w:val="none"/>
          <w14:textFill>
            <w14:solidFill>
              <w14:schemeClr w14:val="tx1"/>
            </w14:solidFill>
          </w14:textFill>
        </w:rPr>
        <w:t>《黑龙江省人民政府关于印发黑龙江省打赢蓝天保卫战三年行动计划的通知》（黑政规〔2018〕19号）</w:t>
      </w:r>
      <w:r>
        <w:rPr>
          <w:rFonts w:ascii="Times New Roman" w:hAnsi="Times New Roman" w:cs="Times New Roman"/>
          <w:b/>
          <w:bCs/>
          <w:snapToGrid/>
          <w:color w:val="000000" w:themeColor="text1"/>
          <w:w w:val="99"/>
          <w:sz w:val="24"/>
          <w:szCs w:val="24"/>
          <w:highlight w:val="none"/>
          <w14:textFill>
            <w14:solidFill>
              <w14:schemeClr w14:val="tx1"/>
            </w14:solidFill>
          </w14:textFill>
        </w:rPr>
        <w:t>符合性一览表</w:t>
      </w:r>
    </w:p>
    <w:tbl>
      <w:tblPr>
        <w:tblStyle w:val="32"/>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3560"/>
        <w:gridCol w:w="3841"/>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序号</w:t>
            </w:r>
          </w:p>
        </w:tc>
        <w:tc>
          <w:tcPr>
            <w:tcW w:w="35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文件要求</w:t>
            </w:r>
          </w:p>
        </w:tc>
        <w:tc>
          <w:tcPr>
            <w:tcW w:w="384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符合性分析</w:t>
            </w:r>
          </w:p>
        </w:tc>
        <w:tc>
          <w:tcPr>
            <w:tcW w:w="91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1</w:t>
            </w:r>
          </w:p>
        </w:tc>
        <w:tc>
          <w:tcPr>
            <w:tcW w:w="35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完成生态保护红线、环境质量底线、资源利用上线、环境准入清单编制工作，明确禁止和限制发展的行业、生产工艺和产业目录。强化节能环保标准约束，严格行业规范、准入管理，环境空气质量未达标地区应制订更严格的产业准入门槛。</w:t>
            </w:r>
          </w:p>
        </w:tc>
        <w:tc>
          <w:tcPr>
            <w:tcW w:w="384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本工程位于</w:t>
            </w: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大庆市大同</w:t>
            </w: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区</w:t>
            </w: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八井子乡</w:t>
            </w: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境内，项目位置不属于大庆市生态红线范围，且</w:t>
            </w: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井场</w:t>
            </w: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周边无自然保护区和风景名胜区分布，目前</w:t>
            </w: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项目</w:t>
            </w: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区域暂无明确的环境准入负面清单，本工程属于油田开发项目，不属于高污染、高能耗的产业类型，为环境准入允许类别。</w:t>
            </w: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项目区块的空气、土壤环境背景值均满足国家标准要求，区域环境承载能力良好。</w:t>
            </w:r>
          </w:p>
        </w:tc>
        <w:tc>
          <w:tcPr>
            <w:tcW w:w="91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2</w:t>
            </w:r>
          </w:p>
        </w:tc>
        <w:tc>
          <w:tcPr>
            <w:tcW w:w="35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将施工工地扬尘污染防治纳入建筑施工安全生产标准化文明施工管理范畴，建立扬尘控制责任制度，治理费用列入工程造价。工地要做到周边围挡、物料堆放覆盖、土方开挖湿法作业、路面硬化、出入车辆清洗、渣土车辆密闭运输。</w:t>
            </w:r>
          </w:p>
        </w:tc>
        <w:tc>
          <w:tcPr>
            <w:tcW w:w="384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项目施工期：①为防止因交通运输量的增加而导致的扬尘污染，合理规划道路运输路线，尽量利用现有公路网络。②运输道路、施工场地应定时洒水抑尘，定期清扫散落在施工场地的泥土，应实行湿法吸扫，严禁干扫和吹扫，以减少扬尘对周边土壤和植被的影响。③运料车辆在运输时，车辆应当采取遮盖苫布措施，严禁敞开式运输，以防洒落在地，形成二次扬尘。④土方开挖应采取遮盖、围挡、洒水等防尘措施。临时堆放土堆应采取覆盖、洒水等防尘措施；缩短土方裸露时间，且不宜堆积过久、过高，堆放过程中应在顶部加盖篷布；对易产生扬尘污染的建筑材料堆应覆盖。⑤管线施工最大限度控制施工作业带宽度，避免因施工开挖加剧土地沙漠化和水土流失。⑥合理规划施工进度，及时开挖，及时回填，防止弃土风化失水而起沙起尘；遇大风天气应停止土方工程施工作业。⑦施工完成后，在绿化季节到来时应立即对临时占地进行植被恢复，并确保绿化面积和植被成活率。⑧施工结束后，应及时进行施工场地的清理，清除积土、堆物。</w:t>
            </w:r>
          </w:p>
        </w:tc>
        <w:tc>
          <w:tcPr>
            <w:tcW w:w="91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3</w:t>
            </w:r>
          </w:p>
        </w:tc>
        <w:tc>
          <w:tcPr>
            <w:tcW w:w="3560"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开展石化、化工、包装印刷、工业涂装等行业VOCs污染调查，按行业明确整治方案和要求。加强源头控制，提高VOCs含量低（无）的绿色原辅材料替代比例，推广先进工艺、设备，加强VOCs污染治理，提高重点行业有机废气收集率；到2020年VOCs排放总量累计削减960吨以上。加大餐饮油烟治理力度。继续深化油品储运销体系油气回收治理，对加油站、储油库、油罐车的油气回收设施加强运行监管。</w:t>
            </w:r>
          </w:p>
        </w:tc>
        <w:tc>
          <w:tcPr>
            <w:tcW w:w="384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①油气集输采用密闭流程，最大限度降低烃类气体的挥发；</w:t>
            </w:r>
          </w:p>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②本工程烃类挥发主要发生在转油站、</w:t>
            </w: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联合站等</w:t>
            </w: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依托场站油气分离器及泵房等。通过采取提高油气分离器及储油罐的密闭程度，与此同时，加强运行管理，提高油气分离效率，最大限度的减少烃类气体挥发；</w:t>
            </w:r>
          </w:p>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③加强对设备和管道的检查和维护，控制烃类气体的无组织挥发；</w:t>
            </w:r>
          </w:p>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④加强井下作业管理，提高落地油回收率，减少烃类气体挥发。</w:t>
            </w:r>
          </w:p>
        </w:tc>
        <w:tc>
          <w:tcPr>
            <w:tcW w:w="91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w:t>
            </w:r>
          </w:p>
        </w:tc>
      </w:tr>
    </w:tbl>
    <w:p>
      <w:pPr>
        <w:pStyle w:val="67"/>
        <w:widowControl w:val="0"/>
        <w:autoSpaceDE/>
        <w:autoSpaceDN/>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1.4.2.</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13 国民经济和社会发展规划符合性分析</w:t>
      </w:r>
    </w:p>
    <w:p>
      <w:pPr>
        <w:pStyle w:val="45"/>
        <w:keepNext w:val="0"/>
        <w:keepLines w:val="0"/>
        <w:pageBreakBefore w:val="0"/>
        <w:widowControl w:val="0"/>
        <w:tabs>
          <w:tab w:val="left" w:pos="93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eastAsiaTheme="majorEastAsia"/>
          <w:color w:val="000000" w:themeColor="text1"/>
          <w:w w:val="99"/>
          <w:sz w:val="24"/>
          <w:szCs w:val="32"/>
          <w:highlight w:val="none"/>
          <w:lang w:val="en-US"/>
          <w14:textFill>
            <w14:solidFill>
              <w14:schemeClr w14:val="tx1"/>
            </w14:solidFill>
          </w14:textFill>
        </w:rPr>
      </w:pP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中共大庆市委关于制定国民经济和社会发展第十四个五年规划和二〇三五年远景目标的建议》中提出：完善百年油田建设专班推进工作机制；支持油田打好“提质增效”攻坚战，全力服务油田产能建设；拓展油田装备、油气储运、信息服务等产业合作领域，壮大混合所有制经济；加强油气资源和新能源开发利用；维护油田产业链供应链稳定；保障油田生产秩序。本工程为石油开采项目，因此本项目符合《中共大庆市委关于制定国民经济和社会发展第十四个五年规划和二〇三五年远景目标的建议》要求。</w:t>
      </w:r>
    </w:p>
    <w:p>
      <w:pPr>
        <w:pStyle w:val="67"/>
        <w:widowControl w:val="0"/>
        <w:autoSpaceDE/>
        <w:autoSpaceDN/>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4.2.</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14 与《2020年挥发性有机物治理攻坚方案》符合性分析</w:t>
      </w:r>
    </w:p>
    <w:p>
      <w:pPr>
        <w:pStyle w:val="40"/>
        <w:keepNext w:val="0"/>
        <w:keepLines w:val="0"/>
        <w:pageBreakBefore w:val="0"/>
        <w:widowControl w:val="0"/>
        <w:kinsoku/>
        <w:wordWrap/>
        <w:overflowPunct/>
        <w:topLinePunct w:val="0"/>
        <w:autoSpaceDE w:val="0"/>
        <w:autoSpaceDN w:val="0"/>
        <w:bidi w:val="0"/>
        <w:adjustRightInd w:val="0"/>
        <w:snapToGrid/>
        <w:spacing w:beforeLines="0" w:afterLines="0" w:line="440" w:lineRule="exact"/>
        <w:ind w:firstLine="474" w:firstLineChars="200"/>
        <w:jc w:val="both"/>
        <w:textAlignment w:val="auto"/>
        <w:rPr>
          <w:rFonts w:ascii="Times New Roman" w:cs="Times New Roman" w:eastAsiaTheme="majorEastAsia"/>
          <w:b w:val="0"/>
          <w:bCs/>
          <w:color w:val="000000" w:themeColor="text1"/>
          <w:w w:val="99"/>
          <w:szCs w:val="32"/>
          <w:highlight w:val="none"/>
          <w:lang w:bidi="zh-CN"/>
          <w14:textFill>
            <w14:solidFill>
              <w14:schemeClr w14:val="tx1"/>
            </w14:solidFill>
          </w14:textFill>
        </w:rPr>
      </w:pPr>
      <w:r>
        <w:rPr>
          <w:rFonts w:hint="eastAsia" w:ascii="Times New Roman" w:cs="Times New Roman" w:eastAsiaTheme="majorEastAsia"/>
          <w:b w:val="0"/>
          <w:bCs/>
          <w:color w:val="000000" w:themeColor="text1"/>
          <w:w w:val="99"/>
          <w:szCs w:val="32"/>
          <w:highlight w:val="none"/>
          <w:lang w:bidi="zh-CN"/>
          <w14:textFill>
            <w14:solidFill>
              <w14:schemeClr w14:val="tx1"/>
            </w14:solidFill>
          </w14:textFill>
        </w:rPr>
        <w:t>《2020年挥发性有机物治理攻坚方案》中</w:t>
      </w:r>
      <w:r>
        <w:rPr>
          <w:rFonts w:ascii="Times New Roman" w:cs="Times New Roman" w:eastAsiaTheme="majorEastAsia"/>
          <w:b w:val="0"/>
          <w:bCs/>
          <w:color w:val="000000" w:themeColor="text1"/>
          <w:w w:val="99"/>
          <w:szCs w:val="32"/>
          <w:highlight w:val="none"/>
          <w:lang w:bidi="zh-CN"/>
          <w14:textFill>
            <w14:solidFill>
              <w14:schemeClr w14:val="tx1"/>
            </w14:solidFill>
          </w14:textFill>
        </w:rPr>
        <w:t>提出</w:t>
      </w:r>
      <w:r>
        <w:rPr>
          <w:rFonts w:hint="eastAsia" w:ascii="Times New Roman" w:cs="Times New Roman" w:eastAsiaTheme="majorEastAsia"/>
          <w:b w:val="0"/>
          <w:bCs/>
          <w:color w:val="000000" w:themeColor="text1"/>
          <w:w w:val="99"/>
          <w:szCs w:val="32"/>
          <w:highlight w:val="none"/>
          <w:lang w:bidi="zh-CN"/>
          <w14:textFill>
            <w14:solidFill>
              <w14:schemeClr w14:val="tx1"/>
            </w14:solidFill>
          </w14:textFill>
        </w:rPr>
        <w:t>“全面执行《挥发性有机物无组织排放控制标准》，重点区域应落实无组织排放特别控制要求。”、“加强含VOCs物料全方位、全链条、全环节密闭管理。装卸、转移和输送环节应采用密闭管道或密闭容器、罐车等。”本项目依托场站</w:t>
      </w:r>
      <w:r>
        <w:rPr>
          <w:rFonts w:ascii="Times New Roman" w:cs="Times New Roman" w:eastAsiaTheme="majorEastAsia"/>
          <w:b w:val="0"/>
          <w:bCs/>
          <w:color w:val="000000" w:themeColor="text1"/>
          <w:w w:val="99"/>
          <w:szCs w:val="32"/>
          <w:highlight w:val="none"/>
          <w:lang w:bidi="zh-CN"/>
          <w14:textFill>
            <w14:solidFill>
              <w14:schemeClr w14:val="tx1"/>
            </w14:solidFill>
          </w14:textFill>
        </w:rPr>
        <w:t>已执行</w:t>
      </w:r>
      <w:r>
        <w:rPr>
          <w:rFonts w:hint="eastAsia" w:ascii="Times New Roman" w:cs="Times New Roman" w:eastAsiaTheme="majorEastAsia"/>
          <w:b w:val="0"/>
          <w:bCs/>
          <w:color w:val="000000" w:themeColor="text1"/>
          <w:w w:val="99"/>
          <w:szCs w:val="32"/>
          <w:highlight w:val="none"/>
          <w:lang w:bidi="zh-CN"/>
          <w14:textFill>
            <w14:solidFill>
              <w14:schemeClr w14:val="tx1"/>
            </w14:solidFill>
          </w14:textFill>
        </w:rPr>
        <w:t>《挥发性有机物无组织排放控制标准》，原油</w:t>
      </w:r>
      <w:r>
        <w:rPr>
          <w:rFonts w:ascii="Times New Roman" w:cs="Times New Roman" w:eastAsiaTheme="majorEastAsia"/>
          <w:b w:val="0"/>
          <w:bCs/>
          <w:color w:val="000000" w:themeColor="text1"/>
          <w:w w:val="99"/>
          <w:szCs w:val="32"/>
          <w:highlight w:val="none"/>
          <w:lang w:bidi="zh-CN"/>
          <w14:textFill>
            <w14:solidFill>
              <w14:schemeClr w14:val="tx1"/>
            </w14:solidFill>
          </w14:textFill>
        </w:rPr>
        <w:t>集输和处置环节均采用密闭管道或容器、罐车，</w:t>
      </w:r>
      <w:r>
        <w:rPr>
          <w:rFonts w:hint="eastAsia" w:ascii="Times New Roman" w:cs="Times New Roman" w:eastAsiaTheme="majorEastAsia"/>
          <w:b w:val="0"/>
          <w:bCs/>
          <w:color w:val="000000" w:themeColor="text1"/>
          <w:w w:val="99"/>
          <w:szCs w:val="32"/>
          <w:highlight w:val="none"/>
          <w:lang w:bidi="zh-CN"/>
          <w14:textFill>
            <w14:solidFill>
              <w14:schemeClr w14:val="tx1"/>
            </w14:solidFill>
          </w14:textFill>
        </w:rPr>
        <w:t>大大降低</w:t>
      </w:r>
      <w:r>
        <w:rPr>
          <w:rFonts w:ascii="Times New Roman" w:cs="Times New Roman" w:eastAsiaTheme="majorEastAsia"/>
          <w:b w:val="0"/>
          <w:bCs/>
          <w:color w:val="000000" w:themeColor="text1"/>
          <w:w w:val="99"/>
          <w:szCs w:val="32"/>
          <w:highlight w:val="none"/>
          <w:lang w:bidi="zh-CN"/>
          <w14:textFill>
            <w14:solidFill>
              <w14:schemeClr w14:val="tx1"/>
            </w14:solidFill>
          </w14:textFill>
        </w:rPr>
        <w:t>了</w:t>
      </w:r>
      <w:r>
        <w:rPr>
          <w:rFonts w:hint="eastAsia" w:ascii="Times New Roman" w:cs="Times New Roman" w:eastAsiaTheme="majorEastAsia"/>
          <w:b w:val="0"/>
          <w:bCs/>
          <w:color w:val="000000" w:themeColor="text1"/>
          <w:w w:val="99"/>
          <w:szCs w:val="32"/>
          <w:highlight w:val="none"/>
          <w:lang w:bidi="zh-CN"/>
          <w14:textFill>
            <w14:solidFill>
              <w14:schemeClr w14:val="tx1"/>
            </w14:solidFill>
          </w14:textFill>
        </w:rPr>
        <w:t>VOC</w:t>
      </w:r>
      <w:r>
        <w:rPr>
          <w:rFonts w:ascii="Times New Roman" w:cs="Times New Roman" w:eastAsiaTheme="majorEastAsia"/>
          <w:b w:val="0"/>
          <w:bCs/>
          <w:color w:val="000000" w:themeColor="text1"/>
          <w:w w:val="99"/>
          <w:szCs w:val="32"/>
          <w:highlight w:val="none"/>
          <w:lang w:bidi="zh-CN"/>
          <w14:textFill>
            <w14:solidFill>
              <w14:schemeClr w14:val="tx1"/>
            </w14:solidFill>
          </w14:textFill>
        </w:rPr>
        <w:t>s物料的无组织</w:t>
      </w:r>
      <w:r>
        <w:rPr>
          <w:rFonts w:hint="eastAsia" w:ascii="Times New Roman" w:cs="Times New Roman" w:eastAsiaTheme="majorEastAsia"/>
          <w:b w:val="0"/>
          <w:bCs/>
          <w:color w:val="000000" w:themeColor="text1"/>
          <w:w w:val="99"/>
          <w:szCs w:val="32"/>
          <w:highlight w:val="none"/>
          <w:lang w:bidi="zh-CN"/>
          <w14:textFill>
            <w14:solidFill>
              <w14:schemeClr w14:val="tx1"/>
            </w14:solidFill>
          </w14:textFill>
        </w:rPr>
        <w:t>挥发</w:t>
      </w:r>
      <w:r>
        <w:rPr>
          <w:rFonts w:ascii="Times New Roman" w:cs="Times New Roman" w:eastAsiaTheme="majorEastAsia"/>
          <w:b w:val="0"/>
          <w:bCs/>
          <w:color w:val="000000" w:themeColor="text1"/>
          <w:w w:val="99"/>
          <w:szCs w:val="32"/>
          <w:highlight w:val="none"/>
          <w:lang w:bidi="zh-CN"/>
          <w14:textFill>
            <w14:solidFill>
              <w14:schemeClr w14:val="tx1"/>
            </w14:solidFill>
          </w14:textFill>
        </w:rPr>
        <w:t>，</w:t>
      </w:r>
      <w:r>
        <w:rPr>
          <w:rFonts w:hint="eastAsia" w:ascii="Times New Roman" w:cs="Times New Roman" w:eastAsiaTheme="majorEastAsia"/>
          <w:b w:val="0"/>
          <w:bCs/>
          <w:color w:val="000000" w:themeColor="text1"/>
          <w:w w:val="99"/>
          <w:szCs w:val="32"/>
          <w:highlight w:val="none"/>
          <w:lang w:bidi="zh-CN"/>
          <w14:textFill>
            <w14:solidFill>
              <w14:schemeClr w14:val="tx1"/>
            </w14:solidFill>
          </w14:textFill>
        </w:rPr>
        <w:t>因此</w:t>
      </w:r>
      <w:r>
        <w:rPr>
          <w:rFonts w:ascii="Times New Roman" w:cs="Times New Roman" w:eastAsiaTheme="majorEastAsia"/>
          <w:b w:val="0"/>
          <w:bCs/>
          <w:color w:val="000000" w:themeColor="text1"/>
          <w:w w:val="99"/>
          <w:szCs w:val="32"/>
          <w:highlight w:val="none"/>
          <w:lang w:bidi="zh-CN"/>
          <w14:textFill>
            <w14:solidFill>
              <w14:schemeClr w14:val="tx1"/>
            </w14:solidFill>
          </w14:textFill>
        </w:rPr>
        <w:t>，本工程符合</w:t>
      </w:r>
      <w:r>
        <w:rPr>
          <w:rFonts w:hint="eastAsia" w:ascii="Times New Roman" w:cs="Times New Roman" w:eastAsiaTheme="majorEastAsia"/>
          <w:b w:val="0"/>
          <w:bCs/>
          <w:color w:val="000000" w:themeColor="text1"/>
          <w:w w:val="99"/>
          <w:szCs w:val="32"/>
          <w:highlight w:val="none"/>
          <w:lang w:bidi="zh-CN"/>
          <w14:textFill>
            <w14:solidFill>
              <w14:schemeClr w14:val="tx1"/>
            </w14:solidFill>
          </w14:textFill>
        </w:rPr>
        <w:t>《2020年挥发性有机物治理攻坚方案》中</w:t>
      </w:r>
      <w:r>
        <w:rPr>
          <w:rFonts w:ascii="Times New Roman" w:cs="Times New Roman" w:eastAsiaTheme="majorEastAsia"/>
          <w:b w:val="0"/>
          <w:bCs/>
          <w:color w:val="000000" w:themeColor="text1"/>
          <w:w w:val="99"/>
          <w:szCs w:val="32"/>
          <w:highlight w:val="none"/>
          <w:lang w:bidi="zh-CN"/>
          <w14:textFill>
            <w14:solidFill>
              <w14:schemeClr w14:val="tx1"/>
            </w14:solidFill>
          </w14:textFill>
        </w:rPr>
        <w:t>的相关要求。</w:t>
      </w:r>
    </w:p>
    <w:p>
      <w:pPr>
        <w:pStyle w:val="67"/>
        <w:widowControl w:val="0"/>
        <w:autoSpaceDE/>
        <w:autoSpaceDN/>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2.15 与《大庆市生态环境局关于进一步做好重点行业挥发性有机物综合治理工作的通知》符合性分析</w:t>
      </w:r>
    </w:p>
    <w:p>
      <w:pPr>
        <w:pStyle w:val="67"/>
        <w:bidi w:val="0"/>
        <w:rPr>
          <w:rFonts w:hint="eastAsia" w:ascii="Times New Roman" w:hAnsi="Times New Roman" w:cs="Times New Roman" w:eastAsiaTheme="majorEastAsia"/>
          <w:color w:val="000000" w:themeColor="text1"/>
          <w:w w:val="99"/>
          <w:sz w:val="24"/>
          <w:szCs w:val="32"/>
          <w:highlight w:val="none"/>
          <w:lang w:val="en-US" w:eastAsia="zh-CN" w:bidi="zh-CN"/>
          <w14:textFill>
            <w14:solidFill>
              <w14:schemeClr w14:val="tx1"/>
            </w14:solidFill>
          </w14:textFill>
        </w:rPr>
      </w:pPr>
      <w:r>
        <w:rPr>
          <w:rFonts w:hint="eastAsia" w:ascii="Times New Roman" w:hAnsi="Times New Roman" w:cs="Times New Roman" w:eastAsiaTheme="majorEastAsia"/>
          <w:color w:val="000000" w:themeColor="text1"/>
          <w:w w:val="99"/>
          <w:sz w:val="24"/>
          <w:szCs w:val="32"/>
          <w:highlight w:val="none"/>
          <w:lang w:val="en-US" w:eastAsia="zh-CN" w:bidi="zh-CN"/>
          <w14:textFill>
            <w14:solidFill>
              <w14:schemeClr w14:val="tx1"/>
            </w14:solidFill>
          </w14:textFill>
        </w:rPr>
        <w:t>《大庆市生态环境局关于进一步做好重点行业挥发性有机物综合治理工作的通知》中提出“对采油厂含油污泥处理场无组织排放 VOC</w:t>
      </w:r>
      <w:r>
        <w:rPr>
          <w:rFonts w:hint="eastAsia" w:ascii="Times New Roman" w:hAnsi="Times New Roman" w:cs="Times New Roman" w:eastAsiaTheme="majorEastAsia"/>
          <w:color w:val="000000" w:themeColor="text1"/>
          <w:w w:val="99"/>
          <w:sz w:val="24"/>
          <w:szCs w:val="32"/>
          <w:highlight w:val="none"/>
          <w:vertAlign w:val="subscript"/>
          <w:lang w:val="en-US" w:eastAsia="zh-CN" w:bidi="zh-CN"/>
          <w14:textFill>
            <w14:solidFill>
              <w14:schemeClr w14:val="tx1"/>
            </w14:solidFill>
          </w14:textFill>
        </w:rPr>
        <w:t xml:space="preserve">S </w:t>
      </w:r>
      <w:r>
        <w:rPr>
          <w:rFonts w:hint="eastAsia" w:ascii="Times New Roman" w:hAnsi="Times New Roman" w:cs="Times New Roman" w:eastAsiaTheme="majorEastAsia"/>
          <w:color w:val="000000" w:themeColor="text1"/>
          <w:w w:val="99"/>
          <w:sz w:val="24"/>
          <w:szCs w:val="32"/>
          <w:highlight w:val="none"/>
          <w:lang w:val="en-US" w:eastAsia="zh-CN" w:bidi="zh-CN"/>
          <w14:textFill>
            <w14:solidFill>
              <w14:schemeClr w14:val="tx1"/>
            </w14:solidFill>
          </w14:textFill>
        </w:rPr>
        <w:t>进行检测，根据治理技术成熟程度，适时制定治理技术方案，加快采油厂含油污泥处理场 VOC</w:t>
      </w:r>
      <w:r>
        <w:rPr>
          <w:rFonts w:hint="eastAsia" w:ascii="Times New Roman" w:hAnsi="Times New Roman" w:cs="Times New Roman" w:eastAsiaTheme="majorEastAsia"/>
          <w:color w:val="000000" w:themeColor="text1"/>
          <w:w w:val="99"/>
          <w:sz w:val="24"/>
          <w:szCs w:val="32"/>
          <w:highlight w:val="none"/>
          <w:vertAlign w:val="subscript"/>
          <w:lang w:val="en-US" w:eastAsia="zh-CN" w:bidi="zh-CN"/>
          <w14:textFill>
            <w14:solidFill>
              <w14:schemeClr w14:val="tx1"/>
            </w14:solidFill>
          </w14:textFill>
        </w:rPr>
        <w:t>S</w:t>
      </w:r>
      <w:r>
        <w:rPr>
          <w:rFonts w:hint="eastAsia" w:ascii="Times New Roman" w:hAnsi="Times New Roman" w:cs="Times New Roman" w:eastAsiaTheme="majorEastAsia"/>
          <w:color w:val="000000" w:themeColor="text1"/>
          <w:w w:val="99"/>
          <w:sz w:val="24"/>
          <w:szCs w:val="32"/>
          <w:highlight w:val="none"/>
          <w:lang w:val="en-US" w:eastAsia="zh-CN" w:bidi="zh-CN"/>
          <w14:textFill>
            <w14:solidFill>
              <w14:schemeClr w14:val="tx1"/>
            </w14:solidFill>
          </w14:textFill>
        </w:rPr>
        <w:t>治理。”本项目运营期含油污泥依托葡萄花含油污泥处理站处理，该站环保手续齐全，定期进行废气污染物非甲烷总烃监测，本项目符合该通知要求。</w:t>
      </w:r>
    </w:p>
    <w:p>
      <w:pPr>
        <w:pStyle w:val="67"/>
        <w:widowControl w:val="0"/>
        <w:autoSpaceDE/>
        <w:autoSpaceDN/>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1.4.2.16与</w:t>
      </w:r>
      <w:r>
        <w:rPr>
          <w:rFonts w:hint="default"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 陆上石油天然气开采业绿色矿山建设规范》（DZ∕T 0317-2018）</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符合性分析</w:t>
      </w:r>
    </w:p>
    <w:p>
      <w:pPr>
        <w:pStyle w:val="75"/>
        <w:spacing w:line="440" w:lineRule="exact"/>
        <w:jc w:val="both"/>
        <w:rPr>
          <w:rFonts w:ascii="Times New Roman" w:hAnsi="Times New Roman" w:cs="Times New Roman"/>
          <w:b/>
          <w:bCs/>
          <w:snapToGrid/>
          <w:color w:val="000000" w:themeColor="text1"/>
          <w:w w:val="99"/>
          <w:sz w:val="24"/>
          <w:szCs w:val="24"/>
          <w:highlight w:val="none"/>
          <w14:textFill>
            <w14:solidFill>
              <w14:schemeClr w14:val="tx1"/>
            </w14:solidFill>
          </w14:textFill>
        </w:rPr>
      </w:pPr>
      <w:r>
        <w:rPr>
          <w:rFonts w:ascii="Times New Roman" w:hAnsi="Times New Roman" w:cs="Times New Roman"/>
          <w:b/>
          <w:bCs/>
          <w:snapToGrid/>
          <w:color w:val="000000" w:themeColor="text1"/>
          <w:w w:val="99"/>
          <w:sz w:val="24"/>
          <w:szCs w:val="24"/>
          <w:highlight w:val="none"/>
          <w14:textFill>
            <w14:solidFill>
              <w14:schemeClr w14:val="tx1"/>
            </w14:solidFill>
          </w14:textFill>
        </w:rPr>
        <w:t>表</w:t>
      </w:r>
      <w:r>
        <w:rPr>
          <w:rFonts w:hint="eastAsia" w:ascii="Times New Roman" w:hAnsi="Times New Roman" w:cs="Times New Roman"/>
          <w:b/>
          <w:bCs/>
          <w:snapToGrid/>
          <w:color w:val="000000" w:themeColor="text1"/>
          <w:w w:val="99"/>
          <w:sz w:val="24"/>
          <w:szCs w:val="24"/>
          <w:highlight w:val="none"/>
          <w:lang w:eastAsia="zh-CN"/>
          <w14:textFill>
            <w14:solidFill>
              <w14:schemeClr w14:val="tx1"/>
            </w14:solidFill>
          </w14:textFill>
        </w:rPr>
        <w:t>1.4-</w:t>
      </w:r>
      <w:r>
        <w:rPr>
          <w:rFonts w:hint="eastAsia" w:ascii="Times New Roman" w:hAnsi="Times New Roman" w:cs="Times New Roman"/>
          <w:b/>
          <w:bCs/>
          <w:snapToGrid/>
          <w:color w:val="000000" w:themeColor="text1"/>
          <w:w w:val="99"/>
          <w:sz w:val="24"/>
          <w:szCs w:val="24"/>
          <w:highlight w:val="none"/>
          <w:lang w:val="en-US" w:eastAsia="zh-CN"/>
          <w14:textFill>
            <w14:solidFill>
              <w14:schemeClr w14:val="tx1"/>
            </w14:solidFill>
          </w14:textFill>
        </w:rPr>
        <w:t xml:space="preserve">16 </w:t>
      </w:r>
      <w:r>
        <w:rPr>
          <w:rFonts w:ascii="Times New Roman" w:hAnsi="Times New Roman" w:cs="Times New Roman"/>
          <w:b/>
          <w:bCs/>
          <w:snapToGrid/>
          <w:color w:val="000000" w:themeColor="text1"/>
          <w:w w:val="99"/>
          <w:sz w:val="24"/>
          <w:szCs w:val="24"/>
          <w:highlight w:val="none"/>
          <w14:textFill>
            <w14:solidFill>
              <w14:schemeClr w14:val="tx1"/>
            </w14:solidFill>
          </w14:textFill>
        </w:rPr>
        <w:t>与</w:t>
      </w:r>
      <w:r>
        <w:rPr>
          <w:rFonts w:hint="eastAsia" w:ascii="Times New Roman" w:hAnsi="Times New Roman" w:cs="Times New Roman"/>
          <w:b/>
          <w:bCs/>
          <w:snapToGrid/>
          <w:color w:val="000000" w:themeColor="text1"/>
          <w:w w:val="99"/>
          <w:sz w:val="24"/>
          <w:szCs w:val="24"/>
          <w:highlight w:val="none"/>
          <w14:textFill>
            <w14:solidFill>
              <w14:schemeClr w14:val="tx1"/>
            </w14:solidFill>
          </w14:textFill>
        </w:rPr>
        <w:t>《</w:t>
      </w:r>
      <w:r>
        <w:rPr>
          <w:rFonts w:hint="eastAsia" w:ascii="Times New Roman" w:hAnsi="Times New Roman" w:cs="Times New Roman"/>
          <w:b/>
          <w:bCs/>
          <w:snapToGrid/>
          <w:color w:val="000000" w:themeColor="text1"/>
          <w:w w:val="99"/>
          <w:sz w:val="24"/>
          <w:szCs w:val="24"/>
          <w:highlight w:val="none"/>
          <w:lang w:eastAsia="zh-CN"/>
          <w14:textFill>
            <w14:solidFill>
              <w14:schemeClr w14:val="tx1"/>
            </w14:solidFill>
          </w14:textFill>
        </w:rPr>
        <w:t>陆上石油天然气开采业矿山建设规范</w:t>
      </w:r>
      <w:r>
        <w:rPr>
          <w:rFonts w:hint="eastAsia" w:ascii="Times New Roman" w:hAnsi="Times New Roman" w:cs="Times New Roman"/>
          <w:b/>
          <w:bCs/>
          <w:snapToGrid/>
          <w:color w:val="000000" w:themeColor="text1"/>
          <w:w w:val="99"/>
          <w:sz w:val="24"/>
          <w:szCs w:val="24"/>
          <w:highlight w:val="none"/>
          <w14:textFill>
            <w14:solidFill>
              <w14:schemeClr w14:val="tx1"/>
            </w14:solidFill>
          </w14:textFill>
        </w:rPr>
        <w:t>》（</w:t>
      </w:r>
      <w:r>
        <w:rPr>
          <w:rFonts w:hint="eastAsia" w:ascii="Times New Roman" w:hAnsi="Times New Roman" w:cs="Times New Roman"/>
          <w:b/>
          <w:bCs/>
          <w:snapToGrid/>
          <w:color w:val="000000" w:themeColor="text1"/>
          <w:w w:val="99"/>
          <w:sz w:val="24"/>
          <w:szCs w:val="24"/>
          <w:highlight w:val="none"/>
          <w:lang w:val="en-US" w:eastAsia="zh-CN"/>
          <w14:textFill>
            <w14:solidFill>
              <w14:schemeClr w14:val="tx1"/>
            </w14:solidFill>
          </w14:textFill>
        </w:rPr>
        <w:t>DZ/T0317-2018</w:t>
      </w:r>
      <w:r>
        <w:rPr>
          <w:rFonts w:hint="eastAsia" w:ascii="Times New Roman" w:hAnsi="Times New Roman" w:cs="Times New Roman"/>
          <w:b/>
          <w:bCs/>
          <w:snapToGrid/>
          <w:color w:val="000000" w:themeColor="text1"/>
          <w:w w:val="99"/>
          <w:sz w:val="24"/>
          <w:szCs w:val="24"/>
          <w:highlight w:val="none"/>
          <w14:textFill>
            <w14:solidFill>
              <w14:schemeClr w14:val="tx1"/>
            </w14:solidFill>
          </w14:textFill>
        </w:rPr>
        <w:t>）</w:t>
      </w:r>
      <w:r>
        <w:rPr>
          <w:rFonts w:ascii="Times New Roman" w:hAnsi="Times New Roman" w:cs="Times New Roman"/>
          <w:b/>
          <w:bCs/>
          <w:snapToGrid/>
          <w:color w:val="000000" w:themeColor="text1"/>
          <w:w w:val="99"/>
          <w:sz w:val="24"/>
          <w:szCs w:val="24"/>
          <w:highlight w:val="none"/>
          <w14:textFill>
            <w14:solidFill>
              <w14:schemeClr w14:val="tx1"/>
            </w14:solidFill>
          </w14:textFill>
        </w:rPr>
        <w:t>符合性一览表</w:t>
      </w:r>
    </w:p>
    <w:tbl>
      <w:tblPr>
        <w:tblStyle w:val="32"/>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4093"/>
        <w:gridCol w:w="3308"/>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序号</w:t>
            </w:r>
          </w:p>
        </w:tc>
        <w:tc>
          <w:tcPr>
            <w:tcW w:w="409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文件要求</w:t>
            </w:r>
          </w:p>
        </w:tc>
        <w:tc>
          <w:tcPr>
            <w:tcW w:w="3308"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符合性分析</w:t>
            </w:r>
          </w:p>
        </w:tc>
        <w:tc>
          <w:tcPr>
            <w:tcW w:w="91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1</w:t>
            </w:r>
          </w:p>
        </w:tc>
        <w:tc>
          <w:tcPr>
            <w:tcW w:w="4093" w:type="dxa"/>
            <w:vAlign w:val="center"/>
          </w:tcPr>
          <w:p>
            <w:pPr>
              <w:autoSpaceDE/>
              <w:autoSpaceDN/>
              <w:adjustRightInd w:val="0"/>
              <w:snapToGrid w:val="0"/>
              <w:spacing w:line="360" w:lineRule="exact"/>
              <w:jc w:val="center"/>
              <w:rPr>
                <w:rFonts w:hint="eastAsia"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油气开采过程中产生的落地原油应及时全部回收。</w:t>
            </w:r>
          </w:p>
        </w:tc>
        <w:tc>
          <w:tcPr>
            <w:tcW w:w="3308" w:type="dxa"/>
            <w:vAlign w:val="center"/>
          </w:tcPr>
          <w:p>
            <w:pPr>
              <w:autoSpaceDE/>
              <w:autoSpaceDN/>
              <w:adjustRightInd w:val="0"/>
              <w:snapToGrid w:val="0"/>
              <w:spacing w:line="360" w:lineRule="exact"/>
              <w:jc w:val="center"/>
              <w:rPr>
                <w:rFonts w:hint="eastAsia"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本项目井场作业铺设防渗布，能够做到落地油的及时且全部回收。</w:t>
            </w:r>
          </w:p>
        </w:tc>
        <w:tc>
          <w:tcPr>
            <w:tcW w:w="911"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autoSpaceDE/>
              <w:autoSpaceDN/>
              <w:adjustRightInd w:val="0"/>
              <w:snapToGrid w:val="0"/>
              <w:spacing w:line="360" w:lineRule="exact"/>
              <w:jc w:val="cente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bidi="ar-SA"/>
                <w14:textFill>
                  <w14:solidFill>
                    <w14:schemeClr w14:val="tx1"/>
                  </w14:solidFill>
                </w14:textFill>
              </w:rPr>
              <w:t>2</w:t>
            </w:r>
          </w:p>
        </w:tc>
        <w:tc>
          <w:tcPr>
            <w:tcW w:w="4093" w:type="dxa"/>
            <w:vAlign w:val="center"/>
          </w:tcPr>
          <w:p>
            <w:pPr>
              <w:autoSpaceDE/>
              <w:autoSpaceDN/>
              <w:adjustRightInd w:val="0"/>
              <w:snapToGrid w:val="0"/>
              <w:spacing w:line="360" w:lineRule="exact"/>
              <w:jc w:val="center"/>
              <w:rPr>
                <w:rFonts w:hint="eastAsia"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废液、废气、固体废物应建档分类管理，并清洁化、无害化处置处置率应达到100%。</w:t>
            </w:r>
          </w:p>
        </w:tc>
        <w:tc>
          <w:tcPr>
            <w:tcW w:w="3308" w:type="dxa"/>
            <w:vAlign w:val="center"/>
          </w:tcPr>
          <w:p>
            <w:pPr>
              <w:autoSpaceDE/>
              <w:autoSpaceDN/>
              <w:adjustRightInd w:val="0"/>
              <w:snapToGrid w:val="0"/>
              <w:spacing w:line="360" w:lineRule="exact"/>
              <w:jc w:val="center"/>
              <w:rPr>
                <w:rFonts w:hint="default"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本项目油田采出废液回收率100%达到标准后回注地下；固体废物100%回收综合利用。三废均分别建档分类管理。</w:t>
            </w:r>
          </w:p>
        </w:tc>
        <w:tc>
          <w:tcPr>
            <w:tcW w:w="911" w:type="dxa"/>
            <w:vAlign w:val="center"/>
          </w:tcPr>
          <w:p>
            <w:pPr>
              <w:autoSpaceDE/>
              <w:autoSpaceDN/>
              <w:adjustRightInd w:val="0"/>
              <w:snapToGrid w:val="0"/>
              <w:spacing w:line="360" w:lineRule="exact"/>
              <w:jc w:val="center"/>
              <w:rPr>
                <w:rFonts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autoSpaceDE/>
              <w:autoSpaceDN/>
              <w:adjustRightInd w:val="0"/>
              <w:snapToGrid w:val="0"/>
              <w:spacing w:line="360" w:lineRule="exact"/>
              <w:jc w:val="center"/>
              <w:rPr>
                <w:rFonts w:hint="eastAsia"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3</w:t>
            </w:r>
          </w:p>
        </w:tc>
        <w:tc>
          <w:tcPr>
            <w:tcW w:w="4093" w:type="dxa"/>
            <w:vAlign w:val="center"/>
          </w:tcPr>
          <w:p>
            <w:pPr>
              <w:autoSpaceDE/>
              <w:autoSpaceDN/>
              <w:adjustRightInd w:val="0"/>
              <w:snapToGrid w:val="0"/>
              <w:spacing w:line="360" w:lineRule="exact"/>
              <w:jc w:val="center"/>
              <w:rPr>
                <w:rFonts w:hint="default"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油气生产过程中的含油污泥。采取技术措施进行原油回收处理和利用，处理后固体废物含油率低于2%。</w:t>
            </w:r>
          </w:p>
        </w:tc>
        <w:tc>
          <w:tcPr>
            <w:tcW w:w="3308" w:type="dxa"/>
            <w:vAlign w:val="center"/>
          </w:tcPr>
          <w:p>
            <w:pPr>
              <w:autoSpaceDE/>
              <w:autoSpaceDN/>
              <w:adjustRightInd w:val="0"/>
              <w:snapToGrid w:val="0"/>
              <w:spacing w:line="360" w:lineRule="exact"/>
              <w:jc w:val="center"/>
              <w:rPr>
                <w:rFonts w:hint="default"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本项目生产过程中产生的含油污泥定期清理送至第七采油厂葡萄花含油污泥处理站进行无害化处理。处理后固体废物含油率低于2%。</w:t>
            </w:r>
          </w:p>
        </w:tc>
        <w:tc>
          <w:tcPr>
            <w:tcW w:w="911" w:type="dxa"/>
            <w:vAlign w:val="center"/>
          </w:tcPr>
          <w:p>
            <w:pPr>
              <w:autoSpaceDE/>
              <w:autoSpaceDN/>
              <w:adjustRightInd w:val="0"/>
              <w:snapToGrid w:val="0"/>
              <w:spacing w:line="360" w:lineRule="exact"/>
              <w:jc w:val="center"/>
              <w:rPr>
                <w:rFonts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autoSpaceDE/>
              <w:autoSpaceDN/>
              <w:adjustRightInd w:val="0"/>
              <w:snapToGrid w:val="0"/>
              <w:spacing w:line="360" w:lineRule="exact"/>
              <w:jc w:val="center"/>
              <w:rPr>
                <w:rFonts w:hint="default"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4</w:t>
            </w:r>
          </w:p>
        </w:tc>
        <w:tc>
          <w:tcPr>
            <w:tcW w:w="4093" w:type="dxa"/>
            <w:vAlign w:val="center"/>
          </w:tcPr>
          <w:p>
            <w:pPr>
              <w:autoSpaceDE/>
              <w:autoSpaceDN/>
              <w:adjustRightInd w:val="0"/>
              <w:snapToGrid w:val="0"/>
              <w:spacing w:line="360" w:lineRule="exact"/>
              <w:jc w:val="center"/>
              <w:rPr>
                <w:rFonts w:hint="default"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按照减量化、再利用、资源化的原则利用油气藏共半生资源、综合利用固体废弃物、废水等，发展循环经济。</w:t>
            </w:r>
          </w:p>
        </w:tc>
        <w:tc>
          <w:tcPr>
            <w:tcW w:w="3308" w:type="dxa"/>
            <w:vAlign w:val="center"/>
          </w:tcPr>
          <w:p>
            <w:pPr>
              <w:autoSpaceDE/>
              <w:autoSpaceDN/>
              <w:adjustRightInd w:val="0"/>
              <w:snapToGrid w:val="0"/>
              <w:spacing w:line="360" w:lineRule="exact"/>
              <w:jc w:val="center"/>
              <w:rPr>
                <w:rFonts w:hint="eastAsia"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hint="eastAsia" w:ascii="Times New Roman" w:hAnsi="Times New Roman" w:cs="Times New Roman"/>
                <w:iCs/>
                <w:color w:val="000000" w:themeColor="text1"/>
                <w:w w:val="99"/>
                <w:kern w:val="28"/>
                <w:sz w:val="21"/>
                <w:szCs w:val="21"/>
                <w:highlight w:val="none"/>
                <w:lang w:val="en-US" w:eastAsia="zh-CN" w:bidi="ar-SA"/>
                <w14:textFill>
                  <w14:solidFill>
                    <w14:schemeClr w14:val="tx1"/>
                  </w14:solidFill>
                </w14:textFill>
              </w:rPr>
              <w:t>本项目按照减量化、再利用、资源化的原则利用油气藏共半生资源、综合利用固体废弃物、废水等，发展循环经济。</w:t>
            </w:r>
          </w:p>
        </w:tc>
        <w:tc>
          <w:tcPr>
            <w:tcW w:w="911" w:type="dxa"/>
            <w:vAlign w:val="center"/>
          </w:tcPr>
          <w:p>
            <w:pPr>
              <w:autoSpaceDE/>
              <w:autoSpaceDN/>
              <w:adjustRightInd w:val="0"/>
              <w:snapToGrid w:val="0"/>
              <w:spacing w:line="360" w:lineRule="exact"/>
              <w:jc w:val="center"/>
              <w:rPr>
                <w:rFonts w:ascii="Times New Roman" w:hAnsi="Times New Roman" w:eastAsia="宋体" w:cs="Times New Roman"/>
                <w:iCs/>
                <w:color w:val="000000" w:themeColor="text1"/>
                <w:w w:val="99"/>
                <w:kern w:val="28"/>
                <w:sz w:val="21"/>
                <w:szCs w:val="21"/>
                <w:highlight w:val="none"/>
                <w:lang w:val="en-US" w:eastAsia="zh-CN" w:bidi="ar-SA"/>
                <w14:textFill>
                  <w14:solidFill>
                    <w14:schemeClr w14:val="tx1"/>
                  </w14:solidFill>
                </w14:textFill>
              </w:rPr>
            </w:pPr>
            <w:r>
              <w:rPr>
                <w:rFonts w:ascii="Times New Roman" w:hAnsi="Times New Roman" w:cs="Times New Roman"/>
                <w:iCs/>
                <w:color w:val="000000" w:themeColor="text1"/>
                <w:w w:val="99"/>
                <w:kern w:val="28"/>
                <w:sz w:val="21"/>
                <w:szCs w:val="21"/>
                <w:highlight w:val="none"/>
                <w:lang w:val="en-US" w:bidi="ar-SA"/>
                <w14:textFill>
                  <w14:solidFill>
                    <w14:schemeClr w14:val="tx1"/>
                  </w14:solidFill>
                </w14:textFill>
              </w:rPr>
              <w:t>符合</w:t>
            </w:r>
          </w:p>
        </w:tc>
      </w:tr>
    </w:tbl>
    <w:p>
      <w:pPr>
        <w:pStyle w:val="45"/>
        <w:keepNext w:val="0"/>
        <w:keepLines w:val="0"/>
        <w:pageBreakBefore w:val="0"/>
        <w:widowControl w:val="0"/>
        <w:tabs>
          <w:tab w:val="left" w:pos="930"/>
        </w:tabs>
        <w:kinsoku/>
        <w:wordWrap/>
        <w:overflowPunct/>
        <w:topLinePunct w:val="0"/>
        <w:autoSpaceDE w:val="0"/>
        <w:autoSpaceDN w:val="0"/>
        <w:bidi w:val="0"/>
        <w:adjustRightInd/>
        <w:snapToGrid/>
        <w:spacing w:before="60" w:after="60" w:line="440" w:lineRule="exact"/>
        <w:ind w:left="0" w:firstLine="0"/>
        <w:jc w:val="both"/>
        <w:textAlignment w:val="auto"/>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1.</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.3 “三线一单”符合性分析</w:t>
      </w:r>
    </w:p>
    <w:p>
      <w:pPr>
        <w:pStyle w:val="45"/>
        <w:keepNext w:val="0"/>
        <w:keepLines w:val="0"/>
        <w:pageBreakBefore w:val="0"/>
        <w:widowControl w:val="0"/>
        <w:tabs>
          <w:tab w:val="left" w:pos="93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本项目位于</w:t>
      </w:r>
      <w:r>
        <w:rPr>
          <w:rFonts w:ascii="Times New Roman" w:hAnsi="Times New Roman" w:cs="Times New Roman" w:eastAsiaTheme="majorEastAsia"/>
          <w:color w:val="000000" w:themeColor="text1"/>
          <w:w w:val="99"/>
          <w:sz w:val="24"/>
          <w:szCs w:val="32"/>
          <w:highlight w:val="none"/>
          <w:lang w:val="en-US"/>
          <w14:textFill>
            <w14:solidFill>
              <w14:schemeClr w14:val="tx1"/>
            </w14:solidFill>
          </w14:textFill>
        </w:rPr>
        <w:t>大庆市</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大同区</w:t>
      </w:r>
      <w:r>
        <w:rPr>
          <w:rFonts w:hint="eastAsia" w:ascii="Times New Roman" w:hAnsi="Times New Roman" w:cs="Times New Roman" w:eastAsiaTheme="majorEastAsia"/>
          <w:color w:val="000000" w:themeColor="text1"/>
          <w:w w:val="99"/>
          <w:sz w:val="24"/>
          <w:szCs w:val="32"/>
          <w:highlight w:val="none"/>
          <w:lang w:val="en-US" w:eastAsia="zh-CN"/>
          <w14:textFill>
            <w14:solidFill>
              <w14:schemeClr w14:val="tx1"/>
            </w14:solidFill>
          </w14:textFill>
        </w:rPr>
        <w:t>八井子乡</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，根据《</w:t>
      </w:r>
      <w:r>
        <w:rPr>
          <w:rFonts w:hint="eastAsia" w:ascii="Times New Roman" w:hAnsi="Times New Roman" w:cs="Times New Roman" w:eastAsiaTheme="majorEastAsia"/>
          <w:bCs/>
          <w:color w:val="000000" w:themeColor="text1"/>
          <w:w w:val="99"/>
          <w:sz w:val="24"/>
          <w:szCs w:val="32"/>
          <w:highlight w:val="none"/>
          <w:lang w:val="en-US"/>
          <w14:textFill>
            <w14:solidFill>
              <w14:schemeClr w14:val="tx1"/>
            </w14:solidFill>
          </w14:textFill>
        </w:rPr>
        <w:t>黑龙江省人民政府关于实施“三线一单”生态环境分区管控的意见</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》（黑政</w:t>
      </w:r>
      <w:r>
        <w:rPr>
          <w:rFonts w:ascii="Times New Roman" w:hAnsi="Times New Roman" w:cs="Times New Roman" w:eastAsiaTheme="majorEastAsia"/>
          <w:color w:val="000000" w:themeColor="text1"/>
          <w:w w:val="99"/>
          <w:sz w:val="24"/>
          <w:szCs w:val="32"/>
          <w:highlight w:val="none"/>
          <w:lang w:val="en-US"/>
          <w14:textFill>
            <w14:solidFill>
              <w14:schemeClr w14:val="tx1"/>
            </w14:solidFill>
          </w14:textFill>
        </w:rPr>
        <w:t>发</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w:t>
      </w:r>
      <w:r>
        <w:rPr>
          <w:rFonts w:ascii="Times New Roman" w:hAnsi="Times New Roman" w:cs="Times New Roman" w:eastAsiaTheme="majorEastAsia"/>
          <w:color w:val="000000" w:themeColor="text1"/>
          <w:w w:val="99"/>
          <w:sz w:val="24"/>
          <w:szCs w:val="32"/>
          <w:highlight w:val="none"/>
          <w:lang w:val="en-US"/>
          <w14:textFill>
            <w14:solidFill>
              <w14:schemeClr w14:val="tx1"/>
            </w14:solidFill>
          </w14:textFill>
        </w:rPr>
        <w:t>2020</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w:t>
      </w:r>
      <w:r>
        <w:rPr>
          <w:rFonts w:ascii="Times New Roman" w:hAnsi="Times New Roman" w:cs="Times New Roman" w:eastAsiaTheme="majorEastAsia"/>
          <w:color w:val="000000" w:themeColor="text1"/>
          <w:w w:val="99"/>
          <w:sz w:val="24"/>
          <w:szCs w:val="32"/>
          <w:highlight w:val="none"/>
          <w:lang w:val="en-US"/>
          <w14:textFill>
            <w14:solidFill>
              <w14:schemeClr w14:val="tx1"/>
            </w14:solidFill>
          </w14:textFill>
        </w:rPr>
        <w:t>14</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号）、《</w:t>
      </w:r>
      <w:r>
        <w:rPr>
          <w:rFonts w:hint="eastAsia" w:ascii="Times New Roman" w:hAnsi="Times New Roman" w:cs="Times New Roman" w:eastAsiaTheme="majorEastAsia"/>
          <w:bCs/>
          <w:color w:val="000000" w:themeColor="text1"/>
          <w:w w:val="99"/>
          <w:sz w:val="24"/>
          <w:szCs w:val="32"/>
          <w:highlight w:val="none"/>
          <w:lang w:val="en-US"/>
          <w14:textFill>
            <w14:solidFill>
              <w14:schemeClr w14:val="tx1"/>
            </w14:solidFill>
          </w14:textFill>
        </w:rPr>
        <w:t>大庆市人民政府关于实施“三线一单”生态环境分区管控的意见</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》（庆</w:t>
      </w:r>
      <w:r>
        <w:rPr>
          <w:rFonts w:ascii="Times New Roman" w:hAnsi="Times New Roman" w:cs="Times New Roman" w:eastAsiaTheme="majorEastAsia"/>
          <w:color w:val="000000" w:themeColor="text1"/>
          <w:w w:val="99"/>
          <w:sz w:val="24"/>
          <w:szCs w:val="32"/>
          <w:highlight w:val="none"/>
          <w:lang w:val="en-US"/>
          <w14:textFill>
            <w14:solidFill>
              <w14:schemeClr w14:val="tx1"/>
            </w14:solidFill>
          </w14:textFill>
        </w:rPr>
        <w:t>政规</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w:t>
      </w:r>
      <w:r>
        <w:rPr>
          <w:rFonts w:ascii="Times New Roman" w:hAnsi="Times New Roman" w:cs="Times New Roman" w:eastAsiaTheme="majorEastAsia"/>
          <w:color w:val="000000" w:themeColor="text1"/>
          <w:w w:val="99"/>
          <w:sz w:val="24"/>
          <w:szCs w:val="32"/>
          <w:highlight w:val="none"/>
          <w:lang w:val="en-US"/>
          <w14:textFill>
            <w14:solidFill>
              <w14:schemeClr w14:val="tx1"/>
            </w14:solidFill>
          </w14:textFill>
        </w:rPr>
        <w:t>2021</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w:t>
      </w:r>
      <w:r>
        <w:rPr>
          <w:rFonts w:ascii="Times New Roman" w:hAnsi="Times New Roman" w:cs="Times New Roman" w:eastAsiaTheme="majorEastAsia"/>
          <w:color w:val="000000" w:themeColor="text1"/>
          <w:w w:val="99"/>
          <w:sz w:val="24"/>
          <w:szCs w:val="32"/>
          <w:highlight w:val="none"/>
          <w:lang w:val="en-US"/>
          <w14:textFill>
            <w14:solidFill>
              <w14:schemeClr w14:val="tx1"/>
            </w14:solidFill>
          </w14:textFill>
        </w:rPr>
        <w:t>3</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号），本项目</w:t>
      </w:r>
      <w:r>
        <w:rPr>
          <w:rFonts w:hint="eastAsia" w:ascii="Times New Roman" w:hAnsi="Times New Roman" w:cs="Times New Roman" w:eastAsiaTheme="majorEastAsia"/>
          <w:color w:val="000000" w:themeColor="text1"/>
          <w:w w:val="99"/>
          <w:sz w:val="24"/>
          <w:szCs w:val="32"/>
          <w:highlight w:val="none"/>
          <w:lang w:val="en-US" w:eastAsia="zh-CN"/>
          <w14:textFill>
            <w14:solidFill>
              <w14:schemeClr w14:val="tx1"/>
            </w14:solidFill>
          </w14:textFill>
        </w:rPr>
        <w:t>井区</w:t>
      </w:r>
      <w:r>
        <w:rPr>
          <w:rFonts w:hint="eastAsia" w:ascii="Times New Roman" w:hAnsi="Times New Roman" w:cs="Times New Roman" w:eastAsiaTheme="majorEastAsia"/>
          <w:color w:val="000000" w:themeColor="text1"/>
          <w:w w:val="99"/>
          <w:sz w:val="24"/>
          <w:szCs w:val="32"/>
          <w:highlight w:val="none"/>
          <w:lang w:val="en-US"/>
          <w14:textFill>
            <w14:solidFill>
              <w14:schemeClr w14:val="tx1"/>
            </w14:solidFill>
          </w14:textFill>
        </w:rPr>
        <w:t>位于重点管控单元，不在优先保护单元内，且本项目施工区域内无自然保护区、风景名胜区、水源地保护区、野生动植物保护区及重要湿地分布，本项目选址不在特殊重要生态功能区域内，因此项目建设符合“三线一单”相关要求。</w:t>
      </w:r>
    </w:p>
    <w:p>
      <w:pPr>
        <w:pStyle w:val="67"/>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.3.1 生态保护红线</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本工程位于黑龙江省大庆市</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大同区</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八井子乡</w:t>
      </w:r>
      <w:r>
        <w:rPr>
          <w:rFonts w:ascii="Times New Roman" w:hAnsi="Times New Roman" w:cs="Times New Roman"/>
          <w:color w:val="000000" w:themeColor="text1"/>
          <w:w w:val="99"/>
          <w:sz w:val="24"/>
          <w:szCs w:val="24"/>
          <w:highlight w:val="none"/>
          <w:lang w:val="en-US"/>
          <w14:textFill>
            <w14:solidFill>
              <w14:schemeClr w14:val="tx1"/>
            </w14:solidFill>
          </w14:textFill>
        </w:rPr>
        <w:t>境内，根据</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4"/>
          <w:highlight w:val="none"/>
          <w:lang w:val="en-US"/>
          <w14:textFill>
            <w14:solidFill>
              <w14:schemeClr w14:val="tx1"/>
            </w14:solidFill>
          </w14:textFill>
        </w:rPr>
        <w:t>大庆市人民政府关于实施“三线一单”生态环境分区管控的意见</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》（庆</w:t>
      </w:r>
      <w:r>
        <w:rPr>
          <w:rFonts w:ascii="Times New Roman" w:hAnsi="Times New Roman" w:cs="Times New Roman"/>
          <w:color w:val="000000" w:themeColor="text1"/>
          <w:w w:val="99"/>
          <w:sz w:val="24"/>
          <w:szCs w:val="24"/>
          <w:highlight w:val="none"/>
          <w:lang w:val="en-US"/>
          <w14:textFill>
            <w14:solidFill>
              <w14:schemeClr w14:val="tx1"/>
            </w14:solidFill>
          </w14:textFill>
        </w:rPr>
        <w:t>政规</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2021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，本</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次</w:t>
      </w:r>
      <w:r>
        <w:rPr>
          <w:rFonts w:ascii="Times New Roman" w:hAnsi="Times New Roman" w:cs="Times New Roman"/>
          <w:color w:val="000000" w:themeColor="text1"/>
          <w:w w:val="99"/>
          <w:sz w:val="24"/>
          <w:szCs w:val="24"/>
          <w:highlight w:val="none"/>
          <w:lang w:val="en-US"/>
          <w14:textFill>
            <w14:solidFill>
              <w14:schemeClr w14:val="tx1"/>
            </w14:solidFill>
          </w14:textFill>
        </w:rPr>
        <w:t>产能利用井位于</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重点</w:t>
      </w:r>
      <w:r>
        <w:rPr>
          <w:rFonts w:ascii="Times New Roman" w:hAnsi="Times New Roman" w:cs="Times New Roman"/>
          <w:color w:val="000000" w:themeColor="text1"/>
          <w:w w:val="99"/>
          <w:sz w:val="24"/>
          <w:szCs w:val="24"/>
          <w:highlight w:val="none"/>
          <w:lang w:val="en-US"/>
          <w14:textFill>
            <w14:solidFill>
              <w14:schemeClr w14:val="tx1"/>
            </w14:solidFill>
          </w14:textFill>
        </w:rPr>
        <w:t>管控单元，不在优先保护单元，</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w:t>
      </w:r>
      <w:r>
        <w:rPr>
          <w:rFonts w:ascii="Times New Roman" w:hAnsi="Times New Roman" w:cs="Times New Roman"/>
          <w:color w:val="000000" w:themeColor="text1"/>
          <w:w w:val="99"/>
          <w:sz w:val="24"/>
          <w:szCs w:val="24"/>
          <w:highlight w:val="none"/>
          <w:lang w:val="en-US"/>
          <w14:textFill>
            <w14:solidFill>
              <w14:schemeClr w14:val="tx1"/>
            </w14:solidFill>
          </w14:textFill>
        </w:rPr>
        <w:t>与分区管控要求符合性分析见表</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1.4-</w:t>
      </w:r>
      <w:r>
        <w:rPr>
          <w:rFonts w:ascii="Times New Roman" w:hAnsi="Times New Roman" w:cs="Times New Roman"/>
          <w:color w:val="000000" w:themeColor="text1"/>
          <w:w w:val="99"/>
          <w:sz w:val="24"/>
          <w:szCs w:val="24"/>
          <w:highlight w:val="none"/>
          <w:lang w:val="en-US"/>
          <w14:textFill>
            <w14:solidFill>
              <w14:schemeClr w14:val="tx1"/>
            </w14:solidFill>
          </w14:textFill>
        </w:rPr>
        <w:t>9</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且本项目施工区域内无自然保护区、风景名胜区、水源地保护区、野生动植物保护区及重要湿地分布，本项目选址不在特殊重要生态功能区域内，因此项目建设符合生态保护红线要求，本项目与</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大庆市环境管控单元位置关系</w:t>
      </w:r>
      <w:r>
        <w:rPr>
          <w:rFonts w:ascii="Times New Roman" w:hAnsi="Times New Roman" w:cs="Times New Roman"/>
          <w:color w:val="000000" w:themeColor="text1"/>
          <w:w w:val="99"/>
          <w:sz w:val="24"/>
          <w:szCs w:val="24"/>
          <w:highlight w:val="none"/>
          <w:lang w:val="en-US"/>
          <w14:textFill>
            <w14:solidFill>
              <w14:schemeClr w14:val="tx1"/>
            </w14:solidFill>
          </w14:textFill>
        </w:rPr>
        <w:t>见图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1.4-</w:t>
      </w:r>
      <w:r>
        <w:rPr>
          <w:rFonts w:ascii="Times New Roman" w:hAnsi="Times New Roman" w:cs="Times New Roman"/>
          <w:color w:val="000000" w:themeColor="text1"/>
          <w:w w:val="99"/>
          <w:sz w:val="24"/>
          <w:szCs w:val="24"/>
          <w:highlight w:val="none"/>
          <w:lang w:val="en-US"/>
          <w14:textFill>
            <w14:solidFill>
              <w14:schemeClr w14:val="tx1"/>
            </w14:solidFill>
          </w14:textFill>
        </w:rPr>
        <w:t>1。</w:t>
      </w:r>
    </w:p>
    <w:p>
      <w:pPr>
        <w:snapToGrid w:val="0"/>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表</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1.4-</w:t>
      </w:r>
      <w:r>
        <w:rPr>
          <w:rFonts w:ascii="Times New Roman" w:hAnsi="Times New Roman" w:cs="Times New Roman"/>
          <w:b/>
          <w:bCs/>
          <w:color w:val="000000" w:themeColor="text1"/>
          <w:w w:val="99"/>
          <w:sz w:val="24"/>
          <w:szCs w:val="24"/>
          <w:highlight w:val="none"/>
          <w:lang w:val="en-US"/>
          <w14:textFill>
            <w14:solidFill>
              <w14:schemeClr w14:val="tx1"/>
            </w14:solidFill>
          </w14:textFill>
        </w:rPr>
        <w:t>9</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本项目与分区管控要求符合性分析</w:t>
      </w:r>
    </w:p>
    <w:tbl>
      <w:tblPr>
        <w:tblStyle w:val="32"/>
        <w:tblW w:w="90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4"/>
        <w:gridCol w:w="3399"/>
        <w:gridCol w:w="3708"/>
        <w:gridCol w:w="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4"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环境管控单元</w:t>
            </w:r>
          </w:p>
        </w:tc>
        <w:tc>
          <w:tcPr>
            <w:tcW w:w="3399"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分区管控要求</w:t>
            </w:r>
          </w:p>
        </w:tc>
        <w:tc>
          <w:tcPr>
            <w:tcW w:w="3708"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拟建项目情况</w:t>
            </w:r>
          </w:p>
        </w:tc>
        <w:tc>
          <w:tcPr>
            <w:tcW w:w="705"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4"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优先保护单元</w:t>
            </w:r>
          </w:p>
        </w:tc>
        <w:tc>
          <w:tcPr>
            <w:tcW w:w="3399"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以生态环境保护为主，依法禁止或限制大规模、高强度的工业和城镇建设。在功能受损的优先保护单元，优先开展生态保护修复活动，恢复生态系统服务功能；在生态保护红线区域，严格按照国家和省生态保护红线管理相关规定进行管控。</w:t>
            </w:r>
          </w:p>
        </w:tc>
        <w:tc>
          <w:tcPr>
            <w:tcW w:w="3708"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本项目</w:t>
            </w:r>
            <w:r>
              <w:rPr>
                <w:rFonts w:hint="eastAsia" w:ascii="Times New Roman" w:hAnsi="Times New Roman"/>
                <w:color w:val="000000" w:themeColor="text1"/>
                <w:w w:val="99"/>
                <w:sz w:val="21"/>
                <w:szCs w:val="21"/>
                <w:highlight w:val="none"/>
                <w:lang w:eastAsia="zh-CN"/>
                <w14:textFill>
                  <w14:solidFill>
                    <w14:schemeClr w14:val="tx1"/>
                  </w14:solidFill>
                </w14:textFill>
              </w:rPr>
              <w:t>井区</w:t>
            </w:r>
            <w:r>
              <w:rPr>
                <w:rFonts w:hint="eastAsia" w:ascii="Times New Roman" w:hAnsi="Times New Roman"/>
                <w:color w:val="000000" w:themeColor="text1"/>
                <w:w w:val="99"/>
                <w:sz w:val="21"/>
                <w:szCs w:val="21"/>
                <w:highlight w:val="none"/>
                <w14:textFill>
                  <w14:solidFill>
                    <w14:schemeClr w14:val="tx1"/>
                  </w14:solidFill>
                </w14:textFill>
              </w:rPr>
              <w:t>不在优先管控单元。</w:t>
            </w:r>
          </w:p>
        </w:tc>
        <w:tc>
          <w:tcPr>
            <w:tcW w:w="705"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4"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重点管控单元</w:t>
            </w:r>
          </w:p>
        </w:tc>
        <w:tc>
          <w:tcPr>
            <w:tcW w:w="3399"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重点管控单元突出污染物排放控制和环境风险防控，按照差别化的生态环境准入要求，优先空间和产业布局，不断提升资源利用效率，强化环境质量改善目标约束，解决局部生态环境质量不达标、生态环境风险高的问题。</w:t>
            </w:r>
          </w:p>
        </w:tc>
        <w:tc>
          <w:tcPr>
            <w:tcW w:w="3708"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本项目</w:t>
            </w:r>
            <w:r>
              <w:rPr>
                <w:rFonts w:hint="eastAsia" w:ascii="Times New Roman" w:hAnsi="Times New Roman"/>
                <w:color w:val="000000" w:themeColor="text1"/>
                <w:w w:val="99"/>
                <w:sz w:val="21"/>
                <w:szCs w:val="21"/>
                <w:highlight w:val="none"/>
                <w:lang w:eastAsia="zh-CN"/>
                <w14:textFill>
                  <w14:solidFill>
                    <w14:schemeClr w14:val="tx1"/>
                  </w14:solidFill>
                </w14:textFill>
              </w:rPr>
              <w:t>井区</w:t>
            </w:r>
            <w:r>
              <w:rPr>
                <w:rFonts w:hint="eastAsia" w:ascii="Times New Roman" w:hAnsi="Times New Roman"/>
                <w:color w:val="000000" w:themeColor="text1"/>
                <w:w w:val="99"/>
                <w:sz w:val="21"/>
                <w:szCs w:val="21"/>
                <w:highlight w:val="none"/>
                <w14:textFill>
                  <w14:solidFill>
                    <w14:schemeClr w14:val="tx1"/>
                  </w14:solidFill>
                </w14:textFill>
              </w:rPr>
              <w:t>位于重点管控单元。施工阶段产生的污染物均可得到有效治理，可控制污染物排放；废水、固体废物等均不外排，且施工结束后对临时占地进行恢复，对井场进行平整。在环境风险防控方面采取加强施工管理、制定岗位操作规程并定期培训学习、实行岗位责任制，及施工单位制定可行的突发环境事件环境应急预案等措施。</w:t>
            </w:r>
          </w:p>
        </w:tc>
        <w:tc>
          <w:tcPr>
            <w:tcW w:w="705"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4"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一般管控单元</w:t>
            </w:r>
          </w:p>
        </w:tc>
        <w:tc>
          <w:tcPr>
            <w:tcW w:w="3399"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以生态环境保护与适度开发相结合为主，落实生态环境管控相关要求，重点加强农业、生活等领域污染治理。</w:t>
            </w:r>
          </w:p>
        </w:tc>
        <w:tc>
          <w:tcPr>
            <w:tcW w:w="3708" w:type="dxa"/>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olor w:val="000000" w:themeColor="text1"/>
                <w:w w:val="99"/>
                <w:sz w:val="21"/>
                <w:szCs w:val="21"/>
                <w:highlight w:val="none"/>
                <w:lang w:val="en-US"/>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本项目</w:t>
            </w:r>
            <w:r>
              <w:rPr>
                <w:rFonts w:hint="eastAsia" w:ascii="Times New Roman" w:hAnsi="Times New Roman"/>
                <w:color w:val="000000" w:themeColor="text1"/>
                <w:w w:val="99"/>
                <w:sz w:val="21"/>
                <w:szCs w:val="21"/>
                <w:highlight w:val="none"/>
                <w:lang w:eastAsia="zh-CN"/>
                <w14:textFill>
                  <w14:solidFill>
                    <w14:schemeClr w14:val="tx1"/>
                  </w14:solidFill>
                </w14:textFill>
              </w:rPr>
              <w:t>井区</w:t>
            </w:r>
            <w:r>
              <w:rPr>
                <w:rFonts w:hint="eastAsia" w:ascii="Times New Roman" w:hAnsi="Times New Roman"/>
                <w:color w:val="000000" w:themeColor="text1"/>
                <w:w w:val="99"/>
                <w:sz w:val="21"/>
                <w:szCs w:val="21"/>
                <w:highlight w:val="none"/>
                <w14:textFill>
                  <w14:solidFill>
                    <w14:schemeClr w14:val="tx1"/>
                  </w14:solidFill>
                </w14:textFill>
              </w:rPr>
              <w:t>位于一般管控单元。</w:t>
            </w:r>
            <w:r>
              <w:rPr>
                <w:rFonts w:ascii="Times New Roman" w:hAnsi="Times New Roman"/>
                <w:color w:val="000000" w:themeColor="text1"/>
                <w:w w:val="99"/>
                <w:sz w:val="21"/>
                <w:szCs w:val="21"/>
                <w:highlight w:val="none"/>
                <w14:textFill>
                  <w14:solidFill>
                    <w14:schemeClr w14:val="tx1"/>
                  </w14:solidFill>
                </w14:textFill>
              </w:rPr>
              <w:t>本项目为石油开发项目，不属于高污染、高能耗项目，施工期和运行期均采取了合理有效的污染防治措施，对周围农田及村屯的影响较小，环境影响可接受。</w:t>
            </w:r>
          </w:p>
        </w:tc>
        <w:tc>
          <w:tcPr>
            <w:tcW w:w="705" w:type="dxa"/>
            <w:vAlign w:val="center"/>
          </w:tcPr>
          <w:p>
            <w:pPr>
              <w:keepNext w:val="0"/>
              <w:keepLines w:val="0"/>
              <w:pageBreakBefore w:val="0"/>
              <w:widowControl/>
              <w:kinsoku/>
              <w:wordWrap/>
              <w:overflowPunct/>
              <w:topLinePunct w:val="0"/>
              <w:bidi w:val="0"/>
              <w:adjustRightInd w:val="0"/>
              <w:snapToGrid w:val="0"/>
              <w:spacing w:line="360" w:lineRule="exact"/>
              <w:jc w:val="center"/>
              <w:textAlignment w:val="auto"/>
              <w:rPr>
                <w:rFonts w:ascii="Times New Roman" w:hAnsi="Times New Roman"/>
                <w:color w:val="000000" w:themeColor="text1"/>
                <w:w w:val="99"/>
                <w:sz w:val="21"/>
                <w:szCs w:val="21"/>
                <w:highlight w:val="none"/>
                <w14:textFill>
                  <w14:solidFill>
                    <w14:schemeClr w14:val="tx1"/>
                  </w14:solidFill>
                </w14:textFill>
              </w:rPr>
            </w:pPr>
            <w:r>
              <w:rPr>
                <w:rFonts w:hint="eastAsia" w:ascii="Times New Roman" w:hAnsi="Times New Roman"/>
                <w:color w:val="000000" w:themeColor="text1"/>
                <w:w w:val="99"/>
                <w:sz w:val="21"/>
                <w:szCs w:val="21"/>
                <w:highlight w:val="none"/>
                <w14:textFill>
                  <w14:solidFill>
                    <w14:schemeClr w14:val="tx1"/>
                  </w14:solidFill>
                </w14:textFill>
              </w:rPr>
              <w:t>符合</w:t>
            </w:r>
          </w:p>
        </w:tc>
      </w:tr>
    </w:tbl>
    <w:p>
      <w:pPr>
        <w:pStyle w:val="2"/>
        <w:rPr>
          <w:rFonts w:hint="eastAsia"/>
          <w:color w:val="000000" w:themeColor="text1"/>
          <w:highlight w:val="none"/>
          <w:lang w:val="en-US" w:eastAsia="zh-CN"/>
          <w14:textFill>
            <w14:solidFill>
              <w14:schemeClr w14:val="tx1"/>
            </w14:solidFill>
          </w14:textFill>
        </w:rPr>
        <w:sectPr>
          <w:footerReference r:id="rId4" w:type="default"/>
          <w:pgSz w:w="11910" w:h="16850"/>
          <w:pgMar w:top="1417" w:right="1417" w:bottom="1417" w:left="1417" w:header="0" w:footer="1078" w:gutter="0"/>
          <w:pgBorders>
            <w:top w:val="none" w:sz="0" w:space="0"/>
            <w:left w:val="none" w:sz="0" w:space="0"/>
            <w:bottom w:val="none" w:sz="0" w:space="0"/>
            <w:right w:val="none" w:sz="0" w:space="0"/>
          </w:pgBorders>
          <w:pgNumType w:start="1"/>
          <w:cols w:space="720" w:num="1"/>
        </w:sectPr>
      </w:pPr>
    </w:p>
    <w:p>
      <w:pPr>
        <w:widowControl/>
        <w:autoSpaceDE/>
        <w:autoSpaceDN/>
        <w:spacing w:line="440" w:lineRule="exact"/>
        <w:jc w:val="both"/>
        <w:rPr>
          <w:rFonts w:ascii="Times New Roman" w:hAnsi="Times New Roman" w:cs="Times New Roman"/>
          <w:iCs/>
          <w:color w:val="000000" w:themeColor="text1"/>
          <w:w w:val="99"/>
          <w:sz w:val="24"/>
          <w:highlight w:val="none"/>
          <w:lang w:val="en-US" w:bidi="ar-SA"/>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haracter">
              <wp:posOffset>234315</wp:posOffset>
            </wp:positionH>
            <wp:positionV relativeFrom="line">
              <wp:posOffset>200660</wp:posOffset>
            </wp:positionV>
            <wp:extent cx="5206365" cy="7231380"/>
            <wp:effectExtent l="0" t="0" r="13335" b="7620"/>
            <wp:wrapNone/>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8"/>
                    <a:srcRect b="1878"/>
                    <a:stretch>
                      <a:fillRect/>
                    </a:stretch>
                  </pic:blipFill>
                  <pic:spPr>
                    <a:xfrm>
                      <a:off x="0" y="0"/>
                      <a:ext cx="5206365" cy="7231380"/>
                    </a:xfrm>
                    <a:prstGeom prst="rect">
                      <a:avLst/>
                    </a:prstGeom>
                    <a:noFill/>
                    <a:ln>
                      <a:noFill/>
                    </a:ln>
                  </pic:spPr>
                </pic:pic>
              </a:graphicData>
            </a:graphic>
          </wp:anchor>
        </w:drawing>
      </w: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color w:val="000000" w:themeColor="text1"/>
          <w:sz w:val="24"/>
          <w:highlight w:val="none"/>
          <w14:textFill>
            <w14:solidFill>
              <w14:schemeClr w14:val="tx1"/>
            </w14:solidFill>
          </w14:textFill>
        </w:rPr>
        <w:drawing>
          <wp:anchor distT="0" distB="0" distL="114935" distR="114935" simplePos="0" relativeHeight="251670528" behindDoc="0" locked="0" layoutInCell="1" allowOverlap="1">
            <wp:simplePos x="0" y="0"/>
            <wp:positionH relativeFrom="column">
              <wp:posOffset>1501775</wp:posOffset>
            </wp:positionH>
            <wp:positionV relativeFrom="paragraph">
              <wp:posOffset>31750</wp:posOffset>
            </wp:positionV>
            <wp:extent cx="3674745" cy="2832100"/>
            <wp:effectExtent l="0" t="0" r="1905" b="6350"/>
            <wp:wrapNone/>
            <wp:docPr id="62" name="图片 62" descr="163037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30374201"/>
                    <pic:cNvPicPr>
                      <a:picLocks noChangeAspect="1"/>
                    </pic:cNvPicPr>
                  </pic:nvPicPr>
                  <pic:blipFill>
                    <a:blip r:embed="rId9"/>
                    <a:stretch>
                      <a:fillRect/>
                    </a:stretch>
                  </pic:blipFill>
                  <pic:spPr>
                    <a:xfrm>
                      <a:off x="0" y="0"/>
                      <a:ext cx="3674745" cy="2832100"/>
                    </a:xfrm>
                    <a:prstGeom prst="rect">
                      <a:avLst/>
                    </a:prstGeom>
                  </pic:spPr>
                </pic:pic>
              </a:graphicData>
            </a:graphic>
          </wp:anchor>
        </w:drawing>
      </w: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2868295</wp:posOffset>
                </wp:positionH>
                <wp:positionV relativeFrom="paragraph">
                  <wp:posOffset>109855</wp:posOffset>
                </wp:positionV>
                <wp:extent cx="939165" cy="339090"/>
                <wp:effectExtent l="328930" t="12700" r="27305" b="429260"/>
                <wp:wrapNone/>
                <wp:docPr id="60" name="矩形标注 60"/>
                <wp:cNvGraphicFramePr/>
                <a:graphic xmlns:a="http://schemas.openxmlformats.org/drawingml/2006/main">
                  <a:graphicData uri="http://schemas.microsoft.com/office/word/2010/wordprocessingShape">
                    <wps:wsp>
                      <wps:cNvSpPr/>
                      <wps:spPr>
                        <a:xfrm>
                          <a:off x="3970655" y="3145790"/>
                          <a:ext cx="939165" cy="339090"/>
                        </a:xfrm>
                        <a:prstGeom prst="wedgeRectCallout">
                          <a:avLst>
                            <a:gd name="adj1" fmla="val -83671"/>
                            <a:gd name="adj2" fmla="val 172846"/>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FFFF" w:themeColor="background1"/>
                                <w:lang w:eastAsia="zh-CN"/>
                                <w14:textFill>
                                  <w14:solidFill>
                                    <w14:schemeClr w14:val="bg1"/>
                                  </w14:solidFill>
                                </w14:textFill>
                              </w:rPr>
                            </w:pPr>
                            <w:r>
                              <w:rPr>
                                <w:rFonts w:hint="eastAsia"/>
                                <w:color w:val="FFFFFF" w:themeColor="background1"/>
                                <w:lang w:eastAsia="zh-CN"/>
                                <w14:textFill>
                                  <w14:solidFill>
                                    <w14:schemeClr w14:val="bg1"/>
                                  </w14:solidFill>
                                </w14:textFill>
                              </w:rPr>
                              <w:t>本项目井区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5.85pt;margin-top:8.65pt;height:26.7pt;width:73.95pt;z-index:251671552;v-text-anchor:middle;mso-width-relative:page;mso-height-relative:page;" fillcolor="#4F81BD [3204]" filled="t" stroked="t" coordsize="21600,21600" o:gfxdata="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mJhj02QAAAAkBAAAP&#10;AAAAAAAAAAEAIAAAACIAAABkcnMvZG93bnJldi54bWxQSwECFAAUAAAACACHTuJA6noOZMICAAB7&#10;BQAADgAAAAAAAAABACAAAAAoAQAAZHJzL2Uyb0RvYy54bWxQSwUGAAAAAAYABgBZAQAAXAYAAAAA&#10;" adj="-7273,48135">
                <v:fill on="t" focussize="0,0"/>
                <v:stroke weight="2pt" color="#385D8A [3204]" joinstyle="round"/>
                <v:imagedata o:title=""/>
                <o:lock v:ext="edit" aspectratio="f"/>
                <v:textbox>
                  <w:txbxContent>
                    <w:p>
                      <w:pPr>
                        <w:jc w:val="center"/>
                        <w:rPr>
                          <w:rFonts w:hint="eastAsia" w:eastAsia="宋体"/>
                          <w:color w:val="FFFFFF" w:themeColor="background1"/>
                          <w:lang w:eastAsia="zh-CN"/>
                          <w14:textFill>
                            <w14:solidFill>
                              <w14:schemeClr w14:val="bg1"/>
                            </w14:solidFill>
                          </w14:textFill>
                        </w:rPr>
                      </w:pPr>
                      <w:r>
                        <w:rPr>
                          <w:rFonts w:hint="eastAsia"/>
                          <w:color w:val="FFFFFF" w:themeColor="background1"/>
                          <w:lang w:eastAsia="zh-CN"/>
                          <w14:textFill>
                            <w14:solidFill>
                              <w14:schemeClr w14:val="bg1"/>
                            </w14:solidFill>
                          </w14:textFill>
                        </w:rPr>
                        <w:t>本项目井区</w:t>
                      </w:r>
                    </w:p>
                  </w:txbxContent>
                </v:textbox>
              </v:shape>
            </w:pict>
          </mc:Fallback>
        </mc:AlternateContent>
      </w: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2545080</wp:posOffset>
                </wp:positionH>
                <wp:positionV relativeFrom="paragraph">
                  <wp:posOffset>208280</wp:posOffset>
                </wp:positionV>
                <wp:extent cx="76200" cy="93980"/>
                <wp:effectExtent l="12700" t="12700" r="25400" b="26670"/>
                <wp:wrapNone/>
                <wp:docPr id="64" name="矩形 64"/>
                <wp:cNvGraphicFramePr/>
                <a:graphic xmlns:a="http://schemas.openxmlformats.org/drawingml/2006/main">
                  <a:graphicData uri="http://schemas.microsoft.com/office/word/2010/wordprocessingShape">
                    <wps:wsp>
                      <wps:cNvSpPr/>
                      <wps:spPr>
                        <a:xfrm>
                          <a:off x="3416300" y="2695575"/>
                          <a:ext cx="76200" cy="939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4pt;margin-top:16.4pt;height:7.4pt;width:6pt;z-index:251672576;v-text-anchor:middle;mso-width-relative:page;mso-height-relative:page;" filled="f" stroked="t" coordsize="21600,21600" o:gfxdata="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nmLxTWAAAACQEAAA8AAAAAAAAAAQAgAAAAIgAAAGRy&#10;cy9kb3ducmV2LnhtbFBLAQIUABQAAAAIAIdO4kCRNYAYeQIAAOAEAAAOAAAAAAAAAAEAIAAAACUB&#10;AABkcnMvZTJvRG9jLnhtbFBLBQYAAAAABgAGAFkBAAAQBgAAAAA=&#10;">
                <v:fill on="f" focussize="0,0"/>
                <v:stroke weight="2pt" color="#385D8A [3204]" joinstyle="round"/>
                <v:imagedata o:title=""/>
                <o:lock v:ext="edit" aspectratio="f"/>
              </v:rect>
            </w:pict>
          </mc:Fallback>
        </mc:AlternateContent>
      </w: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keepNext w:val="0"/>
        <w:keepLines w:val="0"/>
        <w:pageBreakBefore w:val="0"/>
        <w:widowControl w:val="0"/>
        <w:tabs>
          <w:tab w:val="left" w:pos="930"/>
        </w:tabs>
        <w:kinsoku/>
        <w:wordWrap/>
        <w:overflowPunct/>
        <w:topLinePunct w:val="0"/>
        <w:bidi w:val="0"/>
        <w:adjustRightInd/>
        <w:snapToGrid/>
        <w:spacing w:line="50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p>
    <w:p>
      <w:pPr>
        <w:pStyle w:val="45"/>
        <w:tabs>
          <w:tab w:val="left" w:pos="930"/>
        </w:tabs>
        <w:ind w:left="0" w:firstLine="0"/>
        <w:jc w:val="both"/>
        <w:rPr>
          <w:rFonts w:ascii="Times New Roman" w:hAnsi="Times New Roman"/>
          <w:color w:val="000000" w:themeColor="text1"/>
          <w:w w:val="99"/>
          <w:sz w:val="24"/>
          <w:szCs w:val="24"/>
          <w:highlight w:val="none"/>
          <w:lang w:val="en-US"/>
          <w14:textFill>
            <w14:solidFill>
              <w14:schemeClr w14:val="tx1"/>
            </w14:solidFill>
          </w14:textFill>
        </w:rPr>
      </w:pPr>
    </w:p>
    <w:p>
      <w:pPr>
        <w:pStyle w:val="45"/>
        <w:tabs>
          <w:tab w:val="left" w:pos="930"/>
        </w:tabs>
        <w:ind w:left="0" w:firstLine="1904" w:firstLineChars="800"/>
        <w:jc w:val="both"/>
        <w:rPr>
          <w:rFonts w:ascii="Times New Roman" w:hAnsi="Times New Roman" w:eastAsiaTheme="minorEastAsia"/>
          <w:b/>
          <w:bCs/>
          <w:color w:val="000000" w:themeColor="text1"/>
          <w:w w:val="99"/>
          <w:kern w:val="2"/>
          <w:sz w:val="24"/>
          <w:szCs w:val="20"/>
          <w:highlight w:val="none"/>
          <w14:textFill>
            <w14:solidFill>
              <w14:schemeClr w14:val="tx1"/>
            </w14:solidFill>
          </w14:textFill>
        </w:rPr>
      </w:pPr>
      <w:r>
        <w:rPr>
          <w:rFonts w:ascii="Times New Roman" w:hAnsi="Times New Roman"/>
          <w:b/>
          <w:bCs/>
          <w:color w:val="000000" w:themeColor="text1"/>
          <w:w w:val="99"/>
          <w:sz w:val="24"/>
          <w:szCs w:val="24"/>
          <w:highlight w:val="none"/>
          <w:lang w:val="en-US"/>
          <w14:textFill>
            <w14:solidFill>
              <w14:schemeClr w14:val="tx1"/>
            </w14:solidFill>
          </w14:textFill>
        </w:rPr>
        <w:t>图</w:t>
      </w:r>
      <w:r>
        <w:rPr>
          <w:rFonts w:hint="eastAsia" w:ascii="Times New Roman" w:hAnsi="Times New Roman"/>
          <w:b/>
          <w:bCs/>
          <w:color w:val="000000" w:themeColor="text1"/>
          <w:w w:val="99"/>
          <w:sz w:val="24"/>
          <w:szCs w:val="24"/>
          <w:highlight w:val="none"/>
          <w:lang w:val="en-US" w:eastAsia="zh-CN"/>
          <w14:textFill>
            <w14:solidFill>
              <w14:schemeClr w14:val="tx1"/>
            </w14:solidFill>
          </w14:textFill>
        </w:rPr>
        <w:t>1.4-</w:t>
      </w:r>
      <w:r>
        <w:rPr>
          <w:rFonts w:hint="eastAsia" w:ascii="Times New Roman" w:hAnsi="Times New Roman"/>
          <w:b/>
          <w:bCs/>
          <w:color w:val="000000" w:themeColor="text1"/>
          <w:w w:val="99"/>
          <w:sz w:val="24"/>
          <w:szCs w:val="24"/>
          <w:highlight w:val="none"/>
          <w:lang w:val="en-US"/>
          <w14:textFill>
            <w14:solidFill>
              <w14:schemeClr w14:val="tx1"/>
            </w14:solidFill>
          </w14:textFill>
        </w:rPr>
        <w:t>1</w:t>
      </w:r>
      <w:r>
        <w:rPr>
          <w:rFonts w:hint="eastAsia" w:ascii="Times New Roman" w:hAnsi="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b/>
          <w:bCs/>
          <w:color w:val="000000" w:themeColor="text1"/>
          <w:w w:val="99"/>
          <w:sz w:val="24"/>
          <w:szCs w:val="24"/>
          <w:highlight w:val="none"/>
          <w:lang w:val="en-US"/>
          <w14:textFill>
            <w14:solidFill>
              <w14:schemeClr w14:val="tx1"/>
            </w14:solidFill>
          </w14:textFill>
        </w:rPr>
        <w:t>本项目与</w:t>
      </w:r>
      <w:r>
        <w:rPr>
          <w:rFonts w:hint="eastAsia" w:ascii="Times New Roman" w:hAnsi="Times New Roman"/>
          <w:b/>
          <w:bCs/>
          <w:color w:val="000000" w:themeColor="text1"/>
          <w:w w:val="99"/>
          <w:sz w:val="24"/>
          <w:szCs w:val="24"/>
          <w:highlight w:val="none"/>
          <w:lang w:val="en-US" w:eastAsia="zh-CN"/>
          <w14:textFill>
            <w14:solidFill>
              <w14:schemeClr w14:val="tx1"/>
            </w14:solidFill>
          </w14:textFill>
        </w:rPr>
        <w:t>大庆市</w:t>
      </w:r>
      <w:r>
        <w:rPr>
          <w:rFonts w:hint="eastAsia" w:ascii="Times New Roman" w:hAnsi="Times New Roman"/>
          <w:b/>
          <w:bCs/>
          <w:color w:val="000000" w:themeColor="text1"/>
          <w:w w:val="99"/>
          <w:sz w:val="24"/>
          <w:szCs w:val="24"/>
          <w:highlight w:val="none"/>
          <w:lang w:val="en-US"/>
          <w14:textFill>
            <w14:solidFill>
              <w14:schemeClr w14:val="tx1"/>
            </w14:solidFill>
          </w14:textFill>
        </w:rPr>
        <w:t>环境管控单元位置关系</w:t>
      </w:r>
    </w:p>
    <w:p>
      <w:pPr>
        <w:pStyle w:val="67"/>
        <w:widowControl w:val="0"/>
        <w:autoSpaceDE/>
        <w:autoSpaceDN/>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.3.2 环境质量底线</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highlight w:val="none"/>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本项目所在区域环境空气功能为二类区，根据</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大庆市</w:t>
      </w:r>
      <w:r>
        <w:rPr>
          <w:rFonts w:ascii="Times New Roman" w:hAnsi="Times New Roman" w:cs="Times New Roman"/>
          <w:color w:val="000000" w:themeColor="text1"/>
          <w:w w:val="99"/>
          <w:sz w:val="24"/>
          <w:szCs w:val="24"/>
          <w:highlight w:val="none"/>
          <w:lang w:val="en-US"/>
          <w14:textFill>
            <w14:solidFill>
              <w14:schemeClr w14:val="tx1"/>
            </w14:solidFill>
          </w14:textFill>
        </w:rPr>
        <w:t>环境质量公报，项目选址区域环境空气质量能够满足《环境空气质量标准》（GB3095-2012）二级标准要求，空气质量好，尚有容量进行项目建设。通过环境影响分析可知，本工程建设实施后的环境空气质量能满足《环境空气质量标准》（GB3095-2012）二级标准要求；通过环境影响分析可知，本项目</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开发区域</w:t>
      </w:r>
      <w:r>
        <w:rPr>
          <w:rFonts w:ascii="Times New Roman" w:hAnsi="Times New Roman" w:cs="Times New Roman"/>
          <w:color w:val="000000" w:themeColor="text1"/>
          <w:w w:val="99"/>
          <w:sz w:val="24"/>
          <w:szCs w:val="24"/>
          <w:highlight w:val="none"/>
          <w:lang w:val="en-US"/>
          <w14:textFill>
            <w14:solidFill>
              <w14:schemeClr w14:val="tx1"/>
            </w14:solidFill>
          </w14:textFill>
        </w:rPr>
        <w:t>内声环境质量能满足《声环境质量标准》（GB3096-2008）2类标准要求</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村屯</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能够</w:t>
      </w:r>
      <w:r>
        <w:rPr>
          <w:rFonts w:ascii="Times New Roman" w:hAnsi="Times New Roman" w:cs="Times New Roman"/>
          <w:color w:val="000000" w:themeColor="text1"/>
          <w:w w:val="99"/>
          <w:sz w:val="24"/>
          <w:szCs w:val="24"/>
          <w:highlight w:val="none"/>
          <w:lang w:val="en-US"/>
          <w14:textFill>
            <w14:solidFill>
              <w14:schemeClr w14:val="tx1"/>
            </w14:solidFill>
          </w14:textFill>
        </w:rPr>
        <w:t>满足</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1类</w:t>
      </w:r>
      <w:r>
        <w:rPr>
          <w:rFonts w:ascii="Times New Roman" w:hAnsi="Times New Roman" w:cs="Times New Roman"/>
          <w:color w:val="000000" w:themeColor="text1"/>
          <w:w w:val="99"/>
          <w:sz w:val="24"/>
          <w:szCs w:val="24"/>
          <w:highlight w:val="none"/>
          <w:lang w:val="en-US"/>
          <w14:textFill>
            <w14:solidFill>
              <w14:schemeClr w14:val="tx1"/>
            </w14:solidFill>
          </w14:textFill>
        </w:rPr>
        <w:t>标准要求</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施工期及运营期均无废水外排，在采取措施不会对地下水及土壤环境产生影响，区域地下水质量可以满足《地下水质量标准》（GB/T14848-2017）III类标准，石油类可以满足《地表水环境质量标准》（GB3838-2002）表1中环境质量标准基本项目标准限值；项目所在土壤环境各项指标均可达到《土壤环境质量 建设用地土壤污染风险管控标准（试行）》（GB36600-2018）第二类用地筛选标准以及《土壤环境质量 农用地土壤污染风险管控标准（试行）》（GB15618-2018）表1农用地土壤污染风险筛选值。</w:t>
      </w:r>
      <w:r>
        <w:rPr>
          <w:rFonts w:ascii="Times New Roman" w:hAnsi="Times New Roman" w:cs="Times New Roman"/>
          <w:color w:val="000000" w:themeColor="text1"/>
          <w:w w:val="99"/>
          <w:sz w:val="24"/>
          <w:szCs w:val="24"/>
          <w:highlight w:val="none"/>
          <w:lang w:val="en-US"/>
          <w14:textFill>
            <w14:solidFill>
              <w14:schemeClr w14:val="tx1"/>
            </w14:solidFill>
          </w14:textFill>
        </w:rPr>
        <w:t>因此本项目建设符合环境质量底线要求。</w:t>
      </w:r>
    </w:p>
    <w:p>
      <w:pPr>
        <w:pStyle w:val="67"/>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.3.3 资源利用上线</w:t>
      </w:r>
    </w:p>
    <w:p>
      <w:pPr>
        <w:pStyle w:val="14"/>
        <w:keepNext w:val="0"/>
        <w:keepLines w:val="0"/>
        <w:pageBreakBefore w:val="0"/>
        <w:widowControl w:val="0"/>
        <w:kinsoku/>
        <w:wordWrap/>
        <w:overflowPunct/>
        <w:topLinePunct w:val="0"/>
        <w:bidi w:val="0"/>
        <w:adjustRightInd/>
        <w:snapToGrid/>
        <w:spacing w:line="440" w:lineRule="exact"/>
        <w:ind w:firstLine="474" w:firstLineChars="200"/>
        <w:jc w:val="both"/>
        <w:textAlignment w:val="auto"/>
        <w:rPr>
          <w:rFonts w:ascii="Times New Roman" w:hAnsi="Times New Roman" w:cs="Times New Roman"/>
          <w:color w:val="000000" w:themeColor="text1"/>
          <w:w w:val="99"/>
          <w:highlight w:val="none"/>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本项目为油田开发项目，在选址和布局上根据“地下决定地上，地下顾及地上”的原则，采用环境影响最小的布局方案，</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治理</w:t>
      </w:r>
      <w:r>
        <w:rPr>
          <w:rFonts w:ascii="Times New Roman" w:hAnsi="Times New Roman" w:cs="Times New Roman"/>
          <w:color w:val="000000" w:themeColor="text1"/>
          <w:w w:val="99"/>
          <w:sz w:val="24"/>
          <w:szCs w:val="24"/>
          <w:highlight w:val="none"/>
          <w:lang w:val="en-US"/>
          <w14:textFill>
            <w14:solidFill>
              <w14:schemeClr w14:val="tx1"/>
            </w14:solidFill>
          </w14:textFill>
        </w:rPr>
        <w:t>施工利用现有井场，减少对土地的占用，由于施工期较短，且资源消耗均符合相关设计和标准要求，因此本项目建设符合资源利用上线要求。</w:t>
      </w:r>
    </w:p>
    <w:p>
      <w:pPr>
        <w:pStyle w:val="67"/>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sz w:val="24"/>
          <w:szCs w:val="24"/>
          <w:highlight w:val="none"/>
          <w:lang w:val="en-US" w:eastAsia="zh-CN" w:bidi="ar-SA"/>
          <w14:textFill>
            <w14:solidFill>
              <w14:schemeClr w14:val="tx1"/>
            </w14:solidFill>
          </w14:textFill>
        </w:rPr>
        <w:t>4</w:t>
      </w: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.3.4 生态环境准入清单</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本工程位于黑龙江省大庆市</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大同区</w:t>
      </w:r>
      <w:r>
        <w:rPr>
          <w:rFonts w:hint="eastAsia" w:ascii="Times New Roman" w:hAnsi="Times New Roman" w:cs="Times New Roman"/>
          <w:color w:val="000000" w:themeColor="text1"/>
          <w:w w:val="99"/>
          <w:kern w:val="2"/>
          <w:sz w:val="24"/>
          <w:szCs w:val="28"/>
          <w:highlight w:val="none"/>
          <w:lang w:val="en-US" w:eastAsia="zh-CN" w:bidi="ar-SA"/>
          <w14:textFill>
            <w14:solidFill>
              <w14:schemeClr w14:val="tx1"/>
            </w14:solidFill>
          </w14:textFill>
        </w:rPr>
        <w:t>八井子乡</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境内，</w:t>
      </w:r>
      <w:r>
        <w:rPr>
          <w:rFonts w:ascii="Times New Roman" w:hAnsi="Times New Roman" w:cs="Times New Roman"/>
          <w:bCs/>
          <w:color w:val="000000" w:themeColor="text1"/>
          <w:w w:val="99"/>
          <w:kern w:val="2"/>
          <w:sz w:val="24"/>
          <w:szCs w:val="28"/>
          <w:highlight w:val="none"/>
          <w:lang w:val="en-US" w:bidi="ar-SA"/>
          <w14:textFill>
            <w14:solidFill>
              <w14:schemeClr w14:val="tx1"/>
            </w14:solidFill>
          </w14:textFill>
        </w:rPr>
        <w:t>对照</w:t>
      </w:r>
      <w:r>
        <w:rPr>
          <w:rFonts w:hint="eastAsia" w:ascii="Times New Roman" w:hAnsi="Times New Roman" w:cs="Times New Roman"/>
          <w:bCs/>
          <w:color w:val="000000" w:themeColor="text1"/>
          <w:w w:val="99"/>
          <w:kern w:val="2"/>
          <w:sz w:val="24"/>
          <w:szCs w:val="28"/>
          <w:highlight w:val="none"/>
          <w:lang w:val="en-US" w:bidi="ar-SA"/>
          <w14:textFill>
            <w14:solidFill>
              <w14:schemeClr w14:val="tx1"/>
            </w14:solidFill>
          </w14:textFill>
        </w:rPr>
        <w:t>《大庆市人民政府关于实施“三线一单”生态环境分区管控的意见》（庆</w:t>
      </w:r>
      <w:r>
        <w:rPr>
          <w:rFonts w:ascii="Times New Roman" w:hAnsi="Times New Roman" w:cs="Times New Roman"/>
          <w:bCs/>
          <w:color w:val="000000" w:themeColor="text1"/>
          <w:w w:val="99"/>
          <w:kern w:val="2"/>
          <w:sz w:val="24"/>
          <w:szCs w:val="28"/>
          <w:highlight w:val="none"/>
          <w:lang w:val="en-US" w:bidi="ar-SA"/>
          <w14:textFill>
            <w14:solidFill>
              <w14:schemeClr w14:val="tx1"/>
            </w14:solidFill>
          </w14:textFill>
        </w:rPr>
        <w:t>政规</w:t>
      </w:r>
      <w:r>
        <w:rPr>
          <w:rFonts w:hint="eastAsia" w:ascii="Times New Roman" w:hAnsi="Times New Roman" w:cs="Times New Roman"/>
          <w:bCs/>
          <w:color w:val="000000" w:themeColor="text1"/>
          <w:w w:val="99"/>
          <w:kern w:val="2"/>
          <w:sz w:val="24"/>
          <w:szCs w:val="28"/>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4"/>
          <w:szCs w:val="28"/>
          <w:highlight w:val="none"/>
          <w:lang w:val="en-US" w:bidi="ar-SA"/>
          <w14:textFill>
            <w14:solidFill>
              <w14:schemeClr w14:val="tx1"/>
            </w14:solidFill>
          </w14:textFill>
        </w:rPr>
        <w:t>2021</w:t>
      </w:r>
      <w:r>
        <w:rPr>
          <w:rFonts w:hint="eastAsia" w:ascii="Times New Roman" w:hAnsi="Times New Roman" w:cs="Times New Roman"/>
          <w:bCs/>
          <w:color w:val="000000" w:themeColor="text1"/>
          <w:w w:val="99"/>
          <w:kern w:val="2"/>
          <w:sz w:val="24"/>
          <w:szCs w:val="28"/>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4"/>
          <w:szCs w:val="28"/>
          <w:highlight w:val="none"/>
          <w:lang w:val="en-US" w:bidi="ar-SA"/>
          <w14:textFill>
            <w14:solidFill>
              <w14:schemeClr w14:val="tx1"/>
            </w14:solidFill>
          </w14:textFill>
        </w:rPr>
        <w:t>3</w:t>
      </w:r>
      <w:r>
        <w:rPr>
          <w:rFonts w:hint="eastAsia" w:ascii="Times New Roman" w:hAnsi="Times New Roman" w:cs="Times New Roman"/>
          <w:bCs/>
          <w:color w:val="000000" w:themeColor="text1"/>
          <w:w w:val="99"/>
          <w:kern w:val="2"/>
          <w:sz w:val="24"/>
          <w:szCs w:val="28"/>
          <w:highlight w:val="none"/>
          <w:lang w:val="en-US" w:bidi="ar-SA"/>
          <w14:textFill>
            <w14:solidFill>
              <w14:schemeClr w14:val="tx1"/>
            </w14:solidFill>
          </w14:textFill>
        </w:rPr>
        <w:t>号）</w:t>
      </w:r>
      <w:r>
        <w:rPr>
          <w:rFonts w:ascii="Times New Roman" w:hAnsi="Times New Roman" w:cs="Times New Roman"/>
          <w:bCs/>
          <w:color w:val="000000" w:themeColor="text1"/>
          <w:w w:val="99"/>
          <w:kern w:val="2"/>
          <w:sz w:val="24"/>
          <w:szCs w:val="28"/>
          <w:highlight w:val="none"/>
          <w:lang w:val="en-US" w:bidi="ar-SA"/>
          <w14:textFill>
            <w14:solidFill>
              <w14:schemeClr w14:val="tx1"/>
            </w14:solidFill>
          </w14:textFill>
        </w:rPr>
        <w:t>，本项目处于</w:t>
      </w:r>
      <w:r>
        <w:rPr>
          <w:rFonts w:hint="eastAsia" w:ascii="Times New Roman" w:hAnsi="Times New Roman" w:cs="Times New Roman"/>
          <w:bCs/>
          <w:color w:val="000000" w:themeColor="text1"/>
          <w:w w:val="99"/>
          <w:kern w:val="2"/>
          <w:sz w:val="24"/>
          <w:szCs w:val="28"/>
          <w:highlight w:val="none"/>
          <w:lang w:val="en-US" w:bidi="ar-SA"/>
          <w14:textFill>
            <w14:solidFill>
              <w14:schemeClr w14:val="tx1"/>
            </w14:solidFill>
          </w14:textFill>
        </w:rPr>
        <w:t>重点管控单元，</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本项目与</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大同区</w:t>
      </w:r>
      <w:r>
        <w:rPr>
          <w:rFonts w:hint="eastAsia" w:ascii="Times New Roman" w:hAnsi="Times New Roman" w:cs="Times New Roman"/>
          <w:color w:val="000000" w:themeColor="text1"/>
          <w:w w:val="99"/>
          <w:kern w:val="2"/>
          <w:sz w:val="24"/>
          <w:szCs w:val="28"/>
          <w:highlight w:val="none"/>
          <w:lang w:val="en-US" w:eastAsia="zh-CN" w:bidi="ar-SA"/>
          <w14:textFill>
            <w14:solidFill>
              <w14:schemeClr w14:val="tx1"/>
            </w14:solidFill>
          </w14:textFill>
        </w:rPr>
        <w:t>八井子乡</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相应管控单元管控要求符合性分析见表</w:t>
      </w:r>
      <w:r>
        <w:rPr>
          <w:rFonts w:hint="eastAsia" w:ascii="Times New Roman" w:hAnsi="Times New Roman" w:cs="Times New Roman"/>
          <w:color w:val="000000" w:themeColor="text1"/>
          <w:w w:val="99"/>
          <w:kern w:val="2"/>
          <w:sz w:val="24"/>
          <w:szCs w:val="28"/>
          <w:highlight w:val="none"/>
          <w:lang w:val="en-US" w:eastAsia="zh-CN" w:bidi="ar-SA"/>
          <w14:textFill>
            <w14:solidFill>
              <w14:schemeClr w14:val="tx1"/>
            </w14:solidFill>
          </w14:textFill>
        </w:rPr>
        <w:t>1.4-</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10</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w:t>
      </w:r>
    </w:p>
    <w:p>
      <w:pPr>
        <w:autoSpaceDE/>
        <w:autoSpaceDN/>
        <w:spacing w:line="480" w:lineRule="exact"/>
        <w:ind w:firstLine="476" w:firstLineChars="200"/>
        <w:jc w:val="both"/>
        <w:rPr>
          <w:rFonts w:ascii="Times New Roman" w:hAnsi="Times New Roman" w:cs="Times New Roman"/>
          <w:b/>
          <w:bCs/>
          <w:color w:val="000000" w:themeColor="text1"/>
          <w:w w:val="99"/>
          <w:kern w:val="2"/>
          <w:sz w:val="24"/>
          <w:szCs w:val="28"/>
          <w:highlight w:val="none"/>
          <w:lang w:val="en-US" w:bidi="ar-SA"/>
          <w14:textFill>
            <w14:solidFill>
              <w14:schemeClr w14:val="tx1"/>
            </w14:solidFill>
          </w14:textFill>
        </w:rPr>
      </w:pPr>
      <w:r>
        <w:rPr>
          <w:rFonts w:hint="eastAsia" w:ascii="Times New Roman" w:hAnsi="Times New Roman" w:cs="Times New Roman"/>
          <w:b/>
          <w:bCs/>
          <w:color w:val="000000" w:themeColor="text1"/>
          <w:w w:val="99"/>
          <w:kern w:val="2"/>
          <w:sz w:val="24"/>
          <w:szCs w:val="28"/>
          <w:highlight w:val="none"/>
          <w:lang w:val="en-US" w:bidi="ar-SA"/>
          <w14:textFill>
            <w14:solidFill>
              <w14:schemeClr w14:val="tx1"/>
            </w14:solidFill>
          </w14:textFill>
        </w:rPr>
        <w:t>表</w:t>
      </w:r>
      <w:r>
        <w:rPr>
          <w:rFonts w:hint="eastAsia" w:ascii="Times New Roman" w:hAnsi="Times New Roman" w:cs="Times New Roman"/>
          <w:b/>
          <w:bCs/>
          <w:color w:val="000000" w:themeColor="text1"/>
          <w:w w:val="99"/>
          <w:kern w:val="2"/>
          <w:sz w:val="24"/>
          <w:szCs w:val="28"/>
          <w:highlight w:val="none"/>
          <w:lang w:val="en-US" w:eastAsia="zh-CN" w:bidi="ar-SA"/>
          <w14:textFill>
            <w14:solidFill>
              <w14:schemeClr w14:val="tx1"/>
            </w14:solidFill>
          </w14:textFill>
        </w:rPr>
        <w:t>1.4-</w:t>
      </w:r>
      <w:r>
        <w:rPr>
          <w:rFonts w:ascii="Times New Roman" w:hAnsi="Times New Roman" w:cs="Times New Roman"/>
          <w:b/>
          <w:bCs/>
          <w:color w:val="000000" w:themeColor="text1"/>
          <w:w w:val="99"/>
          <w:kern w:val="2"/>
          <w:sz w:val="24"/>
          <w:szCs w:val="28"/>
          <w:highlight w:val="none"/>
          <w:lang w:val="en-US" w:bidi="ar-SA"/>
          <w14:textFill>
            <w14:solidFill>
              <w14:schemeClr w14:val="tx1"/>
            </w14:solidFill>
          </w14:textFill>
        </w:rPr>
        <w:t xml:space="preserve">10   </w:t>
      </w:r>
      <w:r>
        <w:rPr>
          <w:rFonts w:hint="eastAsia" w:ascii="Times New Roman" w:hAnsi="Times New Roman" w:cs="Times New Roman"/>
          <w:b/>
          <w:bCs/>
          <w:color w:val="000000" w:themeColor="text1"/>
          <w:w w:val="99"/>
          <w:kern w:val="2"/>
          <w:sz w:val="24"/>
          <w:szCs w:val="28"/>
          <w:highlight w:val="none"/>
          <w:lang w:val="en-US" w:bidi="ar-SA"/>
          <w14:textFill>
            <w14:solidFill>
              <w14:schemeClr w14:val="tx1"/>
            </w14:solidFill>
          </w14:textFill>
        </w:rPr>
        <w:t xml:space="preserve">      大庆市生态环境准入清单符合性分析</w:t>
      </w:r>
    </w:p>
    <w:tbl>
      <w:tblPr>
        <w:tblStyle w:val="33"/>
        <w:tblW w:w="492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27"/>
        <w:gridCol w:w="858"/>
        <w:gridCol w:w="4254"/>
        <w:gridCol w:w="2206"/>
        <w:gridCol w:w="6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4" w:hRule="atLeast"/>
          <w:jc w:val="center"/>
        </w:trPr>
        <w:tc>
          <w:tcPr>
            <w:tcW w:w="1027"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环境管控单元名称</w:t>
            </w:r>
          </w:p>
        </w:tc>
        <w:tc>
          <w:tcPr>
            <w:tcW w:w="858"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管控单元类别</w:t>
            </w:r>
          </w:p>
        </w:tc>
        <w:tc>
          <w:tcPr>
            <w:tcW w:w="4254"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管控要求</w:t>
            </w:r>
          </w:p>
        </w:tc>
        <w:tc>
          <w:tcPr>
            <w:tcW w:w="2206"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拟建项目情况</w:t>
            </w:r>
          </w:p>
        </w:tc>
        <w:tc>
          <w:tcPr>
            <w:tcW w:w="698"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符</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027"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大同区一般生态空间区</w:t>
            </w:r>
          </w:p>
        </w:tc>
        <w:tc>
          <w:tcPr>
            <w:tcW w:w="858"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优先保护单元</w:t>
            </w:r>
          </w:p>
        </w:tc>
        <w:tc>
          <w:tcPr>
            <w:tcW w:w="4254"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原则上按限制开发区域的要求进行管理。严格限制与生态功能不一致的开发建设活动。符合区域准入条件的新增建设项目，涉及占用生态空间中的林地、草原等，按有关法律法规规定办理；涉及占用生态空间中其他未作明确规定的用地，应当加强论证和管理。符合条件的农业开发项目，须依法由市县级及以上地方人民政府统筹安排。除符合国家生态退耕条件的耕地，并纳入国家生态退耕总体安排，或因国家重大生态工程建设需要外，不得随意转用。</w:t>
            </w:r>
          </w:p>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2.在不改变利用方式的前提下，对依法保护的生态空间实行承载力控制，防止过度垦殖、放牧、采伐、取水、渔猎、旅游等对生态功能造成损害，确保自然生态系统的稳定。</w:t>
            </w:r>
          </w:p>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3.避免开发建设活动损害生态服务功能和生态产品质量。</w:t>
            </w:r>
          </w:p>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4.已经侵占生态空间的，应建立退出机制、制定治理方案及时间表。</w:t>
            </w:r>
          </w:p>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5.水源涵养功能重要区同时执行限制开发建设活动要求：</w:t>
            </w:r>
          </w:p>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（1对水源涵养林、水土保持林、防风固沙林等防护林只能进行抚育和更新性质的采伐；对采伐区和集材道应当采取防止水土流失的措施，并在采伐后及时更新造林。</w:t>
            </w:r>
          </w:p>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（5）生物多样性保护优先区域内要优化城镇开发建设活动的规模、结构和布局，严格控制高耗能、高排放行业发展，新引入的行业、企业不得对优先区域生物多样性造成影响。</w:t>
            </w:r>
          </w:p>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6.土地沙化敏感区同时执行以下限制开发建设活动要求：</w:t>
            </w:r>
          </w:p>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水土流失严重、生态脆弱的地区，应当限制或者禁止可能造成水土流失的生产建设活动，严格保护植物、沙壳、结皮、地衣等。在侵蚀沟的沟坡和沟岸、河流的两岸以及湖泊和水库的周边，土地所有权人、使用权人或者有关管理单位应当营造植物保护带。</w:t>
            </w:r>
          </w:p>
        </w:tc>
        <w:tc>
          <w:tcPr>
            <w:tcW w:w="2206"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本</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项目井区</w:t>
            </w:r>
            <w:r>
              <w:rPr>
                <w:rFonts w:ascii="Times New Roman" w:hAnsi="Times New Roman" w:cs="Times New Roman"/>
                <w:color w:val="000000" w:themeColor="text1"/>
                <w:w w:val="99"/>
                <w:sz w:val="21"/>
                <w:szCs w:val="21"/>
                <w:highlight w:val="none"/>
                <w:lang w:val="en-US" w:bidi="ar-SA"/>
                <w14:textFill>
                  <w14:solidFill>
                    <w14:schemeClr w14:val="tx1"/>
                  </w14:solidFill>
                </w14:textFill>
              </w:rPr>
              <w:t>位于黑龙江省大同区境内，不涉及管控要求所列的限制开发区、依法保护的生态空间、一般生态空间内的法定禁止开发区、水源涵养功能极重要区、土地沙化敏感区等生态保护红线区</w:t>
            </w:r>
          </w:p>
        </w:tc>
        <w:tc>
          <w:tcPr>
            <w:tcW w:w="698"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符</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1027"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大同区大气环境布局敏感区</w:t>
            </w:r>
          </w:p>
        </w:tc>
        <w:tc>
          <w:tcPr>
            <w:tcW w:w="858"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重点管控单元</w:t>
            </w:r>
          </w:p>
        </w:tc>
        <w:tc>
          <w:tcPr>
            <w:tcW w:w="4254"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1.区域内原则上禁止布局高污染项目。严控“两高”行业产能。严格执行钢铁、水泥、平板玻璃等行业产能置换实施办法。</w:t>
            </w:r>
          </w:p>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2.利用水泥窑协同处置城市生活垃圾、危险废弃物、电石渣等固废伴生水泥项目，必须依托现有新型干法水泥熟料生产线进行不扩产能改造。</w:t>
            </w:r>
          </w:p>
        </w:tc>
        <w:tc>
          <w:tcPr>
            <w:tcW w:w="2206"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本项目</w:t>
            </w:r>
            <w:r>
              <w:rPr>
                <w:rFonts w:ascii="Times New Roman" w:hAnsi="Times New Roman" w:cs="Times New Roman"/>
                <w:color w:val="000000" w:themeColor="text1"/>
                <w:w w:val="99"/>
                <w:sz w:val="21"/>
                <w:szCs w:val="21"/>
                <w:highlight w:val="none"/>
                <w:lang w:val="en-US" w:bidi="ar-SA"/>
                <w14:textFill>
                  <w14:solidFill>
                    <w14:schemeClr w14:val="tx1"/>
                  </w14:solidFill>
                </w14:textFill>
              </w:rPr>
              <w:t>不属于“两高”行业</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的</w:t>
            </w:r>
            <w:r>
              <w:rPr>
                <w:rFonts w:ascii="Times New Roman" w:hAnsi="Times New Roman" w:cs="Times New Roman"/>
                <w:color w:val="000000" w:themeColor="text1"/>
                <w:w w:val="99"/>
                <w:sz w:val="21"/>
                <w:szCs w:val="21"/>
                <w:highlight w:val="none"/>
                <w:lang w:val="en-US" w:bidi="ar-SA"/>
                <w14:textFill>
                  <w14:solidFill>
                    <w14:schemeClr w14:val="tx1"/>
                  </w14:solidFill>
                </w14:textFill>
              </w:rPr>
              <w:t>高污染项目，且不属于大同区大气环境布局敏感区重点管控单元范畴。</w:t>
            </w:r>
          </w:p>
        </w:tc>
        <w:tc>
          <w:tcPr>
            <w:tcW w:w="698"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符</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5" w:hRule="atLeast"/>
          <w:jc w:val="center"/>
        </w:trPr>
        <w:tc>
          <w:tcPr>
            <w:tcW w:w="1027"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大同区其他区域</w:t>
            </w:r>
          </w:p>
        </w:tc>
        <w:tc>
          <w:tcPr>
            <w:tcW w:w="858"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一般管控单元</w:t>
            </w:r>
          </w:p>
        </w:tc>
        <w:tc>
          <w:tcPr>
            <w:tcW w:w="4254"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firstLine="414" w:firstLineChars="200"/>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贯彻实施国家与黑龙江省大气、水污染相关各项标准，深化重点行业污染治理，推进国家和地方确定的各项产业结构调整措施；引导工业项目向园区集聚；严禁钢铁、水泥、电解铝等产能严重过剩行业扩能；重点对电力、钢铁、建材、有色、化工、石油石化、煤炭、印染等行业中，环保、能耗等不达标或生产、使用淘汰类产品的企业和产能，依法依规改造升级或有序退出。</w:t>
            </w:r>
          </w:p>
        </w:tc>
        <w:tc>
          <w:tcPr>
            <w:tcW w:w="2206"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本项目</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不占用</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全省准入要求中划定的一般管控单元，且本次油田开发区块建设项目不属于钢铁、水泥、电解铝等产能严重过剩行业扩能；不存在环保、能耗等不达标或生产、使用淘汰类产品的企业和产能项目。</w:t>
            </w:r>
          </w:p>
        </w:tc>
        <w:tc>
          <w:tcPr>
            <w:tcW w:w="698" w:type="dxa"/>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符合</w:t>
            </w:r>
          </w:p>
        </w:tc>
      </w:tr>
    </w:tbl>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kern w:val="2"/>
          <w:sz w:val="24"/>
          <w:highlight w:val="none"/>
          <w:lang w:val="en-US" w:bidi="ar-SA"/>
          <w14:textFill>
            <w14:solidFill>
              <w14:schemeClr w14:val="tx1"/>
            </w14:solidFill>
          </w14:textFill>
        </w:rPr>
        <w:t>综上所述，本项目为生态环境准入允许类别。</w:t>
      </w:r>
    </w:p>
    <w:p>
      <w:pPr>
        <w:pStyle w:val="45"/>
        <w:keepNext w:val="0"/>
        <w:keepLines w:val="0"/>
        <w:pageBreakBefore w:val="0"/>
        <w:widowControl w:val="0"/>
        <w:tabs>
          <w:tab w:val="left" w:pos="930"/>
        </w:tabs>
        <w:kinsoku/>
        <w:wordWrap/>
        <w:overflowPunct/>
        <w:topLinePunct w:val="0"/>
        <w:autoSpaceDE w:val="0"/>
        <w:autoSpaceDN w:val="0"/>
        <w:bidi w:val="0"/>
        <w:adjustRightInd/>
        <w:snapToGrid/>
        <w:spacing w:before="60" w:after="60" w:line="440" w:lineRule="exact"/>
        <w:ind w:left="0" w:firstLine="0"/>
        <w:jc w:val="both"/>
        <w:textAlignment w:val="auto"/>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1.</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.4 选址合理性分析</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本工程位于黑龙江省大庆市</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大同区</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八井子乡</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，根据现场调查，项目</w:t>
      </w:r>
      <w:r>
        <w:rPr>
          <w:rFonts w:ascii="Times New Roman" w:hAnsi="Times New Roman" w:cs="Times New Roman"/>
          <w:color w:val="000000" w:themeColor="text1"/>
          <w:w w:val="99"/>
          <w:sz w:val="24"/>
          <w:szCs w:val="24"/>
          <w:highlight w:val="none"/>
          <w:lang w:val="en-US"/>
          <w14:textFill>
            <w14:solidFill>
              <w14:schemeClr w14:val="tx1"/>
            </w14:solidFill>
          </w14:textFill>
        </w:rPr>
        <w:t>管线施工临时占地</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为盐碱草地，</w:t>
      </w:r>
      <w:r>
        <w:rPr>
          <w:rFonts w:ascii="Times New Roman" w:hAnsi="Times New Roman" w:cs="Times New Roman"/>
          <w:color w:val="000000" w:themeColor="text1"/>
          <w:w w:val="99"/>
          <w:sz w:val="24"/>
          <w:szCs w:val="24"/>
          <w:highlight w:val="none"/>
          <w:lang w:val="en-US"/>
          <w14:textFill>
            <w14:solidFill>
              <w14:schemeClr w14:val="tx1"/>
            </w14:solidFill>
          </w14:textFill>
        </w:rPr>
        <w:t>根据《建设项目环境影响评价分类管理名录》（2021年版），</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w:t>
      </w:r>
      <w:r>
        <w:rPr>
          <w:rFonts w:ascii="Times New Roman" w:hAnsi="Times New Roman" w:cs="Times New Roman"/>
          <w:color w:val="000000" w:themeColor="text1"/>
          <w:w w:val="99"/>
          <w:sz w:val="24"/>
          <w:szCs w:val="24"/>
          <w:highlight w:val="none"/>
          <w:lang w:val="en-US"/>
          <w14:textFill>
            <w14:solidFill>
              <w14:schemeClr w14:val="tx1"/>
            </w14:solidFill>
          </w14:textFill>
        </w:rPr>
        <w:t>占地范围内无国家公园、自然保护区、风景名胜区、世界文化和自然遗产地、海洋特别保护区、饮用水源保护区、永久基本农田、基本草原、自然公园（森林公园、地质公园、海洋公园等）、重要湿地、天然林、生态红线管控范围、重点保护野生动物栖息地，重点保护野生植物生长繁殖地，重要水生生物的自然产卵场、索饵场、越冬场和洄游通道，天然渔场，水土流失重点预防区、沙化土地封禁保护区、封闭及半封闭海域等重要保护目标。</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本工程在井位的选址和布局上根据“地下决定地上，地下顾及地上”的原则，采用占地面积最小、环境影响最小的布局方案，尽量避绕周围环境敏感点，减少对</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草地</w:t>
      </w:r>
      <w:r>
        <w:rPr>
          <w:rFonts w:ascii="Times New Roman" w:hAnsi="Times New Roman" w:cs="Times New Roman"/>
          <w:color w:val="000000" w:themeColor="text1"/>
          <w:w w:val="99"/>
          <w:sz w:val="24"/>
          <w:szCs w:val="24"/>
          <w:highlight w:val="none"/>
          <w:lang w:val="en-US"/>
          <w14:textFill>
            <w14:solidFill>
              <w14:schemeClr w14:val="tx1"/>
            </w14:solidFill>
          </w14:textFill>
        </w:rPr>
        <w:t>的占用，并对占地采取生态恢复及补偿措施，把对生态环境的影响降至最小。工程建设对周围的主要环境影响为生态环境影响、大气环境影响、地下水环境影响、地表水环境影响、声环境影响、土壤环境影响和固体废物对周围的环境影响。项目施工期及运行期产生的废气、废水、噪声、固体废弃物和生态影响，通过采取相应防护措施后，各项污染物均可以达标排放，生态影响可以得到有效的恢复；工程通过巡检、加强管理、采取区域联动等事故风险防范措施后，利于环境风险的防范和应急反应。因此，本工程选址合理</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5"/>
        <w:keepNext w:val="0"/>
        <w:keepLines w:val="0"/>
        <w:pageBreakBefore w:val="0"/>
        <w:widowControl w:val="0"/>
        <w:tabs>
          <w:tab w:val="left" w:pos="751"/>
        </w:tabs>
        <w:kinsoku/>
        <w:wordWrap/>
        <w:overflowPunct/>
        <w:topLinePunct w:val="0"/>
        <w:autoSpaceDE w:val="0"/>
        <w:autoSpaceDN w:val="0"/>
        <w:bidi w:val="0"/>
        <w:adjustRightInd/>
        <w:snapToGrid/>
        <w:spacing w:before="120" w:after="120" w:line="440" w:lineRule="exact"/>
        <w:ind w:left="0" w:firstLine="0"/>
        <w:jc w:val="both"/>
        <w:textAlignment w:val="auto"/>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pPr>
      <w:bookmarkStart w:id="15" w:name="_Toc13166"/>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1.</w:t>
      </w:r>
      <w:r>
        <w:rPr>
          <w:rFonts w:hint="eastAsia" w:ascii="Times New Roman" w:hAnsi="Times New Roman" w:eastAsia="宋体" w:cs="Times New Roman"/>
          <w:b/>
          <w:bCs/>
          <w:color w:val="000000" w:themeColor="text1"/>
          <w:w w:val="99"/>
          <w:sz w:val="28"/>
          <w:szCs w:val="28"/>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 xml:space="preserve"> 关注的主要环境问题及环境影响</w:t>
      </w:r>
      <w:bookmarkEnd w:id="15"/>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本项目为深部调驱</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采出</w:t>
      </w:r>
      <w:r>
        <w:rPr>
          <w:rFonts w:ascii="Times New Roman" w:hAnsi="Times New Roman" w:cs="Times New Roman"/>
          <w:color w:val="000000" w:themeColor="text1"/>
          <w:w w:val="99"/>
          <w:sz w:val="24"/>
          <w:szCs w:val="24"/>
          <w:highlight w:val="none"/>
          <w:lang w:val="en-US"/>
          <w14:textFill>
            <w14:solidFill>
              <w14:schemeClr w14:val="tx1"/>
            </w14:solidFill>
          </w14:textFill>
        </w:rPr>
        <w:t>工程，环境影响主要来源于原油集输、井下作业、管道和道路施工等工艺过程，环境影响包括施工期和运营期污染物排放造成的环境污染影响和占地及施工造成的生态影响。根据现状调查，本区块未在自然保护区、风景名胜区等环境敏感区域内，主要环境敏感保护目标为评价范围内的</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耕地</w:t>
      </w:r>
      <w:r>
        <w:rPr>
          <w:rFonts w:ascii="Times New Roman" w:hAnsi="Times New Roman" w:cs="Times New Roman"/>
          <w:color w:val="000000" w:themeColor="text1"/>
          <w:w w:val="99"/>
          <w:sz w:val="24"/>
          <w:szCs w:val="24"/>
          <w:highlight w:val="none"/>
          <w:lang w:val="en-US"/>
          <w14:textFill>
            <w14:solidFill>
              <w14:schemeClr w14:val="tx1"/>
            </w14:solidFill>
          </w14:textFill>
        </w:rPr>
        <w:t>和</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草地</w:t>
      </w:r>
      <w:r>
        <w:rPr>
          <w:rFonts w:ascii="Times New Roman" w:hAnsi="Times New Roman" w:cs="Times New Roman"/>
          <w:color w:val="000000" w:themeColor="text1"/>
          <w:w w:val="99"/>
          <w:sz w:val="24"/>
          <w:szCs w:val="24"/>
          <w:highlight w:val="none"/>
          <w:lang w:val="en-US"/>
          <w14:textFill>
            <w14:solidFill>
              <w14:schemeClr w14:val="tx1"/>
            </w14:solidFill>
          </w14:textFill>
        </w:rPr>
        <w:t>生态环境、区块周边分布的</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村屯</w:t>
      </w:r>
      <w:r>
        <w:rPr>
          <w:rFonts w:ascii="Times New Roman" w:hAnsi="Times New Roman" w:cs="Times New Roman"/>
          <w:color w:val="000000" w:themeColor="text1"/>
          <w:w w:val="99"/>
          <w:sz w:val="24"/>
          <w:szCs w:val="24"/>
          <w:highlight w:val="none"/>
          <w:lang w:val="en-US"/>
          <w14:textFill>
            <w14:solidFill>
              <w14:schemeClr w14:val="tx1"/>
            </w14:solidFill>
          </w14:textFill>
        </w:rPr>
        <w:t>等</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保护目标</w:t>
      </w:r>
      <w:r>
        <w:rPr>
          <w:rFonts w:ascii="Times New Roman" w:hAnsi="Times New Roman" w:cs="Times New Roman"/>
          <w:color w:val="000000" w:themeColor="text1"/>
          <w:w w:val="99"/>
          <w:sz w:val="24"/>
          <w:szCs w:val="24"/>
          <w:highlight w:val="none"/>
          <w:lang w:val="en-US"/>
          <w14:textFill>
            <w14:solidFill>
              <w14:schemeClr w14:val="tx1"/>
            </w14:solidFill>
          </w14:textFill>
        </w:rPr>
        <w:t>。重点关注施工过程的各项污染物产生以及可能发生的风险对区域环境产生的影响、施工过程中产生的生态环境问题以及生态恢复措施；运行期井场及站场无组织挥发的非甲烷总烃</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依托场站废气和</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机泵</w:t>
      </w:r>
      <w:r>
        <w:rPr>
          <w:rFonts w:ascii="Times New Roman" w:hAnsi="Times New Roman" w:cs="Times New Roman"/>
          <w:color w:val="000000" w:themeColor="text1"/>
          <w:w w:val="99"/>
          <w:sz w:val="24"/>
          <w:szCs w:val="24"/>
          <w:highlight w:val="none"/>
          <w:lang w:val="en-US"/>
          <w14:textFill>
            <w14:solidFill>
              <w14:schemeClr w14:val="tx1"/>
            </w14:solidFill>
          </w14:textFill>
        </w:rPr>
        <w:t>设备</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噪声</w:t>
      </w:r>
      <w:r>
        <w:rPr>
          <w:rFonts w:ascii="Times New Roman" w:hAnsi="Times New Roman" w:cs="Times New Roman"/>
          <w:color w:val="000000" w:themeColor="text1"/>
          <w:w w:val="99"/>
          <w:sz w:val="24"/>
          <w:szCs w:val="24"/>
          <w:highlight w:val="none"/>
          <w:lang w:val="en-US"/>
          <w14:textFill>
            <w14:solidFill>
              <w14:schemeClr w14:val="tx1"/>
            </w14:solidFill>
          </w14:textFill>
        </w:rPr>
        <w:t>以及井场抽油机的噪声、</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井场作业产生的落地油以及作业产生的含油防渗布</w:t>
      </w:r>
      <w:r>
        <w:rPr>
          <w:rFonts w:ascii="Times New Roman" w:hAnsi="Times New Roman" w:cs="Times New Roman"/>
          <w:color w:val="000000" w:themeColor="text1"/>
          <w:w w:val="99"/>
          <w:sz w:val="24"/>
          <w:szCs w:val="24"/>
          <w:highlight w:val="none"/>
          <w:lang w:val="en-US"/>
          <w14:textFill>
            <w14:solidFill>
              <w14:schemeClr w14:val="tx1"/>
            </w14:solidFill>
          </w14:textFill>
        </w:rPr>
        <w:t>等对环境产生的影响。</w:t>
      </w:r>
    </w:p>
    <w:p>
      <w:pPr>
        <w:pStyle w:val="45"/>
        <w:keepNext w:val="0"/>
        <w:keepLines w:val="0"/>
        <w:pageBreakBefore w:val="0"/>
        <w:widowControl w:val="0"/>
        <w:tabs>
          <w:tab w:val="left" w:pos="930"/>
        </w:tabs>
        <w:kinsoku/>
        <w:wordWrap/>
        <w:overflowPunct/>
        <w:topLinePunct w:val="0"/>
        <w:autoSpaceDE w:val="0"/>
        <w:autoSpaceDN w:val="0"/>
        <w:bidi w:val="0"/>
        <w:adjustRightInd/>
        <w:snapToGrid/>
        <w:spacing w:before="60" w:after="60" w:line="440" w:lineRule="exact"/>
        <w:ind w:left="0" w:firstLine="0"/>
        <w:jc w:val="both"/>
        <w:textAlignment w:val="auto"/>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1.</w:t>
      </w:r>
      <w:r>
        <w:rPr>
          <w:rFonts w:hint="default"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.1 施工期关注的主要环境问题</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（1）环境空气</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本工程施工期对空气环境的影响主要是施工活动产生的扬尘。</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）地下水环境</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本工程施工期可能对地下水产生影响的主要为管道试压废水以及施工人员的生活用水。</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）声环境</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本工程施工期对声环境的影响主要为地面建设施工机械、车辆运行产生的噪声。</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）生态环境</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井场施工、道路修建和管道铺设发生的占地，以及因机械设备、车辆的碾压、人员的践踏等活动将会对地表植被造成一定程度的破坏。临时占地暂时改变了土地利用形式，使区域的生产能力受到暂时性影响。</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ascii="Times New Roman" w:hAnsi="Times New Roman" w:cs="Times New Roman"/>
          <w:color w:val="000000" w:themeColor="text1"/>
          <w:w w:val="99"/>
          <w:sz w:val="24"/>
          <w:szCs w:val="24"/>
          <w:highlight w:val="none"/>
          <w14:textFill>
            <w14:solidFill>
              <w14:schemeClr w14:val="tx1"/>
            </w14:solidFill>
          </w14:textFill>
        </w:rPr>
        <w:t>）固体废物</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本工程施工期</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主要</w:t>
      </w:r>
      <w:r>
        <w:rPr>
          <w:rFonts w:ascii="Times New Roman" w:hAnsi="Times New Roman" w:cs="Times New Roman"/>
          <w:color w:val="000000" w:themeColor="text1"/>
          <w:w w:val="99"/>
          <w:sz w:val="24"/>
          <w:szCs w:val="24"/>
          <w:highlight w:val="none"/>
          <w:lang w:val="en-US"/>
          <w14:textFill>
            <w14:solidFill>
              <w14:schemeClr w14:val="tx1"/>
            </w14:solidFill>
          </w14:textFill>
        </w:rPr>
        <w:t>关注施工废料和施工人员产生的生活垃圾</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等</w:t>
      </w:r>
      <w:r>
        <w:rPr>
          <w:rFonts w:ascii="Times New Roman" w:hAnsi="Times New Roman" w:cs="Times New Roman"/>
          <w:color w:val="000000" w:themeColor="text1"/>
          <w:w w:val="99"/>
          <w:sz w:val="24"/>
          <w:szCs w:val="24"/>
          <w:highlight w:val="none"/>
          <w:lang w:val="en-US"/>
          <w14:textFill>
            <w14:solidFill>
              <w14:schemeClr w14:val="tx1"/>
            </w14:solidFill>
          </w14:textFill>
        </w:rPr>
        <w:t>固体废物对环境的影响。</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6</w:t>
      </w:r>
      <w:r>
        <w:rPr>
          <w:rFonts w:hint="eastAsia" w:ascii="Times New Roman" w:hAnsi="Times New Roman" w:cs="Times New Roman"/>
          <w:color w:val="000000" w:themeColor="text1"/>
          <w:w w:val="99"/>
          <w:sz w:val="24"/>
          <w:szCs w:val="24"/>
          <w:highlight w:val="none"/>
          <w14:textFill>
            <w14:solidFill>
              <w14:schemeClr w14:val="tx1"/>
            </w14:solidFill>
          </w14:textFill>
        </w:rPr>
        <w:t>）土壤环境</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施工期主要</w:t>
      </w:r>
      <w:r>
        <w:rPr>
          <w:rFonts w:ascii="Times New Roman" w:hAnsi="Times New Roman" w:cs="Times New Roman"/>
          <w:color w:val="000000" w:themeColor="text1"/>
          <w:w w:val="99"/>
          <w:sz w:val="24"/>
          <w:szCs w:val="24"/>
          <w:highlight w:val="none"/>
          <w14:textFill>
            <w14:solidFill>
              <w14:schemeClr w14:val="tx1"/>
            </w14:solidFill>
          </w14:textFill>
        </w:rPr>
        <w:t>关注地面工程建设、</w:t>
      </w:r>
      <w:r>
        <w:rPr>
          <w:rFonts w:hint="eastAsia" w:ascii="Times New Roman" w:hAnsi="Times New Roman" w:cs="Times New Roman"/>
          <w:color w:val="000000" w:themeColor="text1"/>
          <w:w w:val="99"/>
          <w:sz w:val="24"/>
          <w:szCs w:val="24"/>
          <w:highlight w:val="none"/>
          <w14:textFill>
            <w14:solidFill>
              <w14:schemeClr w14:val="tx1"/>
            </w14:solidFill>
          </w14:textFill>
        </w:rPr>
        <w:t>管线</w:t>
      </w:r>
      <w:r>
        <w:rPr>
          <w:rFonts w:ascii="Times New Roman" w:hAnsi="Times New Roman" w:cs="Times New Roman"/>
          <w:color w:val="000000" w:themeColor="text1"/>
          <w:w w:val="99"/>
          <w:sz w:val="24"/>
          <w:szCs w:val="24"/>
          <w:highlight w:val="none"/>
          <w14:textFill>
            <w14:solidFill>
              <w14:schemeClr w14:val="tx1"/>
            </w14:solidFill>
          </w14:textFill>
        </w:rPr>
        <w:t>建设对土地的占用以及对地表环境的影响，这种影响将造成土壤板结，导致土壤结构发生改变。</w:t>
      </w:r>
    </w:p>
    <w:p>
      <w:pPr>
        <w:pStyle w:val="45"/>
        <w:keepNext w:val="0"/>
        <w:keepLines w:val="0"/>
        <w:pageBreakBefore w:val="0"/>
        <w:widowControl w:val="0"/>
        <w:tabs>
          <w:tab w:val="left" w:pos="930"/>
        </w:tabs>
        <w:kinsoku/>
        <w:wordWrap/>
        <w:overflowPunct/>
        <w:topLinePunct w:val="0"/>
        <w:autoSpaceDE w:val="0"/>
        <w:autoSpaceDN w:val="0"/>
        <w:bidi w:val="0"/>
        <w:adjustRightInd/>
        <w:snapToGrid/>
        <w:spacing w:before="60" w:after="60" w:line="440" w:lineRule="exact"/>
        <w:ind w:left="0" w:firstLine="0"/>
        <w:jc w:val="both"/>
        <w:textAlignment w:val="auto"/>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1.</w:t>
      </w:r>
      <w:r>
        <w:rPr>
          <w:rFonts w:hint="default"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.2 运营期关注的主要环境问题</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（1）环境空气</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本工程运行期对空气环境的影响主要为依托场站燃烧烟气、油井产液集输过程中无组织排放的烃类气体。</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）地下水环境</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本工程运行期可能对地下水产生影响的因素主要为油</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注入井</w:t>
      </w:r>
      <w:r>
        <w:rPr>
          <w:rFonts w:ascii="Times New Roman" w:hAnsi="Times New Roman" w:cs="Times New Roman"/>
          <w:color w:val="000000" w:themeColor="text1"/>
          <w:w w:val="99"/>
          <w:sz w:val="24"/>
          <w:szCs w:val="24"/>
          <w:highlight w:val="none"/>
          <w:lang w:val="en-US"/>
          <w14:textFill>
            <w14:solidFill>
              <w14:schemeClr w14:val="tx1"/>
            </w14:solidFill>
          </w14:textFill>
        </w:rPr>
        <w:t>作业污水、</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注入井</w:t>
      </w:r>
      <w:r>
        <w:rPr>
          <w:rFonts w:ascii="Times New Roman" w:hAnsi="Times New Roman" w:cs="Times New Roman"/>
          <w:color w:val="000000" w:themeColor="text1"/>
          <w:w w:val="99"/>
          <w:sz w:val="24"/>
          <w:szCs w:val="24"/>
          <w:highlight w:val="none"/>
          <w:lang w:val="en-US"/>
          <w14:textFill>
            <w14:solidFill>
              <w14:schemeClr w14:val="tx1"/>
            </w14:solidFill>
          </w14:textFill>
        </w:rPr>
        <w:t>洗井污水及油田采出水等。</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）声环境</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本工程运行期对声环境的影响主要为抽油机机械噪声以及拉油车辆运输过程中产生的噪声。</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）固体废物</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本工程运行期</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主要关注</w:t>
      </w:r>
      <w:r>
        <w:rPr>
          <w:rFonts w:ascii="Times New Roman" w:hAnsi="Times New Roman" w:cs="Times New Roman"/>
          <w:color w:val="000000" w:themeColor="text1"/>
          <w:w w:val="99"/>
          <w:sz w:val="24"/>
          <w:szCs w:val="24"/>
          <w:highlight w:val="none"/>
          <w:lang w:val="en-US"/>
          <w14:textFill>
            <w14:solidFill>
              <w14:schemeClr w14:val="tx1"/>
            </w14:solidFill>
          </w14:textFill>
        </w:rPr>
        <w:t>含油污泥、落地油和含油废防渗布</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等</w:t>
      </w:r>
      <w:r>
        <w:rPr>
          <w:rFonts w:ascii="Times New Roman" w:hAnsi="Times New Roman" w:cs="Times New Roman"/>
          <w:color w:val="000000" w:themeColor="text1"/>
          <w:w w:val="99"/>
          <w:sz w:val="24"/>
          <w:szCs w:val="24"/>
          <w:highlight w:val="none"/>
          <w:lang w:val="en-US"/>
          <w14:textFill>
            <w14:solidFill>
              <w14:schemeClr w14:val="tx1"/>
            </w14:solidFill>
          </w14:textFill>
        </w:rPr>
        <w:t>固体废弃物对环境的影响。</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hint="eastAsia" w:ascii="Times New Roman" w:hAnsi="Times New Roman" w:cs="Times New Roman"/>
          <w:color w:val="000000" w:themeColor="text1"/>
          <w:w w:val="99"/>
          <w:sz w:val="24"/>
          <w:szCs w:val="24"/>
          <w:highlight w:val="none"/>
          <w14:textFill>
            <w14:solidFill>
              <w14:schemeClr w14:val="tx1"/>
            </w14:solidFill>
          </w14:textFill>
        </w:rPr>
        <w:t>）土壤环境</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运行期</w:t>
      </w:r>
      <w:r>
        <w:rPr>
          <w:rFonts w:hint="eastAsia" w:ascii="Times New Roman" w:hAnsi="Times New Roman" w:cs="Times New Roman"/>
          <w:color w:val="000000" w:themeColor="text1"/>
          <w:w w:val="99"/>
          <w:sz w:val="24"/>
          <w:szCs w:val="24"/>
          <w:highlight w:val="none"/>
          <w14:textFill>
            <w14:solidFill>
              <w14:schemeClr w14:val="tx1"/>
            </w14:solidFill>
          </w14:textFill>
        </w:rPr>
        <w:t>主要关注落地油</w:t>
      </w:r>
      <w:r>
        <w:rPr>
          <w:rFonts w:ascii="Times New Roman" w:hAnsi="Times New Roman" w:cs="Times New Roman"/>
          <w:color w:val="000000" w:themeColor="text1"/>
          <w:w w:val="99"/>
          <w:sz w:val="24"/>
          <w:szCs w:val="24"/>
          <w:highlight w:val="none"/>
          <w14:textFill>
            <w14:solidFill>
              <w14:schemeClr w14:val="tx1"/>
            </w14:solidFill>
          </w14:textFill>
        </w:rPr>
        <w:t>等污染物对土壤环境的污染，可对土壤的化学、生物性质等方面造成影响，但由于本工程采取了较完善的环保措施，因此本工程对土壤环境影响较小。通过采取规范施工和作业行为、限定施工和作业范围、合理规划运输路线、运行期加强管理等污染控制措施，以及采取事故风险防范措施，可以将本工程对土壤环境影响降低至可接受程度。</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6</w:t>
      </w:r>
      <w:r>
        <w:rPr>
          <w:rFonts w:ascii="Times New Roman" w:hAnsi="Times New Roman" w:cs="Times New Roman"/>
          <w:color w:val="000000" w:themeColor="text1"/>
          <w:w w:val="99"/>
          <w:sz w:val="24"/>
          <w:szCs w:val="24"/>
          <w:highlight w:val="none"/>
          <w14:textFill>
            <w14:solidFill>
              <w14:schemeClr w14:val="tx1"/>
            </w14:solidFill>
          </w14:textFill>
        </w:rPr>
        <w:t>）环境风险</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highlight w:val="none"/>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本工程的主要环境风险是</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运营期油井</w:t>
      </w:r>
      <w:r>
        <w:rPr>
          <w:rFonts w:ascii="Times New Roman" w:hAnsi="Times New Roman" w:cs="Times New Roman"/>
          <w:color w:val="000000" w:themeColor="text1"/>
          <w:w w:val="99"/>
          <w:sz w:val="24"/>
          <w:szCs w:val="24"/>
          <w:highlight w:val="none"/>
          <w:lang w:val="en-US"/>
          <w14:textFill>
            <w14:solidFill>
              <w14:schemeClr w14:val="tx1"/>
            </w14:solidFill>
          </w14:textFill>
        </w:rPr>
        <w:t>井喷、集输管线泄漏、场站管线和</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储存设施可能</w:t>
      </w:r>
      <w:r>
        <w:rPr>
          <w:rFonts w:ascii="Times New Roman" w:hAnsi="Times New Roman" w:cs="Times New Roman"/>
          <w:color w:val="000000" w:themeColor="text1"/>
          <w:w w:val="99"/>
          <w:sz w:val="24"/>
          <w:szCs w:val="24"/>
          <w:highlight w:val="none"/>
          <w:lang w:val="en-US"/>
          <w14:textFill>
            <w14:solidFill>
              <w14:schemeClr w14:val="tx1"/>
            </w14:solidFill>
          </w14:textFill>
        </w:rPr>
        <w:t>发生的泄漏量、火灾</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及</w:t>
      </w:r>
      <w:r>
        <w:rPr>
          <w:rFonts w:ascii="Times New Roman" w:hAnsi="Times New Roman" w:cs="Times New Roman"/>
          <w:color w:val="000000" w:themeColor="text1"/>
          <w:w w:val="99"/>
          <w:sz w:val="24"/>
          <w:szCs w:val="24"/>
          <w:highlight w:val="none"/>
          <w:lang w:val="en-US"/>
          <w14:textFill>
            <w14:solidFill>
              <w14:schemeClr w14:val="tx1"/>
            </w14:solidFill>
          </w14:textFill>
        </w:rPr>
        <w:t>爆炸，对区域内的地下水环境和生态环境有潜在危害性。</w:t>
      </w:r>
    </w:p>
    <w:p>
      <w:pPr>
        <w:pStyle w:val="5"/>
        <w:keepNext w:val="0"/>
        <w:keepLines w:val="0"/>
        <w:pageBreakBefore w:val="0"/>
        <w:widowControl w:val="0"/>
        <w:tabs>
          <w:tab w:val="left" w:pos="751"/>
        </w:tabs>
        <w:kinsoku/>
        <w:wordWrap/>
        <w:overflowPunct/>
        <w:topLinePunct w:val="0"/>
        <w:autoSpaceDE w:val="0"/>
        <w:autoSpaceDN w:val="0"/>
        <w:bidi w:val="0"/>
        <w:adjustRightInd/>
        <w:snapToGrid/>
        <w:spacing w:before="120" w:after="120" w:line="440" w:lineRule="exact"/>
        <w:ind w:left="0" w:firstLine="0"/>
        <w:jc w:val="both"/>
        <w:textAlignment w:val="auto"/>
        <w:rPr>
          <w:rFonts w:hint="default" w:ascii="Times New Roman" w:hAnsi="Times New Roman" w:eastAsia="宋体" w:cs="Times New Roman"/>
          <w:b/>
          <w:bCs/>
          <w:color w:val="000000" w:themeColor="text1"/>
          <w:w w:val="99"/>
          <w:sz w:val="28"/>
          <w:szCs w:val="28"/>
          <w:highlight w:val="none"/>
          <w14:textFill>
            <w14:solidFill>
              <w14:schemeClr w14:val="tx1"/>
            </w14:solidFill>
          </w14:textFill>
        </w:rPr>
      </w:pPr>
      <w:bookmarkStart w:id="16" w:name="_bookmark6"/>
      <w:bookmarkEnd w:id="16"/>
      <w:bookmarkStart w:id="17" w:name="_Toc6195"/>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1.</w:t>
      </w:r>
      <w:r>
        <w:rPr>
          <w:rFonts w:hint="default" w:ascii="Times New Roman" w:hAnsi="Times New Roman" w:eastAsia="宋体" w:cs="Times New Roman"/>
          <w:b/>
          <w:bCs/>
          <w:color w:val="000000" w:themeColor="text1"/>
          <w:w w:val="99"/>
          <w:sz w:val="28"/>
          <w:szCs w:val="28"/>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w w:val="99"/>
          <w:sz w:val="28"/>
          <w:szCs w:val="28"/>
          <w:highlight w:val="none"/>
          <w14:textFill>
            <w14:solidFill>
              <w14:schemeClr w14:val="tx1"/>
            </w14:solidFill>
          </w14:textFill>
        </w:rPr>
        <w:t>环境影响评价的主要结论</w:t>
      </w:r>
      <w:bookmarkEnd w:id="17"/>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62" w:firstLineChars="200"/>
        <w:jc w:val="both"/>
        <w:textAlignment w:val="auto"/>
        <w:rPr>
          <w:rFonts w:ascii="Times New Roman" w:hAnsi="Times New Roman" w:cs="Times New Roman"/>
          <w:color w:val="000000" w:themeColor="text1"/>
          <w:spacing w:val="-3"/>
          <w:w w:val="99"/>
          <w:sz w:val="24"/>
          <w:szCs w:val="24"/>
          <w:highlight w:val="none"/>
          <w14:textFill>
            <w14:solidFill>
              <w14:schemeClr w14:val="tx1"/>
            </w14:solidFill>
          </w14:textFill>
        </w:rPr>
      </w:pPr>
      <w:r>
        <w:rPr>
          <w:rFonts w:ascii="Times New Roman" w:hAnsi="Times New Roman" w:cs="Times New Roman"/>
          <w:color w:val="000000" w:themeColor="text1"/>
          <w:spacing w:val="-3"/>
          <w:w w:val="99"/>
          <w:sz w:val="24"/>
          <w:szCs w:val="24"/>
          <w:highlight w:val="none"/>
          <w14:textFill>
            <w14:solidFill>
              <w14:schemeClr w14:val="tx1"/>
            </w14:solidFill>
          </w14:textFill>
        </w:rPr>
        <w:t>根据《产业结构调整指导目录</w:t>
      </w: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eastAsia="Times New Roman" w:cs="Times New Roman"/>
          <w:color w:val="000000" w:themeColor="text1"/>
          <w:w w:val="99"/>
          <w:sz w:val="24"/>
          <w:szCs w:val="24"/>
          <w:highlight w:val="none"/>
          <w14:textFill>
            <w14:solidFill>
              <w14:schemeClr w14:val="tx1"/>
            </w14:solidFill>
          </w14:textFill>
        </w:rPr>
        <w:t>2019</w:t>
      </w:r>
      <w:r>
        <w:rPr>
          <w:rFonts w:ascii="Times New Roman" w:hAnsi="Times New Roman" w:cs="Times New Roman"/>
          <w:color w:val="000000" w:themeColor="text1"/>
          <w:w w:val="99"/>
          <w:sz w:val="24"/>
          <w:szCs w:val="24"/>
          <w:highlight w:val="none"/>
          <w14:textFill>
            <w14:solidFill>
              <w14:schemeClr w14:val="tx1"/>
            </w14:solidFill>
          </w14:textFill>
        </w:rPr>
        <w:t>年本）</w:t>
      </w:r>
      <w:r>
        <w:rPr>
          <w:rFonts w:ascii="Times New Roman" w:hAnsi="Times New Roman" w:cs="Times New Roman"/>
          <w:color w:val="000000" w:themeColor="text1"/>
          <w:spacing w:val="-3"/>
          <w:w w:val="99"/>
          <w:sz w:val="24"/>
          <w:szCs w:val="24"/>
          <w:highlight w:val="none"/>
          <w14:textFill>
            <w14:solidFill>
              <w14:schemeClr w14:val="tx1"/>
            </w14:solidFill>
          </w14:textFill>
        </w:rPr>
        <w:t>》，石油、天然气勘探及开采属于鼓励类项目，本工程符合国家产业政策。</w:t>
      </w:r>
      <w:r>
        <w:rPr>
          <w:rFonts w:ascii="Times New Roman" w:hAnsi="Times New Roman" w:cs="Times New Roman"/>
          <w:color w:val="000000" w:themeColor="text1"/>
          <w:spacing w:val="-3"/>
          <w:w w:val="99"/>
          <w:sz w:val="24"/>
          <w:szCs w:val="24"/>
          <w:highlight w:val="none"/>
          <w:lang w:val="en-US"/>
          <w14:textFill>
            <w14:solidFill>
              <w14:schemeClr w14:val="tx1"/>
            </w14:solidFill>
          </w14:textFill>
        </w:rPr>
        <w:t>本项目</w:t>
      </w:r>
      <w:r>
        <w:rPr>
          <w:rFonts w:hint="eastAsia" w:ascii="Times New Roman" w:hAnsi="Times New Roman" w:cs="Times New Roman"/>
          <w:color w:val="000000" w:themeColor="text1"/>
          <w:spacing w:val="-3"/>
          <w:w w:val="99"/>
          <w:sz w:val="24"/>
          <w:szCs w:val="24"/>
          <w:highlight w:val="none"/>
          <w:lang w:val="en-US" w:eastAsia="zh-CN"/>
          <w14:textFill>
            <w14:solidFill>
              <w14:schemeClr w14:val="tx1"/>
            </w14:solidFill>
          </w14:textFill>
        </w:rPr>
        <w:t>井场</w:t>
      </w:r>
      <w:r>
        <w:rPr>
          <w:rFonts w:ascii="Times New Roman" w:hAnsi="Times New Roman" w:cs="Times New Roman"/>
          <w:color w:val="000000" w:themeColor="text1"/>
          <w:spacing w:val="-3"/>
          <w:w w:val="99"/>
          <w:sz w:val="24"/>
          <w:szCs w:val="24"/>
          <w:highlight w:val="none"/>
          <w:lang w:val="en-US"/>
          <w14:textFill>
            <w14:solidFill>
              <w14:schemeClr w14:val="tx1"/>
            </w14:solidFill>
          </w14:textFill>
        </w:rPr>
        <w:t>均位于重点管控单元与一般保护单元，不在优先保护单元，</w:t>
      </w:r>
      <w:r>
        <w:rPr>
          <w:rFonts w:hint="eastAsia" w:ascii="Times New Roman" w:hAnsi="Times New Roman" w:cs="Times New Roman"/>
          <w:color w:val="000000" w:themeColor="text1"/>
          <w:spacing w:val="-3"/>
          <w:w w:val="99"/>
          <w:sz w:val="24"/>
          <w:szCs w:val="24"/>
          <w:highlight w:val="none"/>
          <w:lang w:val="en-US"/>
          <w14:textFill>
            <w14:solidFill>
              <w14:schemeClr w14:val="tx1"/>
            </w14:solidFill>
          </w14:textFill>
        </w:rPr>
        <w:t>符合</w:t>
      </w:r>
      <w:r>
        <w:rPr>
          <w:rFonts w:ascii="Times New Roman" w:hAnsi="Times New Roman" w:cs="Times New Roman"/>
          <w:color w:val="000000" w:themeColor="text1"/>
          <w:spacing w:val="-3"/>
          <w:w w:val="99"/>
          <w:sz w:val="24"/>
          <w:szCs w:val="24"/>
          <w:highlight w:val="none"/>
          <w:lang w:val="en-US"/>
          <w14:textFill>
            <w14:solidFill>
              <w14:schemeClr w14:val="tx1"/>
            </w14:solidFill>
          </w14:textFill>
        </w:rPr>
        <w:t>《黑龙江省人民政府关于实施“三线一单”生态环境分区管控的意见》（黑政发〔2020〕14号）</w:t>
      </w:r>
      <w:r>
        <w:rPr>
          <w:rFonts w:hint="eastAsia" w:ascii="Times New Roman" w:hAnsi="Times New Roman" w:cs="Times New Roman"/>
          <w:color w:val="000000" w:themeColor="text1"/>
          <w:spacing w:val="-3"/>
          <w:w w:val="99"/>
          <w:sz w:val="24"/>
          <w:szCs w:val="24"/>
          <w:highlight w:val="none"/>
          <w:lang w:val="en-US"/>
          <w14:textFill>
            <w14:solidFill>
              <w14:schemeClr w14:val="tx1"/>
            </w14:solidFill>
          </w14:textFill>
        </w:rPr>
        <w:t>中</w:t>
      </w:r>
      <w:r>
        <w:rPr>
          <w:rFonts w:ascii="Times New Roman" w:hAnsi="Times New Roman" w:cs="Times New Roman"/>
          <w:color w:val="000000" w:themeColor="text1"/>
          <w:spacing w:val="-3"/>
          <w:w w:val="99"/>
          <w:sz w:val="24"/>
          <w:szCs w:val="24"/>
          <w:highlight w:val="none"/>
          <w:lang w:val="en-US"/>
          <w14:textFill>
            <w14:solidFill>
              <w14:schemeClr w14:val="tx1"/>
            </w14:solidFill>
          </w14:textFill>
        </w:rPr>
        <w:t>相关要求</w:t>
      </w:r>
      <w:r>
        <w:rPr>
          <w:rFonts w:hint="eastAsia" w:ascii="Times New Roman" w:hAnsi="Times New Roman" w:cs="Times New Roman"/>
          <w:color w:val="000000" w:themeColor="text1"/>
          <w:spacing w:val="-3"/>
          <w:w w:val="99"/>
          <w:sz w:val="24"/>
          <w:szCs w:val="24"/>
          <w:highlight w:val="none"/>
          <w:lang w:val="en-US"/>
          <w14:textFill>
            <w14:solidFill>
              <w14:schemeClr w14:val="tx1"/>
            </w14:solidFill>
          </w14:textFill>
        </w:rPr>
        <w:t>。</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62" w:firstLineChars="200"/>
        <w:jc w:val="both"/>
        <w:textAlignment w:val="auto"/>
        <w:rPr>
          <w:rFonts w:ascii="Times New Roman" w:hAnsi="Times New Roman" w:cs="Times New Roman"/>
          <w:color w:val="000000" w:themeColor="text1"/>
          <w:spacing w:val="-3"/>
          <w:w w:val="99"/>
          <w:sz w:val="24"/>
          <w:szCs w:val="24"/>
          <w:highlight w:val="none"/>
          <w14:textFill>
            <w14:solidFill>
              <w14:schemeClr w14:val="tx1"/>
            </w14:solidFill>
          </w14:textFill>
        </w:rPr>
      </w:pPr>
      <w:r>
        <w:rPr>
          <w:rFonts w:hint="eastAsia" w:ascii="Times New Roman" w:hAnsi="Times New Roman" w:cs="Times New Roman"/>
          <w:color w:val="000000" w:themeColor="text1"/>
          <w:spacing w:val="-3"/>
          <w:w w:val="99"/>
          <w:sz w:val="24"/>
          <w:szCs w:val="24"/>
          <w:highlight w:val="none"/>
          <w14:textFill>
            <w14:solidFill>
              <w14:schemeClr w14:val="tx1"/>
            </w14:solidFill>
          </w14:textFill>
        </w:rPr>
        <w:t>本项目位于</w:t>
      </w:r>
      <w:r>
        <w:rPr>
          <w:rFonts w:ascii="Times New Roman" w:hAnsi="Times New Roman" w:cs="Times New Roman"/>
          <w:color w:val="000000" w:themeColor="text1"/>
          <w:spacing w:val="-3"/>
          <w:w w:val="99"/>
          <w:sz w:val="24"/>
          <w:szCs w:val="24"/>
          <w:highlight w:val="none"/>
          <w14:textFill>
            <w14:solidFill>
              <w14:schemeClr w14:val="tx1"/>
            </w14:solidFill>
          </w14:textFill>
        </w:rPr>
        <w:t>环境空气质量达标区，</w:t>
      </w:r>
      <w:r>
        <w:rPr>
          <w:rFonts w:hint="eastAsia" w:ascii="Times New Roman" w:hAnsi="Times New Roman" w:cs="Times New Roman"/>
          <w:color w:val="000000" w:themeColor="text1"/>
          <w:spacing w:val="-3"/>
          <w:w w:val="99"/>
          <w:sz w:val="24"/>
          <w:szCs w:val="24"/>
          <w:highlight w:val="none"/>
          <w14:textFill>
            <w14:solidFill>
              <w14:schemeClr w14:val="tx1"/>
            </w14:solidFill>
          </w14:textFill>
        </w:rPr>
        <w:t>项目区域特征污染物非甲烷总烃</w:t>
      </w:r>
      <w:r>
        <w:rPr>
          <w:rFonts w:ascii="Times New Roman" w:hAnsi="Times New Roman" w:cs="Times New Roman"/>
          <w:color w:val="000000" w:themeColor="text1"/>
          <w:spacing w:val="-3"/>
          <w:w w:val="99"/>
          <w:sz w:val="24"/>
          <w:szCs w:val="24"/>
          <w:highlight w:val="none"/>
          <w14:textFill>
            <w14:solidFill>
              <w14:schemeClr w14:val="tx1"/>
            </w14:solidFill>
          </w14:textFill>
        </w:rPr>
        <w:t>满足《大气污染物综合排放标准详解》标准要求。</w:t>
      </w:r>
      <w:r>
        <w:rPr>
          <w:rFonts w:hint="eastAsia" w:ascii="Times New Roman" w:hAnsi="Times New Roman" w:cs="Times New Roman"/>
          <w:color w:val="000000" w:themeColor="text1"/>
          <w:spacing w:val="-3"/>
          <w:w w:val="99"/>
          <w:sz w:val="24"/>
          <w:szCs w:val="24"/>
          <w:highlight w:val="none"/>
          <w14:textFill>
            <w14:solidFill>
              <w14:schemeClr w14:val="tx1"/>
            </w14:solidFill>
          </w14:textFill>
        </w:rPr>
        <w:t>区域地下水质量除部分监测点锰超标外均满足《地下水质量标准》（</w:t>
      </w:r>
      <w:r>
        <w:rPr>
          <w:rFonts w:ascii="Times New Roman" w:hAnsi="Times New Roman" w:cs="Times New Roman"/>
          <w:color w:val="000000" w:themeColor="text1"/>
          <w:spacing w:val="-3"/>
          <w:w w:val="99"/>
          <w:sz w:val="24"/>
          <w:szCs w:val="24"/>
          <w:highlight w:val="none"/>
          <w14:textFill>
            <w14:solidFill>
              <w14:schemeClr w14:val="tx1"/>
            </w14:solidFill>
          </w14:textFill>
        </w:rPr>
        <w:t>GB/T14848-2017）</w:t>
      </w:r>
      <w:r>
        <w:rPr>
          <w:rFonts w:hint="eastAsia"/>
          <w:color w:val="000000" w:themeColor="text1"/>
          <w:spacing w:val="-3"/>
          <w:w w:val="99"/>
          <w:sz w:val="24"/>
          <w:szCs w:val="24"/>
          <w:highlight w:val="none"/>
          <w14:textFill>
            <w14:solidFill>
              <w14:schemeClr w14:val="tx1"/>
            </w14:solidFill>
          </w14:textFill>
        </w:rPr>
        <w:t>Ⅲ</w:t>
      </w:r>
      <w:r>
        <w:rPr>
          <w:rFonts w:ascii="Times New Roman" w:hAnsi="Times New Roman" w:cs="Times New Roman"/>
          <w:color w:val="000000" w:themeColor="text1"/>
          <w:spacing w:val="-3"/>
          <w:w w:val="99"/>
          <w:sz w:val="24"/>
          <w:szCs w:val="24"/>
          <w:highlight w:val="none"/>
          <w14:textFill>
            <w14:solidFill>
              <w14:schemeClr w14:val="tx1"/>
            </w14:solidFill>
          </w14:textFill>
        </w:rPr>
        <w:t>类标准</w:t>
      </w:r>
      <w:r>
        <w:rPr>
          <w:rFonts w:hint="eastAsia" w:ascii="Times New Roman" w:hAnsi="Times New Roman" w:cs="Times New Roman"/>
          <w:color w:val="000000" w:themeColor="text1"/>
          <w:spacing w:val="-3"/>
          <w:w w:val="99"/>
          <w:sz w:val="24"/>
          <w:szCs w:val="24"/>
          <w:highlight w:val="none"/>
          <w:lang w:eastAsia="zh-CN"/>
          <w14:textFill>
            <w14:solidFill>
              <w14:schemeClr w14:val="tx1"/>
            </w14:solidFill>
          </w14:textFill>
        </w:rPr>
        <w:t>，</w:t>
      </w:r>
      <w:r>
        <w:rPr>
          <w:rFonts w:ascii="Times New Roman" w:hAnsi="Times New Roman" w:cs="Times New Roman"/>
          <w:color w:val="000000" w:themeColor="text1"/>
          <w:spacing w:val="-3"/>
          <w:w w:val="99"/>
          <w:sz w:val="24"/>
          <w:szCs w:val="24"/>
          <w:highlight w:val="none"/>
          <w14:textFill>
            <w14:solidFill>
              <w14:schemeClr w14:val="tx1"/>
            </w14:solidFill>
          </w14:textFill>
        </w:rPr>
        <w:t>特征污染物石油类满足《地表水环境质量标准》（GB3838-2002）</w:t>
      </w:r>
      <w:r>
        <w:rPr>
          <w:rFonts w:hint="eastAsia"/>
          <w:color w:val="000000" w:themeColor="text1"/>
          <w:spacing w:val="-3"/>
          <w:w w:val="99"/>
          <w:sz w:val="24"/>
          <w:szCs w:val="24"/>
          <w:highlight w:val="none"/>
          <w14:textFill>
            <w14:solidFill>
              <w14:schemeClr w14:val="tx1"/>
            </w14:solidFill>
          </w14:textFill>
        </w:rPr>
        <w:t>Ⅰ</w:t>
      </w:r>
      <w:r>
        <w:rPr>
          <w:rFonts w:ascii="Times New Roman" w:hAnsi="Times New Roman" w:cs="Times New Roman"/>
          <w:color w:val="000000" w:themeColor="text1"/>
          <w:spacing w:val="-3"/>
          <w:w w:val="99"/>
          <w:sz w:val="24"/>
          <w:szCs w:val="24"/>
          <w:highlight w:val="none"/>
          <w14:textFill>
            <w14:solidFill>
              <w14:schemeClr w14:val="tx1"/>
            </w14:solidFill>
          </w14:textFill>
        </w:rPr>
        <w:t>类标准。</w:t>
      </w:r>
      <w:r>
        <w:rPr>
          <w:rFonts w:hint="eastAsia" w:ascii="Times New Roman" w:hAnsi="Times New Roman" w:cs="Times New Roman"/>
          <w:color w:val="000000" w:themeColor="text1"/>
          <w:spacing w:val="-3"/>
          <w:w w:val="99"/>
          <w:sz w:val="24"/>
          <w:szCs w:val="24"/>
          <w:highlight w:val="none"/>
          <w14:textFill>
            <w14:solidFill>
              <w14:schemeClr w14:val="tx1"/>
            </w14:solidFill>
          </w14:textFill>
        </w:rPr>
        <w:t>区域声环境现状满足《声环境质量标准》</w:t>
      </w:r>
      <w:r>
        <w:rPr>
          <w:rFonts w:ascii="Times New Roman" w:hAnsi="Times New Roman" w:cs="Times New Roman"/>
          <w:color w:val="000000" w:themeColor="text1"/>
          <w:spacing w:val="-3"/>
          <w:w w:val="99"/>
          <w:sz w:val="24"/>
          <w:szCs w:val="24"/>
          <w:highlight w:val="none"/>
          <w14:textFill>
            <w14:solidFill>
              <w14:schemeClr w14:val="tx1"/>
            </w14:solidFill>
          </w14:textFill>
        </w:rPr>
        <w:t xml:space="preserve"> （GB3096-2008）中的2类标准要求，声环境现状良好。</w:t>
      </w:r>
      <w:r>
        <w:rPr>
          <w:rFonts w:hint="eastAsia" w:ascii="Times New Roman" w:hAnsi="Times New Roman" w:cs="Times New Roman"/>
          <w:color w:val="000000" w:themeColor="text1"/>
          <w:spacing w:val="-3"/>
          <w:w w:val="99"/>
          <w:sz w:val="24"/>
          <w:szCs w:val="24"/>
          <w:highlight w:val="none"/>
          <w14:textFill>
            <w14:solidFill>
              <w14:schemeClr w14:val="tx1"/>
            </w14:solidFill>
          </w14:textFill>
        </w:rPr>
        <w:t>评价区域内的建设用地中各项目指标能够满足《土壤环境质量建设用地土壤污染风险管控标准（试行）（</w:t>
      </w:r>
      <w:r>
        <w:rPr>
          <w:rFonts w:ascii="Times New Roman" w:hAnsi="Times New Roman" w:cs="Times New Roman"/>
          <w:color w:val="000000" w:themeColor="text1"/>
          <w:spacing w:val="-3"/>
          <w:w w:val="99"/>
          <w:sz w:val="24"/>
          <w:szCs w:val="24"/>
          <w:highlight w:val="none"/>
          <w14:textFill>
            <w14:solidFill>
              <w14:schemeClr w14:val="tx1"/>
            </w14:solidFill>
          </w14:textFill>
        </w:rPr>
        <w:t>GB36600-2018）标准限值，占地范围外</w:t>
      </w:r>
      <w:r>
        <w:rPr>
          <w:rFonts w:hint="eastAsia" w:ascii="Times New Roman" w:hAnsi="Times New Roman" w:cs="Times New Roman"/>
          <w:color w:val="000000" w:themeColor="text1"/>
          <w:spacing w:val="-3"/>
          <w:w w:val="99"/>
          <w:sz w:val="24"/>
          <w:szCs w:val="24"/>
          <w:highlight w:val="none"/>
          <w:lang w:eastAsia="zh-CN"/>
          <w14:textFill>
            <w14:solidFill>
              <w14:schemeClr w14:val="tx1"/>
            </w14:solidFill>
          </w14:textFill>
        </w:rPr>
        <w:t>的耕地和草地</w:t>
      </w:r>
      <w:r>
        <w:rPr>
          <w:rFonts w:ascii="Times New Roman" w:hAnsi="Times New Roman" w:cs="Times New Roman"/>
          <w:color w:val="000000" w:themeColor="text1"/>
          <w:spacing w:val="-3"/>
          <w:w w:val="99"/>
          <w:sz w:val="24"/>
          <w:szCs w:val="24"/>
          <w:highlight w:val="none"/>
          <w14:textFill>
            <w14:solidFill>
              <w14:schemeClr w14:val="tx1"/>
            </w14:solidFill>
          </w14:textFill>
        </w:rPr>
        <w:t>满足《土壤环境质量农用地土壤污染风险管控标准（试行）》（GB15618-2018）标准限值。</w:t>
      </w:r>
      <w:r>
        <w:rPr>
          <w:rFonts w:hint="eastAsia" w:ascii="Times New Roman" w:hAnsi="Times New Roman" w:cs="Times New Roman"/>
          <w:color w:val="000000" w:themeColor="text1"/>
          <w:spacing w:val="-3"/>
          <w:w w:val="99"/>
          <w:sz w:val="24"/>
          <w:szCs w:val="24"/>
          <w:highlight w:val="none"/>
          <w14:textFill>
            <w14:solidFill>
              <w14:schemeClr w14:val="tx1"/>
            </w14:solidFill>
          </w14:textFill>
        </w:rPr>
        <w:t>该区生态系统是以石油开采为主的人工生态系统为主，兼有农田</w:t>
      </w:r>
      <w:r>
        <w:rPr>
          <w:rFonts w:ascii="Times New Roman" w:hAnsi="Times New Roman" w:cs="Times New Roman"/>
          <w:color w:val="000000" w:themeColor="text1"/>
          <w:spacing w:val="-3"/>
          <w:w w:val="99"/>
          <w:sz w:val="24"/>
          <w:szCs w:val="24"/>
          <w:highlight w:val="none"/>
          <w14:textFill>
            <w14:solidFill>
              <w14:schemeClr w14:val="tx1"/>
            </w14:solidFill>
          </w14:textFill>
        </w:rPr>
        <w:t>和</w:t>
      </w:r>
      <w:r>
        <w:rPr>
          <w:rFonts w:hint="eastAsia" w:ascii="Times New Roman" w:hAnsi="Times New Roman" w:cs="Times New Roman"/>
          <w:color w:val="000000" w:themeColor="text1"/>
          <w:spacing w:val="-3"/>
          <w:w w:val="99"/>
          <w:sz w:val="24"/>
          <w:szCs w:val="24"/>
          <w:highlight w:val="none"/>
          <w14:textFill>
            <w14:solidFill>
              <w14:schemeClr w14:val="tx1"/>
            </w14:solidFill>
          </w14:textFill>
        </w:rPr>
        <w:t>草地等生态系统。</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62" w:firstLineChars="200"/>
        <w:jc w:val="both"/>
        <w:textAlignment w:val="auto"/>
        <w:rPr>
          <w:rFonts w:ascii="Times New Roman" w:hAnsi="Times New Roman" w:cs="Times New Roman"/>
          <w:color w:val="000000" w:themeColor="text1"/>
          <w:spacing w:val="-3"/>
          <w:w w:val="99"/>
          <w:sz w:val="24"/>
          <w:szCs w:val="24"/>
          <w:highlight w:val="none"/>
          <w14:textFill>
            <w14:solidFill>
              <w14:schemeClr w14:val="tx1"/>
            </w14:solidFill>
          </w14:textFill>
        </w:rPr>
      </w:pPr>
      <w:r>
        <w:rPr>
          <w:rFonts w:hint="eastAsia" w:ascii="Times New Roman" w:hAnsi="Times New Roman" w:cs="Times New Roman"/>
          <w:color w:val="000000" w:themeColor="text1"/>
          <w:spacing w:val="-3"/>
          <w:w w:val="99"/>
          <w:sz w:val="24"/>
          <w:szCs w:val="24"/>
          <w:highlight w:val="none"/>
          <w:lang w:eastAsia="zh-CN"/>
          <w14:textFill>
            <w14:solidFill>
              <w14:schemeClr w14:val="tx1"/>
            </w14:solidFill>
          </w14:textFill>
        </w:rPr>
        <w:t>经预测</w:t>
      </w:r>
      <w:r>
        <w:rPr>
          <w:rFonts w:hint="eastAsia" w:ascii="Times New Roman" w:hAnsi="Times New Roman" w:cs="Times New Roman"/>
          <w:color w:val="000000" w:themeColor="text1"/>
          <w:spacing w:val="-3"/>
          <w:w w:val="99"/>
          <w:sz w:val="24"/>
          <w:szCs w:val="24"/>
          <w:highlight w:val="none"/>
          <w14:textFill>
            <w14:solidFill>
              <w14:schemeClr w14:val="tx1"/>
            </w14:solidFill>
          </w14:textFill>
        </w:rPr>
        <w:t>本工程排放的非甲烷烃最大地面浓度</w:t>
      </w:r>
      <w:r>
        <w:rPr>
          <w:rFonts w:ascii="Times New Roman" w:hAnsi="Times New Roman" w:cs="Times New Roman"/>
          <w:color w:val="000000" w:themeColor="text1"/>
          <w:spacing w:val="-3"/>
          <w:w w:val="99"/>
          <w:sz w:val="24"/>
          <w:szCs w:val="24"/>
          <w:highlight w:val="none"/>
          <w14:textFill>
            <w14:solidFill>
              <w14:schemeClr w14:val="tx1"/>
            </w14:solidFill>
          </w14:textFill>
        </w:rPr>
        <w:t>满足《大气污染物综合标准详解》中规定的小时均值2.0mg/m</w:t>
      </w:r>
      <w:r>
        <w:rPr>
          <w:rFonts w:ascii="Times New Roman" w:hAnsi="Times New Roman" w:cs="Times New Roman"/>
          <w:color w:val="000000" w:themeColor="text1"/>
          <w:spacing w:val="-3"/>
          <w:w w:val="99"/>
          <w:sz w:val="24"/>
          <w:szCs w:val="24"/>
          <w:highlight w:val="none"/>
          <w:vertAlign w:val="superscript"/>
          <w14:textFill>
            <w14:solidFill>
              <w14:schemeClr w14:val="tx1"/>
            </w14:solidFill>
          </w14:textFill>
        </w:rPr>
        <w:t>3</w:t>
      </w:r>
      <w:r>
        <w:rPr>
          <w:rFonts w:ascii="Times New Roman" w:hAnsi="Times New Roman" w:cs="Times New Roman"/>
          <w:color w:val="000000" w:themeColor="text1"/>
          <w:spacing w:val="-3"/>
          <w:w w:val="99"/>
          <w:sz w:val="24"/>
          <w:szCs w:val="24"/>
          <w:highlight w:val="none"/>
          <w14:textFill>
            <w14:solidFill>
              <w14:schemeClr w14:val="tx1"/>
            </w14:solidFill>
          </w14:textFill>
        </w:rPr>
        <w:t>要求；烟尘、SO</w:t>
      </w:r>
      <w:r>
        <w:rPr>
          <w:rFonts w:ascii="Times New Roman" w:hAnsi="Times New Roman" w:cs="Times New Roman"/>
          <w:color w:val="000000" w:themeColor="text1"/>
          <w:spacing w:val="-3"/>
          <w:w w:val="99"/>
          <w:sz w:val="24"/>
          <w:szCs w:val="24"/>
          <w:highlight w:val="none"/>
          <w:vertAlign w:val="subscript"/>
          <w14:textFill>
            <w14:solidFill>
              <w14:schemeClr w14:val="tx1"/>
            </w14:solidFill>
          </w14:textFill>
        </w:rPr>
        <w:t>2</w:t>
      </w:r>
      <w:r>
        <w:rPr>
          <w:rFonts w:ascii="Times New Roman" w:hAnsi="Times New Roman" w:cs="Times New Roman"/>
          <w:color w:val="000000" w:themeColor="text1"/>
          <w:spacing w:val="-3"/>
          <w:w w:val="99"/>
          <w:sz w:val="24"/>
          <w:szCs w:val="24"/>
          <w:highlight w:val="none"/>
          <w14:textFill>
            <w14:solidFill>
              <w14:schemeClr w14:val="tx1"/>
            </w14:solidFill>
          </w14:textFill>
        </w:rPr>
        <w:t>、NO</w:t>
      </w:r>
      <w:r>
        <w:rPr>
          <w:rFonts w:ascii="Times New Roman" w:hAnsi="Times New Roman" w:cs="Times New Roman"/>
          <w:color w:val="000000" w:themeColor="text1"/>
          <w:spacing w:val="-3"/>
          <w:w w:val="99"/>
          <w:sz w:val="24"/>
          <w:szCs w:val="24"/>
          <w:highlight w:val="none"/>
          <w:vertAlign w:val="subscript"/>
          <w14:textFill>
            <w14:solidFill>
              <w14:schemeClr w14:val="tx1"/>
            </w14:solidFill>
          </w14:textFill>
        </w:rPr>
        <w:t>X</w:t>
      </w:r>
      <w:r>
        <w:rPr>
          <w:rFonts w:ascii="Times New Roman" w:hAnsi="Times New Roman" w:cs="Times New Roman"/>
          <w:color w:val="000000" w:themeColor="text1"/>
          <w:spacing w:val="-3"/>
          <w:w w:val="99"/>
          <w:sz w:val="24"/>
          <w:szCs w:val="24"/>
          <w:highlight w:val="none"/>
          <w14:textFill>
            <w14:solidFill>
              <w14:schemeClr w14:val="tx1"/>
            </w14:solidFill>
          </w14:textFill>
        </w:rPr>
        <w:t>的最大地面浓度满足《环境空气质量标准》修改单二级标准要求，对周围空气环境的影响较小。</w:t>
      </w:r>
      <w:r>
        <w:rPr>
          <w:rFonts w:hint="eastAsia" w:ascii="Times New Roman" w:hAnsi="Times New Roman" w:cs="Times New Roman"/>
          <w:color w:val="000000" w:themeColor="text1"/>
          <w:spacing w:val="-3"/>
          <w:w w:val="99"/>
          <w:sz w:val="24"/>
          <w:szCs w:val="24"/>
          <w:highlight w:val="none"/>
          <w14:textFill>
            <w14:solidFill>
              <w14:schemeClr w14:val="tx1"/>
            </w14:solidFill>
          </w14:textFill>
        </w:rPr>
        <w:t>本工程在正常且各项环境保护措施落实到位情况下对地下水环境影响较小。本工程产生的废水均进行了妥善处理，不排入地表水体，不会对地表水环境产生影响。在采取适当的降噪措施后，工程运行期厂界噪声可以满足《工业企业厂界环境噪声排放标准》（</w:t>
      </w:r>
      <w:r>
        <w:rPr>
          <w:rFonts w:ascii="Times New Roman" w:hAnsi="Times New Roman" w:cs="Times New Roman"/>
          <w:color w:val="000000" w:themeColor="text1"/>
          <w:spacing w:val="-3"/>
          <w:w w:val="99"/>
          <w:sz w:val="24"/>
          <w:szCs w:val="24"/>
          <w:highlight w:val="none"/>
          <w14:textFill>
            <w14:solidFill>
              <w14:schemeClr w14:val="tx1"/>
            </w14:solidFill>
          </w14:textFill>
        </w:rPr>
        <w:t>GB12348-2008）2 类标准，对区域声环境影响较小。</w:t>
      </w:r>
      <w:r>
        <w:rPr>
          <w:rFonts w:hint="eastAsia" w:ascii="Times New Roman" w:hAnsi="Times New Roman" w:cs="Times New Roman"/>
          <w:color w:val="000000" w:themeColor="text1"/>
          <w:spacing w:val="-3"/>
          <w:w w:val="99"/>
          <w:sz w:val="24"/>
          <w:szCs w:val="24"/>
          <w:highlight w:val="none"/>
          <w14:textFill>
            <w14:solidFill>
              <w14:schemeClr w14:val="tx1"/>
            </w14:solidFill>
          </w14:textFill>
        </w:rPr>
        <w:t>本工程对各类固体废弃物均进行合理的处置，对环境影响较小。通过采取必要的生态保护措施，可最大程度减小该项目建设对生态环境的不利影响，使生态环境在尽可能短的时间内得到恢复。根据土壤环境影响分析结果，本项目对土壤环境的影响较小。</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62"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spacing w:val="-3"/>
          <w:w w:val="99"/>
          <w:sz w:val="24"/>
          <w:szCs w:val="24"/>
          <w:highlight w:val="none"/>
          <w14:textFill>
            <w14:solidFill>
              <w14:schemeClr w14:val="tx1"/>
            </w14:solidFill>
          </w14:textFill>
        </w:rPr>
        <w:t>按照《环境影响评价公</w:t>
      </w:r>
      <w:r>
        <w:rPr>
          <w:rFonts w:ascii="Times New Roman" w:hAnsi="Times New Roman" w:cs="Times New Roman"/>
          <w:color w:val="000000" w:themeColor="text1"/>
          <w:spacing w:val="-5"/>
          <w:w w:val="99"/>
          <w:sz w:val="24"/>
          <w:szCs w:val="24"/>
          <w:highlight w:val="none"/>
          <w14:textFill>
            <w14:solidFill>
              <w14:schemeClr w14:val="tx1"/>
            </w14:solidFill>
          </w14:textFill>
        </w:rPr>
        <w:t>众参与办法》</w:t>
      </w: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spacing w:val="-12"/>
          <w:w w:val="99"/>
          <w:sz w:val="24"/>
          <w:szCs w:val="24"/>
          <w:highlight w:val="none"/>
          <w14:textFill>
            <w14:solidFill>
              <w14:schemeClr w14:val="tx1"/>
            </w14:solidFill>
          </w14:textFill>
        </w:rPr>
        <w:t>生态环境部令第</w:t>
      </w:r>
      <w:r>
        <w:rPr>
          <w:rFonts w:ascii="Times New Roman" w:hAnsi="Times New Roman" w:eastAsia="Times New Roman" w:cs="Times New Roman"/>
          <w:color w:val="000000" w:themeColor="text1"/>
          <w:w w:val="99"/>
          <w:sz w:val="24"/>
          <w:szCs w:val="24"/>
          <w:highlight w:val="none"/>
          <w14:textFill>
            <w14:solidFill>
              <w14:schemeClr w14:val="tx1"/>
            </w14:solidFill>
          </w14:textFill>
        </w:rPr>
        <w:t>4</w:t>
      </w:r>
      <w:r>
        <w:rPr>
          <w:rFonts w:ascii="Times New Roman" w:hAnsi="Times New Roman" w:cs="Times New Roman"/>
          <w:color w:val="000000" w:themeColor="text1"/>
          <w:spacing w:val="-2"/>
          <w:w w:val="99"/>
          <w:sz w:val="24"/>
          <w:szCs w:val="24"/>
          <w:highlight w:val="none"/>
          <w14:textFill>
            <w14:solidFill>
              <w14:schemeClr w14:val="tx1"/>
            </w14:solidFill>
          </w14:textFill>
        </w:rPr>
        <w:t>号，</w:t>
      </w:r>
      <w:r>
        <w:rPr>
          <w:rFonts w:ascii="Times New Roman" w:hAnsi="Times New Roman" w:eastAsia="Times New Roman" w:cs="Times New Roman"/>
          <w:color w:val="000000" w:themeColor="text1"/>
          <w:w w:val="99"/>
          <w:sz w:val="24"/>
          <w:szCs w:val="24"/>
          <w:highlight w:val="none"/>
          <w14:textFill>
            <w14:solidFill>
              <w14:schemeClr w14:val="tx1"/>
            </w14:solidFill>
          </w14:textFill>
        </w:rPr>
        <w:t>2019.1.1</w:t>
      </w: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spacing w:val="-4"/>
          <w:w w:val="99"/>
          <w:sz w:val="24"/>
          <w:szCs w:val="24"/>
          <w:highlight w:val="none"/>
          <w14:textFill>
            <w14:solidFill>
              <w14:schemeClr w14:val="tx1"/>
            </w14:solidFill>
          </w14:textFill>
        </w:rPr>
        <w:t>的要求，本项目环评进行</w:t>
      </w:r>
      <w:r>
        <w:rPr>
          <w:rFonts w:ascii="Times New Roman" w:hAnsi="Times New Roman" w:cs="Times New Roman"/>
          <w:color w:val="000000" w:themeColor="text1"/>
          <w:spacing w:val="-6"/>
          <w:w w:val="99"/>
          <w:sz w:val="24"/>
          <w:szCs w:val="24"/>
          <w:highlight w:val="none"/>
          <w14:textFill>
            <w14:solidFill>
              <w14:schemeClr w14:val="tx1"/>
            </w14:solidFill>
          </w14:textFill>
        </w:rPr>
        <w:t>的过程中建设单位开展了公众参与调查，具体见《</w:t>
      </w:r>
      <w:r>
        <w:rPr>
          <w:rFonts w:hint="eastAsia" w:ascii="Times New Roman" w:hAnsi="Times New Roman" w:cs="Times New Roman"/>
          <w:color w:val="000000" w:themeColor="text1"/>
          <w:spacing w:val="-6"/>
          <w:w w:val="99"/>
          <w:sz w:val="24"/>
          <w:szCs w:val="24"/>
          <w:highlight w:val="none"/>
          <w:lang w:val="en-US" w:eastAsia="zh-CN"/>
          <w14:textFill>
            <w14:solidFill>
              <w14:schemeClr w14:val="tx1"/>
            </w14:solidFill>
          </w14:textFill>
        </w:rPr>
        <w:t>采油七厂葡北油田三断块葡72-70井区深部调驱产能建设地面工程</w:t>
      </w:r>
      <w:r>
        <w:rPr>
          <w:rFonts w:ascii="Times New Roman" w:hAnsi="Times New Roman" w:cs="Times New Roman"/>
          <w:color w:val="000000" w:themeColor="text1"/>
          <w:spacing w:val="-3"/>
          <w:w w:val="99"/>
          <w:sz w:val="24"/>
          <w:szCs w:val="24"/>
          <w:highlight w:val="none"/>
          <w14:textFill>
            <w14:solidFill>
              <w14:schemeClr w14:val="tx1"/>
            </w14:solidFill>
          </w14:textFill>
        </w:rPr>
        <w:t>环境影响评价公众参与说明》。</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50" w:firstLineChars="200"/>
        <w:jc w:val="both"/>
        <w:textAlignment w:val="auto"/>
        <w:rPr>
          <w:rFonts w:ascii="Times New Roman" w:hAnsi="Times New Roman" w:cs="Times New Roman"/>
          <w:color w:val="000000" w:themeColor="text1"/>
          <w:spacing w:val="-3"/>
          <w:w w:val="99"/>
          <w:sz w:val="24"/>
          <w:szCs w:val="24"/>
          <w:highlight w:val="none"/>
          <w14:textFill>
            <w14:solidFill>
              <w14:schemeClr w14:val="tx1"/>
            </w14:solidFill>
          </w14:textFill>
        </w:rPr>
      </w:pPr>
      <w:r>
        <w:rPr>
          <w:rFonts w:hint="eastAsia" w:ascii="Times New Roman" w:hAnsi="Times New Roman" w:cs="Times New Roman"/>
          <w:color w:val="000000" w:themeColor="text1"/>
          <w:spacing w:val="-6"/>
          <w:w w:val="99"/>
          <w:sz w:val="24"/>
          <w:szCs w:val="24"/>
          <w:highlight w:val="none"/>
          <w:lang w:val="en-US"/>
          <w14:textFill>
            <w14:solidFill>
              <w14:schemeClr w14:val="tx1"/>
            </w14:solidFill>
          </w14:textFill>
        </w:rPr>
        <w:t>本</w:t>
      </w:r>
      <w:r>
        <w:rPr>
          <w:rFonts w:ascii="Times New Roman" w:hAnsi="Times New Roman" w:cs="Times New Roman"/>
          <w:color w:val="000000" w:themeColor="text1"/>
          <w:spacing w:val="-6"/>
          <w:w w:val="99"/>
          <w:sz w:val="24"/>
          <w:szCs w:val="24"/>
          <w:highlight w:val="none"/>
          <w:lang w:val="en-US"/>
          <w14:textFill>
            <w14:solidFill>
              <w14:schemeClr w14:val="tx1"/>
            </w14:solidFill>
          </w14:textFill>
        </w:rPr>
        <w:t>工程</w:t>
      </w:r>
      <w:r>
        <w:rPr>
          <w:rFonts w:ascii="Times New Roman" w:hAnsi="Times New Roman" w:cs="Times New Roman"/>
          <w:color w:val="000000" w:themeColor="text1"/>
          <w:spacing w:val="-3"/>
          <w:w w:val="99"/>
          <w:sz w:val="24"/>
          <w:szCs w:val="24"/>
          <w:highlight w:val="none"/>
          <w14:textFill>
            <w14:solidFill>
              <w14:schemeClr w14:val="tx1"/>
            </w14:solidFill>
          </w14:textFill>
        </w:rPr>
        <w:t>符合国家产业政策和当地经济发展规划，公众认同性较好。只要在建设和运营过程中认真落实各项污染防治措施、生态修复措施、风险防范措施及应急措施后，各项污染物能够做到达标排放，其生态破坏可降至最低，环境风险可以</w:t>
      </w:r>
      <w:r>
        <w:rPr>
          <w:rFonts w:hint="eastAsia" w:ascii="Times New Roman" w:hAnsi="Times New Roman" w:cs="Times New Roman"/>
          <w:color w:val="000000" w:themeColor="text1"/>
          <w:spacing w:val="-3"/>
          <w:w w:val="99"/>
          <w:sz w:val="24"/>
          <w:szCs w:val="24"/>
          <w:highlight w:val="none"/>
          <w:lang w:eastAsia="zh-CN"/>
          <w14:textFill>
            <w14:solidFill>
              <w14:schemeClr w14:val="tx1"/>
            </w14:solidFill>
          </w14:textFill>
        </w:rPr>
        <w:t>防控</w:t>
      </w:r>
      <w:r>
        <w:rPr>
          <w:rFonts w:ascii="Times New Roman" w:hAnsi="Times New Roman" w:cs="Times New Roman"/>
          <w:color w:val="000000" w:themeColor="text1"/>
          <w:spacing w:val="-3"/>
          <w:w w:val="99"/>
          <w:sz w:val="24"/>
          <w:szCs w:val="24"/>
          <w:highlight w:val="none"/>
          <w14:textFill>
            <w14:solidFill>
              <w14:schemeClr w14:val="tx1"/>
            </w14:solidFill>
          </w14:textFill>
        </w:rPr>
        <w:t>，</w:t>
      </w:r>
      <w:r>
        <w:rPr>
          <w:rFonts w:hint="eastAsia" w:ascii="Times New Roman" w:hAnsi="Times New Roman" w:cs="Times New Roman"/>
          <w:color w:val="000000" w:themeColor="text1"/>
          <w:spacing w:val="-3"/>
          <w:w w:val="99"/>
          <w:sz w:val="24"/>
          <w:szCs w:val="24"/>
          <w:highlight w:val="none"/>
          <w:lang w:eastAsia="zh-CN"/>
          <w14:textFill>
            <w14:solidFill>
              <w14:schemeClr w14:val="tx1"/>
            </w14:solidFill>
          </w14:textFill>
        </w:rPr>
        <w:t>满足总量控制要求，</w:t>
      </w:r>
      <w:r>
        <w:rPr>
          <w:rFonts w:ascii="Times New Roman" w:hAnsi="Times New Roman" w:cs="Times New Roman"/>
          <w:color w:val="000000" w:themeColor="text1"/>
          <w:spacing w:val="-3"/>
          <w:w w:val="99"/>
          <w:sz w:val="24"/>
          <w:szCs w:val="24"/>
          <w:highlight w:val="none"/>
          <w14:textFill>
            <w14:solidFill>
              <w14:schemeClr w14:val="tx1"/>
            </w14:solidFill>
          </w14:textFill>
        </w:rPr>
        <w:t>从环境保护角度看，本项目选址合理，建设是可行的。</w:t>
      </w:r>
      <w:r>
        <w:rPr>
          <w:rFonts w:ascii="Times New Roman" w:hAnsi="Times New Roman" w:cs="Times New Roman"/>
          <w:color w:val="000000" w:themeColor="text1"/>
          <w:spacing w:val="-3"/>
          <w:w w:val="99"/>
          <w:sz w:val="24"/>
          <w:szCs w:val="24"/>
          <w:highlight w:val="none"/>
          <w14:textFill>
            <w14:solidFill>
              <w14:schemeClr w14:val="tx1"/>
            </w14:solidFill>
          </w14:textFill>
        </w:rPr>
        <w:br w:type="page"/>
      </w:r>
    </w:p>
    <w:p>
      <w:pPr>
        <w:pStyle w:val="4"/>
        <w:keepNext w:val="0"/>
        <w:keepLines w:val="0"/>
        <w:pageBreakBefore w:val="0"/>
        <w:widowControl w:val="0"/>
        <w:kinsoku/>
        <w:wordWrap/>
        <w:overflowPunct/>
        <w:topLinePunct w:val="0"/>
        <w:autoSpaceDE/>
        <w:autoSpaceDN/>
        <w:bidi w:val="0"/>
        <w:adjustRightInd/>
        <w:snapToGrid/>
        <w:spacing w:before="180" w:after="180" w:line="440" w:lineRule="exact"/>
        <w:ind w:left="0" w:firstLine="0"/>
        <w:textAlignment w:val="auto"/>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pPr>
      <w:bookmarkStart w:id="18" w:name="_bookmark7"/>
      <w:bookmarkEnd w:id="18"/>
      <w:bookmarkStart w:id="19" w:name="_Toc25334"/>
      <w:r>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t>2 总则</w:t>
      </w:r>
      <w:bookmarkEnd w:id="19"/>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0" w:name="_bookmark8"/>
      <w:bookmarkEnd w:id="20"/>
      <w:bookmarkStart w:id="21" w:name="_Toc29098"/>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2.1 编制依据</w:t>
      </w:r>
      <w:bookmarkEnd w:id="21"/>
    </w:p>
    <w:p>
      <w:pPr>
        <w:pStyle w:val="7"/>
        <w:keepNext/>
        <w:keepLines/>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2.1.1 环境保护相关法律</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）《中华人民共和国环境保护法》（2015年1月1日修订施行）；</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）《中华人民共和国环境影响评价法》（2018年12月29日修正施行）；</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）《中华人民共和国大气污染防治法》（2018年10月26日修正施行）；</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）《中华人民共和国水污染防治法》（2018年1月1日修正施行）；</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ascii="Times New Roman" w:hAnsi="Times New Roman" w:cs="Times New Roman"/>
          <w:color w:val="000000" w:themeColor="text1"/>
          <w:w w:val="99"/>
          <w:sz w:val="24"/>
          <w:szCs w:val="24"/>
          <w:highlight w:val="none"/>
          <w14:textFill>
            <w14:solidFill>
              <w14:schemeClr w14:val="tx1"/>
            </w14:solidFill>
          </w14:textFill>
        </w:rPr>
        <w:t>）《中华人民共和国土壤污染防治法》（2019年1月1日起施行）；</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6</w:t>
      </w:r>
      <w:r>
        <w:rPr>
          <w:rFonts w:ascii="Times New Roman" w:hAnsi="Times New Roman" w:cs="Times New Roman"/>
          <w:color w:val="000000" w:themeColor="text1"/>
          <w:w w:val="99"/>
          <w:sz w:val="24"/>
          <w:szCs w:val="24"/>
          <w:highlight w:val="none"/>
          <w14:textFill>
            <w14:solidFill>
              <w14:schemeClr w14:val="tx1"/>
            </w14:solidFill>
          </w14:textFill>
        </w:rPr>
        <w:t>）《中华人民共和国环境噪声污染防治法》（2018年12月29日修订施行）；</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7</w:t>
      </w:r>
      <w:r>
        <w:rPr>
          <w:rFonts w:ascii="Times New Roman" w:hAnsi="Times New Roman" w:cs="Times New Roman"/>
          <w:color w:val="000000" w:themeColor="text1"/>
          <w:w w:val="99"/>
          <w:sz w:val="24"/>
          <w:szCs w:val="24"/>
          <w:highlight w:val="none"/>
          <w14:textFill>
            <w14:solidFill>
              <w14:schemeClr w14:val="tx1"/>
            </w14:solidFill>
          </w14:textFill>
        </w:rPr>
        <w:t>）《中华人民共和国固体废物污染环境防治法》（2020年9月1日起施行）；</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8</w:t>
      </w:r>
      <w:r>
        <w:rPr>
          <w:rFonts w:ascii="Times New Roman" w:hAnsi="Times New Roman" w:cs="Times New Roman"/>
          <w:color w:val="000000" w:themeColor="text1"/>
          <w:w w:val="99"/>
          <w:sz w:val="24"/>
          <w:szCs w:val="24"/>
          <w:highlight w:val="none"/>
          <w14:textFill>
            <w14:solidFill>
              <w14:schemeClr w14:val="tx1"/>
            </w14:solidFill>
          </w14:textFill>
        </w:rPr>
        <w:t>）《中华人民共和国水土保持法》（2011年3月1日修订施行）；</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2.1</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 环境保护相关法</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规</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）《建设项目环境保护管理条例》（中华人民共和国国务院令第</w:t>
      </w:r>
      <w:r>
        <w:rPr>
          <w:rFonts w:ascii="Times New Roman" w:hAnsi="Times New Roman" w:cs="Times New Roman"/>
          <w:color w:val="000000" w:themeColor="text1"/>
          <w:w w:val="99"/>
          <w:sz w:val="24"/>
          <w:szCs w:val="24"/>
          <w:highlight w:val="none"/>
          <w:lang w:val="en-US"/>
          <w14:textFill>
            <w14:solidFill>
              <w14:schemeClr w14:val="tx1"/>
            </w14:solidFill>
          </w14:textFill>
        </w:rPr>
        <w:t>682</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2017.10.01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）《土地复垦条例》（中华人民共和国国务院令第</w:t>
      </w: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592 </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2011.03.05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）《黑龙江省环境保护条例》（</w:t>
      </w:r>
      <w:r>
        <w:rPr>
          <w:rFonts w:ascii="Times New Roman" w:hAnsi="Times New Roman" w:cs="Times New Roman"/>
          <w:color w:val="000000" w:themeColor="text1"/>
          <w:w w:val="99"/>
          <w:sz w:val="24"/>
          <w:szCs w:val="24"/>
          <w:highlight w:val="none"/>
          <w:lang w:val="en-US"/>
          <w14:textFill>
            <w14:solidFill>
              <w14:schemeClr w14:val="tx1"/>
            </w14:solidFill>
          </w14:textFill>
        </w:rPr>
        <w:t>2018.06.28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）《黑龙江省石油天然气勘探开发环境保护条例》（</w:t>
      </w:r>
      <w:r>
        <w:rPr>
          <w:rFonts w:ascii="Times New Roman" w:hAnsi="Times New Roman" w:cs="Times New Roman"/>
          <w:color w:val="000000" w:themeColor="text1"/>
          <w:w w:val="99"/>
          <w:sz w:val="24"/>
          <w:szCs w:val="24"/>
          <w:highlight w:val="none"/>
          <w:lang w:val="en-US"/>
          <w14:textFill>
            <w14:solidFill>
              <w14:schemeClr w14:val="tx1"/>
            </w14:solidFill>
          </w14:textFill>
        </w:rPr>
        <w:t>2018.04.26</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）《黑龙江省大气污染防治条例》（</w:t>
      </w:r>
      <w:r>
        <w:rPr>
          <w:rFonts w:ascii="Times New Roman" w:hAnsi="Times New Roman" w:cs="Times New Roman"/>
          <w:color w:val="000000" w:themeColor="text1"/>
          <w:w w:val="99"/>
          <w:sz w:val="24"/>
          <w:szCs w:val="24"/>
          <w:highlight w:val="none"/>
          <w:lang w:val="en-US"/>
          <w14:textFill>
            <w14:solidFill>
              <w14:schemeClr w14:val="tx1"/>
            </w14:solidFill>
          </w14:textFill>
        </w:rPr>
        <w:t>2018.12.27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（6）《黑龙江省湿地保护条例》（2018.6.28）。</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2.1.3 环境保护相关部门规章及规范性文件</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）《建设项目环境影响评价分类管理名录》（</w:t>
      </w: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2021 </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年版）；</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）《国务院关于印发大气污染防治行动计划的通知》（国发〔</w:t>
      </w:r>
      <w:r>
        <w:rPr>
          <w:rFonts w:ascii="Times New Roman" w:hAnsi="Times New Roman" w:cs="Times New Roman"/>
          <w:color w:val="000000" w:themeColor="text1"/>
          <w:w w:val="99"/>
          <w:sz w:val="24"/>
          <w:szCs w:val="24"/>
          <w:highlight w:val="none"/>
          <w:lang w:val="en-US"/>
          <w14:textFill>
            <w14:solidFill>
              <w14:schemeClr w14:val="tx1"/>
            </w14:solidFill>
          </w14:textFill>
        </w:rPr>
        <w:t>2013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2013.09.10</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）《国务院关于印发水污染防治行动计划的通知》（国发〔</w:t>
      </w:r>
      <w:r>
        <w:rPr>
          <w:rFonts w:ascii="Times New Roman" w:hAnsi="Times New Roman" w:cs="Times New Roman"/>
          <w:color w:val="000000" w:themeColor="text1"/>
          <w:w w:val="99"/>
          <w:sz w:val="24"/>
          <w:szCs w:val="24"/>
          <w:highlight w:val="none"/>
          <w:lang w:val="en-US"/>
          <w14:textFill>
            <w14:solidFill>
              <w14:schemeClr w14:val="tx1"/>
            </w14:solidFill>
          </w14:textFill>
        </w:rPr>
        <w:t>2015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2015.04.02</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 xml:space="preserve">）； </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）《国务院关于印发土壤污染防治行动计划的通知》（国发〔</w:t>
      </w:r>
      <w:r>
        <w:rPr>
          <w:rFonts w:ascii="Times New Roman" w:hAnsi="Times New Roman" w:cs="Times New Roman"/>
          <w:color w:val="000000" w:themeColor="text1"/>
          <w:w w:val="99"/>
          <w:sz w:val="24"/>
          <w:szCs w:val="24"/>
          <w:highlight w:val="none"/>
          <w:lang w:val="en-US"/>
          <w14:textFill>
            <w14:solidFill>
              <w14:schemeClr w14:val="tx1"/>
            </w14:solidFill>
          </w14:textFill>
        </w:rPr>
        <w:t>2016</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2016.05.28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）《产业结构调整指导目录（</w:t>
      </w: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2019 </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年本）》；</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6</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）《国家危险废物名录》（</w:t>
      </w: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2021 </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年版）；</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）《关于进一步加强环境影响评价管理防范环境风险的通知》（环发</w:t>
      </w:r>
      <w:r>
        <w:rPr>
          <w:rFonts w:ascii="Times New Roman" w:hAnsi="Times New Roman" w:cs="Times New Roman"/>
          <w:color w:val="000000" w:themeColor="text1"/>
          <w:w w:val="99"/>
          <w:sz w:val="24"/>
          <w:szCs w:val="24"/>
          <w:highlight w:val="none"/>
          <w:lang w:val="en-US"/>
          <w14:textFill>
            <w14:solidFill>
              <w14:schemeClr w14:val="tx1"/>
            </w14:solidFill>
          </w14:textFill>
        </w:rPr>
        <w:t>[2012]77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2012.07.03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）《关于切实加强风险防范严格环境影响评价管理的通知》（环发</w:t>
      </w:r>
      <w:r>
        <w:rPr>
          <w:rFonts w:ascii="Times New Roman" w:hAnsi="Times New Roman" w:cs="Times New Roman"/>
          <w:color w:val="000000" w:themeColor="text1"/>
          <w:w w:val="99"/>
          <w:sz w:val="24"/>
          <w:szCs w:val="24"/>
          <w:highlight w:val="none"/>
          <w:lang w:val="en-US"/>
          <w14:textFill>
            <w14:solidFill>
              <w14:schemeClr w14:val="tx1"/>
            </w14:solidFill>
          </w14:textFill>
        </w:rPr>
        <w:t>[2012]98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2012.08.07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9</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）《环境影响评价公众参与办法》（生态环境部令第</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2019.01.01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10</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4"/>
          <w:highlight w:val="none"/>
          <w:lang w:val="en"/>
          <w14:textFill>
            <w14:solidFill>
              <w14:schemeClr w14:val="tx1"/>
            </w14:solidFill>
          </w14:textFill>
        </w:rPr>
        <w:t>《2020年挥发性有机物治理攻坚方案》（环大气〔2020〕33号，2020.06.23）；</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（11）《黑龙江省水污染防治工作方案》（黑政发</w:t>
      </w:r>
      <w:r>
        <w:rPr>
          <w:rFonts w:ascii="Times New Roman" w:hAnsi="Times New Roman" w:cs="Times New Roman"/>
          <w:color w:val="000000" w:themeColor="text1"/>
          <w:w w:val="99"/>
          <w:sz w:val="24"/>
          <w:szCs w:val="24"/>
          <w:highlight w:val="none"/>
          <w:lang w:val="en-US"/>
          <w14:textFill>
            <w14:solidFill>
              <w14:schemeClr w14:val="tx1"/>
            </w14:solidFill>
          </w14:textFill>
        </w:rPr>
        <w:t>[2016]3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2016.01.10</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12</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）《黑龙江省打赢蓝天保卫战三年行动计划的通知》（黑政规〔</w:t>
      </w:r>
      <w:r>
        <w:rPr>
          <w:rFonts w:ascii="Times New Roman" w:hAnsi="Times New Roman" w:cs="Times New Roman"/>
          <w:color w:val="000000" w:themeColor="text1"/>
          <w:w w:val="99"/>
          <w:sz w:val="24"/>
          <w:szCs w:val="24"/>
          <w:highlight w:val="none"/>
          <w:lang w:val="en-US"/>
          <w14:textFill>
            <w14:solidFill>
              <w14:schemeClr w14:val="tx1"/>
            </w14:solidFill>
          </w14:textFill>
        </w:rPr>
        <w:t>2018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19 </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2018.11.17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）《黑龙江省土壤污染防治实施方案》（黑政发</w:t>
      </w: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[2016]46 </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2016.12.30</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14</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）《大庆市打赢蓝天保卫战三年行动计划》（庆政规〔</w:t>
      </w:r>
      <w:r>
        <w:rPr>
          <w:rFonts w:ascii="Times New Roman" w:hAnsi="Times New Roman" w:cs="Times New Roman"/>
          <w:color w:val="000000" w:themeColor="text1"/>
          <w:w w:val="99"/>
          <w:sz w:val="24"/>
          <w:szCs w:val="24"/>
          <w:highlight w:val="none"/>
          <w:lang w:val="en-US"/>
          <w14:textFill>
            <w14:solidFill>
              <w14:schemeClr w14:val="tx1"/>
            </w14:solidFill>
          </w14:textFill>
        </w:rPr>
        <w:t>2019</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2019.03.08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）《大庆市加强水污染防治工作实施方案》（庆政办发〔</w:t>
      </w:r>
      <w:r>
        <w:rPr>
          <w:rFonts w:ascii="Times New Roman" w:hAnsi="Times New Roman" w:cs="Times New Roman"/>
          <w:color w:val="000000" w:themeColor="text1"/>
          <w:w w:val="99"/>
          <w:sz w:val="24"/>
          <w:szCs w:val="24"/>
          <w:highlight w:val="none"/>
          <w:lang w:val="en-US"/>
          <w14:textFill>
            <w14:solidFill>
              <w14:schemeClr w14:val="tx1"/>
            </w14:solidFill>
          </w14:textFill>
        </w:rPr>
        <w:t>2015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2015.12.31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16</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）《大庆市土壤污染防治实施方案》（庆政规〔</w:t>
      </w:r>
      <w:r>
        <w:rPr>
          <w:rFonts w:ascii="Times New Roman" w:hAnsi="Times New Roman" w:cs="Times New Roman"/>
          <w:color w:val="000000" w:themeColor="text1"/>
          <w:w w:val="99"/>
          <w:sz w:val="24"/>
          <w:szCs w:val="24"/>
          <w:highlight w:val="none"/>
          <w:lang w:val="en-US"/>
          <w14:textFill>
            <w14:solidFill>
              <w14:schemeClr w14:val="tx1"/>
            </w14:solidFill>
          </w14:textFill>
        </w:rPr>
        <w:t>2017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2 </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2017.03.31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lang w:val="en-US"/>
          <w14:textFill>
            <w14:solidFill>
              <w14:schemeClr w14:val="tx1"/>
            </w14:solidFill>
          </w14:textFill>
        </w:rPr>
        <w:t>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）《关于进一步加强石油天然气行业环境影响评价管理的通知》（环办环评函[2019]910号；</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）《大庆市人民政府关于印发大庆市声环境功能区划分、大庆市环境空气质量功能区划分、大庆市地表水环境功能区划分的通知》（庆政发﹝</w:t>
      </w:r>
      <w:r>
        <w:rPr>
          <w:rFonts w:ascii="Times New Roman" w:hAnsi="Times New Roman" w:cs="Times New Roman"/>
          <w:color w:val="000000" w:themeColor="text1"/>
          <w:w w:val="99"/>
          <w:sz w:val="24"/>
          <w:szCs w:val="24"/>
          <w:highlight w:val="none"/>
          <w:lang w:val="en-US"/>
          <w14:textFill>
            <w14:solidFill>
              <w14:schemeClr w14:val="tx1"/>
            </w14:solidFill>
          </w14:textFill>
        </w:rPr>
        <w:t>2019</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lang w:val="en-US"/>
          <w14:textFill>
            <w14:solidFill>
              <w14:schemeClr w14:val="tx1"/>
            </w14:solidFill>
          </w14:textFill>
        </w:rPr>
        <w:t>9</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4"/>
          <w:highlight w:val="none"/>
          <w:lang w:val="en-US"/>
          <w14:textFill>
            <w14:solidFill>
              <w14:schemeClr w14:val="tx1"/>
            </w14:solidFill>
          </w14:textFill>
        </w:rPr>
        <w:t>大庆市人民政府关于实施“三线一单”生态环境分区管控的意见</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》（庆</w:t>
      </w:r>
      <w:r>
        <w:rPr>
          <w:rFonts w:ascii="Times New Roman" w:hAnsi="Times New Roman" w:cs="Times New Roman"/>
          <w:color w:val="000000" w:themeColor="text1"/>
          <w:w w:val="99"/>
          <w:sz w:val="24"/>
          <w:szCs w:val="24"/>
          <w:highlight w:val="none"/>
          <w:lang w:val="en-US"/>
          <w14:textFill>
            <w14:solidFill>
              <w14:schemeClr w14:val="tx1"/>
            </w14:solidFill>
          </w14:textFill>
        </w:rPr>
        <w:t>政规</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2021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p>
    <w:p>
      <w:pPr>
        <w:pStyle w:val="45"/>
        <w:tabs>
          <w:tab w:val="left" w:pos="1560"/>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（20）《大庆市生态环境局关于进一步做好重点行业挥发性有机物综合治理工作的通知》（庆环</w:t>
      </w:r>
      <w:r>
        <w:rPr>
          <w:rFonts w:ascii="Times New Roman" w:hAnsi="Times New Roman" w:cs="Times New Roman"/>
          <w:color w:val="000000" w:themeColor="text1"/>
          <w:w w:val="99"/>
          <w:sz w:val="24"/>
          <w:szCs w:val="24"/>
          <w:highlight w:val="none"/>
          <w:lang w:val="en-US"/>
          <w14:textFill>
            <w14:solidFill>
              <w14:schemeClr w14:val="tx1"/>
            </w14:solidFill>
          </w14:textFill>
        </w:rPr>
        <w:t>规</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2020</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号，2020.1.7）。</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2.1.</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  技术依据</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）《建设项目环境影响评价技术导则 总纲》（</w:t>
      </w:r>
      <w:r>
        <w:rPr>
          <w:rFonts w:ascii="Times New Roman" w:hAnsi="Times New Roman" w:cs="Times New Roman"/>
          <w:color w:val="000000" w:themeColor="text1"/>
          <w:w w:val="99"/>
          <w:sz w:val="24"/>
          <w:szCs w:val="24"/>
          <w:highlight w:val="none"/>
          <w:lang w:val="en-US"/>
          <w14:textFill>
            <w14:solidFill>
              <w14:schemeClr w14:val="tx1"/>
            </w14:solidFill>
          </w14:textFill>
        </w:rPr>
        <w:t>HJ2.1-2016</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）《环境影响评价技术导则大气环境》（</w:t>
      </w:r>
      <w:r>
        <w:rPr>
          <w:rFonts w:ascii="Times New Roman" w:hAnsi="Times New Roman" w:cs="Times New Roman"/>
          <w:color w:val="000000" w:themeColor="text1"/>
          <w:w w:val="99"/>
          <w:sz w:val="24"/>
          <w:szCs w:val="24"/>
          <w:highlight w:val="none"/>
          <w:lang w:val="en-US"/>
          <w14:textFill>
            <w14:solidFill>
              <w14:schemeClr w14:val="tx1"/>
            </w14:solidFill>
          </w14:textFill>
        </w:rPr>
        <w:t>HJ2.2-2018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）《环境影响评价技术导则土壤环境（试行）》（</w:t>
      </w:r>
      <w:r>
        <w:rPr>
          <w:rFonts w:ascii="Times New Roman" w:hAnsi="Times New Roman" w:cs="Times New Roman"/>
          <w:color w:val="000000" w:themeColor="text1"/>
          <w:w w:val="99"/>
          <w:sz w:val="24"/>
          <w:szCs w:val="24"/>
          <w:highlight w:val="none"/>
          <w:lang w:val="en-US"/>
          <w14:textFill>
            <w14:solidFill>
              <w14:schemeClr w14:val="tx1"/>
            </w14:solidFill>
          </w14:textFill>
        </w:rPr>
        <w:t>HJ964-2018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）《环境影响评价技术导则声环境》（</w:t>
      </w:r>
      <w:r>
        <w:rPr>
          <w:rFonts w:ascii="Times New Roman" w:hAnsi="Times New Roman" w:cs="Times New Roman"/>
          <w:color w:val="000000" w:themeColor="text1"/>
          <w:w w:val="99"/>
          <w:sz w:val="24"/>
          <w:szCs w:val="24"/>
          <w:highlight w:val="none"/>
          <w:lang w:val="en-US"/>
          <w14:textFill>
            <w14:solidFill>
              <w14:schemeClr w14:val="tx1"/>
            </w14:solidFill>
          </w14:textFill>
        </w:rPr>
        <w:t>HJ 2.4-2009</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）《环境影响评价技术导则生态影响》（</w:t>
      </w:r>
      <w:r>
        <w:rPr>
          <w:rFonts w:ascii="Times New Roman" w:hAnsi="Times New Roman" w:cs="Times New Roman"/>
          <w:color w:val="000000" w:themeColor="text1"/>
          <w:w w:val="99"/>
          <w:sz w:val="24"/>
          <w:szCs w:val="24"/>
          <w:highlight w:val="none"/>
          <w:lang w:val="en-US"/>
          <w14:textFill>
            <w14:solidFill>
              <w14:schemeClr w14:val="tx1"/>
            </w14:solidFill>
          </w14:textFill>
        </w:rPr>
        <w:t>HJ19-2011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6</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）《环境影响评价技术导则 地下水环境》（</w:t>
      </w:r>
      <w:r>
        <w:rPr>
          <w:rFonts w:ascii="Times New Roman" w:hAnsi="Times New Roman" w:cs="Times New Roman"/>
          <w:color w:val="000000" w:themeColor="text1"/>
          <w:w w:val="99"/>
          <w:sz w:val="24"/>
          <w:szCs w:val="24"/>
          <w:highlight w:val="none"/>
          <w:lang w:val="en-US"/>
          <w14:textFill>
            <w14:solidFill>
              <w14:schemeClr w14:val="tx1"/>
            </w14:solidFill>
          </w14:textFill>
        </w:rPr>
        <w:t>HJ610-2016</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）《环境影响评价技术导则 地表水环境》（</w:t>
      </w:r>
      <w:r>
        <w:rPr>
          <w:rFonts w:ascii="Times New Roman" w:hAnsi="Times New Roman" w:cs="Times New Roman"/>
          <w:color w:val="000000" w:themeColor="text1"/>
          <w:w w:val="99"/>
          <w:sz w:val="24"/>
          <w:szCs w:val="24"/>
          <w:highlight w:val="none"/>
          <w:lang w:val="en-US"/>
          <w14:textFill>
            <w14:solidFill>
              <w14:schemeClr w14:val="tx1"/>
            </w14:solidFill>
          </w14:textFill>
        </w:rPr>
        <w:t>HJ2.3-2018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）《建设项目环境风险评价技术导则》（</w:t>
      </w:r>
      <w:r>
        <w:rPr>
          <w:rFonts w:ascii="Times New Roman" w:hAnsi="Times New Roman" w:cs="Times New Roman"/>
          <w:color w:val="000000" w:themeColor="text1"/>
          <w:w w:val="99"/>
          <w:sz w:val="24"/>
          <w:szCs w:val="24"/>
          <w:highlight w:val="none"/>
          <w:lang w:val="en-US"/>
          <w14:textFill>
            <w14:solidFill>
              <w14:schemeClr w14:val="tx1"/>
            </w14:solidFill>
          </w14:textFill>
        </w:rPr>
        <w:t>HJ169-2018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9</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）《环境影响评价技术导则 陆地石油天然气开发建设项目》（</w:t>
      </w:r>
      <w:r>
        <w:rPr>
          <w:rFonts w:ascii="Times New Roman" w:hAnsi="Times New Roman" w:cs="Times New Roman"/>
          <w:color w:val="000000" w:themeColor="text1"/>
          <w:w w:val="99"/>
          <w:sz w:val="24"/>
          <w:szCs w:val="24"/>
          <w:highlight w:val="none"/>
          <w:lang w:val="en-US"/>
          <w14:textFill>
            <w14:solidFill>
              <w14:schemeClr w14:val="tx1"/>
            </w14:solidFill>
          </w14:textFill>
        </w:rPr>
        <w:t>HJ/T349-2007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10</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）《建设项目危险废物环境影响评价指南》（环境保护部公告</w:t>
      </w:r>
      <w:r>
        <w:rPr>
          <w:rFonts w:ascii="Times New Roman" w:hAnsi="Times New Roman" w:cs="Times New Roman"/>
          <w:color w:val="000000" w:themeColor="text1"/>
          <w:w w:val="99"/>
          <w:sz w:val="24"/>
          <w:szCs w:val="24"/>
          <w:highlight w:val="none"/>
          <w:lang w:val="en-US"/>
          <w14:textFill>
            <w14:solidFill>
              <w14:schemeClr w14:val="tx1"/>
            </w14:solidFill>
          </w14:textFill>
        </w:rPr>
        <w:t>2017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年第</w:t>
      </w:r>
      <w:r>
        <w:rPr>
          <w:rFonts w:ascii="Times New Roman" w:hAnsi="Times New Roman" w:cs="Times New Roman"/>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号，</w:t>
      </w:r>
      <w:r>
        <w:rPr>
          <w:rFonts w:ascii="Times New Roman" w:hAnsi="Times New Roman" w:cs="Times New Roman"/>
          <w:color w:val="000000" w:themeColor="text1"/>
          <w:w w:val="99"/>
          <w:sz w:val="24"/>
          <w:szCs w:val="24"/>
          <w:highlight w:val="none"/>
          <w:lang w:val="en-US"/>
          <w14:textFill>
            <w14:solidFill>
              <w14:schemeClr w14:val="tx1"/>
            </w14:solidFill>
          </w14:textFill>
        </w:rPr>
        <w:t>2017.10.1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）《一般工业固体废物贮存和填埋污染控制标准》（GB18599-2020）；</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12</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）《一般固体废物分类与代码》（GB/T39198-2020）；</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（13）《危险废物贮存污染控制标准》（</w:t>
      </w:r>
      <w:r>
        <w:rPr>
          <w:rFonts w:ascii="Times New Roman" w:hAnsi="Times New Roman" w:cs="Times New Roman"/>
          <w:color w:val="000000" w:themeColor="text1"/>
          <w:w w:val="99"/>
          <w:sz w:val="24"/>
          <w:szCs w:val="24"/>
          <w:highlight w:val="none"/>
          <w:lang w:val="en-US"/>
          <w14:textFill>
            <w14:solidFill>
              <w14:schemeClr w14:val="tx1"/>
            </w14:solidFill>
          </w14:textFill>
        </w:rPr>
        <w:t>GB18597-2001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2013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修改；</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）《排污许可管理条例》（中华人民共和国国务院令第736号）；</w:t>
      </w:r>
    </w:p>
    <w:p>
      <w:pPr>
        <w:pStyle w:val="45"/>
        <w:keepNext w:val="0"/>
        <w:keepLines w:val="0"/>
        <w:pageBreakBefore w:val="0"/>
        <w:widowControl w:val="0"/>
        <w:tabs>
          <w:tab w:val="left" w:pos="1560"/>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）《排污单位环境管理台账及排污许可证执行报告技术规范 总则（试行）》。</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2.1.</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 其它相关依据及支持性文件</w:t>
      </w:r>
    </w:p>
    <w:p>
      <w:pPr>
        <w:pStyle w:val="45"/>
        <w:tabs>
          <w:tab w:val="left" w:pos="1563"/>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）环境质量现状监测报告；</w:t>
      </w:r>
    </w:p>
    <w:p>
      <w:pPr>
        <w:tabs>
          <w:tab w:val="left" w:pos="1563"/>
        </w:tabs>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采油七厂葡北油田三断块葡72-70井区深部调驱产能建设地面工程</w:t>
      </w:r>
      <w:r>
        <w:rPr>
          <w:rFonts w:ascii="Times New Roman" w:hAnsi="Times New Roman" w:cs="Times New Roman"/>
          <w:color w:val="000000" w:themeColor="text1"/>
          <w:w w:val="99"/>
          <w:sz w:val="24"/>
          <w:szCs w:val="24"/>
          <w:highlight w:val="none"/>
          <w14:textFill>
            <w14:solidFill>
              <w14:schemeClr w14:val="tx1"/>
            </w14:solidFill>
          </w14:textFill>
        </w:rPr>
        <w:t>方案》（</w:t>
      </w:r>
      <w:r>
        <w:rPr>
          <w:rFonts w:ascii="Times New Roman" w:hAnsi="Times New Roman" w:cs="Times New Roman"/>
          <w:color w:val="000000" w:themeColor="text1"/>
          <w:w w:val="99"/>
          <w:sz w:val="24"/>
          <w:szCs w:val="24"/>
          <w:highlight w:val="none"/>
          <w:lang w:val="en-US"/>
          <w14:textFill>
            <w14:solidFill>
              <w14:schemeClr w14:val="tx1"/>
            </w14:solidFill>
          </w14:textFill>
        </w:rPr>
        <w:t>大庆油田有限责任公司第七采油厂</w:t>
      </w: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202</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w:t>
      </w:r>
      <w:r>
        <w:rPr>
          <w:rFonts w:ascii="Times New Roman" w:hAnsi="Times New Roman" w:cs="Times New Roman"/>
          <w:color w:val="000000" w:themeColor="text1"/>
          <w:w w:val="99"/>
          <w:sz w:val="24"/>
          <w:szCs w:val="24"/>
          <w:highlight w:val="none"/>
          <w:lang w:val="en-US"/>
          <w14:textFill>
            <w14:solidFill>
              <w14:schemeClr w14:val="tx1"/>
            </w14:solidFill>
          </w14:textFill>
        </w:rPr>
        <w:t>年</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7月</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45"/>
        <w:tabs>
          <w:tab w:val="left" w:pos="1563"/>
        </w:tabs>
        <w:spacing w:line="440" w:lineRule="exact"/>
        <w:ind w:left="0" w:firstLine="474" w:firstLineChars="200"/>
        <w:jc w:val="both"/>
        <w:rPr>
          <w:rFonts w:ascii="Times New Roman" w:hAnsi="Times New Roman" w:cs="Times New Roman"/>
          <w:color w:val="000000" w:themeColor="text1"/>
          <w:w w:val="99"/>
          <w:sz w:val="28"/>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）建设单位提供的其他相关资料。</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2" w:name="_bookmark9"/>
      <w:bookmarkEnd w:id="22"/>
      <w:bookmarkStart w:id="23" w:name="_Toc10756"/>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2.2 评价目的及原则</w:t>
      </w:r>
      <w:bookmarkEnd w:id="23"/>
    </w:p>
    <w:p>
      <w:pPr>
        <w:pStyle w:val="7"/>
        <w:keepNext/>
        <w:keepLines/>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2.2.1评价目的</w:t>
      </w:r>
    </w:p>
    <w:p>
      <w:pPr>
        <w:pStyle w:val="45"/>
        <w:pageBreakBefore w:val="0"/>
        <w:widowControl w:val="0"/>
        <w:tabs>
          <w:tab w:val="left" w:pos="1563"/>
        </w:tabs>
        <w:kinsoku/>
        <w:wordWrap/>
        <w:overflowPunct/>
        <w:topLinePunct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）对该建设项目的工程内容和工艺路线进行分析，明确污染源和可能产生的污染因素，明确污染物的排放源强；</w:t>
      </w:r>
    </w:p>
    <w:p>
      <w:pPr>
        <w:pStyle w:val="45"/>
        <w:pageBreakBefore w:val="0"/>
        <w:widowControl w:val="0"/>
        <w:tabs>
          <w:tab w:val="left" w:pos="1563"/>
        </w:tabs>
        <w:kinsoku/>
        <w:wordWrap/>
        <w:overflowPunct/>
        <w:topLinePunct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）对建设项目所在地的自然环境和环境质量进行现状调查，得到当地的环境质量现状的结论及存在的主要环境制约因素；</w:t>
      </w:r>
    </w:p>
    <w:p>
      <w:pPr>
        <w:pStyle w:val="45"/>
        <w:pageBreakBefore w:val="0"/>
        <w:widowControl w:val="0"/>
        <w:tabs>
          <w:tab w:val="left" w:pos="1563"/>
        </w:tabs>
        <w:kinsoku/>
        <w:wordWrap/>
        <w:overflowPunct/>
        <w:topLinePunct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）分析、预测、评价油田开发对评价区域内大气环境、地下水环境、声环境、土壤环境、生态环境和环境风险可能造成的影响程度和范围；</w:t>
      </w:r>
    </w:p>
    <w:p>
      <w:pPr>
        <w:pStyle w:val="45"/>
        <w:pageBreakBefore w:val="0"/>
        <w:widowControl w:val="0"/>
        <w:tabs>
          <w:tab w:val="left" w:pos="1563"/>
        </w:tabs>
        <w:kinsoku/>
        <w:wordWrap/>
        <w:overflowPunct/>
        <w:topLinePunct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）对油田开发过程中拟采取的环保措施进行论证，提出污染防治措施及生态保护对策与建议；</w:t>
      </w:r>
    </w:p>
    <w:p>
      <w:pPr>
        <w:pStyle w:val="45"/>
        <w:pageBreakBefore w:val="0"/>
        <w:widowControl w:val="0"/>
        <w:tabs>
          <w:tab w:val="left" w:pos="1563"/>
        </w:tabs>
        <w:kinsoku/>
        <w:wordWrap/>
        <w:overflowPunct/>
        <w:topLinePunct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8"/>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ascii="Times New Roman" w:hAnsi="Times New Roman" w:cs="Times New Roman"/>
          <w:color w:val="000000" w:themeColor="text1"/>
          <w:w w:val="99"/>
          <w:sz w:val="24"/>
          <w:szCs w:val="24"/>
          <w:highlight w:val="none"/>
          <w14:textFill>
            <w14:solidFill>
              <w14:schemeClr w14:val="tx1"/>
            </w14:solidFill>
          </w14:textFill>
        </w:rPr>
        <w:t>）从环境保护和环境风险角度论证油田开发建设工程的可行性，并从设计、生产、管理和环境污染防治等方面提出环境保护和减缓措施，最大限度降低油田开发对环境的不利影响，确保经济、社会和环境的可持续发展。</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2.2.2评价原则</w:t>
      </w:r>
    </w:p>
    <w:p>
      <w:pPr>
        <w:pStyle w:val="45"/>
        <w:tabs>
          <w:tab w:val="left" w:pos="1563"/>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）依法评价</w:t>
      </w:r>
    </w:p>
    <w:p>
      <w:pPr>
        <w:pStyle w:val="45"/>
        <w:tabs>
          <w:tab w:val="left" w:pos="1563"/>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贯彻执行我国环境保护相关法律法规、标准、政策和规划等，优化项目建设，服务环境管理。</w:t>
      </w:r>
    </w:p>
    <w:p>
      <w:pPr>
        <w:pStyle w:val="45"/>
        <w:tabs>
          <w:tab w:val="left" w:pos="1563"/>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）科学评价</w:t>
      </w:r>
    </w:p>
    <w:p>
      <w:pPr>
        <w:pStyle w:val="45"/>
        <w:tabs>
          <w:tab w:val="left" w:pos="1563"/>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规范环境影响评价方法，科学分析项目建设对环境质量的影响。</w:t>
      </w:r>
    </w:p>
    <w:p>
      <w:pPr>
        <w:pStyle w:val="45"/>
        <w:tabs>
          <w:tab w:val="left" w:pos="1563"/>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）突出重点</w:t>
      </w:r>
    </w:p>
    <w:p>
      <w:pPr>
        <w:pStyle w:val="45"/>
        <w:tabs>
          <w:tab w:val="left" w:pos="1563"/>
        </w:tabs>
        <w:spacing w:line="440" w:lineRule="exact"/>
        <w:ind w:left="0" w:firstLine="474" w:firstLineChars="200"/>
        <w:jc w:val="both"/>
        <w:rPr>
          <w:rFonts w:ascii="Times New Roman" w:hAnsi="Times New Roman" w:cs="Times New Roman"/>
          <w:color w:val="000000" w:themeColor="text1"/>
          <w:w w:val="99"/>
          <w:sz w:val="28"/>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根据建设项目的工程内容及其特点，明确与环境要素间的作用效应关系，根据规划环境影响评价结论和审查意见，充分利用符合时效的数据资料及成果，对建设项目主要环境影响予以重点分析和评价。</w:t>
      </w:r>
      <w:bookmarkStart w:id="24" w:name="_bookmark10"/>
      <w:bookmarkEnd w:id="24"/>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5" w:name="_Toc32577"/>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2.3 环境影响识别与评价因子筛选</w:t>
      </w:r>
      <w:bookmarkEnd w:id="25"/>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2.3.1 评价时段</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施工期和运行期，闭井期单独履行环评审批手续。</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2.3.2 环境影响识别</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本工程建设对环境的影响，根据其特征可分为施工期影响和生产运营期影响两部分。</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施工期的环境影响主要为地面工程施工过程中施工活动对周围环境产生的不利影响。一种影响是对土壤扰动、自然植被等的破坏使土壤裸露在外引起土壤沙化，这种影响是比较持久的，在施工完成后的一段时间内仍将存在；另一种是在施工过程中产生的</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动土扬尘和运输车辆产生的扬尘</w:t>
      </w:r>
      <w:r>
        <w:rPr>
          <w:rFonts w:hint="eastAsia" w:ascii="Times New Roman" w:hAnsi="Times New Roman" w:cs="Times New Roman"/>
          <w:color w:val="000000" w:themeColor="text1"/>
          <w:w w:val="99"/>
          <w:sz w:val="24"/>
          <w:szCs w:val="24"/>
          <w:highlight w:val="none"/>
          <w14:textFill>
            <w14:solidFill>
              <w14:schemeClr w14:val="tx1"/>
            </w14:solidFill>
          </w14:textFill>
        </w:rPr>
        <w:t>，这种影响是短暂的，</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通过采取洒水抑尘、运输车辆减速慢行等措施，</w:t>
      </w:r>
      <w:r>
        <w:rPr>
          <w:rFonts w:hint="eastAsia" w:ascii="Times New Roman" w:hAnsi="Times New Roman" w:cs="Times New Roman"/>
          <w:color w:val="000000" w:themeColor="text1"/>
          <w:w w:val="99"/>
          <w:sz w:val="24"/>
          <w:szCs w:val="24"/>
          <w:highlight w:val="none"/>
          <w14:textFill>
            <w14:solidFill>
              <w14:schemeClr w14:val="tx1"/>
            </w14:solidFill>
          </w14:textFill>
        </w:rPr>
        <w:t>待施工结束后将随之消失</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运行期的环境影响主要为井场、依托的转油站</w:t>
      </w:r>
      <w:r>
        <w:rPr>
          <w:rFonts w:ascii="Times New Roman" w:hAnsi="Times New Roman" w:cs="Times New Roman"/>
          <w:color w:val="000000" w:themeColor="text1"/>
          <w:w w:val="99"/>
          <w:sz w:val="24"/>
          <w:szCs w:val="24"/>
          <w:highlight w:val="none"/>
          <w14:textFill>
            <w14:solidFill>
              <w14:schemeClr w14:val="tx1"/>
            </w14:solidFill>
          </w14:textFill>
        </w:rPr>
        <w:t>等场站</w:t>
      </w:r>
      <w:r>
        <w:rPr>
          <w:rFonts w:hint="eastAsia" w:ascii="Times New Roman" w:hAnsi="Times New Roman" w:cs="Times New Roman"/>
          <w:color w:val="000000" w:themeColor="text1"/>
          <w:w w:val="99"/>
          <w:sz w:val="24"/>
          <w:szCs w:val="24"/>
          <w:highlight w:val="none"/>
          <w14:textFill>
            <w14:solidFill>
              <w14:schemeClr w14:val="tx1"/>
            </w14:solidFill>
          </w14:textFill>
        </w:rPr>
        <w:t>加热装置产生的燃烧废气、无组织挥发的非甲烷总烃等污染物排放对环境造成的不利影响，这种影响是长期的。运行期事故状态的环境影响包括输油管线、井场、依托场站发生原油泄漏，发生火灾、爆炸等事故对周围环境和人员的影响，同时还涉及社会经济等问题。</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根据工程实际情况，结合工程区域的自然环境特征，采用矩阵法对工程建设期间和运营期产生的影响进行识别，具体见表2.3-1。</w:t>
      </w:r>
    </w:p>
    <w:p>
      <w:pPr>
        <w:pStyle w:val="14"/>
        <w:spacing w:line="500" w:lineRule="exact"/>
        <w:ind w:firstLine="482" w:firstLineChars="200"/>
        <w:jc w:val="both"/>
        <w:rPr>
          <w:rFonts w:ascii="Times New Roman" w:hAnsi="Times New Roman" w:cs="Times New Roman"/>
          <w:b/>
          <w:bCs/>
          <w:color w:val="000000" w:themeColor="text1"/>
          <w:w w:val="99"/>
          <w:sz w:val="24"/>
          <w:szCs w:val="24"/>
          <w:highlight w:val="none"/>
          <w14:textFill>
            <w14:solidFill>
              <w14:schemeClr w14:val="tx1"/>
            </w14:solidFill>
          </w14:textFill>
        </w:rPr>
      </w:pPr>
      <w:r>
        <w:rPr>
          <w:rFonts w:ascii="Times New Roman" w:hAnsi="Times New Roman" w:cs="Times New Roman"/>
          <w:b/>
          <w:bCs/>
          <w:color w:val="000000" w:themeColor="text1"/>
          <w:sz w:val="24"/>
          <w:szCs w:val="24"/>
          <w:highlight w:val="none"/>
          <w:lang w:val="en-US" w:bidi="ar-SA"/>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14605</wp:posOffset>
                </wp:positionH>
                <wp:positionV relativeFrom="paragraph">
                  <wp:posOffset>313055</wp:posOffset>
                </wp:positionV>
                <wp:extent cx="703580" cy="1185545"/>
                <wp:effectExtent l="0" t="0" r="20955" b="33655"/>
                <wp:wrapNone/>
                <wp:docPr id="451" name="直接连接符 451"/>
                <wp:cNvGraphicFramePr/>
                <a:graphic xmlns:a="http://schemas.openxmlformats.org/drawingml/2006/main">
                  <a:graphicData uri="http://schemas.microsoft.com/office/word/2010/wordprocessingShape">
                    <wps:wsp>
                      <wps:cNvCnPr/>
                      <wps:spPr>
                        <a:xfrm>
                          <a:off x="0" y="0"/>
                          <a:ext cx="703385" cy="1185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24.65pt;height:93.35pt;width:55.4pt;z-index:251669504;mso-width-relative:page;mso-height-relative:page;" filled="f" stroked="t" coordsize="21600,21600" o:gfxdata="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PU/GX1gAAAAgBAAAPAAAA&#10;AAAAAAEAIAAAACIAAABkcnMvZG93bnJldi54bWxQSwECFAAUAAAACACHTuJAG0zsud4BAACjAwAA&#10;DgAAAAAAAAABACAAAAAlAQAAZHJzL2Uyb0RvYy54bWxQSwUGAAAAAAYABgBZAQAAdQUAAAAA&#10;">
                <v:fill on="f" focussize="0,0"/>
                <v:stroke color="#000000 [3213]" joinstyle="round"/>
                <v:imagedata o:title=""/>
                <o:lock v:ext="edit" aspectratio="f"/>
              </v:line>
            </w:pict>
          </mc:Fallback>
        </mc:AlternateContent>
      </w:r>
      <w:r>
        <w:rPr>
          <w:rFonts w:ascii="Times New Roman" w:hAnsi="Times New Roman" w:cs="Times New Roman"/>
          <w:b/>
          <w:bCs/>
          <w:color w:val="000000" w:themeColor="text1"/>
          <w:w w:val="99"/>
          <w:sz w:val="24"/>
          <w:szCs w:val="24"/>
          <w:highlight w:val="none"/>
          <w14:textFill>
            <w14:solidFill>
              <w14:schemeClr w14:val="tx1"/>
            </w14:solidFill>
          </w14:textFill>
        </w:rPr>
        <w:t>表2.3-1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环境影响因素识别</w:t>
      </w:r>
    </w:p>
    <w:tbl>
      <w:tblPr>
        <w:tblStyle w:val="32"/>
        <w:tblW w:w="90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9"/>
        <w:gridCol w:w="665"/>
        <w:gridCol w:w="753"/>
        <w:gridCol w:w="709"/>
        <w:gridCol w:w="708"/>
        <w:gridCol w:w="658"/>
        <w:gridCol w:w="902"/>
        <w:gridCol w:w="567"/>
        <w:gridCol w:w="1134"/>
        <w:gridCol w:w="708"/>
        <w:gridCol w:w="1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29" w:type="dxa"/>
            <w:vMerge w:val="restart"/>
            <w:tcBorders>
              <w:tl2br w:val="nil"/>
              <w:tr2bl w:val="nil"/>
            </w:tcBorders>
            <w:vAlign w:val="center"/>
          </w:tcPr>
          <w:p>
            <w:pPr>
              <w:pStyle w:val="46"/>
              <w:spacing w:line="360" w:lineRule="exact"/>
              <w:ind w:firstLine="207" w:firstLineChars="100"/>
              <w:jc w:val="both"/>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影响因素</w:t>
            </w:r>
          </w:p>
          <w:p>
            <w:pPr>
              <w:pStyle w:val="46"/>
              <w:spacing w:line="360" w:lineRule="exact"/>
              <w:jc w:val="both"/>
              <w:rPr>
                <w:rFonts w:eastAsia="宋体"/>
                <w:color w:val="000000" w:themeColor="text1"/>
                <w:w w:val="99"/>
                <w:kern w:val="2"/>
                <w:sz w:val="21"/>
                <w:szCs w:val="21"/>
                <w:highlight w:val="none"/>
                <w:lang w:val="en-US" w:bidi="ar-SA"/>
                <w14:textFill>
                  <w14:solidFill>
                    <w14:schemeClr w14:val="tx1"/>
                  </w14:solidFill>
                </w14:textFill>
              </w:rPr>
            </w:pPr>
          </w:p>
          <w:p>
            <w:pPr>
              <w:pStyle w:val="46"/>
              <w:spacing w:line="360" w:lineRule="exact"/>
              <w:jc w:val="both"/>
              <w:rPr>
                <w:rFonts w:eastAsia="宋体"/>
                <w:color w:val="000000" w:themeColor="text1"/>
                <w:w w:val="99"/>
                <w:kern w:val="2"/>
                <w:sz w:val="21"/>
                <w:szCs w:val="21"/>
                <w:highlight w:val="none"/>
                <w:lang w:val="en-US" w:bidi="ar-SA"/>
                <w14:textFill>
                  <w14:solidFill>
                    <w14:schemeClr w14:val="tx1"/>
                  </w14:solidFill>
                </w14:textFill>
              </w:rPr>
            </w:pPr>
          </w:p>
          <w:p>
            <w:pPr>
              <w:pStyle w:val="46"/>
              <w:spacing w:line="360" w:lineRule="exact"/>
              <w:jc w:val="both"/>
              <w:rPr>
                <w:rFonts w:eastAsia="宋体"/>
                <w:color w:val="000000" w:themeColor="text1"/>
                <w:w w:val="99"/>
                <w:kern w:val="2"/>
                <w:sz w:val="21"/>
                <w:szCs w:val="21"/>
                <w:highlight w:val="none"/>
                <w:lang w:val="en-US" w:bidi="ar-SA"/>
                <w14:textFill>
                  <w14:solidFill>
                    <w14:schemeClr w14:val="tx1"/>
                  </w14:solidFill>
                </w14:textFill>
              </w:rPr>
            </w:pPr>
          </w:p>
          <w:p>
            <w:pPr>
              <w:pStyle w:val="46"/>
              <w:spacing w:line="360" w:lineRule="exact"/>
              <w:jc w:val="both"/>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环境</w:t>
            </w:r>
            <w:r>
              <w:rPr>
                <w:rFonts w:hint="eastAsia" w:eastAsia="宋体"/>
                <w:color w:val="000000" w:themeColor="text1"/>
                <w:w w:val="99"/>
                <w:kern w:val="2"/>
                <w:sz w:val="21"/>
                <w:szCs w:val="21"/>
                <w:highlight w:val="none"/>
                <w:lang w:val="en-US" w:bidi="ar-SA"/>
                <w14:textFill>
                  <w14:solidFill>
                    <w14:schemeClr w14:val="tx1"/>
                  </w14:solidFill>
                </w14:textFill>
              </w:rPr>
              <w:t>因素</w:t>
            </w:r>
          </w:p>
        </w:tc>
        <w:tc>
          <w:tcPr>
            <w:tcW w:w="3493" w:type="dxa"/>
            <w:gridSpan w:val="5"/>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ascii="微软雅黑" w:hAnsi="微软雅黑" w:eastAsia="微软雅黑" w:cs="微软雅黑"/>
                <w:color w:val="000000" w:themeColor="text1"/>
                <w:w w:val="99"/>
                <w:kern w:val="2"/>
                <w:sz w:val="21"/>
                <w:szCs w:val="21"/>
                <w:highlight w:val="none"/>
                <w:lang w:val="en-US" w:bidi="ar-SA"/>
                <w14:textFill>
                  <w14:solidFill>
                    <w14:schemeClr w14:val="tx1"/>
                  </w14:solidFill>
                </w14:textFill>
              </w:rPr>
              <w:t>施</w:t>
            </w:r>
            <w:r>
              <w:rPr>
                <w:rFonts w:eastAsia="Calibri"/>
                <w:color w:val="000000" w:themeColor="text1"/>
                <w:w w:val="99"/>
                <w:kern w:val="2"/>
                <w:sz w:val="21"/>
                <w:szCs w:val="21"/>
                <w:highlight w:val="none"/>
                <w:lang w:val="en-US" w:bidi="ar-SA"/>
                <w14:textFill>
                  <w14:solidFill>
                    <w14:schemeClr w14:val="tx1"/>
                  </w14:solidFill>
                </w14:textFill>
              </w:rPr>
              <w:t>工期</w:t>
            </w:r>
          </w:p>
        </w:tc>
        <w:tc>
          <w:tcPr>
            <w:tcW w:w="4462" w:type="dxa"/>
            <w:gridSpan w:val="5"/>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运行期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129"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65" w:type="dxa"/>
            <w:tcBorders>
              <w:bottom w:val="single" w:color="auto" w:sz="4" w:space="0"/>
              <w:right w:val="single" w:color="auto" w:sz="4"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废气</w:t>
            </w:r>
          </w:p>
        </w:tc>
        <w:tc>
          <w:tcPr>
            <w:tcW w:w="753" w:type="dxa"/>
            <w:tcBorders>
              <w:bottom w:val="single" w:color="auto" w:sz="4" w:space="0"/>
              <w:right w:val="single" w:color="auto" w:sz="4"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废水</w:t>
            </w:r>
          </w:p>
        </w:tc>
        <w:tc>
          <w:tcPr>
            <w:tcW w:w="709" w:type="dxa"/>
            <w:tcBorders>
              <w:left w:val="single" w:color="auto" w:sz="4" w:space="0"/>
              <w:bottom w:val="single" w:color="auto" w:sz="4"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固废</w:t>
            </w:r>
          </w:p>
        </w:tc>
        <w:tc>
          <w:tcPr>
            <w:tcW w:w="708" w:type="dxa"/>
            <w:tcBorders>
              <w:bottom w:val="single" w:color="auto" w:sz="4" w:space="0"/>
              <w:right w:val="single" w:color="auto" w:sz="4"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噪声</w:t>
            </w:r>
          </w:p>
        </w:tc>
        <w:tc>
          <w:tcPr>
            <w:tcW w:w="658" w:type="dxa"/>
            <w:tcBorders>
              <w:left w:val="single" w:color="auto" w:sz="4" w:space="0"/>
              <w:bottom w:val="single" w:color="auto" w:sz="4"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风险</w:t>
            </w:r>
          </w:p>
        </w:tc>
        <w:tc>
          <w:tcPr>
            <w:tcW w:w="902" w:type="dxa"/>
            <w:tcBorders>
              <w:bottom w:val="single" w:color="auto" w:sz="4" w:space="0"/>
              <w:right w:val="single" w:color="auto" w:sz="4"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废气</w:t>
            </w:r>
          </w:p>
        </w:tc>
        <w:tc>
          <w:tcPr>
            <w:tcW w:w="567" w:type="dxa"/>
            <w:tcBorders>
              <w:left w:val="single" w:color="auto" w:sz="4" w:space="0"/>
              <w:bottom w:val="single" w:color="auto" w:sz="4"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废水</w:t>
            </w:r>
          </w:p>
        </w:tc>
        <w:tc>
          <w:tcPr>
            <w:tcW w:w="1134" w:type="dxa"/>
            <w:tcBorders>
              <w:bottom w:val="single" w:color="auto" w:sz="4" w:space="0"/>
              <w:right w:val="single" w:color="auto" w:sz="4"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固体废物</w:t>
            </w:r>
          </w:p>
        </w:tc>
        <w:tc>
          <w:tcPr>
            <w:tcW w:w="708" w:type="dxa"/>
            <w:tcBorders>
              <w:left w:val="single" w:color="auto" w:sz="4" w:space="0"/>
              <w:bottom w:val="single" w:color="auto" w:sz="4"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噪声</w:t>
            </w:r>
          </w:p>
        </w:tc>
        <w:tc>
          <w:tcPr>
            <w:tcW w:w="1151" w:type="dxa"/>
            <w:tcBorders>
              <w:bottom w:val="single" w:color="auto" w:sz="4"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1129"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65" w:type="dxa"/>
            <w:tcBorders>
              <w:top w:val="single" w:color="auto" w:sz="4" w:space="0"/>
              <w:right w:val="single" w:color="auto" w:sz="4" w:space="0"/>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扬尘</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车辆废气</w:t>
            </w:r>
          </w:p>
        </w:tc>
        <w:tc>
          <w:tcPr>
            <w:tcW w:w="753" w:type="dxa"/>
            <w:tcBorders>
              <w:top w:val="single" w:color="auto" w:sz="4" w:space="0"/>
              <w:right w:val="single" w:color="auto" w:sz="4" w:space="0"/>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生活污水</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管线试压水</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废压裂液</w:t>
            </w:r>
          </w:p>
        </w:tc>
        <w:tc>
          <w:tcPr>
            <w:tcW w:w="709" w:type="dxa"/>
            <w:tcBorders>
              <w:top w:val="single" w:color="auto" w:sz="4" w:space="0"/>
              <w:left w:val="single" w:color="auto" w:sz="4" w:space="0"/>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生活垃圾</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废包装袋和废防渗布、建筑垃圾</w:t>
            </w:r>
          </w:p>
        </w:tc>
        <w:tc>
          <w:tcPr>
            <w:tcW w:w="708" w:type="dxa"/>
            <w:tcBorders>
              <w:top w:val="single" w:color="auto" w:sz="4" w:space="0"/>
              <w:right w:val="single" w:color="auto" w:sz="4" w:space="0"/>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施工机械、</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运输车辆</w:t>
            </w:r>
          </w:p>
        </w:tc>
        <w:tc>
          <w:tcPr>
            <w:tcW w:w="658" w:type="dxa"/>
            <w:tcBorders>
              <w:top w:val="single" w:color="auto" w:sz="4" w:space="0"/>
              <w:left w:val="single" w:color="auto" w:sz="4" w:space="0"/>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井喷</w:t>
            </w:r>
          </w:p>
        </w:tc>
        <w:tc>
          <w:tcPr>
            <w:tcW w:w="902" w:type="dxa"/>
            <w:tcBorders>
              <w:top w:val="single" w:color="auto" w:sz="4" w:space="0"/>
              <w:right w:val="single" w:color="auto" w:sz="4" w:space="0"/>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加热炉等</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烟气</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无组织挥发烃类</w:t>
            </w:r>
          </w:p>
        </w:tc>
        <w:tc>
          <w:tcPr>
            <w:tcW w:w="567" w:type="dxa"/>
            <w:tcBorders>
              <w:top w:val="single" w:color="auto" w:sz="4" w:space="0"/>
              <w:left w:val="single" w:color="auto" w:sz="4" w:space="0"/>
              <w:tl2br w:val="nil"/>
              <w:tr2bl w:val="nil"/>
            </w:tcBorders>
            <w:vAlign w:val="center"/>
          </w:tcPr>
          <w:p>
            <w:pPr>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采出液废水</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、作业废水</w:t>
            </w:r>
          </w:p>
        </w:tc>
        <w:tc>
          <w:tcPr>
            <w:tcW w:w="1134" w:type="dxa"/>
            <w:tcBorders>
              <w:top w:val="single" w:color="auto" w:sz="4" w:space="0"/>
              <w:right w:val="single" w:color="auto" w:sz="4" w:space="0"/>
              <w:tl2br w:val="nil"/>
              <w:tr2bl w:val="nil"/>
            </w:tcBorders>
            <w:vAlign w:val="center"/>
          </w:tcPr>
          <w:p>
            <w:pPr>
              <w:adjustRightInd w:val="0"/>
              <w:snapToGrid w:val="0"/>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油气集输</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处理</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过程</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产生的油泥</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井场落地油、含油防渗布</w:t>
            </w:r>
          </w:p>
        </w:tc>
        <w:tc>
          <w:tcPr>
            <w:tcW w:w="708" w:type="dxa"/>
            <w:tcBorders>
              <w:top w:val="single" w:color="auto" w:sz="4" w:space="0"/>
              <w:left w:val="single" w:color="auto" w:sz="4" w:space="0"/>
              <w:tl2br w:val="nil"/>
              <w:tr2bl w:val="nil"/>
            </w:tcBorders>
            <w:vAlign w:val="center"/>
          </w:tcPr>
          <w:p>
            <w:pPr>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井场抽油机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噪声</w:t>
            </w:r>
          </w:p>
        </w:tc>
        <w:tc>
          <w:tcPr>
            <w:tcW w:w="1151" w:type="dxa"/>
            <w:tcBorders>
              <w:top w:val="single" w:color="auto" w:sz="4" w:space="0"/>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管线泄漏</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高架罐</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泄露、</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火灾</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12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空气</w:t>
            </w:r>
          </w:p>
        </w:tc>
        <w:tc>
          <w:tcPr>
            <w:tcW w:w="665"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753"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9"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8"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65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902"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-L</w:t>
            </w:r>
          </w:p>
        </w:tc>
        <w:tc>
          <w:tcPr>
            <w:tcW w:w="567"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34"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70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2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声环境</w:t>
            </w:r>
          </w:p>
        </w:tc>
        <w:tc>
          <w:tcPr>
            <w:tcW w:w="665"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53"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9"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8"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65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902"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567"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34"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11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2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地表水</w:t>
            </w:r>
          </w:p>
        </w:tc>
        <w:tc>
          <w:tcPr>
            <w:tcW w:w="665"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53"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709"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8"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65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902"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567"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34"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12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地下水</w:t>
            </w:r>
          </w:p>
        </w:tc>
        <w:tc>
          <w:tcPr>
            <w:tcW w:w="665"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53"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709"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8"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65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902"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567"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-L</w:t>
            </w:r>
          </w:p>
        </w:tc>
        <w:tc>
          <w:tcPr>
            <w:tcW w:w="1134"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70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2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土壤</w:t>
            </w:r>
          </w:p>
        </w:tc>
        <w:tc>
          <w:tcPr>
            <w:tcW w:w="665"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53"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9"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708"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65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902"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567"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34"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70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12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植被</w:t>
            </w:r>
          </w:p>
        </w:tc>
        <w:tc>
          <w:tcPr>
            <w:tcW w:w="665"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53"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9"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708"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65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902"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-L</w:t>
            </w:r>
          </w:p>
        </w:tc>
        <w:tc>
          <w:tcPr>
            <w:tcW w:w="567"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34"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w:t>
            </w:r>
          </w:p>
        </w:tc>
        <w:tc>
          <w:tcPr>
            <w:tcW w:w="70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12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动物</w:t>
            </w:r>
          </w:p>
        </w:tc>
        <w:tc>
          <w:tcPr>
            <w:tcW w:w="665"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53"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9"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8"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65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902"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567"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34"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-SA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12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其他</w:t>
            </w:r>
          </w:p>
        </w:tc>
        <w:tc>
          <w:tcPr>
            <w:tcW w:w="665"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53"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9"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8"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65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902"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567"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34" w:type="dxa"/>
            <w:tcBorders>
              <w:righ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708" w:type="dxa"/>
            <w:tcBorders>
              <w:left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r>
    </w:tbl>
    <w:p>
      <w:pPr>
        <w:tabs>
          <w:tab w:val="left" w:pos="2259"/>
          <w:tab w:val="left" w:pos="3745"/>
          <w:tab w:val="left" w:pos="5238"/>
          <w:tab w:val="left" w:pos="6719"/>
        </w:tabs>
        <w:jc w:val="both"/>
        <w:rPr>
          <w:rFonts w:ascii="Times New Roman" w:hAnsi="Times New Roman" w:cs="Times New Roman"/>
          <w:color w:val="000000" w:themeColor="text1"/>
          <w:w w:val="99"/>
          <w:sz w:val="21"/>
          <w:szCs w:val="18"/>
          <w:highlight w:val="none"/>
          <w14:textFill>
            <w14:solidFill>
              <w14:schemeClr w14:val="tx1"/>
            </w14:solidFill>
          </w14:textFill>
        </w:rPr>
      </w:pPr>
      <w:r>
        <w:rPr>
          <w:rFonts w:ascii="Times New Roman" w:hAnsi="Times New Roman" w:cs="Times New Roman"/>
          <w:color w:val="000000" w:themeColor="text1"/>
          <w:w w:val="99"/>
          <w:sz w:val="21"/>
          <w:szCs w:val="18"/>
          <w:highlight w:val="none"/>
          <w14:textFill>
            <w14:solidFill>
              <w14:schemeClr w14:val="tx1"/>
            </w14:solidFill>
          </w14:textFill>
        </w:rPr>
        <w:t>注： -：不利影响</w:t>
      </w:r>
      <w:r>
        <w:rPr>
          <w:rFonts w:ascii="Times New Roman" w:hAnsi="Times New Roman" w:cs="Times New Roman"/>
          <w:color w:val="000000" w:themeColor="text1"/>
          <w:w w:val="99"/>
          <w:sz w:val="21"/>
          <w:szCs w:val="18"/>
          <w:highlight w:val="none"/>
          <w14:textFill>
            <w14:solidFill>
              <w14:schemeClr w14:val="tx1"/>
            </w14:solidFill>
          </w14:textFill>
        </w:rPr>
        <w:tab/>
      </w:r>
      <w:r>
        <w:rPr>
          <w:rFonts w:ascii="Times New Roman" w:hAnsi="Times New Roman" w:cs="Times New Roman"/>
          <w:color w:val="000000" w:themeColor="text1"/>
          <w:w w:val="99"/>
          <w:sz w:val="21"/>
          <w:szCs w:val="18"/>
          <w:highlight w:val="none"/>
          <w14:textFill>
            <w14:solidFill>
              <w14:schemeClr w14:val="tx1"/>
            </w14:solidFill>
          </w14:textFill>
        </w:rPr>
        <w:t>+：有利影响</w:t>
      </w:r>
      <w:r>
        <w:rPr>
          <w:rFonts w:ascii="Times New Roman" w:hAnsi="Times New Roman" w:cs="Times New Roman"/>
          <w:color w:val="000000" w:themeColor="text1"/>
          <w:w w:val="99"/>
          <w:sz w:val="21"/>
          <w:szCs w:val="18"/>
          <w:highlight w:val="none"/>
          <w14:textFill>
            <w14:solidFill>
              <w14:schemeClr w14:val="tx1"/>
            </w14:solidFill>
          </w14:textFill>
        </w:rPr>
        <w:tab/>
      </w:r>
      <w:r>
        <w:rPr>
          <w:rFonts w:ascii="Times New Roman" w:hAnsi="Times New Roman" w:cs="Times New Roman"/>
          <w:color w:val="000000" w:themeColor="text1"/>
          <w:w w:val="99"/>
          <w:sz w:val="21"/>
          <w:szCs w:val="18"/>
          <w:highlight w:val="none"/>
          <w14:textFill>
            <w14:solidFill>
              <w14:schemeClr w14:val="tx1"/>
            </w14:solidFill>
          </w14:textFill>
        </w:rPr>
        <w:t>L：长期影响</w:t>
      </w:r>
      <w:r>
        <w:rPr>
          <w:rFonts w:ascii="Times New Roman" w:hAnsi="Times New Roman" w:cs="Times New Roman"/>
          <w:color w:val="000000" w:themeColor="text1"/>
          <w:w w:val="99"/>
          <w:sz w:val="21"/>
          <w:szCs w:val="18"/>
          <w:highlight w:val="none"/>
          <w14:textFill>
            <w14:solidFill>
              <w14:schemeClr w14:val="tx1"/>
            </w14:solidFill>
          </w14:textFill>
        </w:rPr>
        <w:tab/>
      </w:r>
      <w:r>
        <w:rPr>
          <w:rFonts w:ascii="Times New Roman" w:hAnsi="Times New Roman" w:cs="Times New Roman"/>
          <w:color w:val="000000" w:themeColor="text1"/>
          <w:w w:val="99"/>
          <w:sz w:val="21"/>
          <w:szCs w:val="18"/>
          <w:highlight w:val="none"/>
          <w14:textFill>
            <w14:solidFill>
              <w14:schemeClr w14:val="tx1"/>
            </w14:solidFill>
          </w14:textFill>
        </w:rPr>
        <w:t>S：短期影响</w:t>
      </w:r>
      <w:r>
        <w:rPr>
          <w:rFonts w:ascii="Times New Roman" w:hAnsi="Times New Roman" w:cs="Times New Roman"/>
          <w:color w:val="000000" w:themeColor="text1"/>
          <w:w w:val="99"/>
          <w:sz w:val="21"/>
          <w:szCs w:val="18"/>
          <w:highlight w:val="none"/>
          <w14:textFill>
            <w14:solidFill>
              <w14:schemeClr w14:val="tx1"/>
            </w14:solidFill>
          </w14:textFill>
        </w:rPr>
        <w:tab/>
      </w:r>
      <w:r>
        <w:rPr>
          <w:rFonts w:ascii="Times New Roman" w:hAnsi="Times New Roman" w:cs="Times New Roman"/>
          <w:color w:val="000000" w:themeColor="text1"/>
          <w:w w:val="99"/>
          <w:sz w:val="21"/>
          <w:szCs w:val="18"/>
          <w:highlight w:val="none"/>
          <w14:textFill>
            <w14:solidFill>
              <w14:schemeClr w14:val="tx1"/>
            </w14:solidFill>
          </w14:textFill>
        </w:rPr>
        <w:t>A：显著影响空白：表示此项环境因子不存在或与工程活动无关</w:t>
      </w:r>
    </w:p>
    <w:p>
      <w:pPr>
        <w:keepNext w:val="0"/>
        <w:keepLines w:val="0"/>
        <w:pageBreakBefore w:val="0"/>
        <w:widowControl w:val="0"/>
        <w:tabs>
          <w:tab w:val="left" w:pos="2259"/>
          <w:tab w:val="left" w:pos="3745"/>
          <w:tab w:val="left" w:pos="5238"/>
          <w:tab w:val="left" w:pos="6719"/>
        </w:tabs>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从上表可知本工程的主要环境影响表现在地下水环境、生态环境、环境空气、声环境、土壤环境、环境风险等方面。</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559"/>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经过对油田产生污染物排放特点及油田周围环境情况进行分析后，确定本工程评价因子详见表2.3-2。</w:t>
      </w:r>
    </w:p>
    <w:p>
      <w:pPr>
        <w:pStyle w:val="14"/>
        <w:spacing w:line="500" w:lineRule="exact"/>
        <w:ind w:firstLine="559"/>
        <w:jc w:val="both"/>
        <w:rPr>
          <w:rFonts w:ascii="Times New Roman" w:hAnsi="Times New Roman" w:cs="Times New Roman"/>
          <w:b/>
          <w:bCs/>
          <w:color w:val="000000" w:themeColor="text1"/>
          <w:w w:val="99"/>
          <w:sz w:val="24"/>
          <w:szCs w:val="24"/>
          <w:highlight w:val="none"/>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表2.3-2</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评价因子一览表</w:t>
      </w:r>
    </w:p>
    <w:tbl>
      <w:tblPr>
        <w:tblStyle w:val="32"/>
        <w:tblW w:w="90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698"/>
        <w:gridCol w:w="1419"/>
        <w:gridCol w:w="64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265" w:type="dxa"/>
            <w:gridSpan w:val="2"/>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序号</w:t>
            </w:r>
          </w:p>
        </w:tc>
        <w:tc>
          <w:tcPr>
            <w:tcW w:w="141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评价内容</w:t>
            </w:r>
          </w:p>
        </w:tc>
        <w:tc>
          <w:tcPr>
            <w:tcW w:w="6407"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评价因子名称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现状评价因子</w:t>
            </w:r>
          </w:p>
        </w:tc>
        <w:tc>
          <w:tcPr>
            <w:tcW w:w="6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1</w:t>
            </w:r>
          </w:p>
        </w:tc>
        <w:tc>
          <w:tcPr>
            <w:tcW w:w="141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环境空气</w:t>
            </w:r>
          </w:p>
        </w:tc>
        <w:tc>
          <w:tcPr>
            <w:tcW w:w="6407" w:type="dxa"/>
            <w:tcBorders>
              <w:tl2br w:val="nil"/>
              <w:tr2bl w:val="nil"/>
            </w:tcBorders>
            <w:vAlign w:val="center"/>
          </w:tcPr>
          <w:p>
            <w:pPr>
              <w:pStyle w:val="46"/>
              <w:spacing w:line="360" w:lineRule="exact"/>
              <w:rPr>
                <w:rFonts w:hint="eastAsia" w:eastAsia="宋体"/>
                <w:color w:val="000000" w:themeColor="text1"/>
                <w:w w:val="99"/>
                <w:kern w:val="2"/>
                <w:sz w:val="21"/>
                <w:szCs w:val="21"/>
                <w:highlight w:val="none"/>
                <w:lang w:val="en-US" w:eastAsia="zh-CN" w:bidi="ar-SA"/>
                <w14:textFill>
                  <w14:solidFill>
                    <w14:schemeClr w14:val="tx1"/>
                  </w14:solidFill>
                </w14:textFill>
              </w:rPr>
            </w:pPr>
            <w:r>
              <w:rPr>
                <w:color w:val="000000" w:themeColor="text1"/>
                <w:w w:val="99"/>
                <w:sz w:val="21"/>
                <w:szCs w:val="21"/>
                <w:highlight w:val="none"/>
                <w14:textFill>
                  <w14:solidFill>
                    <w14:schemeClr w14:val="tx1"/>
                  </w14:solidFill>
                </w14:textFill>
              </w:rPr>
              <w:t>SO</w:t>
            </w:r>
            <w:r>
              <w:rPr>
                <w:color w:val="000000" w:themeColor="text1"/>
                <w:w w:val="99"/>
                <w:sz w:val="21"/>
                <w:szCs w:val="21"/>
                <w:highlight w:val="none"/>
                <w:vertAlign w:val="subscript"/>
                <w14:textFill>
                  <w14:solidFill>
                    <w14:schemeClr w14:val="tx1"/>
                  </w14:solidFill>
                </w14:textFill>
              </w:rPr>
              <w:t>2</w:t>
            </w:r>
            <w:r>
              <w:rPr>
                <w:rFonts w:hint="eastAsia" w:ascii="宋体" w:hAnsi="宋体" w:eastAsia="宋体" w:cs="宋体"/>
                <w:color w:val="000000" w:themeColor="text1"/>
                <w:w w:val="99"/>
                <w:sz w:val="21"/>
                <w:szCs w:val="21"/>
                <w:highlight w:val="none"/>
                <w14:textFill>
                  <w14:solidFill>
                    <w14:schemeClr w14:val="tx1"/>
                  </w14:solidFill>
                </w14:textFill>
              </w:rPr>
              <w:t>、</w:t>
            </w:r>
            <w:r>
              <w:rPr>
                <w:color w:val="000000" w:themeColor="text1"/>
                <w:w w:val="99"/>
                <w:sz w:val="21"/>
                <w:szCs w:val="21"/>
                <w:highlight w:val="none"/>
                <w14:textFill>
                  <w14:solidFill>
                    <w14:schemeClr w14:val="tx1"/>
                  </w14:solidFill>
                </w14:textFill>
              </w:rPr>
              <w:t>NO</w:t>
            </w:r>
            <w:r>
              <w:rPr>
                <w:color w:val="000000" w:themeColor="text1"/>
                <w:w w:val="99"/>
                <w:sz w:val="21"/>
                <w:szCs w:val="21"/>
                <w:highlight w:val="none"/>
                <w:vertAlign w:val="subscript"/>
                <w14:textFill>
                  <w14:solidFill>
                    <w14:schemeClr w14:val="tx1"/>
                  </w14:solidFill>
                </w14:textFill>
              </w:rPr>
              <w:t>2</w:t>
            </w:r>
            <w:r>
              <w:rPr>
                <w:color w:val="000000" w:themeColor="text1"/>
                <w:w w:val="99"/>
                <w:sz w:val="21"/>
                <w:szCs w:val="21"/>
                <w:highlight w:val="none"/>
                <w14:textFill>
                  <w14:solidFill>
                    <w14:schemeClr w14:val="tx1"/>
                  </w14:solidFill>
                </w14:textFill>
              </w:rPr>
              <w:t>、PM</w:t>
            </w:r>
            <w:r>
              <w:rPr>
                <w:color w:val="000000" w:themeColor="text1"/>
                <w:w w:val="99"/>
                <w:sz w:val="21"/>
                <w:szCs w:val="21"/>
                <w:highlight w:val="none"/>
                <w:vertAlign w:val="subscript"/>
                <w14:textFill>
                  <w14:solidFill>
                    <w14:schemeClr w14:val="tx1"/>
                  </w14:solidFill>
                </w14:textFill>
              </w:rPr>
              <w:t>10</w:t>
            </w:r>
            <w:r>
              <w:rPr>
                <w:color w:val="000000" w:themeColor="text1"/>
                <w:w w:val="99"/>
                <w:sz w:val="21"/>
                <w:szCs w:val="21"/>
                <w:highlight w:val="none"/>
                <w14:textFill>
                  <w14:solidFill>
                    <w14:schemeClr w14:val="tx1"/>
                  </w14:solidFill>
                </w14:textFill>
              </w:rPr>
              <w:t>、PM</w:t>
            </w:r>
            <w:r>
              <w:rPr>
                <w:color w:val="000000" w:themeColor="text1"/>
                <w:w w:val="99"/>
                <w:sz w:val="21"/>
                <w:szCs w:val="21"/>
                <w:highlight w:val="none"/>
                <w:vertAlign w:val="subscript"/>
                <w14:textFill>
                  <w14:solidFill>
                    <w14:schemeClr w14:val="tx1"/>
                  </w14:solidFill>
                </w14:textFill>
              </w:rPr>
              <w:t>2.5</w:t>
            </w:r>
            <w:r>
              <w:rPr>
                <w:color w:val="000000" w:themeColor="text1"/>
                <w:w w:val="99"/>
                <w:sz w:val="21"/>
                <w:szCs w:val="21"/>
                <w:highlight w:val="none"/>
                <w14:textFill>
                  <w14:solidFill>
                    <w14:schemeClr w14:val="tx1"/>
                  </w14:solidFill>
                </w14:textFill>
              </w:rPr>
              <w:t>、CO</w:t>
            </w:r>
            <w:r>
              <w:rPr>
                <w:rFonts w:eastAsia="宋体"/>
                <w:color w:val="000000" w:themeColor="text1"/>
                <w:w w:val="99"/>
                <w:sz w:val="21"/>
                <w:szCs w:val="21"/>
                <w:highlight w:val="none"/>
                <w14:textFill>
                  <w14:solidFill>
                    <w14:schemeClr w14:val="tx1"/>
                  </w14:solidFill>
                </w14:textFill>
              </w:rPr>
              <w:t>、</w:t>
            </w:r>
            <w:r>
              <w:rPr>
                <w:color w:val="000000" w:themeColor="text1"/>
                <w:w w:val="99"/>
                <w:sz w:val="21"/>
                <w:szCs w:val="21"/>
                <w:highlight w:val="none"/>
                <w14:textFill>
                  <w14:solidFill>
                    <w14:schemeClr w14:val="tx1"/>
                  </w14:solidFill>
                </w14:textFill>
              </w:rPr>
              <w:t>O</w:t>
            </w:r>
            <w:r>
              <w:rPr>
                <w:color w:val="000000" w:themeColor="text1"/>
                <w:w w:val="99"/>
                <w:sz w:val="21"/>
                <w:szCs w:val="21"/>
                <w:highlight w:val="none"/>
                <w:vertAlign w:val="subscript"/>
                <w14:textFill>
                  <w14:solidFill>
                    <w14:schemeClr w14:val="tx1"/>
                  </w14:solidFill>
                </w14:textFill>
              </w:rPr>
              <w:t>3</w:t>
            </w:r>
            <w:r>
              <w:rPr>
                <w:rFonts w:eastAsia="宋体"/>
                <w:color w:val="000000" w:themeColor="text1"/>
                <w:w w:val="99"/>
                <w:kern w:val="2"/>
                <w:sz w:val="21"/>
                <w:szCs w:val="21"/>
                <w:highlight w:val="none"/>
                <w:lang w:val="en-US" w:bidi="ar-SA"/>
                <w14:textFill>
                  <w14:solidFill>
                    <w14:schemeClr w14:val="tx1"/>
                  </w14:solidFill>
                </w14:textFill>
              </w:rPr>
              <w:t>、非甲烷总烃</w:t>
            </w:r>
            <w:r>
              <w:rPr>
                <w:rFonts w:hint="eastAsia" w:eastAsia="宋体"/>
                <w:color w:val="000000" w:themeColor="text1"/>
                <w:w w:val="99"/>
                <w:kern w:val="2"/>
                <w:sz w:val="21"/>
                <w:szCs w:val="21"/>
                <w:highlight w:val="none"/>
                <w:lang w:val="en-US" w:eastAsia="zh-CN" w:bidi="ar-SA"/>
                <w14:textFill>
                  <w14:solidFill>
                    <w14:schemeClr w14:val="tx1"/>
                  </w14:solidFill>
                </w14:textFill>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6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2</w:t>
            </w:r>
          </w:p>
        </w:tc>
        <w:tc>
          <w:tcPr>
            <w:tcW w:w="141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地表水</w:t>
            </w:r>
          </w:p>
        </w:tc>
        <w:tc>
          <w:tcPr>
            <w:tcW w:w="6407" w:type="dxa"/>
            <w:tcBorders>
              <w:tl2br w:val="nil"/>
              <w:tr2bl w:val="nil"/>
            </w:tcBorders>
            <w:vAlign w:val="center"/>
          </w:tcPr>
          <w:p>
            <w:pPr>
              <w:pStyle w:val="46"/>
              <w:spacing w:line="360" w:lineRule="exact"/>
              <w:rPr>
                <w:color w:val="000000" w:themeColor="text1"/>
                <w:w w:val="99"/>
                <w:sz w:val="21"/>
                <w:szCs w:val="21"/>
                <w:highlight w:val="none"/>
                <w14:textFill>
                  <w14:solidFill>
                    <w14:schemeClr w14:val="tx1"/>
                  </w14:solidFill>
                </w14:textFill>
              </w:rPr>
            </w:pPr>
            <w:r>
              <w:rPr>
                <w:rFonts w:hint="eastAsia"/>
                <w:color w:val="000000" w:themeColor="text1"/>
                <w:w w:val="99"/>
                <w:sz w:val="21"/>
                <w:szCs w:val="21"/>
                <w:highlight w:val="none"/>
                <w14:textFill>
                  <w14:solidFill>
                    <w14:schemeClr w14:val="tx1"/>
                  </w14:solidFill>
                </w14:textFill>
              </w:rPr>
              <w:t>pH</w:t>
            </w:r>
            <w:r>
              <w:rPr>
                <w:rFonts w:hint="eastAsia" w:ascii="宋体" w:hAnsi="宋体" w:eastAsia="宋体" w:cs="宋体"/>
                <w:color w:val="000000" w:themeColor="text1"/>
                <w:w w:val="99"/>
                <w:sz w:val="21"/>
                <w:szCs w:val="21"/>
                <w:highlight w:val="none"/>
                <w14:textFill>
                  <w14:solidFill>
                    <w14:schemeClr w14:val="tx1"/>
                  </w14:solidFill>
                </w14:textFill>
              </w:rPr>
              <w:t>、石油类、氨氮、挥发酚、硫化物、</w:t>
            </w:r>
            <w:r>
              <w:rPr>
                <w:color w:val="000000" w:themeColor="text1"/>
                <w:w w:val="99"/>
                <w:sz w:val="21"/>
                <w:szCs w:val="21"/>
                <w:highlight w:val="none"/>
                <w14:textFill>
                  <w14:solidFill>
                    <w14:schemeClr w14:val="tx1"/>
                  </w14:solidFill>
                </w14:textFill>
              </w:rPr>
              <w:t>CODcr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67"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9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141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地下水</w:t>
            </w:r>
          </w:p>
        </w:tc>
        <w:tc>
          <w:tcPr>
            <w:tcW w:w="640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K</w:t>
            </w:r>
            <w:r>
              <w:rPr>
                <w:rFonts w:ascii="Times New Roman" w:hAnsi="Times New Roman" w:cs="Times New Roman"/>
                <w:color w:val="000000" w:themeColor="text1"/>
                <w:w w:val="99"/>
                <w:sz w:val="21"/>
                <w:szCs w:val="21"/>
                <w:highlight w:val="none"/>
                <w:vertAlign w:val="superscript"/>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、Na</w:t>
            </w:r>
            <w:r>
              <w:rPr>
                <w:rFonts w:ascii="Times New Roman" w:hAnsi="Times New Roman" w:cs="Times New Roman"/>
                <w:color w:val="000000" w:themeColor="text1"/>
                <w:w w:val="99"/>
                <w:sz w:val="21"/>
                <w:szCs w:val="21"/>
                <w:highlight w:val="none"/>
                <w:vertAlign w:val="superscript"/>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、Cl</w:t>
            </w:r>
            <w:r>
              <w:rPr>
                <w:rFonts w:ascii="Times New Roman" w:hAnsi="Times New Roman" w:cs="Times New Roman"/>
                <w:color w:val="000000" w:themeColor="text1"/>
                <w:w w:val="99"/>
                <w:sz w:val="21"/>
                <w:szCs w:val="21"/>
                <w:highlight w:val="none"/>
                <w:vertAlign w:val="superscript"/>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、Ca</w:t>
            </w:r>
            <w:r>
              <w:rPr>
                <w:rFonts w:ascii="Times New Roman" w:hAnsi="Times New Roman" w:cs="Times New Roman"/>
                <w:color w:val="000000" w:themeColor="text1"/>
                <w:w w:val="99"/>
                <w:sz w:val="21"/>
                <w:szCs w:val="21"/>
                <w:highlight w:val="none"/>
                <w:vertAlign w:val="superscript"/>
                <w14:textFill>
                  <w14:solidFill>
                    <w14:schemeClr w14:val="tx1"/>
                  </w14:solidFill>
                </w14:textFill>
              </w:rPr>
              <w:t>2+</w:t>
            </w:r>
            <w:r>
              <w:rPr>
                <w:rFonts w:ascii="Times New Roman" w:hAnsi="Times New Roman" w:cs="Times New Roman"/>
                <w:color w:val="000000" w:themeColor="text1"/>
                <w:w w:val="99"/>
                <w:sz w:val="21"/>
                <w:szCs w:val="21"/>
                <w:highlight w:val="none"/>
                <w14:textFill>
                  <w14:solidFill>
                    <w14:schemeClr w14:val="tx1"/>
                  </w14:solidFill>
                </w14:textFill>
              </w:rPr>
              <w:t>、Mg</w:t>
            </w:r>
            <w:r>
              <w:rPr>
                <w:rFonts w:ascii="Times New Roman" w:hAnsi="Times New Roman" w:cs="Times New Roman"/>
                <w:color w:val="000000" w:themeColor="text1"/>
                <w:w w:val="99"/>
                <w:sz w:val="21"/>
                <w:szCs w:val="21"/>
                <w:highlight w:val="none"/>
                <w:vertAlign w:val="superscript"/>
                <w14:textFill>
                  <w14:solidFill>
                    <w14:schemeClr w14:val="tx1"/>
                  </w14:solidFill>
                </w14:textFill>
              </w:rPr>
              <w:t>2+</w:t>
            </w:r>
            <w:r>
              <w:rPr>
                <w:rFonts w:ascii="Times New Roman" w:hAnsi="Times New Roman" w:cs="Times New Roman"/>
                <w:color w:val="000000" w:themeColor="text1"/>
                <w:w w:val="99"/>
                <w:sz w:val="21"/>
                <w:szCs w:val="21"/>
                <w:highlight w:val="none"/>
                <w14:textFill>
                  <w14:solidFill>
                    <w14:schemeClr w14:val="tx1"/>
                  </w14:solidFill>
                </w14:textFill>
              </w:rPr>
              <w:t>、CO</w:t>
            </w:r>
            <w:r>
              <w:rPr>
                <w:rFonts w:ascii="Times New Roman" w:hAnsi="Times New Roman" w:cs="Times New Roman"/>
                <w:color w:val="000000" w:themeColor="text1"/>
                <w:w w:val="99"/>
                <w:sz w:val="21"/>
                <w:szCs w:val="21"/>
                <w:highlight w:val="none"/>
                <w:vertAlign w:val="subscript"/>
                <w14:textFill>
                  <w14:solidFill>
                    <w14:schemeClr w14:val="tx1"/>
                  </w14:solidFill>
                </w14:textFill>
              </w:rPr>
              <w:t>3</w:t>
            </w:r>
            <w:r>
              <w:rPr>
                <w:rFonts w:ascii="Times New Roman" w:hAnsi="Times New Roman" w:cs="Times New Roman"/>
                <w:color w:val="000000" w:themeColor="text1"/>
                <w:w w:val="99"/>
                <w:sz w:val="21"/>
                <w:szCs w:val="21"/>
                <w:highlight w:val="none"/>
                <w:vertAlign w:val="superscript"/>
                <w14:textFill>
                  <w14:solidFill>
                    <w14:schemeClr w14:val="tx1"/>
                  </w14:solidFill>
                </w14:textFill>
              </w:rPr>
              <w:t>2-</w:t>
            </w:r>
            <w:r>
              <w:rPr>
                <w:rFonts w:ascii="Times New Roman" w:hAnsi="Times New Roman" w:cs="Times New Roman"/>
                <w:color w:val="000000" w:themeColor="text1"/>
                <w:w w:val="99"/>
                <w:sz w:val="21"/>
                <w:szCs w:val="21"/>
                <w:highlight w:val="none"/>
                <w14:textFill>
                  <w14:solidFill>
                    <w14:schemeClr w14:val="tx1"/>
                  </w14:solidFill>
                </w14:textFill>
              </w:rPr>
              <w:t>、HCO</w:t>
            </w:r>
            <w:r>
              <w:rPr>
                <w:rFonts w:ascii="Times New Roman" w:hAnsi="Times New Roman" w:cs="Times New Roman"/>
                <w:color w:val="000000" w:themeColor="text1"/>
                <w:w w:val="99"/>
                <w:sz w:val="21"/>
                <w:szCs w:val="21"/>
                <w:highlight w:val="none"/>
                <w:vertAlign w:val="subscript"/>
                <w14:textFill>
                  <w14:solidFill>
                    <w14:schemeClr w14:val="tx1"/>
                  </w14:solidFill>
                </w14:textFill>
              </w:rPr>
              <w:t>3</w:t>
            </w:r>
            <w:r>
              <w:rPr>
                <w:rFonts w:ascii="Times New Roman" w:hAnsi="Times New Roman" w:cs="Times New Roman"/>
                <w:color w:val="000000" w:themeColor="text1"/>
                <w:w w:val="99"/>
                <w:sz w:val="21"/>
                <w:szCs w:val="21"/>
                <w:highlight w:val="none"/>
                <w:vertAlign w:val="superscript"/>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、SO</w:t>
            </w:r>
            <w:r>
              <w:rPr>
                <w:rFonts w:ascii="Times New Roman" w:hAnsi="Times New Roman" w:cs="Times New Roman"/>
                <w:color w:val="000000" w:themeColor="text1"/>
                <w:w w:val="99"/>
                <w:sz w:val="21"/>
                <w:szCs w:val="21"/>
                <w:highlight w:val="none"/>
                <w:vertAlign w:val="subscript"/>
                <w14:textFill>
                  <w14:solidFill>
                    <w14:schemeClr w14:val="tx1"/>
                  </w14:solidFill>
                </w14:textFill>
              </w:rPr>
              <w:t>4</w:t>
            </w:r>
            <w:r>
              <w:rPr>
                <w:rFonts w:ascii="Times New Roman" w:hAnsi="Times New Roman" w:cs="Times New Roman"/>
                <w:color w:val="000000" w:themeColor="text1"/>
                <w:w w:val="99"/>
                <w:sz w:val="21"/>
                <w:szCs w:val="21"/>
                <w:highlight w:val="none"/>
                <w:vertAlign w:val="superscript"/>
                <w14:textFill>
                  <w14:solidFill>
                    <w14:schemeClr w14:val="tx1"/>
                  </w14:solidFill>
                </w14:textFill>
              </w:rPr>
              <w:t>2-</w:t>
            </w:r>
            <w:r>
              <w:rPr>
                <w:rFonts w:ascii="Times New Roman" w:hAnsi="Times New Roman" w:cs="Times New Roman"/>
                <w:color w:val="000000" w:themeColor="text1"/>
                <w:w w:val="99"/>
                <w:sz w:val="21"/>
                <w:szCs w:val="21"/>
                <w:highlight w:val="none"/>
                <w14:textFill>
                  <w14:solidFill>
                    <w14:schemeClr w14:val="tx1"/>
                  </w14:solidFill>
                </w14:textFill>
              </w:rPr>
              <w:t>、pH、氨氮、总硬度、硝酸盐、亚硝酸盐、氰化物、砷、汞、铬（六价）、铅、氟化物、镉、铁、锰、溶解性总固体、硫酸盐、耗氧量、氯化物、挥发</w:t>
            </w:r>
            <w:r>
              <w:rPr>
                <w:rFonts w:hint="eastAsia" w:ascii="Times New Roman" w:hAnsi="Times New Roman" w:cs="Times New Roman"/>
                <w:color w:val="000000" w:themeColor="text1"/>
                <w:w w:val="99"/>
                <w:sz w:val="21"/>
                <w:szCs w:val="21"/>
                <w:highlight w:val="none"/>
                <w14:textFill>
                  <w14:solidFill>
                    <w14:schemeClr w14:val="tx1"/>
                  </w14:solidFill>
                </w14:textFill>
              </w:rPr>
              <w:t>性</w:t>
            </w:r>
            <w:r>
              <w:rPr>
                <w:rFonts w:ascii="Times New Roman" w:hAnsi="Times New Roman" w:cs="Times New Roman"/>
                <w:color w:val="000000" w:themeColor="text1"/>
                <w:w w:val="99"/>
                <w:sz w:val="21"/>
                <w:szCs w:val="21"/>
                <w:highlight w:val="none"/>
                <w14:textFill>
                  <w14:solidFill>
                    <w14:schemeClr w14:val="tx1"/>
                  </w14:solidFill>
                </w14:textFill>
              </w:rPr>
              <w:t>酚类、石油类、菌落总数、总大肠菌群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98"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w:t>
            </w:r>
          </w:p>
        </w:tc>
        <w:tc>
          <w:tcPr>
            <w:tcW w:w="1419"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w:t>
            </w:r>
          </w:p>
        </w:tc>
        <w:tc>
          <w:tcPr>
            <w:tcW w:w="640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农用地：</w:t>
            </w:r>
            <w:r>
              <w:rPr>
                <w:rFonts w:ascii="Times New Roman" w:hAnsi="Times New Roman" w:cs="Times New Roman"/>
                <w:color w:val="000000" w:themeColor="text1"/>
                <w:w w:val="99"/>
                <w:sz w:val="21"/>
                <w:szCs w:val="21"/>
                <w:highlight w:val="none"/>
                <w14:textFill>
                  <w14:solidFill>
                    <w14:schemeClr w14:val="tx1"/>
                  </w14:solidFill>
                </w14:textFill>
              </w:rPr>
              <w:t>pH、砷、镉、铬、铜、铅、汞、镍、锌、石油烃（C</w:t>
            </w:r>
            <w:r>
              <w:rPr>
                <w:rFonts w:ascii="Times New Roman" w:hAnsi="Times New Roman" w:cs="Times New Roman"/>
                <w:color w:val="000000" w:themeColor="text1"/>
                <w:w w:val="99"/>
                <w:sz w:val="21"/>
                <w:szCs w:val="21"/>
                <w:highlight w:val="none"/>
                <w:vertAlign w:val="subscript"/>
                <w14:textFill>
                  <w14:solidFill>
                    <w14:schemeClr w14:val="tx1"/>
                  </w14:solidFill>
                </w14:textFill>
              </w:rPr>
              <w:t>10</w:t>
            </w:r>
            <w:r>
              <w:rPr>
                <w:rFonts w:ascii="Times New Roman" w:hAnsi="Times New Roman" w:cs="Times New Roman"/>
                <w:color w:val="000000" w:themeColor="text1"/>
                <w:w w:val="99"/>
                <w:sz w:val="21"/>
                <w:szCs w:val="21"/>
                <w:highlight w:val="none"/>
                <w14:textFill>
                  <w14:solidFill>
                    <w14:schemeClr w14:val="tx1"/>
                  </w14:solidFill>
                </w14:textFill>
              </w:rPr>
              <w:t>-C</w:t>
            </w:r>
            <w:r>
              <w:rPr>
                <w:rFonts w:ascii="Times New Roman" w:hAnsi="Times New Roman" w:cs="Times New Roman"/>
                <w:color w:val="000000" w:themeColor="text1"/>
                <w:w w:val="99"/>
                <w:sz w:val="21"/>
                <w:szCs w:val="21"/>
                <w:highlight w:val="none"/>
                <w:vertAlign w:val="subscript"/>
                <w14:textFill>
                  <w14:solidFill>
                    <w14:schemeClr w14:val="tx1"/>
                  </w14:solidFill>
                </w14:textFill>
              </w:rPr>
              <w:t>40</w:t>
            </w:r>
            <w:r>
              <w:rPr>
                <w:rFonts w:ascii="Times New Roman" w:hAnsi="Times New Roman" w:cs="Times New Roman"/>
                <w:color w:val="000000" w:themeColor="text1"/>
                <w:w w:val="99"/>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9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19"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407" w:type="dxa"/>
            <w:tcBorders>
              <w:tl2br w:val="nil"/>
              <w:tr2bl w:val="nil"/>
            </w:tcBorders>
            <w:vAlign w:val="center"/>
          </w:tcPr>
          <w:p>
            <w:pPr>
              <w:autoSpaceDE/>
              <w:autoSpaceDN/>
              <w:adjustRightInd w:val="0"/>
              <w:snapToGrid w:val="0"/>
              <w:spacing w:line="360" w:lineRule="exac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建设用地：</w:t>
            </w:r>
            <w:r>
              <w:rPr>
                <w:rFonts w:ascii="Times New Roman" w:hAnsi="Times New Roman" w:cs="Times New Roman"/>
                <w:color w:val="000000" w:themeColor="text1"/>
                <w:w w:val="99"/>
                <w:sz w:val="21"/>
                <w:szCs w:val="21"/>
                <w:highlight w:val="none"/>
                <w14:textFill>
                  <w14:solidFill>
                    <w14:schemeClr w14:val="tx1"/>
                  </w14:solidFill>
                </w14:textFill>
              </w:rPr>
              <w:t>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ascii="Times New Roman" w:hAnsi="Times New Roman" w:cs="Times New Roman"/>
                <w:color w:val="000000" w:themeColor="text1"/>
                <w:w w:val="99"/>
                <w:sz w:val="21"/>
                <w:szCs w:val="21"/>
                <w:highlight w:val="none"/>
                <w:vertAlign w:val="subscript"/>
                <w14:textFill>
                  <w14:solidFill>
                    <w14:schemeClr w14:val="tx1"/>
                  </w14:solidFill>
                </w14:textFill>
              </w:rPr>
              <w:t>10</w:t>
            </w:r>
            <w:r>
              <w:rPr>
                <w:rFonts w:ascii="Times New Roman" w:hAnsi="Times New Roman" w:cs="Times New Roman"/>
                <w:color w:val="000000" w:themeColor="text1"/>
                <w:w w:val="99"/>
                <w:sz w:val="21"/>
                <w:szCs w:val="21"/>
                <w:highlight w:val="none"/>
                <w14:textFill>
                  <w14:solidFill>
                    <w14:schemeClr w14:val="tx1"/>
                  </w14:solidFill>
                </w14:textFill>
              </w:rPr>
              <w:t>-C</w:t>
            </w:r>
            <w:r>
              <w:rPr>
                <w:rFonts w:ascii="Times New Roman" w:hAnsi="Times New Roman" w:cs="Times New Roman"/>
                <w:color w:val="000000" w:themeColor="text1"/>
                <w:w w:val="99"/>
                <w:sz w:val="21"/>
                <w:szCs w:val="21"/>
                <w:highlight w:val="none"/>
                <w:vertAlign w:val="subscript"/>
                <w14:textFill>
                  <w14:solidFill>
                    <w14:schemeClr w14:val="tx1"/>
                  </w14:solidFill>
                </w14:textFill>
              </w:rPr>
              <w:t>40</w:t>
            </w:r>
            <w:r>
              <w:rPr>
                <w:rFonts w:ascii="Times New Roman" w:hAnsi="Times New Roman" w:cs="Times New Roman"/>
                <w:color w:val="000000" w:themeColor="text1"/>
                <w:w w:val="99"/>
                <w:sz w:val="21"/>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9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w:t>
            </w:r>
          </w:p>
        </w:tc>
        <w:tc>
          <w:tcPr>
            <w:tcW w:w="141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噪声</w:t>
            </w:r>
          </w:p>
        </w:tc>
        <w:tc>
          <w:tcPr>
            <w:tcW w:w="640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连续等效A声级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9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w:t>
            </w:r>
          </w:p>
        </w:tc>
        <w:tc>
          <w:tcPr>
            <w:tcW w:w="141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生态</w:t>
            </w:r>
          </w:p>
        </w:tc>
        <w:tc>
          <w:tcPr>
            <w:tcW w:w="640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植被类型的构成、分布、面积、生物量及群种、优势种群；土壤类型、特征、组成和分布，土地利用状况、土壤退化状况等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影响预测因子</w:t>
            </w:r>
          </w:p>
        </w:tc>
        <w:tc>
          <w:tcPr>
            <w:tcW w:w="6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1</w:t>
            </w:r>
          </w:p>
        </w:tc>
        <w:tc>
          <w:tcPr>
            <w:tcW w:w="141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环境空气</w:t>
            </w:r>
          </w:p>
        </w:tc>
        <w:tc>
          <w:tcPr>
            <w:tcW w:w="6407"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非甲烷总烃、SO</w:t>
            </w:r>
            <w:r>
              <w:rPr>
                <w:rFonts w:eastAsia="宋体"/>
                <w:color w:val="000000" w:themeColor="text1"/>
                <w:w w:val="99"/>
                <w:kern w:val="2"/>
                <w:sz w:val="21"/>
                <w:szCs w:val="21"/>
                <w:highlight w:val="none"/>
                <w:vertAlign w:val="subscript"/>
                <w:lang w:val="en-US" w:bidi="ar-SA"/>
                <w14:textFill>
                  <w14:solidFill>
                    <w14:schemeClr w14:val="tx1"/>
                  </w14:solidFill>
                </w14:textFill>
              </w:rPr>
              <w:t>2</w:t>
            </w:r>
            <w:r>
              <w:rPr>
                <w:rFonts w:eastAsia="宋体"/>
                <w:color w:val="000000" w:themeColor="text1"/>
                <w:w w:val="99"/>
                <w:kern w:val="2"/>
                <w:sz w:val="21"/>
                <w:szCs w:val="21"/>
                <w:highlight w:val="none"/>
                <w:lang w:val="en-US" w:bidi="ar-SA"/>
                <w14:textFill>
                  <w14:solidFill>
                    <w14:schemeClr w14:val="tx1"/>
                  </w14:solidFill>
                </w14:textFill>
              </w:rPr>
              <w:t>、NO</w:t>
            </w:r>
            <w:r>
              <w:rPr>
                <w:rFonts w:eastAsia="宋体"/>
                <w:color w:val="000000" w:themeColor="text1"/>
                <w:w w:val="99"/>
                <w:kern w:val="2"/>
                <w:sz w:val="21"/>
                <w:szCs w:val="21"/>
                <w:highlight w:val="none"/>
                <w:vertAlign w:val="subscript"/>
                <w:lang w:val="en-US" w:bidi="ar-SA"/>
                <w14:textFill>
                  <w14:solidFill>
                    <w14:schemeClr w14:val="tx1"/>
                  </w14:solidFill>
                </w14:textFill>
              </w:rPr>
              <w:t>x</w:t>
            </w:r>
            <w:r>
              <w:rPr>
                <w:rFonts w:eastAsia="宋体"/>
                <w:color w:val="000000" w:themeColor="text1"/>
                <w:w w:val="99"/>
                <w:kern w:val="2"/>
                <w:sz w:val="21"/>
                <w:szCs w:val="21"/>
                <w:highlight w:val="none"/>
                <w:lang w:val="en-US" w:bidi="ar-SA"/>
                <w14:textFill>
                  <w14:solidFill>
                    <w14:schemeClr w14:val="tx1"/>
                  </w14:solidFill>
                </w14:textFill>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9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141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地下水</w:t>
            </w:r>
          </w:p>
        </w:tc>
        <w:tc>
          <w:tcPr>
            <w:tcW w:w="640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9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141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w:t>
            </w:r>
          </w:p>
        </w:tc>
        <w:tc>
          <w:tcPr>
            <w:tcW w:w="640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67"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9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w:t>
            </w:r>
          </w:p>
        </w:tc>
        <w:tc>
          <w:tcPr>
            <w:tcW w:w="141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生态</w:t>
            </w:r>
          </w:p>
        </w:tc>
        <w:tc>
          <w:tcPr>
            <w:tcW w:w="640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动物、植被、生物量、土地利用现状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9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w:t>
            </w:r>
          </w:p>
        </w:tc>
        <w:tc>
          <w:tcPr>
            <w:tcW w:w="141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噪声</w:t>
            </w:r>
          </w:p>
        </w:tc>
        <w:tc>
          <w:tcPr>
            <w:tcW w:w="640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连续等效A声级</w:t>
            </w:r>
          </w:p>
        </w:tc>
      </w:tr>
    </w:tbl>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6" w:name="_Toc16794"/>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2.4环境评价标准</w:t>
      </w:r>
      <w:bookmarkEnd w:id="26"/>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2.4.1 环境质量标准</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（1）根据《大庆市人民政府关于印发大庆市声环境功能区划分、大庆市环境空气质量功能区划分、大庆市地表水环境功能区划分的通知》（庆政发[2019]11号），本项目</w:t>
      </w:r>
      <w:r>
        <w:rPr>
          <w:rFonts w:hint="eastAsia" w:ascii="Times New Roman" w:hAnsi="Times New Roman" w:cs="Times New Roman"/>
          <w:color w:val="000000" w:themeColor="text1"/>
          <w:w w:val="99"/>
          <w:sz w:val="24"/>
          <w:szCs w:val="24"/>
          <w:highlight w:val="none"/>
          <w14:textFill>
            <w14:solidFill>
              <w14:schemeClr w14:val="tx1"/>
            </w14:solidFill>
          </w14:textFill>
        </w:rPr>
        <w:t>开发</w:t>
      </w:r>
      <w:r>
        <w:rPr>
          <w:rFonts w:ascii="Times New Roman" w:hAnsi="Times New Roman" w:cs="Times New Roman"/>
          <w:color w:val="000000" w:themeColor="text1"/>
          <w:w w:val="99"/>
          <w:sz w:val="24"/>
          <w:szCs w:val="24"/>
          <w:highlight w:val="none"/>
          <w14:textFill>
            <w14:solidFill>
              <w14:schemeClr w14:val="tx1"/>
            </w14:solidFill>
          </w14:textFill>
        </w:rPr>
        <w:t>区域为二类环境空气质量功能区，区域环境空气中 CO、O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、PM</w:t>
      </w:r>
      <w:r>
        <w:rPr>
          <w:rFonts w:ascii="Times New Roman" w:hAnsi="Times New Roman" w:cs="Times New Roman"/>
          <w:color w:val="000000" w:themeColor="text1"/>
          <w:w w:val="99"/>
          <w:sz w:val="24"/>
          <w:szCs w:val="24"/>
          <w:highlight w:val="none"/>
          <w:vertAlign w:val="subscript"/>
          <w14:textFill>
            <w14:solidFill>
              <w14:schemeClr w14:val="tx1"/>
            </w14:solidFill>
          </w14:textFill>
        </w:rPr>
        <w:t>10</w:t>
      </w:r>
      <w:r>
        <w:rPr>
          <w:rFonts w:ascii="Times New Roman" w:hAnsi="Times New Roman" w:cs="Times New Roman"/>
          <w:color w:val="000000" w:themeColor="text1"/>
          <w:w w:val="99"/>
          <w:sz w:val="24"/>
          <w:szCs w:val="24"/>
          <w:highlight w:val="none"/>
          <w14:textFill>
            <w14:solidFill>
              <w14:schemeClr w14:val="tx1"/>
            </w14:solidFill>
          </w14:textFill>
        </w:rPr>
        <w:t>、PM</w:t>
      </w:r>
      <w:r>
        <w:rPr>
          <w:rFonts w:ascii="Times New Roman" w:hAnsi="Times New Roman" w:cs="Times New Roman"/>
          <w:color w:val="000000" w:themeColor="text1"/>
          <w:w w:val="99"/>
          <w:sz w:val="24"/>
          <w:szCs w:val="24"/>
          <w:highlight w:val="none"/>
          <w:vertAlign w:val="subscript"/>
          <w14:textFill>
            <w14:solidFill>
              <w14:schemeClr w14:val="tx1"/>
            </w14:solidFill>
          </w14:textFill>
        </w:rPr>
        <w:t>2.5</w:t>
      </w:r>
      <w:r>
        <w:rPr>
          <w:rFonts w:ascii="Times New Roman" w:hAnsi="Times New Roman" w:cs="Times New Roman"/>
          <w:color w:val="000000" w:themeColor="text1"/>
          <w:w w:val="99"/>
          <w:sz w:val="24"/>
          <w:szCs w:val="24"/>
          <w:highlight w:val="none"/>
          <w14:textFill>
            <w14:solidFill>
              <w14:schemeClr w14:val="tx1"/>
            </w14:solidFill>
          </w14:textFill>
        </w:rPr>
        <w:t>、SO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、NO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 xml:space="preserve"> 执行《环境空气质量标准》（GB3095-2012）及其修改单中二级标准。具体标准值见表2.4-1。</w:t>
      </w:r>
    </w:p>
    <w:p>
      <w:pPr>
        <w:pStyle w:val="14"/>
        <w:spacing w:line="500" w:lineRule="exact"/>
        <w:ind w:firstLine="476" w:firstLineChars="200"/>
        <w:jc w:val="both"/>
        <w:rPr>
          <w:rFonts w:ascii="Times New Roman" w:hAnsi="Times New Roman" w:cs="Times New Roman"/>
          <w:b/>
          <w:bCs/>
          <w:color w:val="000000" w:themeColor="text1"/>
          <w:w w:val="99"/>
          <w:sz w:val="24"/>
          <w:szCs w:val="24"/>
          <w:highlight w:val="none"/>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表2.4-1</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环境空气质量标准</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单位</w:t>
      </w:r>
      <w:r>
        <w:rPr>
          <w:rFonts w:ascii="Times New Roman" w:hAnsi="Times New Roman" w:cs="Times New Roman"/>
          <w:b/>
          <w:bCs/>
          <w:color w:val="000000" w:themeColor="text1"/>
          <w:w w:val="99"/>
          <w:sz w:val="24"/>
          <w:szCs w:val="24"/>
          <w:highlight w:val="none"/>
          <w:lang w:val="en-US"/>
          <w14:textFill>
            <w14:solidFill>
              <w14:schemeClr w14:val="tx1"/>
            </w14:solidFill>
          </w14:textFill>
        </w:rPr>
        <w:t>：</w:t>
      </w:r>
      <w:r>
        <w:rPr>
          <w:rFonts w:ascii="Times New Roman" w:hAnsi="Times New Roman" w:cs="Times New Roman"/>
          <w:b/>
          <w:bCs/>
          <w:color w:val="000000" w:themeColor="text1"/>
          <w:w w:val="99"/>
          <w:sz w:val="24"/>
          <w:szCs w:val="24"/>
          <w:highlight w:val="none"/>
          <w14:textFill>
            <w14:solidFill>
              <w14:schemeClr w14:val="tx1"/>
            </w14:solidFill>
          </w14:textFill>
        </w:rPr>
        <w:t>ug/m</w:t>
      </w:r>
      <w:r>
        <w:rPr>
          <w:rFonts w:ascii="Times New Roman" w:hAnsi="Times New Roman" w:cs="Times New Roman"/>
          <w:b/>
          <w:bCs/>
          <w:color w:val="000000" w:themeColor="text1"/>
          <w:w w:val="99"/>
          <w:sz w:val="24"/>
          <w:szCs w:val="24"/>
          <w:highlight w:val="none"/>
          <w:vertAlign w:val="superscript"/>
          <w14:textFill>
            <w14:solidFill>
              <w14:schemeClr w14:val="tx1"/>
            </w14:solidFill>
          </w14:textFill>
        </w:rPr>
        <w:t>3</w:t>
      </w:r>
    </w:p>
    <w:tbl>
      <w:tblPr>
        <w:tblStyle w:val="44"/>
        <w:tblW w:w="92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3320"/>
        <w:gridCol w:w="2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污染物名称</w:t>
            </w: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取值时间</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vMerge w:val="restart"/>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二氧化氮 NO</w:t>
            </w:r>
            <w:r>
              <w:rPr>
                <w:rFonts w:ascii="Times New Roman" w:hAnsi="Times New Roman" w:cs="Times New Roman"/>
                <w:color w:val="000000" w:themeColor="text1"/>
                <w:w w:val="99"/>
                <w:sz w:val="21"/>
                <w:szCs w:val="21"/>
                <w:highlight w:val="none"/>
                <w:vertAlign w:val="subscript"/>
                <w14:textFill>
                  <w14:solidFill>
                    <w14:schemeClr w14:val="tx1"/>
                  </w14:solidFill>
                </w14:textFill>
              </w:rPr>
              <w:t>2</w:t>
            </w: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年平均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44" w:type="dxa"/>
            <w:vMerge w:val="continue"/>
            <w:tcBorders>
              <w:top w:val="nil"/>
            </w:tcBorders>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24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vMerge w:val="continue"/>
            <w:tcBorders>
              <w:top w:val="nil"/>
            </w:tcBorders>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44" w:type="dxa"/>
            <w:vMerge w:val="restart"/>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总悬浮颗粒物 TSP</w:t>
            </w: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年平均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vMerge w:val="continue"/>
            <w:tcBorders>
              <w:top w:val="nil"/>
            </w:tcBorders>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24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vMerge w:val="restart"/>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二氧化硫 SO</w:t>
            </w:r>
            <w:r>
              <w:rPr>
                <w:rFonts w:ascii="Times New Roman" w:hAnsi="Times New Roman" w:cs="Times New Roman"/>
                <w:color w:val="000000" w:themeColor="text1"/>
                <w:w w:val="99"/>
                <w:sz w:val="21"/>
                <w:szCs w:val="21"/>
                <w:highlight w:val="none"/>
                <w:vertAlign w:val="subscript"/>
                <w14:textFill>
                  <w14:solidFill>
                    <w14:schemeClr w14:val="tx1"/>
                  </w14:solidFill>
                </w14:textFill>
              </w:rPr>
              <w:t>2</w:t>
            </w: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年平均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44" w:type="dxa"/>
            <w:vMerge w:val="continue"/>
            <w:tcBorders>
              <w:top w:val="nil"/>
            </w:tcBorders>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24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vMerge w:val="continue"/>
            <w:tcBorders>
              <w:top w:val="nil"/>
            </w:tcBorders>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44" w:type="dxa"/>
            <w:vMerge w:val="restart"/>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颗粒物 PM</w:t>
            </w:r>
            <w:r>
              <w:rPr>
                <w:rFonts w:ascii="Times New Roman" w:hAnsi="Times New Roman" w:cs="Times New Roman"/>
                <w:color w:val="000000" w:themeColor="text1"/>
                <w:w w:val="99"/>
                <w:sz w:val="21"/>
                <w:szCs w:val="21"/>
                <w:highlight w:val="none"/>
                <w:vertAlign w:val="subscript"/>
                <w14:textFill>
                  <w14:solidFill>
                    <w14:schemeClr w14:val="tx1"/>
                  </w14:solidFill>
                </w14:textFill>
              </w:rPr>
              <w:t>10</w:t>
            </w: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年平均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vMerge w:val="continue"/>
            <w:tcBorders>
              <w:top w:val="nil"/>
            </w:tcBorders>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24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44" w:type="dxa"/>
            <w:vMerge w:val="restart"/>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颗粒物 PM</w:t>
            </w:r>
            <w:r>
              <w:rPr>
                <w:rFonts w:ascii="Times New Roman" w:hAnsi="Times New Roman" w:cs="Times New Roman"/>
                <w:color w:val="000000" w:themeColor="text1"/>
                <w:w w:val="99"/>
                <w:sz w:val="21"/>
                <w:szCs w:val="21"/>
                <w:highlight w:val="none"/>
                <w:vertAlign w:val="subscript"/>
                <w14:textFill>
                  <w14:solidFill>
                    <w14:schemeClr w14:val="tx1"/>
                  </w14:solidFill>
                </w14:textFill>
              </w:rPr>
              <w:t>2.5</w:t>
            </w: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年平均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vMerge w:val="continue"/>
            <w:tcBorders>
              <w:top w:val="nil"/>
            </w:tcBorders>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24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vMerge w:val="restart"/>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一氧化碳 CO</w:t>
            </w: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24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vMerge w:val="continue"/>
            <w:tcBorders>
              <w:top w:val="nil"/>
            </w:tcBorders>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44" w:type="dxa"/>
            <w:vMerge w:val="restart"/>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臭氧 O</w:t>
            </w:r>
            <w:r>
              <w:rPr>
                <w:rFonts w:ascii="Times New Roman" w:hAnsi="Times New Roman" w:cs="Times New Roman"/>
                <w:color w:val="000000" w:themeColor="text1"/>
                <w:w w:val="99"/>
                <w:sz w:val="21"/>
                <w:szCs w:val="21"/>
                <w:highlight w:val="none"/>
                <w:vertAlign w:val="subscript"/>
                <w14:textFill>
                  <w14:solidFill>
                    <w14:schemeClr w14:val="tx1"/>
                  </w14:solidFill>
                </w14:textFill>
              </w:rPr>
              <w:t>3</w:t>
            </w: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日最大 8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44" w:type="dxa"/>
            <w:vMerge w:val="continue"/>
            <w:tcBorders>
              <w:top w:val="nil"/>
            </w:tcBorders>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32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 小时平均</w:t>
            </w:r>
          </w:p>
        </w:tc>
        <w:tc>
          <w:tcPr>
            <w:tcW w:w="2580" w:type="dxa"/>
            <w:tcMar>
              <w:top w:w="0" w:type="dxa"/>
              <w:left w:w="85" w:type="dxa"/>
              <w:bottom w:w="0" w:type="dxa"/>
              <w:right w:w="85" w:type="dxa"/>
            </w:tcMar>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200</w:t>
            </w:r>
          </w:p>
        </w:tc>
      </w:tr>
    </w:tbl>
    <w:p>
      <w:pPr>
        <w:widowControl w:val="0"/>
        <w:spacing w:line="440" w:lineRule="exact"/>
        <w:ind w:firstLine="474" w:firstLineChars="200"/>
        <w:rPr>
          <w:rFonts w:ascii="Times New Roman" w:hAnsi="Times New Roman" w:cs="Times New Roman" w:eastAsiaTheme="minorEastAsia"/>
          <w:color w:val="000000" w:themeColor="text1"/>
          <w:w w:val="99"/>
          <w:kern w:val="2"/>
          <w:sz w:val="24"/>
          <w:szCs w:val="24"/>
          <w:highlight w:val="none"/>
          <w14:textFill>
            <w14:solidFill>
              <w14:schemeClr w14:val="tx1"/>
            </w14:solidFill>
          </w14:textFill>
        </w:rPr>
      </w:pPr>
      <w:bookmarkStart w:id="27" w:name="_Hlk71204546"/>
      <w:r>
        <w:rPr>
          <w:rFonts w:ascii="Times New Roman" w:hAnsi="Times New Roman" w:cs="Times New Roman" w:eastAsiaTheme="minorEastAsia"/>
          <w:color w:val="000000" w:themeColor="text1"/>
          <w:w w:val="99"/>
          <w:kern w:val="2"/>
          <w:sz w:val="24"/>
          <w:szCs w:val="24"/>
          <w:highlight w:val="none"/>
          <w14:textFill>
            <w14:solidFill>
              <w14:schemeClr w14:val="tx1"/>
            </w14:solidFill>
          </w14:textFill>
        </w:rPr>
        <w:t>环境空气中非甲烷总烃允许浓度参考执行《大气污染物综合排放标准详解》中非甲烷总烃浓度限值。</w:t>
      </w:r>
    </w:p>
    <w:p>
      <w:pPr>
        <w:widowControl w:val="0"/>
        <w:spacing w:line="440" w:lineRule="exact"/>
        <w:ind w:firstLine="436" w:firstLineChars="200"/>
        <w:rPr>
          <w:rFonts w:ascii="Times New Roman" w:hAnsi="Times New Roman" w:cs="Times New Roman" w:eastAsiaTheme="minorEastAsia"/>
          <w:b/>
          <w:color w:val="000000" w:themeColor="text1"/>
          <w:w w:val="99"/>
          <w:kern w:val="2"/>
          <w:szCs w:val="20"/>
          <w:highlight w:val="none"/>
          <w14:textFill>
            <w14:solidFill>
              <w14:schemeClr w14:val="tx1"/>
            </w14:solidFill>
          </w14:textFill>
        </w:rPr>
      </w:pPr>
      <w:r>
        <w:rPr>
          <w:rFonts w:ascii="Times New Roman" w:hAnsi="Times New Roman" w:cs="Times New Roman" w:eastAsiaTheme="minorEastAsia"/>
          <w:b/>
          <w:color w:val="000000" w:themeColor="text1"/>
          <w:w w:val="99"/>
          <w:kern w:val="2"/>
          <w:szCs w:val="20"/>
          <w:highlight w:val="none"/>
          <w14:textFill>
            <w14:solidFill>
              <w14:schemeClr w14:val="tx1"/>
            </w14:solidFill>
          </w14:textFill>
        </w:rPr>
        <w:t>表2.</w:t>
      </w:r>
      <w:r>
        <w:rPr>
          <w:rFonts w:hint="eastAsia" w:ascii="Times New Roman" w:hAnsi="Times New Roman" w:cs="Times New Roman" w:eastAsiaTheme="minorEastAsia"/>
          <w:b/>
          <w:color w:val="000000" w:themeColor="text1"/>
          <w:w w:val="99"/>
          <w:kern w:val="2"/>
          <w:szCs w:val="20"/>
          <w:highlight w:val="none"/>
          <w:lang w:val="en-US" w:eastAsia="zh-CN"/>
          <w14:textFill>
            <w14:solidFill>
              <w14:schemeClr w14:val="tx1"/>
            </w14:solidFill>
          </w14:textFill>
        </w:rPr>
        <w:t>4</w:t>
      </w:r>
      <w:r>
        <w:rPr>
          <w:rFonts w:ascii="Times New Roman" w:hAnsi="Times New Roman" w:cs="Times New Roman" w:eastAsiaTheme="minorEastAsia"/>
          <w:b/>
          <w:color w:val="000000" w:themeColor="text1"/>
          <w:w w:val="99"/>
          <w:kern w:val="2"/>
          <w:szCs w:val="20"/>
          <w:highlight w:val="none"/>
          <w14:textFill>
            <w14:solidFill>
              <w14:schemeClr w14:val="tx1"/>
            </w14:solidFill>
          </w14:textFill>
        </w:rPr>
        <w:t>-2</w:t>
      </w:r>
      <w:r>
        <w:rPr>
          <w:rFonts w:hint="eastAsia" w:ascii="Times New Roman" w:hAnsi="Times New Roman" w:cs="Times New Roman" w:eastAsiaTheme="minorEastAsia"/>
          <w:b/>
          <w:color w:val="000000" w:themeColor="text1"/>
          <w:w w:val="99"/>
          <w:kern w:val="2"/>
          <w:szCs w:val="20"/>
          <w:highlight w:val="none"/>
          <w:lang w:val="en-US" w:eastAsia="zh-CN"/>
          <w14:textFill>
            <w14:solidFill>
              <w14:schemeClr w14:val="tx1"/>
            </w14:solidFill>
          </w14:textFill>
        </w:rPr>
        <w:t xml:space="preserve">    </w:t>
      </w:r>
      <w:r>
        <w:rPr>
          <w:rFonts w:ascii="Times New Roman" w:hAnsi="Times New Roman" w:cs="Times New Roman" w:eastAsiaTheme="minorEastAsia"/>
          <w:b/>
          <w:color w:val="000000" w:themeColor="text1"/>
          <w:w w:val="99"/>
          <w:kern w:val="2"/>
          <w:szCs w:val="20"/>
          <w:highlight w:val="none"/>
          <w14:textFill>
            <w14:solidFill>
              <w14:schemeClr w14:val="tx1"/>
            </w14:solidFill>
          </w14:textFill>
        </w:rPr>
        <w:t xml:space="preserve">    大气污染物综合排放标准详解 </w:t>
      </w:r>
      <w:r>
        <w:rPr>
          <w:rFonts w:hint="eastAsia" w:ascii="Times New Roman" w:hAnsi="Times New Roman" w:cs="Times New Roman" w:eastAsiaTheme="minorEastAsia"/>
          <w:b/>
          <w:color w:val="000000" w:themeColor="text1"/>
          <w:w w:val="99"/>
          <w:kern w:val="2"/>
          <w:szCs w:val="20"/>
          <w:highlight w:val="none"/>
          <w:lang w:val="en-US" w:eastAsia="zh-CN"/>
          <w14:textFill>
            <w14:solidFill>
              <w14:schemeClr w14:val="tx1"/>
            </w14:solidFill>
          </w14:textFill>
        </w:rPr>
        <w:t xml:space="preserve">     </w:t>
      </w:r>
      <w:r>
        <w:rPr>
          <w:rFonts w:ascii="Times New Roman" w:hAnsi="Times New Roman" w:cs="Times New Roman" w:eastAsiaTheme="minorEastAsia"/>
          <w:b/>
          <w:color w:val="000000" w:themeColor="text1"/>
          <w:w w:val="99"/>
          <w:kern w:val="2"/>
          <w:szCs w:val="20"/>
          <w:highlight w:val="none"/>
          <w14:textFill>
            <w14:solidFill>
              <w14:schemeClr w14:val="tx1"/>
            </w14:solidFill>
          </w14:textFill>
        </w:rPr>
        <w:t xml:space="preserve">   单位：</w:t>
      </w:r>
      <w:r>
        <w:rPr>
          <w:rFonts w:ascii="Times New Roman" w:hAnsi="Times New Roman" w:cs="Times New Roman" w:eastAsiaTheme="minorEastAsia"/>
          <w:b/>
          <w:color w:val="000000" w:themeColor="text1"/>
          <w:w w:val="99"/>
          <w:kern w:val="2"/>
          <w:szCs w:val="21"/>
          <w:highlight w:val="none"/>
          <w14:textFill>
            <w14:solidFill>
              <w14:schemeClr w14:val="tx1"/>
            </w14:solidFill>
          </w14:textFill>
        </w:rPr>
        <w:t>mg/m</w:t>
      </w:r>
      <w:r>
        <w:rPr>
          <w:rFonts w:ascii="Times New Roman" w:hAnsi="Times New Roman" w:cs="Times New Roman" w:eastAsiaTheme="minorEastAsia"/>
          <w:b/>
          <w:color w:val="000000" w:themeColor="text1"/>
          <w:w w:val="99"/>
          <w:kern w:val="2"/>
          <w:szCs w:val="21"/>
          <w:highlight w:val="none"/>
          <w:vertAlign w:val="superscript"/>
          <w14:textFill>
            <w14:solidFill>
              <w14:schemeClr w14:val="tx1"/>
            </w14:solidFill>
          </w14:textFill>
        </w:rPr>
        <w:t>3</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7"/>
        <w:gridCol w:w="2254"/>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vAlign w:val="center"/>
          </w:tcPr>
          <w:p>
            <w:pPr>
              <w:widowControl w:val="0"/>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标准</w:t>
            </w:r>
          </w:p>
        </w:tc>
        <w:tc>
          <w:tcPr>
            <w:tcW w:w="1213" w:type="pct"/>
            <w:vAlign w:val="center"/>
          </w:tcPr>
          <w:p>
            <w:pPr>
              <w:widowControl w:val="0"/>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污染物名称</w:t>
            </w:r>
          </w:p>
        </w:tc>
        <w:tc>
          <w:tcPr>
            <w:tcW w:w="1319" w:type="pct"/>
            <w:vAlign w:val="center"/>
          </w:tcPr>
          <w:p>
            <w:pPr>
              <w:widowControl w:val="0"/>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vAlign w:val="center"/>
          </w:tcPr>
          <w:p>
            <w:pPr>
              <w:widowControl w:val="0"/>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《大气污染物综合排放标准详解》</w:t>
            </w:r>
          </w:p>
        </w:tc>
        <w:tc>
          <w:tcPr>
            <w:tcW w:w="1213" w:type="pct"/>
            <w:vAlign w:val="center"/>
          </w:tcPr>
          <w:p>
            <w:pPr>
              <w:widowControl w:val="0"/>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非甲烷总烃</w:t>
            </w:r>
          </w:p>
        </w:tc>
        <w:tc>
          <w:tcPr>
            <w:tcW w:w="1319" w:type="pct"/>
            <w:vAlign w:val="center"/>
          </w:tcPr>
          <w:p>
            <w:pPr>
              <w:widowControl w:val="0"/>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2.0</w:t>
            </w:r>
          </w:p>
        </w:tc>
      </w:tr>
      <w:bookmarkEnd w:id="27"/>
    </w:tbl>
    <w:p>
      <w:pPr>
        <w:pStyle w:val="11"/>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default" w:ascii="Times New Roman" w:hAnsi="Times New Roman" w:cs="Times New Roman"/>
          <w:color w:val="000000" w:themeColor="text1"/>
          <w:w w:val="99"/>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根据《大庆市人民政府关于印发大庆市声环境功能区划分、大庆市环境空气质量功能区划分、大庆市地表水环境功能区划分的通知》（庆政发[2019]11号），</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大同区八井子乡钱家屯</w:t>
      </w:r>
      <w:r>
        <w:rPr>
          <w:rFonts w:ascii="Times New Roman" w:hAnsi="Times New Roman" w:cs="Times New Roman"/>
          <w:color w:val="000000" w:themeColor="text1"/>
          <w:w w:val="99"/>
          <w:sz w:val="24"/>
          <w:szCs w:val="24"/>
          <w:highlight w:val="none"/>
          <w14:textFill>
            <w14:solidFill>
              <w14:schemeClr w14:val="tx1"/>
            </w14:solidFill>
          </w14:textFill>
        </w:rPr>
        <w:t>等村屯为</w:t>
      </w:r>
      <w:r>
        <w:rPr>
          <w:rFonts w:hint="eastAsia" w:ascii="Times New Roman" w:hAnsi="Times New Roman" w:cs="Times New Roman"/>
          <w:color w:val="000000" w:themeColor="text1"/>
          <w:w w:val="99"/>
          <w:sz w:val="24"/>
          <w:szCs w:val="24"/>
          <w:highlight w:val="none"/>
          <w14:textFill>
            <w14:solidFill>
              <w14:schemeClr w14:val="tx1"/>
            </w14:solidFill>
          </w14:textFill>
        </w:rPr>
        <w:t>1类区</w:t>
      </w:r>
      <w:r>
        <w:rPr>
          <w:rFonts w:ascii="Times New Roman" w:hAnsi="Times New Roman" w:cs="Times New Roman"/>
          <w:color w:val="000000" w:themeColor="text1"/>
          <w:w w:val="99"/>
          <w:sz w:val="24"/>
          <w:szCs w:val="24"/>
          <w:highlight w:val="none"/>
          <w14:textFill>
            <w14:solidFill>
              <w14:schemeClr w14:val="tx1"/>
            </w14:solidFill>
          </w14:textFill>
        </w:rPr>
        <w:t>声环境现状执行《声环境质量标准》（GB3096-2008</w:t>
      </w:r>
      <w:r>
        <w:rPr>
          <w:rFonts w:hint="eastAsia" w:ascii="Times New Roman" w:hAnsi="Times New Roman" w:cs="Times New Roman"/>
          <w:color w:val="000000" w:themeColor="text1"/>
          <w:w w:val="99"/>
          <w:sz w:val="24"/>
          <w:szCs w:val="24"/>
          <w:highlight w:val="none"/>
          <w14:textFill>
            <w14:solidFill>
              <w14:schemeClr w14:val="tx1"/>
            </w14:solidFill>
          </w14:textFill>
        </w:rPr>
        <w:t>）中标准，</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拟建租赁配注站厂址</w:t>
      </w:r>
      <w:r>
        <w:rPr>
          <w:rFonts w:ascii="Times New Roman" w:hAnsi="Times New Roman" w:cs="Times New Roman"/>
          <w:color w:val="000000" w:themeColor="text1"/>
          <w:w w:val="99"/>
          <w:sz w:val="24"/>
          <w:szCs w:val="24"/>
          <w:highlight w:val="none"/>
          <w14:textFill>
            <w14:solidFill>
              <w14:schemeClr w14:val="tx1"/>
            </w14:solidFill>
          </w14:textFill>
        </w:rPr>
        <w:t>执行《声环境质量标准》（GB3096-2008</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2类区标准，</w:t>
      </w:r>
    </w:p>
    <w:p>
      <w:pPr>
        <w:pStyle w:val="11"/>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详见表2.4-</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表2.4-</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3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声环境质量标准</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单位：dB（A）</w:t>
      </w:r>
    </w:p>
    <w:tbl>
      <w:tblPr>
        <w:tblStyle w:val="3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9"/>
        <w:gridCol w:w="1289"/>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项  目</w:t>
            </w:r>
          </w:p>
        </w:tc>
        <w:tc>
          <w:tcPr>
            <w:tcW w:w="128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昼  间</w:t>
            </w:r>
          </w:p>
        </w:tc>
        <w:tc>
          <w:tcPr>
            <w:tcW w:w="155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《声环境质量标准》（GB3096-2008）中1类标准</w:t>
            </w:r>
          </w:p>
        </w:tc>
        <w:tc>
          <w:tcPr>
            <w:tcW w:w="128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55</w:t>
            </w:r>
          </w:p>
        </w:tc>
        <w:tc>
          <w:tcPr>
            <w:tcW w:w="155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《声环境质量标准》（GB3096-2008）中</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类标准</w:t>
            </w:r>
          </w:p>
        </w:tc>
        <w:tc>
          <w:tcPr>
            <w:tcW w:w="1289" w:type="dxa"/>
            <w:tcBorders>
              <w:tl2br w:val="nil"/>
              <w:tr2bl w:val="nil"/>
            </w:tcBorders>
            <w:vAlign w:val="center"/>
          </w:tcPr>
          <w:p>
            <w:pPr>
              <w:autoSpaceDE/>
              <w:autoSpaceDN/>
              <w:spacing w:line="360" w:lineRule="exac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60</w:t>
            </w:r>
          </w:p>
        </w:tc>
        <w:tc>
          <w:tcPr>
            <w:tcW w:w="1550" w:type="dxa"/>
            <w:tcBorders>
              <w:tl2br w:val="nil"/>
              <w:tr2bl w:val="nil"/>
            </w:tcBorders>
            <w:vAlign w:val="center"/>
          </w:tcPr>
          <w:p>
            <w:pPr>
              <w:autoSpaceDE/>
              <w:autoSpaceDN/>
              <w:spacing w:line="360" w:lineRule="exac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50</w:t>
            </w:r>
          </w:p>
        </w:tc>
      </w:tr>
    </w:tbl>
    <w:p>
      <w:pPr>
        <w:keepNext w:val="0"/>
        <w:keepLines w:val="0"/>
        <w:pageBreakBefore w:val="0"/>
        <w:widowControl/>
        <w:kinsoku/>
        <w:wordWrap/>
        <w:overflowPunct/>
        <w:topLinePunct w:val="0"/>
        <w:autoSpaceDE w:val="0"/>
        <w:autoSpaceDN w:val="0"/>
        <w:bidi w:val="0"/>
        <w:adjustRightInd/>
        <w:snapToGrid w:val="0"/>
        <w:spacing w:line="440" w:lineRule="exact"/>
        <w:ind w:firstLine="474" w:firstLineChars="200"/>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（3）</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根据《大庆市人民政府关于印发大庆市声环境功能区划分、大庆市环境空气质量功能区划分、大庆市地表水环境功能区划分的通知》（庆政发〔2019〕11号）可知，</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康家围子泡</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未进行</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功能区划，</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参照</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执行《地表水环境质量标准》（GB3838-2002）V类标准</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具体见表2.4-</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4</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表2.4-</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4</w:t>
      </w:r>
      <w:r>
        <w:rPr>
          <w:rFonts w:ascii="Times New Roman" w:hAnsi="Times New Roman" w:cs="Times New Roman"/>
          <w:b/>
          <w:bCs/>
          <w:color w:val="000000" w:themeColor="text1"/>
          <w:w w:val="99"/>
          <w:sz w:val="24"/>
          <w:szCs w:val="24"/>
          <w:highlight w:val="none"/>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地表水环境质量标准</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单位：mg/L（pH值除外）</w:t>
      </w:r>
    </w:p>
    <w:tbl>
      <w:tblPr>
        <w:tblStyle w:val="3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426"/>
        <w:gridCol w:w="1086"/>
        <w:gridCol w:w="966"/>
        <w:gridCol w:w="1060"/>
        <w:gridCol w:w="1151"/>
        <w:gridCol w:w="1166"/>
        <w:gridCol w:w="121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3" w:hRule="atLeast"/>
          <w:jc w:val="center"/>
        </w:trPr>
        <w:tc>
          <w:tcPr>
            <w:tcW w:w="2426"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项目</w:t>
            </w:r>
          </w:p>
        </w:tc>
        <w:tc>
          <w:tcPr>
            <w:tcW w:w="1086"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pH</w:t>
            </w:r>
          </w:p>
        </w:tc>
        <w:tc>
          <w:tcPr>
            <w:tcW w:w="966"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COD</w:t>
            </w:r>
          </w:p>
        </w:tc>
        <w:tc>
          <w:tcPr>
            <w:tcW w:w="1060"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NH</w:t>
            </w:r>
            <w:r>
              <w:rPr>
                <w:rFonts w:ascii="Times New Roman" w:hAnsi="Times New Roman" w:cs="Times New Roman"/>
                <w:color w:val="000000" w:themeColor="text1"/>
                <w:w w:val="99"/>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sz w:val="21"/>
                <w:szCs w:val="21"/>
                <w:highlight w:val="none"/>
                <w:lang w:val="en-US" w:bidi="ar-SA"/>
                <w14:textFill>
                  <w14:solidFill>
                    <w14:schemeClr w14:val="tx1"/>
                  </w14:solidFill>
                </w14:textFill>
              </w:rPr>
              <w:t>-N</w:t>
            </w:r>
          </w:p>
        </w:tc>
        <w:tc>
          <w:tcPr>
            <w:tcW w:w="1151"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石油类</w:t>
            </w:r>
          </w:p>
        </w:tc>
        <w:tc>
          <w:tcPr>
            <w:tcW w:w="1166" w:type="dxa"/>
            <w:vAlign w:val="center"/>
          </w:tcPr>
          <w:p>
            <w:pPr>
              <w:widowControl/>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挥发酚</w:t>
            </w:r>
          </w:p>
        </w:tc>
        <w:tc>
          <w:tcPr>
            <w:tcW w:w="1214"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硫化物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3" w:hRule="atLeast"/>
          <w:jc w:val="center"/>
        </w:trPr>
        <w:tc>
          <w:tcPr>
            <w:tcW w:w="2426"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（GB3838-2002）V类标准限值</w:t>
            </w:r>
          </w:p>
        </w:tc>
        <w:tc>
          <w:tcPr>
            <w:tcW w:w="1086"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6-9</w:t>
            </w:r>
          </w:p>
        </w:tc>
        <w:tc>
          <w:tcPr>
            <w:tcW w:w="966"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≤40</w:t>
            </w:r>
          </w:p>
        </w:tc>
        <w:tc>
          <w:tcPr>
            <w:tcW w:w="1060"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≤2.0</w:t>
            </w:r>
          </w:p>
        </w:tc>
        <w:tc>
          <w:tcPr>
            <w:tcW w:w="1151"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≤1.0</w:t>
            </w:r>
          </w:p>
        </w:tc>
        <w:tc>
          <w:tcPr>
            <w:tcW w:w="1166" w:type="dxa"/>
            <w:vAlign w:val="center"/>
          </w:tcPr>
          <w:p>
            <w:pPr>
              <w:widowControl/>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0.1</w:t>
            </w:r>
          </w:p>
        </w:tc>
        <w:tc>
          <w:tcPr>
            <w:tcW w:w="1214" w:type="dxa"/>
            <w:vAlign w:val="center"/>
          </w:tcPr>
          <w:p>
            <w:pPr>
              <w:widowControl/>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≤1.0</w:t>
            </w:r>
          </w:p>
        </w:tc>
      </w:tr>
    </w:tbl>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50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井场</w:t>
      </w:r>
      <w:r>
        <w:rPr>
          <w:rFonts w:ascii="Times New Roman" w:hAnsi="Times New Roman" w:cs="Times New Roman"/>
          <w:color w:val="000000" w:themeColor="text1"/>
          <w:w w:val="99"/>
          <w:sz w:val="24"/>
          <w:szCs w:val="24"/>
          <w:highlight w:val="none"/>
          <w14:textFill>
            <w14:solidFill>
              <w14:schemeClr w14:val="tx1"/>
            </w14:solidFill>
          </w14:textFill>
        </w:rPr>
        <w:t>及场站</w:t>
      </w:r>
      <w:r>
        <w:rPr>
          <w:rFonts w:hint="eastAsia" w:ascii="Times New Roman" w:hAnsi="Times New Roman" w:cs="Times New Roman"/>
          <w:color w:val="000000" w:themeColor="text1"/>
          <w:w w:val="99"/>
          <w:sz w:val="24"/>
          <w:szCs w:val="24"/>
          <w:highlight w:val="none"/>
          <w14:textFill>
            <w14:solidFill>
              <w14:schemeClr w14:val="tx1"/>
            </w14:solidFill>
          </w14:textFill>
        </w:rPr>
        <w:t>永久占地内</w:t>
      </w:r>
      <w:r>
        <w:rPr>
          <w:rFonts w:ascii="Times New Roman" w:hAnsi="Times New Roman" w:cs="Times New Roman"/>
          <w:color w:val="000000" w:themeColor="text1"/>
          <w:w w:val="99"/>
          <w:sz w:val="24"/>
          <w:szCs w:val="24"/>
          <w:highlight w:val="none"/>
          <w14:textFill>
            <w14:solidFill>
              <w14:schemeClr w14:val="tx1"/>
            </w14:solidFill>
          </w14:textFill>
        </w:rPr>
        <w:t>土壤执行《土壤环境质量 建设用地土壤污染风险管控标准（试行）》（GB36600-2018）</w:t>
      </w:r>
      <w:r>
        <w:rPr>
          <w:rFonts w:ascii="Times New Roman" w:hAnsi="Times New Roman" w:cs="Times New Roman"/>
          <w:color w:val="000000" w:themeColor="text1"/>
          <w:w w:val="99"/>
          <w:sz w:val="24"/>
          <w:szCs w:val="24"/>
          <w:highlight w:val="none"/>
          <w:lang w:val="en-US"/>
          <w14:textFill>
            <w14:solidFill>
              <w14:schemeClr w14:val="tx1"/>
            </w14:solidFill>
          </w14:textFill>
        </w:rPr>
        <w:t>表1（基本项目）中第二类用地筛选值标准，以及表2（其他项目）中第二类用地石油烃筛选值标准</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永久</w:t>
      </w:r>
      <w:r>
        <w:rPr>
          <w:rFonts w:ascii="Times New Roman" w:hAnsi="Times New Roman" w:cs="Times New Roman"/>
          <w:color w:val="000000" w:themeColor="text1"/>
          <w:w w:val="99"/>
          <w:sz w:val="24"/>
          <w:szCs w:val="24"/>
          <w:highlight w:val="none"/>
          <w:lang w:val="en-US"/>
          <w14:textFill>
            <w14:solidFill>
              <w14:schemeClr w14:val="tx1"/>
            </w14:solidFill>
          </w14:textFill>
        </w:rPr>
        <w:t>占地外</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村屯内土壤</w:t>
      </w:r>
      <w:r>
        <w:rPr>
          <w:rFonts w:ascii="Times New Roman" w:hAnsi="Times New Roman" w:cs="Times New Roman"/>
          <w:color w:val="000000" w:themeColor="text1"/>
          <w:w w:val="99"/>
          <w:sz w:val="24"/>
          <w:szCs w:val="24"/>
          <w:highlight w:val="none"/>
          <w:lang w:val="en-US"/>
          <w14:textFill>
            <w14:solidFill>
              <w14:schemeClr w14:val="tx1"/>
            </w14:solidFill>
          </w14:textFill>
        </w:rPr>
        <w:t>执行《土壤环境质量 建设用地土壤污染风险管控标准（试行）》（GB36600-2018）表1（基本项目）中第</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一</w:t>
      </w:r>
      <w:r>
        <w:rPr>
          <w:rFonts w:ascii="Times New Roman" w:hAnsi="Times New Roman" w:cs="Times New Roman"/>
          <w:color w:val="000000" w:themeColor="text1"/>
          <w:w w:val="99"/>
          <w:sz w:val="24"/>
          <w:szCs w:val="24"/>
          <w:highlight w:val="none"/>
          <w:lang w:val="en-US"/>
          <w14:textFill>
            <w14:solidFill>
              <w14:schemeClr w14:val="tx1"/>
            </w14:solidFill>
          </w14:textFill>
        </w:rPr>
        <w:t>类用地筛选值标准，以及表2（其他项目）中第</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一</w:t>
      </w:r>
      <w:r>
        <w:rPr>
          <w:rFonts w:ascii="Times New Roman" w:hAnsi="Times New Roman" w:cs="Times New Roman"/>
          <w:color w:val="000000" w:themeColor="text1"/>
          <w:w w:val="99"/>
          <w:sz w:val="24"/>
          <w:szCs w:val="24"/>
          <w:highlight w:val="none"/>
          <w:lang w:val="en-US"/>
          <w14:textFill>
            <w14:solidFill>
              <w14:schemeClr w14:val="tx1"/>
            </w14:solidFill>
          </w14:textFill>
        </w:rPr>
        <w:t>类用地石油烃筛选值标准</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见表2.4-</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5</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耕地</w:t>
      </w:r>
      <w:r>
        <w:rPr>
          <w:rFonts w:ascii="Times New Roman" w:hAnsi="Times New Roman" w:cs="Times New Roman"/>
          <w:color w:val="000000" w:themeColor="text1"/>
          <w:w w:val="99"/>
          <w:sz w:val="24"/>
          <w:szCs w:val="24"/>
          <w:highlight w:val="none"/>
          <w14:textFill>
            <w14:solidFill>
              <w14:schemeClr w14:val="tx1"/>
            </w14:solidFill>
          </w14:textFill>
        </w:rPr>
        <w:t>和草地等农用地执行《土壤环境质量农用地土壤污染风险管控标准（试行）》（GB15618-2018）表1农用地土壤污染风险筛选值，见表2.4-</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6</w:t>
      </w:r>
      <w:r>
        <w:rPr>
          <w:rFonts w:ascii="Times New Roman" w:hAnsi="Times New Roman" w:cs="Times New Roman"/>
          <w:color w:val="000000" w:themeColor="text1"/>
          <w:w w:val="99"/>
          <w:sz w:val="24"/>
          <w:szCs w:val="24"/>
          <w:highlight w:val="none"/>
          <w14:textFill>
            <w14:solidFill>
              <w14:schemeClr w14:val="tx1"/>
            </w14:solidFill>
          </w14:textFill>
        </w:rPr>
        <w:t xml:space="preserve">。  </w:t>
      </w:r>
    </w:p>
    <w:p>
      <w:pPr>
        <w:pStyle w:val="45"/>
        <w:tabs>
          <w:tab w:val="left" w:pos="1571"/>
        </w:tabs>
        <w:spacing w:line="440" w:lineRule="exact"/>
        <w:ind w:left="0"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表2.4-</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5</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建设用地土壤污染风险筛选值</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单位：mg/kg</w:t>
      </w:r>
    </w:p>
    <w:tbl>
      <w:tblPr>
        <w:tblStyle w:val="3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03"/>
        <w:gridCol w:w="2440"/>
        <w:gridCol w:w="1477"/>
        <w:gridCol w:w="1619"/>
        <w:gridCol w:w="295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Merge w:val="restar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序号</w:t>
            </w:r>
          </w:p>
        </w:tc>
        <w:tc>
          <w:tcPr>
            <w:tcW w:w="1313" w:type="pct"/>
            <w:vMerge w:val="restar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监测项目</w:t>
            </w:r>
          </w:p>
        </w:tc>
        <w:tc>
          <w:tcPr>
            <w:tcW w:w="795"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筛选值</w:t>
            </w:r>
          </w:p>
        </w:tc>
        <w:tc>
          <w:tcPr>
            <w:tcW w:w="871"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筛选值</w:t>
            </w:r>
          </w:p>
        </w:tc>
        <w:tc>
          <w:tcPr>
            <w:tcW w:w="1590" w:type="pct"/>
            <w:vMerge w:val="restar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标准名称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c>
          <w:tcPr>
            <w:tcW w:w="1313"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c>
          <w:tcPr>
            <w:tcW w:w="795"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第</w:t>
            </w: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一</w:t>
            </w:r>
            <w:r>
              <w:rPr>
                <w:rFonts w:ascii="Times New Roman" w:hAnsi="Times New Roman" w:cs="Times New Roman"/>
                <w:color w:val="000000" w:themeColor="text1"/>
                <w:w w:val="99"/>
                <w:kern w:val="2"/>
                <w:sz w:val="21"/>
                <w:highlight w:val="none"/>
                <w:lang w:val="en-US" w:bidi="ar"/>
                <w14:textFill>
                  <w14:solidFill>
                    <w14:schemeClr w14:val="tx1"/>
                  </w14:solidFill>
                </w14:textFill>
              </w:rPr>
              <w:t>类用地</w:t>
            </w:r>
          </w:p>
        </w:tc>
        <w:tc>
          <w:tcPr>
            <w:tcW w:w="871"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第二类用地</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w:t>
            </w:r>
          </w:p>
        </w:tc>
        <w:tc>
          <w:tcPr>
            <w:tcW w:w="1313"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As</w:t>
            </w:r>
          </w:p>
        </w:tc>
        <w:tc>
          <w:tcPr>
            <w:tcW w:w="795"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20</w:t>
            </w:r>
          </w:p>
        </w:tc>
        <w:tc>
          <w:tcPr>
            <w:tcW w:w="871"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60</w:t>
            </w:r>
          </w:p>
        </w:tc>
        <w:tc>
          <w:tcPr>
            <w:tcW w:w="1590" w:type="pct"/>
            <w:vMerge w:val="restar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《土壤环境质量 建设用地土壤污染风险管控标准（试行）》（GB36600-2018）基本项目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w:t>
            </w:r>
          </w:p>
        </w:tc>
        <w:tc>
          <w:tcPr>
            <w:tcW w:w="1313"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Cd</w:t>
            </w:r>
          </w:p>
        </w:tc>
        <w:tc>
          <w:tcPr>
            <w:tcW w:w="795"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20</w:t>
            </w:r>
          </w:p>
        </w:tc>
        <w:tc>
          <w:tcPr>
            <w:tcW w:w="871"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65</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w:t>
            </w:r>
          </w:p>
        </w:tc>
        <w:tc>
          <w:tcPr>
            <w:tcW w:w="1313"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Cr（六价）</w:t>
            </w:r>
          </w:p>
        </w:tc>
        <w:tc>
          <w:tcPr>
            <w:tcW w:w="795"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3.0</w:t>
            </w:r>
          </w:p>
        </w:tc>
        <w:tc>
          <w:tcPr>
            <w:tcW w:w="871"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5.7</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4</w:t>
            </w:r>
          </w:p>
        </w:tc>
        <w:tc>
          <w:tcPr>
            <w:tcW w:w="1313"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Cu</w:t>
            </w:r>
          </w:p>
        </w:tc>
        <w:tc>
          <w:tcPr>
            <w:tcW w:w="795"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2000</w:t>
            </w:r>
          </w:p>
        </w:tc>
        <w:tc>
          <w:tcPr>
            <w:tcW w:w="871"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18000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5</w:t>
            </w:r>
          </w:p>
        </w:tc>
        <w:tc>
          <w:tcPr>
            <w:tcW w:w="1313"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Pb</w:t>
            </w:r>
          </w:p>
        </w:tc>
        <w:tc>
          <w:tcPr>
            <w:tcW w:w="795"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400</w:t>
            </w:r>
          </w:p>
        </w:tc>
        <w:tc>
          <w:tcPr>
            <w:tcW w:w="871"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800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6</w:t>
            </w:r>
          </w:p>
        </w:tc>
        <w:tc>
          <w:tcPr>
            <w:tcW w:w="1313"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Hg</w:t>
            </w:r>
          </w:p>
        </w:tc>
        <w:tc>
          <w:tcPr>
            <w:tcW w:w="795"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8</w:t>
            </w:r>
          </w:p>
        </w:tc>
        <w:tc>
          <w:tcPr>
            <w:tcW w:w="871"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38</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7</w:t>
            </w:r>
          </w:p>
        </w:tc>
        <w:tc>
          <w:tcPr>
            <w:tcW w:w="1313"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Ni</w:t>
            </w:r>
          </w:p>
        </w:tc>
        <w:tc>
          <w:tcPr>
            <w:tcW w:w="795"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150</w:t>
            </w:r>
          </w:p>
        </w:tc>
        <w:tc>
          <w:tcPr>
            <w:tcW w:w="871"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900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8</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四氯化碳</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0.9</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2.8</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9</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氯仿</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0.3</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0.9</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10</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氯甲烷</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12</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37</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11</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1,1-二氯乙烷</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3</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9</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12</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1,2-二氯乙烷</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0.52</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5</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13</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1,1-二氯乙烯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12</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66</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14</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顺-1,2-二氯乙烯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66</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596</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15</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反-1,2-二氯乙烯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10</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54</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16</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二氯甲烷</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94</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616</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17</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1,2-二氯丙烷</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5</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18</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1,1,1,2-四氯乙烷</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2.6</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19</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1,1,2,2-四氯乙烷</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1.6</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6.8</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20</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四氯乙烯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11</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53</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21</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1,1,1-三氯乙烷</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701</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840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22</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1,1,2-三氯乙烷</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0.6</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2.8</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23</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三氯乙烯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0.7</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2.8</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24</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1,2,3-三氯丙烷</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0.</w:t>
            </w:r>
            <w:r>
              <w:rPr>
                <w:rFonts w:ascii="Times New Roman" w:hAnsi="Times New Roman" w:cs="Times New Roman"/>
                <w:color w:val="000000" w:themeColor="text1"/>
                <w:w w:val="99"/>
                <w:kern w:val="2"/>
                <w:sz w:val="21"/>
                <w:highlight w:val="none"/>
                <w:lang w:val="en-US" w:bidi="ar"/>
                <w14:textFill>
                  <w14:solidFill>
                    <w14:schemeClr w14:val="tx1"/>
                  </w14:solidFill>
                </w14:textFill>
              </w:rPr>
              <w:t>0</w:t>
            </w: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5</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0.5</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25</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氯乙烯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0.12</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0.43</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26</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4</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27</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氯苯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68</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270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28</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1,2-二氯苯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560</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560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29</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1,4-二氯苯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5.6</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30</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乙苯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7.2</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28</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31</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苯乙烯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w:t>
            </w:r>
            <w:r>
              <w:rPr>
                <w:rFonts w:ascii="Times New Roman" w:hAnsi="Times New Roman" w:cs="Times New Roman"/>
                <w:color w:val="000000" w:themeColor="text1"/>
                <w:w w:val="99"/>
                <w:kern w:val="2"/>
                <w:sz w:val="21"/>
                <w:highlight w:val="none"/>
                <w:lang w:val="en-US" w:bidi="ar"/>
                <w14:textFill>
                  <w14:solidFill>
                    <w14:schemeClr w14:val="tx1"/>
                  </w14:solidFill>
                </w14:textFill>
              </w:rPr>
              <w:t>290</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1290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32</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甲苯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1200</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1200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33</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间二甲苯+对二甲苯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163</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570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34</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邻二甲苯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222</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640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35</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硝基苯</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34</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76</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36</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苯胺</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92</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260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37</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2-氯酚</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250</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2256</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38</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苯并［a］蒽</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5.5</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15</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39</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苯并［a］芘</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0.55</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1.5</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40</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苯并［b］荧蒽</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5.5</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15</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41</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苯并［k］荧蒽</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55</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151</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42</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䓛</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490</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1293</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43</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二苯并［a,h］蒽</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0.55</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1.5</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44</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茚并［1,2,3-cd］芘</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5.5</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15</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45</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萘</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25</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70</w:t>
            </w:r>
          </w:p>
        </w:tc>
        <w:tc>
          <w:tcPr>
            <w:tcW w:w="1590" w:type="pct"/>
            <w:vMerge w:val="continue"/>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 w:hRule="atLeast"/>
          <w:jc w:val="center"/>
        </w:trPr>
        <w:tc>
          <w:tcPr>
            <w:tcW w:w="432"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46</w:t>
            </w:r>
          </w:p>
        </w:tc>
        <w:tc>
          <w:tcPr>
            <w:tcW w:w="1313"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石油烃（C</w:t>
            </w:r>
            <w:r>
              <w:rPr>
                <w:rFonts w:ascii="Times New Roman" w:hAnsi="Times New Roman" w:cs="Times New Roman"/>
                <w:color w:val="000000" w:themeColor="text1"/>
                <w:w w:val="99"/>
                <w:kern w:val="2"/>
                <w:sz w:val="21"/>
                <w:highlight w:val="none"/>
                <w:vertAlign w:val="subscript"/>
                <w:lang w:val="en-US" w:bidi="ar"/>
                <w14:textFill>
                  <w14:solidFill>
                    <w14:schemeClr w14:val="tx1"/>
                  </w14:solidFill>
                </w14:textFill>
              </w:rPr>
              <w:t>10</w:t>
            </w:r>
            <w:r>
              <w:rPr>
                <w:rFonts w:ascii="Times New Roman" w:hAnsi="Times New Roman" w:cs="Times New Roman"/>
                <w:color w:val="000000" w:themeColor="text1"/>
                <w:w w:val="99"/>
                <w:kern w:val="2"/>
                <w:sz w:val="21"/>
                <w:highlight w:val="none"/>
                <w:lang w:val="en-US" w:bidi="ar"/>
                <w14:textFill>
                  <w14:solidFill>
                    <w14:schemeClr w14:val="tx1"/>
                  </w14:solidFill>
                </w14:textFill>
              </w:rPr>
              <w:t>-C</w:t>
            </w:r>
            <w:r>
              <w:rPr>
                <w:rFonts w:ascii="Times New Roman" w:hAnsi="Times New Roman" w:cs="Times New Roman"/>
                <w:color w:val="000000" w:themeColor="text1"/>
                <w:w w:val="99"/>
                <w:kern w:val="2"/>
                <w:sz w:val="21"/>
                <w:highlight w:val="none"/>
                <w:vertAlign w:val="subscript"/>
                <w:lang w:val="en-US" w:bidi="ar"/>
                <w14:textFill>
                  <w14:solidFill>
                    <w14:schemeClr w14:val="tx1"/>
                  </w14:solidFill>
                </w14:textFill>
              </w:rPr>
              <w:t>40</w:t>
            </w:r>
            <w:r>
              <w:rPr>
                <w:rFonts w:ascii="Times New Roman" w:hAnsi="Times New Roman" w:cs="Times New Roman"/>
                <w:color w:val="000000" w:themeColor="text1"/>
                <w:w w:val="99"/>
                <w:kern w:val="2"/>
                <w:sz w:val="21"/>
                <w:highlight w:val="none"/>
                <w:lang w:val="en-US" w:bidi="ar"/>
                <w14:textFill>
                  <w14:solidFill>
                    <w14:schemeClr w14:val="tx1"/>
                  </w14:solidFill>
                </w14:textFill>
              </w:rPr>
              <w:t>）</w:t>
            </w:r>
          </w:p>
        </w:tc>
        <w:tc>
          <w:tcPr>
            <w:tcW w:w="795"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highlight w:val="none"/>
                <w:lang w:val="en-US" w:bidi="ar"/>
                <w14:textFill>
                  <w14:solidFill>
                    <w14:schemeClr w14:val="tx1"/>
                  </w14:solidFill>
                </w14:textFill>
              </w:rPr>
              <w:t>826</w:t>
            </w:r>
          </w:p>
        </w:tc>
        <w:tc>
          <w:tcPr>
            <w:tcW w:w="871" w:type="pct"/>
            <w:vAlign w:val="center"/>
          </w:tcPr>
          <w:p>
            <w:pPr>
              <w:autoSpaceDE/>
              <w:autoSpaceDN/>
              <w:spacing w:line="29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4500</w:t>
            </w:r>
          </w:p>
        </w:tc>
        <w:tc>
          <w:tcPr>
            <w:tcW w:w="1590" w:type="pct"/>
            <w:vAlign w:val="center"/>
          </w:tcPr>
          <w:p>
            <w:pPr>
              <w:autoSpaceDE/>
              <w:autoSpaceDN/>
              <w:spacing w:line="270" w:lineRule="exact"/>
              <w:jc w:val="center"/>
              <w:rPr>
                <w:rFonts w:ascii="Times New Roman" w:hAnsi="Times New Roman" w:cs="Times New Roman"/>
                <w:color w:val="000000" w:themeColor="text1"/>
                <w:w w:val="99"/>
                <w:kern w:val="2"/>
                <w:sz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highlight w:val="none"/>
                <w:lang w:val="en-US" w:bidi="ar"/>
                <w14:textFill>
                  <w14:solidFill>
                    <w14:schemeClr w14:val="tx1"/>
                  </w14:solidFill>
                </w14:textFill>
              </w:rPr>
              <w:t>《土壤环境质量 建设用地土壤污染风险管控标准（试行）》（GB36600-2018）其他项目</w:t>
            </w:r>
          </w:p>
        </w:tc>
      </w:tr>
    </w:tbl>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表2.4-</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6</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农用地土壤污染风险筛选值</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单位：mg/kg</w:t>
      </w:r>
    </w:p>
    <w:tbl>
      <w:tblPr>
        <w:tblStyle w:val="3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2411"/>
        <w:gridCol w:w="2535"/>
        <w:gridCol w:w="3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restart"/>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2411" w:type="dxa"/>
            <w:vMerge w:val="restart"/>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污染物项目</w:t>
            </w:r>
          </w:p>
        </w:tc>
        <w:tc>
          <w:tcPr>
            <w:tcW w:w="253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项目标准值（mg/kg）</w:t>
            </w:r>
          </w:p>
        </w:tc>
        <w:tc>
          <w:tcPr>
            <w:tcW w:w="3339" w:type="dxa"/>
            <w:vMerge w:val="restart"/>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411"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53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pH＞7.5</w:t>
            </w:r>
          </w:p>
        </w:tc>
        <w:tc>
          <w:tcPr>
            <w:tcW w:w="3339"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2411"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镉</w:t>
            </w:r>
          </w:p>
        </w:tc>
        <w:tc>
          <w:tcPr>
            <w:tcW w:w="253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0.6</w:t>
            </w:r>
          </w:p>
        </w:tc>
        <w:tc>
          <w:tcPr>
            <w:tcW w:w="3339" w:type="dxa"/>
            <w:vMerge w:val="restart"/>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《土壤环境质量农用地土壤污染风险管控标准（试行）》（GB15618-2018）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2411"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汞</w:t>
            </w:r>
          </w:p>
        </w:tc>
        <w:tc>
          <w:tcPr>
            <w:tcW w:w="253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3.4</w:t>
            </w:r>
          </w:p>
        </w:tc>
        <w:tc>
          <w:tcPr>
            <w:tcW w:w="3339" w:type="dxa"/>
            <w:vMerge w:val="continue"/>
            <w:tcBorders>
              <w:tl2br w:val="nil"/>
              <w:tr2bl w:val="nil"/>
            </w:tcBorders>
            <w:vAlign w:val="center"/>
          </w:tcPr>
          <w:p>
            <w:pPr>
              <w:widowControl/>
              <w:autoSpaceDE/>
              <w:autoSpaceDN/>
              <w:adjustRightInd w:val="0"/>
              <w:snapToGrid w:val="0"/>
              <w:spacing w:line="360" w:lineRule="exact"/>
              <w:jc w:val="center"/>
              <w:textAlignment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2411"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砷</w:t>
            </w:r>
          </w:p>
        </w:tc>
        <w:tc>
          <w:tcPr>
            <w:tcW w:w="253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25</w:t>
            </w:r>
          </w:p>
        </w:tc>
        <w:tc>
          <w:tcPr>
            <w:tcW w:w="3339" w:type="dxa"/>
            <w:vMerge w:val="continue"/>
            <w:tcBorders>
              <w:tl2br w:val="nil"/>
              <w:tr2bl w:val="nil"/>
            </w:tcBorders>
            <w:vAlign w:val="center"/>
          </w:tcPr>
          <w:p>
            <w:pPr>
              <w:widowControl/>
              <w:autoSpaceDE/>
              <w:autoSpaceDN/>
              <w:adjustRightInd w:val="0"/>
              <w:snapToGrid w:val="0"/>
              <w:spacing w:line="360" w:lineRule="exact"/>
              <w:jc w:val="center"/>
              <w:textAlignment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w:t>
            </w:r>
          </w:p>
        </w:tc>
        <w:tc>
          <w:tcPr>
            <w:tcW w:w="2411"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铅</w:t>
            </w:r>
          </w:p>
        </w:tc>
        <w:tc>
          <w:tcPr>
            <w:tcW w:w="253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170</w:t>
            </w:r>
          </w:p>
        </w:tc>
        <w:tc>
          <w:tcPr>
            <w:tcW w:w="3339" w:type="dxa"/>
            <w:vMerge w:val="continue"/>
            <w:tcBorders>
              <w:tl2br w:val="nil"/>
              <w:tr2bl w:val="nil"/>
            </w:tcBorders>
            <w:vAlign w:val="center"/>
          </w:tcPr>
          <w:p>
            <w:pPr>
              <w:widowControl/>
              <w:autoSpaceDE/>
              <w:autoSpaceDN/>
              <w:adjustRightInd w:val="0"/>
              <w:snapToGrid w:val="0"/>
              <w:spacing w:line="360" w:lineRule="exact"/>
              <w:jc w:val="center"/>
              <w:textAlignment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w:t>
            </w:r>
          </w:p>
        </w:tc>
        <w:tc>
          <w:tcPr>
            <w:tcW w:w="2411"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铬</w:t>
            </w:r>
          </w:p>
        </w:tc>
        <w:tc>
          <w:tcPr>
            <w:tcW w:w="253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250</w:t>
            </w:r>
          </w:p>
        </w:tc>
        <w:tc>
          <w:tcPr>
            <w:tcW w:w="3339" w:type="dxa"/>
            <w:vMerge w:val="continue"/>
            <w:tcBorders>
              <w:tl2br w:val="nil"/>
              <w:tr2bl w:val="nil"/>
            </w:tcBorders>
            <w:vAlign w:val="center"/>
          </w:tcPr>
          <w:p>
            <w:pPr>
              <w:widowControl/>
              <w:autoSpaceDE/>
              <w:autoSpaceDN/>
              <w:adjustRightInd w:val="0"/>
              <w:snapToGrid w:val="0"/>
              <w:spacing w:line="360" w:lineRule="exact"/>
              <w:jc w:val="center"/>
              <w:textAlignment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w:t>
            </w:r>
          </w:p>
        </w:tc>
        <w:tc>
          <w:tcPr>
            <w:tcW w:w="2411"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铜</w:t>
            </w:r>
          </w:p>
        </w:tc>
        <w:tc>
          <w:tcPr>
            <w:tcW w:w="253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100</w:t>
            </w:r>
          </w:p>
        </w:tc>
        <w:tc>
          <w:tcPr>
            <w:tcW w:w="3339" w:type="dxa"/>
            <w:vMerge w:val="continue"/>
            <w:tcBorders>
              <w:tl2br w:val="nil"/>
              <w:tr2bl w:val="nil"/>
            </w:tcBorders>
            <w:vAlign w:val="center"/>
          </w:tcPr>
          <w:p>
            <w:pPr>
              <w:widowControl/>
              <w:autoSpaceDE/>
              <w:autoSpaceDN/>
              <w:adjustRightInd w:val="0"/>
              <w:snapToGrid w:val="0"/>
              <w:spacing w:line="360" w:lineRule="exact"/>
              <w:jc w:val="center"/>
              <w:textAlignment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w:t>
            </w:r>
          </w:p>
        </w:tc>
        <w:tc>
          <w:tcPr>
            <w:tcW w:w="2411"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镍</w:t>
            </w:r>
          </w:p>
        </w:tc>
        <w:tc>
          <w:tcPr>
            <w:tcW w:w="253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190</w:t>
            </w:r>
          </w:p>
        </w:tc>
        <w:tc>
          <w:tcPr>
            <w:tcW w:w="3339" w:type="dxa"/>
            <w:vMerge w:val="continue"/>
            <w:tcBorders>
              <w:tl2br w:val="nil"/>
              <w:tr2bl w:val="nil"/>
            </w:tcBorders>
            <w:vAlign w:val="center"/>
          </w:tcPr>
          <w:p>
            <w:pPr>
              <w:widowControl/>
              <w:autoSpaceDE/>
              <w:autoSpaceDN/>
              <w:adjustRightInd w:val="0"/>
              <w:snapToGrid w:val="0"/>
              <w:spacing w:line="360" w:lineRule="exact"/>
              <w:jc w:val="center"/>
              <w:textAlignment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w:t>
            </w:r>
          </w:p>
        </w:tc>
        <w:tc>
          <w:tcPr>
            <w:tcW w:w="2411"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锌</w:t>
            </w:r>
          </w:p>
        </w:tc>
        <w:tc>
          <w:tcPr>
            <w:tcW w:w="253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300</w:t>
            </w:r>
          </w:p>
        </w:tc>
        <w:tc>
          <w:tcPr>
            <w:tcW w:w="3339" w:type="dxa"/>
            <w:vMerge w:val="continue"/>
            <w:tcBorders>
              <w:tl2br w:val="nil"/>
              <w:tr2bl w:val="nil"/>
            </w:tcBorders>
            <w:vAlign w:val="center"/>
          </w:tcPr>
          <w:p>
            <w:pPr>
              <w:widowControl/>
              <w:autoSpaceDE/>
              <w:autoSpaceDN/>
              <w:adjustRightInd w:val="0"/>
              <w:snapToGrid w:val="0"/>
              <w:spacing w:line="360" w:lineRule="exact"/>
              <w:jc w:val="center"/>
              <w:textAlignment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r>
    </w:tbl>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500" w:lineRule="exact"/>
        <w:ind w:left="0"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）根据调查，评价区域地下水</w:t>
      </w:r>
      <w:r>
        <w:rPr>
          <w:rFonts w:hint="eastAsia" w:ascii="Times New Roman" w:hAnsi="Times New Roman" w:cs="Times New Roman"/>
          <w:color w:val="000000" w:themeColor="text1"/>
          <w:w w:val="99"/>
          <w:sz w:val="24"/>
          <w:szCs w:val="24"/>
          <w:highlight w:val="none"/>
          <w14:textFill>
            <w14:solidFill>
              <w14:schemeClr w14:val="tx1"/>
            </w14:solidFill>
          </w14:textFill>
        </w:rPr>
        <w:t>主要</w:t>
      </w:r>
      <w:r>
        <w:rPr>
          <w:rFonts w:ascii="Times New Roman" w:hAnsi="Times New Roman" w:cs="Times New Roman"/>
          <w:color w:val="000000" w:themeColor="text1"/>
          <w:w w:val="99"/>
          <w:sz w:val="24"/>
          <w:szCs w:val="24"/>
          <w:highlight w:val="none"/>
          <w14:textFill>
            <w14:solidFill>
              <w14:schemeClr w14:val="tx1"/>
            </w14:solidFill>
          </w14:textFill>
        </w:rPr>
        <w:t>使用功能为农业灌溉用水，地下水环境执行《地下水质量标准》（GB/T14848-2017）III 类，石油类参照《地表水环境质量标准》（GB3838-2002）中的Ⅰ类标准执行，具体见表</w:t>
      </w:r>
      <w:r>
        <w:rPr>
          <w:rFonts w:ascii="Times New Roman" w:hAnsi="Times New Roman" w:cs="Times New Roman"/>
          <w:color w:val="000000" w:themeColor="text1"/>
          <w:w w:val="99"/>
          <w:sz w:val="24"/>
          <w:szCs w:val="24"/>
          <w:highlight w:val="none"/>
          <w:lang w:val="en-US"/>
          <w14:textFill>
            <w14:solidFill>
              <w14:schemeClr w14:val="tx1"/>
            </w14:solidFill>
          </w14:textFill>
        </w:rPr>
        <w:t>2.4-</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71"/>
        </w:tabs>
        <w:spacing w:line="440" w:lineRule="exact"/>
        <w:ind w:left="0" w:firstLine="476" w:firstLineChars="200"/>
        <w:jc w:val="both"/>
        <w:rPr>
          <w:rFonts w:ascii="Times New Roman" w:hAnsi="Times New Roman" w:cs="Times New Roman"/>
          <w:b/>
          <w:bCs/>
          <w:color w:val="000000" w:themeColor="text1"/>
          <w:w w:val="99"/>
          <w:sz w:val="28"/>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2.4-</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地下水环境质量标准</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单位：mg/L（pH除外）</w:t>
      </w:r>
    </w:p>
    <w:tbl>
      <w:tblPr>
        <w:tblStyle w:val="3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6"/>
        <w:gridCol w:w="2456"/>
        <w:gridCol w:w="3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right"/>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sz w:val="21"/>
                <w:highlight w:val="none"/>
                <w:lang w:val="en-US" w:bidi="ar-SA"/>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-71755</wp:posOffset>
                      </wp:positionH>
                      <wp:positionV relativeFrom="paragraph">
                        <wp:posOffset>-635</wp:posOffset>
                      </wp:positionV>
                      <wp:extent cx="2000250" cy="466725"/>
                      <wp:effectExtent l="1270" t="4445" r="17780" b="5080"/>
                      <wp:wrapNone/>
                      <wp:docPr id="9" name="直接连接符 9"/>
                      <wp:cNvGraphicFramePr/>
                      <a:graphic xmlns:a="http://schemas.openxmlformats.org/drawingml/2006/main">
                        <a:graphicData uri="http://schemas.microsoft.com/office/word/2010/wordprocessingShape">
                          <wps:wsp>
                            <wps:cNvCnPr/>
                            <wps:spPr>
                              <a:xfrm flipH="1" flipV="1">
                                <a:off x="828675" y="7242810"/>
                                <a:ext cx="200025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65pt;margin-top:-0.05pt;height:36.75pt;width:157.5pt;z-index:251662336;mso-width-relative:page;mso-height-relative:page;" filled="f" stroked="t" coordsize="21600,21600" o:gfxdata="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MVws3TAAAACAEAAA8AAAAAAAAAAQAgAAAAIgAAAGRycy9kb3ducmV2LnhtbFBLAQIUABQA&#10;AAAIAIdO4kDj2Jb49QEAAL4DAAAOAAAAAAAAAAEAIAAAACIBAABkcnMvZTJvRG9jLnhtbFBLBQYA&#10;AAAABgAGAFkBAACJBQAAAAA=&#10;">
                      <v:fill on="f" focussize="0,0"/>
                      <v:stroke color="#000000 [3213]" joinstyle="round"/>
                      <v:imagedata o:title=""/>
                      <o:lock v:ext="edit" aspectratio="f"/>
                    </v:line>
                  </w:pict>
                </mc:Fallback>
              </mc:AlternateConten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类别</w:t>
            </w:r>
          </w:p>
          <w:p>
            <w:pPr>
              <w:autoSpaceDE/>
              <w:autoSpaceDN/>
              <w:spacing w:line="360" w:lineRule="exact"/>
              <w:ind w:firstLine="414" w:firstLineChars="200"/>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项目</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标准</w:t>
            </w:r>
          </w:p>
        </w:tc>
        <w:tc>
          <w:tcPr>
            <w:tcW w:w="3696" w:type="dxa"/>
            <w:tcBorders>
              <w:tl2br w:val="nil"/>
              <w:tr2bl w:val="nil"/>
            </w:tcBorders>
            <w:vAlign w:val="center"/>
          </w:tcPr>
          <w:p>
            <w:pPr>
              <w:autoSpaceDE/>
              <w:autoSpaceDN/>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6.5～8.5（无纲量）</w:t>
            </w:r>
          </w:p>
        </w:tc>
        <w:tc>
          <w:tcPr>
            <w:tcW w:w="3696" w:type="dxa"/>
            <w:vMerge w:val="restart"/>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《地下水质量标准》（GB/T14848-2017）中III类标准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氨氮（mg/L）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≤0.5</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硝酸盐(以N计)（mg/L）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亚硝酸盐(以N计)（mg/L）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0.1</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挥发性酚类（mg/L）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≤0.002</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氰化物（mg/L）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≤0.05</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砷（mg/L）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汞（mg/L）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≤0.001</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铬（六价）（mg/L）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≤0.05</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总硬度（mg/L）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≤450</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铅（mg/L）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氟化物（mg/L）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镉（mg/L）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钠（mg/L）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≤200</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铁（mg/L）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≤0.3</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锰（mg/L）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≤0.1</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溶解性总固体（mg/L）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≤1000</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耗氧量（mg/L）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硫酸盐（mg/L）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≤250</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氯化物（mg/L）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≤250</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总大肠菌群（MPN/100mL）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菌落总数（CFU/mL）</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≤100</w:t>
            </w:r>
          </w:p>
        </w:tc>
        <w:tc>
          <w:tcPr>
            <w:tcW w:w="3696"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24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≤0.05</w:t>
            </w:r>
          </w:p>
        </w:tc>
        <w:tc>
          <w:tcPr>
            <w:tcW w:w="369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《地表水环境质量标准》（GB3838-2002）表1中环境质量标准基建设项目标准限值</w:t>
            </w:r>
          </w:p>
        </w:tc>
      </w:tr>
    </w:tbl>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bookmarkStart w:id="28" w:name="_Toc15759"/>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2.4.2 污染物排放标准</w:t>
      </w:r>
    </w:p>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2.4.2.1 废气污染物排放标准</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施工期扬尘执行《大气污染物综合排放标准》（GB16297-1996）中无组织排放监控浓度限值。</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（2）</w:t>
      </w:r>
      <w:r>
        <w:rPr>
          <w:rFonts w:ascii="Times New Roman" w:hAnsi="Times New Roman" w:cs="Times New Roman"/>
          <w:color w:val="000000" w:themeColor="text1"/>
          <w:w w:val="99"/>
          <w:sz w:val="24"/>
          <w:highlight w:val="none"/>
          <w14:textFill>
            <w14:solidFill>
              <w14:schemeClr w14:val="tx1"/>
            </w14:solidFill>
          </w14:textFill>
        </w:rPr>
        <w:t>运营期</w:t>
      </w:r>
      <w:r>
        <w:rPr>
          <w:rFonts w:hint="eastAsia" w:ascii="Times New Roman" w:hAnsi="Times New Roman" w:cs="Times New Roman"/>
          <w:color w:val="000000" w:themeColor="text1"/>
          <w:w w:val="99"/>
          <w:sz w:val="24"/>
          <w:highlight w:val="none"/>
          <w14:textFill>
            <w14:solidFill>
              <w14:schemeClr w14:val="tx1"/>
            </w14:solidFill>
          </w14:textFill>
        </w:rPr>
        <w:t>井场</w:t>
      </w:r>
      <w:r>
        <w:rPr>
          <w:rFonts w:ascii="Times New Roman" w:hAnsi="Times New Roman" w:cs="Times New Roman"/>
          <w:color w:val="000000" w:themeColor="text1"/>
          <w:w w:val="99"/>
          <w:sz w:val="24"/>
          <w:highlight w:val="none"/>
          <w14:textFill>
            <w14:solidFill>
              <w14:schemeClr w14:val="tx1"/>
            </w14:solidFill>
          </w14:textFill>
        </w:rPr>
        <w:t>及</w:t>
      </w:r>
      <w:r>
        <w:rPr>
          <w:rFonts w:hint="eastAsia" w:ascii="Times New Roman" w:hAnsi="Times New Roman" w:cs="Times New Roman"/>
          <w:color w:val="000000" w:themeColor="text1"/>
          <w:w w:val="99"/>
          <w:sz w:val="24"/>
          <w:highlight w:val="none"/>
          <w14:textFill>
            <w14:solidFill>
              <w14:schemeClr w14:val="tx1"/>
            </w14:solidFill>
          </w14:textFill>
        </w:rPr>
        <w:t>依托场站</w:t>
      </w:r>
      <w:r>
        <w:rPr>
          <w:rFonts w:ascii="Times New Roman" w:hAnsi="Times New Roman" w:cs="Times New Roman"/>
          <w:color w:val="000000" w:themeColor="text1"/>
          <w:w w:val="99"/>
          <w:sz w:val="24"/>
          <w:highlight w:val="none"/>
          <w14:textFill>
            <w14:solidFill>
              <w14:schemeClr w14:val="tx1"/>
            </w14:solidFill>
          </w14:textFill>
        </w:rPr>
        <w:t>厂界外 VOCs（以非甲烷总烃计）执行《大气污染物综合排放标准》（GB16297-1996）中无组织排放监控浓度限值</w:t>
      </w:r>
      <w:r>
        <w:rPr>
          <w:rFonts w:hint="eastAsia" w:ascii="Times New Roman" w:hAnsi="Times New Roman" w:cs="Times New Roman"/>
          <w:color w:val="000000" w:themeColor="text1"/>
          <w:w w:val="99"/>
          <w:sz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具体见表</w:t>
      </w:r>
      <w:r>
        <w:rPr>
          <w:rFonts w:ascii="Times New Roman" w:hAnsi="Times New Roman" w:cs="Times New Roman"/>
          <w:color w:val="000000" w:themeColor="text1"/>
          <w:w w:val="99"/>
          <w:sz w:val="24"/>
          <w:szCs w:val="24"/>
          <w:highlight w:val="none"/>
          <w:lang w:val="en-US"/>
          <w14:textFill>
            <w14:solidFill>
              <w14:schemeClr w14:val="tx1"/>
            </w14:solidFill>
          </w14:textFill>
        </w:rPr>
        <w:t>2.4-7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highlight w:val="none"/>
          <w14:textFill>
            <w14:solidFill>
              <w14:schemeClr w14:val="tx1"/>
            </w14:solidFill>
          </w14:textFill>
        </w:rPr>
        <w:t>2023年1月1日起执行《陆上石油天然气开采工业大气污染物排放标准》（GB39728-2020）中</w:t>
      </w:r>
      <w:r>
        <w:rPr>
          <w:rFonts w:hint="eastAsia" w:ascii="Times New Roman" w:hAnsi="Times New Roman" w:cs="Times New Roman"/>
          <w:color w:val="000000" w:themeColor="text1"/>
          <w:w w:val="99"/>
          <w:sz w:val="24"/>
          <w:highlight w:val="none"/>
          <w14:textFill>
            <w14:solidFill>
              <w14:schemeClr w14:val="tx1"/>
            </w14:solidFill>
          </w14:textFill>
        </w:rPr>
        <w:t>相关</w:t>
      </w:r>
      <w:r>
        <w:rPr>
          <w:rFonts w:ascii="Times New Roman" w:hAnsi="Times New Roman" w:cs="Times New Roman"/>
          <w:color w:val="000000" w:themeColor="text1"/>
          <w:w w:val="99"/>
          <w:sz w:val="24"/>
          <w:highlight w:val="none"/>
          <w14:textFill>
            <w14:solidFill>
              <w14:schemeClr w14:val="tx1"/>
            </w14:solidFill>
          </w14:textFill>
        </w:rPr>
        <w:t>标准要求</w:t>
      </w:r>
      <w:r>
        <w:rPr>
          <w:rFonts w:hint="eastAsia" w:ascii="Times New Roman" w:hAnsi="Times New Roman" w:cs="Times New Roman"/>
          <w:color w:val="000000" w:themeColor="text1"/>
          <w:w w:val="99"/>
          <w:sz w:val="24"/>
          <w:highlight w:val="none"/>
          <w14:textFill>
            <w14:solidFill>
              <w14:schemeClr w14:val="tx1"/>
            </w14:solidFill>
          </w14:textFill>
        </w:rPr>
        <w:t>，具体</w:t>
      </w:r>
      <w:r>
        <w:rPr>
          <w:rFonts w:ascii="Times New Roman" w:hAnsi="Times New Roman" w:cs="Times New Roman"/>
          <w:color w:val="000000" w:themeColor="text1"/>
          <w:w w:val="99"/>
          <w:sz w:val="24"/>
          <w:highlight w:val="none"/>
          <w14:textFill>
            <w14:solidFill>
              <w14:schemeClr w14:val="tx1"/>
            </w14:solidFill>
          </w14:textFill>
        </w:rPr>
        <w:t>见</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表2.4-</w:t>
      </w:r>
      <w:r>
        <w:rPr>
          <w:rFonts w:ascii="Times New Roman" w:hAnsi="Times New Roman" w:cs="Times New Roman"/>
          <w:color w:val="000000" w:themeColor="text1"/>
          <w:w w:val="99"/>
          <w:sz w:val="24"/>
          <w:szCs w:val="24"/>
          <w:highlight w:val="none"/>
          <w:lang w:val="en-US"/>
          <w14:textFill>
            <w14:solidFill>
              <w14:schemeClr w14:val="tx1"/>
            </w14:solidFill>
          </w14:textFill>
        </w:rPr>
        <w:t>8。</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2.4-7        </w:t>
      </w:r>
      <w:r>
        <w:rPr>
          <w:rFonts w:ascii="Times New Roman" w:hAnsi="Times New Roman" w:cs="Times New Roman"/>
          <w:b/>
          <w:bCs/>
          <w:color w:val="000000" w:themeColor="text1"/>
          <w:w w:val="99"/>
          <w:sz w:val="24"/>
          <w:szCs w:val="24"/>
          <w:highlight w:val="none"/>
          <w14:textFill>
            <w14:solidFill>
              <w14:schemeClr w14:val="tx1"/>
            </w14:solidFill>
          </w14:textFill>
        </w:rPr>
        <w:t>大气污染物综合排放标准</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单位：mg/m</w:t>
      </w:r>
      <w:r>
        <w:rPr>
          <w:rFonts w:ascii="Times New Roman" w:hAnsi="Times New Roman" w:cs="Times New Roman"/>
          <w:b/>
          <w:bCs/>
          <w:color w:val="000000" w:themeColor="text1"/>
          <w:w w:val="99"/>
          <w:sz w:val="24"/>
          <w:szCs w:val="24"/>
          <w:highlight w:val="none"/>
          <w:vertAlign w:val="superscript"/>
          <w14:textFill>
            <w14:solidFill>
              <w14:schemeClr w14:val="tx1"/>
            </w14:solidFill>
          </w14:textFill>
        </w:rPr>
        <w:t>3</w:t>
      </w:r>
    </w:p>
    <w:tbl>
      <w:tblPr>
        <w:tblStyle w:val="32"/>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4"/>
        <w:gridCol w:w="3037"/>
        <w:gridCol w:w="3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dxa"/>
            <w:vMerge w:val="restart"/>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污染物</w:t>
            </w:r>
          </w:p>
        </w:tc>
        <w:tc>
          <w:tcPr>
            <w:tcW w:w="6336" w:type="dxa"/>
            <w:gridSpan w:val="2"/>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dxa"/>
            <w:vMerge w:val="continue"/>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037"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监控点</w:t>
            </w:r>
          </w:p>
        </w:tc>
        <w:tc>
          <w:tcPr>
            <w:tcW w:w="3299"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颗粒物</w:t>
            </w:r>
          </w:p>
        </w:tc>
        <w:tc>
          <w:tcPr>
            <w:tcW w:w="3037"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周界外浓度最高点</w:t>
            </w:r>
          </w:p>
        </w:tc>
        <w:tc>
          <w:tcPr>
            <w:tcW w:w="3299"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非甲烷总烃</w:t>
            </w:r>
          </w:p>
        </w:tc>
        <w:tc>
          <w:tcPr>
            <w:tcW w:w="3037"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周界外浓度最高点</w:t>
            </w:r>
          </w:p>
        </w:tc>
        <w:tc>
          <w:tcPr>
            <w:tcW w:w="3299"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4.0</w:t>
            </w:r>
          </w:p>
        </w:tc>
      </w:tr>
    </w:tbl>
    <w:p>
      <w:pPr>
        <w:pStyle w:val="45"/>
        <w:tabs>
          <w:tab w:val="left" w:pos="1571"/>
        </w:tabs>
        <w:spacing w:line="440" w:lineRule="exact"/>
        <w:ind w:left="0"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b/>
          <w:bCs/>
          <w:color w:val="000000" w:themeColor="text1"/>
          <w:w w:val="99"/>
          <w:sz w:val="24"/>
          <w:szCs w:val="24"/>
          <w:highlight w:val="none"/>
          <w14:textFill>
            <w14:solidFill>
              <w14:schemeClr w14:val="tx1"/>
            </w14:solidFill>
          </w14:textFill>
        </w:rPr>
        <w:t>表</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2.4-</w:t>
      </w:r>
      <w:r>
        <w:rPr>
          <w:rFonts w:ascii="Times New Roman" w:hAnsi="Times New Roman" w:cs="Times New Roman"/>
          <w:b/>
          <w:bCs/>
          <w:color w:val="000000" w:themeColor="text1"/>
          <w:w w:val="99"/>
          <w:sz w:val="24"/>
          <w:szCs w:val="24"/>
          <w:highlight w:val="none"/>
          <w:lang w:val="en-US"/>
          <w14:textFill>
            <w14:solidFill>
              <w14:schemeClr w14:val="tx1"/>
            </w14:solidFill>
          </w14:textFill>
        </w:rPr>
        <w:t>8</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非甲烷总烃厂界排放标准</w:t>
      </w:r>
    </w:p>
    <w:tbl>
      <w:tblPr>
        <w:tblStyle w:val="3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7"/>
        <w:gridCol w:w="5793"/>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7"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污染物</w:t>
            </w:r>
          </w:p>
        </w:tc>
        <w:tc>
          <w:tcPr>
            <w:tcW w:w="5801" w:type="dxa"/>
            <w:gridSpan w:val="2"/>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40" w:hRule="atLeast"/>
          <w:jc w:val="center"/>
        </w:trPr>
        <w:tc>
          <w:tcPr>
            <w:tcW w:w="3487"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非甲烷总烃</w:t>
            </w:r>
          </w:p>
        </w:tc>
        <w:tc>
          <w:tcPr>
            <w:tcW w:w="5793" w:type="dxa"/>
            <w:tcBorders>
              <w:tl2br w:val="nil"/>
              <w:tr2bl w:val="nil"/>
            </w:tcBorders>
            <w:vAlign w:val="center"/>
          </w:tcPr>
          <w:p>
            <w:pPr>
              <w:snapToGrid w:val="0"/>
              <w:spacing w:line="360" w:lineRule="exact"/>
              <w:jc w:val="center"/>
              <w:rPr>
                <w:rFonts w:ascii="Times New Roman" w:hAnsi="Times New Roman"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14:textFill>
                  <w14:solidFill>
                    <w14:schemeClr w14:val="tx1"/>
                  </w14:solidFill>
                </w14:textFill>
              </w:rPr>
              <w:t>油气集中处理站、涉及凝析油或天然气凝液的天然气处理厂、储油库边界非甲烷总烃浓度不应超过</w:t>
            </w:r>
            <w:r>
              <w:rPr>
                <w:rFonts w:ascii="Times New Roman" w:hAnsi="Times New Roman" w:cs="Times New Roman"/>
                <w:color w:val="000000" w:themeColor="text1"/>
                <w:w w:val="99"/>
                <w:sz w:val="21"/>
                <w:szCs w:val="21"/>
                <w:highlight w:val="none"/>
                <w:lang w:val="en-US"/>
                <w14:textFill>
                  <w14:solidFill>
                    <w14:schemeClr w14:val="tx1"/>
                  </w14:solidFill>
                </w14:textFill>
              </w:rPr>
              <w:t>4.0 mg/m</w:t>
            </w:r>
            <w:r>
              <w:rPr>
                <w:rFonts w:hint="eastAsia" w:ascii="Times New Roman" w:hAnsi="Times New Roman" w:cs="Times New Roman"/>
                <w:color w:val="000000" w:themeColor="text1"/>
                <w:w w:val="99"/>
                <w:sz w:val="21"/>
                <w:szCs w:val="21"/>
                <w:highlight w:val="none"/>
                <w:vertAlign w:val="superscript"/>
                <w:lang w:val="en-US"/>
                <w14:textFill>
                  <w14:solidFill>
                    <w14:schemeClr w14:val="tx1"/>
                  </w14:solidFill>
                </w14:textFill>
              </w:rPr>
              <w:t>3</w:t>
            </w:r>
          </w:p>
        </w:tc>
      </w:tr>
    </w:tbl>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（3）陆上石油天然气开采工业大气污染物排放标准其他</w:t>
      </w:r>
      <w:r>
        <w:rPr>
          <w:rFonts w:ascii="Times New Roman" w:hAnsi="Times New Roman" w:cs="Times New Roman"/>
          <w:color w:val="000000" w:themeColor="text1"/>
          <w:w w:val="99"/>
          <w:sz w:val="24"/>
          <w:szCs w:val="24"/>
          <w:highlight w:val="none"/>
          <w14:textFill>
            <w14:solidFill>
              <w14:schemeClr w14:val="tx1"/>
            </w14:solidFill>
          </w14:textFill>
        </w:rPr>
        <w:t>要求</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原油储存控制符合标准中第</w:t>
      </w:r>
      <w:r>
        <w:rPr>
          <w:rFonts w:ascii="Times New Roman" w:hAnsi="Times New Roman" w:cs="Times New Roman"/>
          <w:color w:val="000000" w:themeColor="text1"/>
          <w:w w:val="99"/>
          <w:sz w:val="24"/>
          <w:szCs w:val="24"/>
          <w:highlight w:val="none"/>
          <w14:textFill>
            <w14:solidFill>
              <w14:schemeClr w14:val="tx1"/>
            </w14:solidFill>
          </w14:textFill>
        </w:rPr>
        <w:t xml:space="preserve"> 5.2.2.1 要求：现有原油储罐采用固定顶罐的单罐设计容</w:t>
      </w:r>
      <w:r>
        <w:rPr>
          <w:rFonts w:hint="eastAsia" w:ascii="Times New Roman" w:hAnsi="Times New Roman" w:cs="Times New Roman"/>
          <w:color w:val="000000" w:themeColor="text1"/>
          <w:w w:val="99"/>
          <w:sz w:val="24"/>
          <w:szCs w:val="24"/>
          <w:highlight w:val="none"/>
          <w14:textFill>
            <w14:solidFill>
              <w14:schemeClr w14:val="tx1"/>
            </w14:solidFill>
          </w14:textFill>
        </w:rPr>
        <w:t>积＞</w:t>
      </w:r>
      <w:r>
        <w:rPr>
          <w:rFonts w:ascii="Times New Roman" w:hAnsi="Times New Roman" w:cs="Times New Roman"/>
          <w:color w:val="000000" w:themeColor="text1"/>
          <w:w w:val="99"/>
          <w:sz w:val="24"/>
          <w:szCs w:val="24"/>
          <w:highlight w:val="none"/>
          <w14:textFill>
            <w14:solidFill>
              <w14:schemeClr w14:val="tx1"/>
            </w14:solidFill>
          </w14:textFill>
        </w:rPr>
        <w:t>100m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 xml:space="preserve"> ，物料真实蒸气压＞66.7kPa；</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储罐运行维护符合标准中第</w:t>
      </w:r>
      <w:r>
        <w:rPr>
          <w:rFonts w:ascii="Times New Roman" w:hAnsi="Times New Roman" w:cs="Times New Roman"/>
          <w:color w:val="000000" w:themeColor="text1"/>
          <w:w w:val="99"/>
          <w:sz w:val="24"/>
          <w:szCs w:val="24"/>
          <w:highlight w:val="none"/>
          <w14:textFill>
            <w14:solidFill>
              <w14:schemeClr w14:val="tx1"/>
            </w14:solidFill>
          </w14:textFill>
        </w:rPr>
        <w:t xml:space="preserve"> 5.2.3 要求：固定顶罐罐体应保持完好，储罐附件开口</w:t>
      </w:r>
      <w:r>
        <w:rPr>
          <w:rFonts w:hint="eastAsia" w:ascii="Times New Roman" w:hAnsi="Times New Roman" w:cs="Times New Roman"/>
          <w:color w:val="000000" w:themeColor="text1"/>
          <w:w w:val="99"/>
          <w:sz w:val="24"/>
          <w:szCs w:val="24"/>
          <w:highlight w:val="none"/>
          <w14:textFill>
            <w14:solidFill>
              <w14:schemeClr w14:val="tx1"/>
            </w14:solidFill>
          </w14:textFill>
        </w:rPr>
        <w:t>（孔），处采样、计量、例行检查、维护和其他正常活动外，应密闭，应定期检查呼吸阀的定压是否符合设定要求；</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废水集输和处理系统排放控制符合标准中</w:t>
      </w:r>
      <w:r>
        <w:rPr>
          <w:rFonts w:ascii="Times New Roman" w:hAnsi="Times New Roman" w:cs="Times New Roman"/>
          <w:color w:val="000000" w:themeColor="text1"/>
          <w:w w:val="99"/>
          <w:sz w:val="24"/>
          <w:szCs w:val="24"/>
          <w:highlight w:val="none"/>
          <w14:textFill>
            <w14:solidFill>
              <w14:schemeClr w14:val="tx1"/>
            </w14:solidFill>
          </w14:textFill>
        </w:rPr>
        <w:t xml:space="preserve"> 5.4 要求：油田采出水应采用密闭管道集</w:t>
      </w:r>
      <w:r>
        <w:rPr>
          <w:rFonts w:hint="eastAsia" w:ascii="Times New Roman" w:hAnsi="Times New Roman" w:cs="Times New Roman"/>
          <w:color w:val="000000" w:themeColor="text1"/>
          <w:w w:val="99"/>
          <w:sz w:val="24"/>
          <w:szCs w:val="24"/>
          <w:highlight w:val="none"/>
          <w14:textFill>
            <w14:solidFill>
              <w14:schemeClr w14:val="tx1"/>
            </w14:solidFill>
          </w14:textFill>
        </w:rPr>
        <w:t>输，接入口和排出口采取与环境空气隔离的措施。</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有组织</w:t>
      </w:r>
      <w:r>
        <w:rPr>
          <w:rFonts w:ascii="Times New Roman" w:hAnsi="Times New Roman" w:cs="Times New Roman"/>
          <w:color w:val="000000" w:themeColor="text1"/>
          <w:w w:val="99"/>
          <w:sz w:val="24"/>
          <w:szCs w:val="24"/>
          <w:highlight w:val="none"/>
          <w14:textFill>
            <w14:solidFill>
              <w14:schemeClr w14:val="tx1"/>
            </w14:solidFill>
          </w14:textFill>
        </w:rPr>
        <w:t>排放控制要求符合标准</w:t>
      </w:r>
      <w:r>
        <w:rPr>
          <w:rFonts w:hint="eastAsia" w:ascii="Times New Roman" w:hAnsi="Times New Roman" w:cs="Times New Roman"/>
          <w:color w:val="000000" w:themeColor="text1"/>
          <w:w w:val="99"/>
          <w:sz w:val="24"/>
          <w:szCs w:val="24"/>
          <w:highlight w:val="none"/>
          <w14:textFill>
            <w14:solidFill>
              <w14:schemeClr w14:val="tx1"/>
            </w14:solidFill>
          </w14:textFill>
        </w:rPr>
        <w:t>5.6要求</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非甲烷总烃</w:t>
      </w:r>
      <w:r>
        <w:rPr>
          <w:rFonts w:ascii="Times New Roman" w:hAnsi="Times New Roman" w:cs="Times New Roman"/>
          <w:color w:val="000000" w:themeColor="text1"/>
          <w:w w:val="99"/>
          <w:sz w:val="24"/>
          <w:szCs w:val="24"/>
          <w:highlight w:val="none"/>
          <w14:textFill>
            <w14:solidFill>
              <w14:schemeClr w14:val="tx1"/>
            </w14:solidFill>
          </w14:textFill>
        </w:rPr>
        <w:t>排放浓度不超过</w:t>
      </w:r>
      <w:r>
        <w:rPr>
          <w:rFonts w:hint="eastAsia" w:ascii="Times New Roman" w:hAnsi="Times New Roman" w:cs="Times New Roman"/>
          <w:color w:val="000000" w:themeColor="text1"/>
          <w:w w:val="99"/>
          <w:sz w:val="24"/>
          <w:szCs w:val="24"/>
          <w:highlight w:val="none"/>
          <w14:textFill>
            <w14:solidFill>
              <w14:schemeClr w14:val="tx1"/>
            </w14:solidFill>
          </w14:textFill>
        </w:rPr>
        <w:t>120</w:t>
      </w:r>
      <w:r>
        <w:rPr>
          <w:rFonts w:ascii="Times New Roman" w:hAnsi="Times New Roman" w:cs="Times New Roman"/>
          <w:color w:val="000000" w:themeColor="text1"/>
          <w:w w:val="99"/>
          <w:sz w:val="24"/>
          <w:szCs w:val="24"/>
          <w:highlight w:val="none"/>
          <w14:textFill>
            <w14:solidFill>
              <w14:schemeClr w14:val="tx1"/>
            </w14:solidFill>
          </w14:textFill>
        </w:rPr>
        <w:t>mg/m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3</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生产装置和设施排气中非甲烷总烃初始排放速率≥3kg/h的，废气处理设施非甲烷总烃去除率</w:t>
      </w:r>
      <w:r>
        <w:rPr>
          <w:rFonts w:hint="eastAsia" w:ascii="Times New Roman" w:hAnsi="Times New Roman" w:cs="Times New Roman"/>
          <w:color w:val="000000" w:themeColor="text1"/>
          <w:w w:val="99"/>
          <w:sz w:val="24"/>
          <w:szCs w:val="24"/>
          <w:highlight w:val="none"/>
          <w14:textFill>
            <w14:solidFill>
              <w14:schemeClr w14:val="tx1"/>
            </w14:solidFill>
          </w14:textFill>
        </w:rPr>
        <w:t>不低于80</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45"/>
        <w:keepNext w:val="0"/>
        <w:keepLines w:val="0"/>
        <w:pageBreakBefore w:val="0"/>
        <w:widowControl w:val="0"/>
        <w:numPr>
          <w:ilvl w:val="0"/>
          <w:numId w:val="3"/>
        </w:numPr>
        <w:tabs>
          <w:tab w:val="left" w:pos="1571"/>
        </w:tabs>
        <w:kinsoku/>
        <w:wordWrap/>
        <w:overflowPunct/>
        <w:topLinePunct w:val="0"/>
        <w:autoSpaceDE w:val="0"/>
        <w:autoSpaceDN w:val="0"/>
        <w:bidi w:val="0"/>
        <w:adjustRightInd/>
        <w:snapToGrid/>
        <w:spacing w:line="440" w:lineRule="exact"/>
        <w:ind w:left="-34" w:leftChars="0" w:firstLine="474" w:firstLineChars="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项目</w:t>
      </w:r>
      <w:r>
        <w:rPr>
          <w:rFonts w:ascii="Times New Roman" w:hAnsi="Times New Roman" w:cs="Times New Roman"/>
          <w:color w:val="000000" w:themeColor="text1"/>
          <w:w w:val="99"/>
          <w:sz w:val="24"/>
          <w:szCs w:val="24"/>
          <w:highlight w:val="none"/>
          <w14:textFill>
            <w14:solidFill>
              <w14:schemeClr w14:val="tx1"/>
            </w14:solidFill>
          </w14:textFill>
        </w:rPr>
        <w:t>运营期依托</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葡北</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9#</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转油站、葡北</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10#</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转油站</w:t>
      </w:r>
      <w:r>
        <w:rPr>
          <w:rFonts w:hint="eastAsia" w:ascii="Times New Roman" w:hAnsi="Times New Roman" w:cs="Times New Roman"/>
          <w:color w:val="000000" w:themeColor="text1"/>
          <w:w w:val="99"/>
          <w:sz w:val="24"/>
          <w:szCs w:val="24"/>
          <w:highlight w:val="none"/>
          <w14:textFill>
            <w14:solidFill>
              <w14:schemeClr w14:val="tx1"/>
            </w14:solidFill>
          </w14:textFill>
        </w:rPr>
        <w:t>等</w:t>
      </w:r>
      <w:r>
        <w:rPr>
          <w:rFonts w:ascii="Times New Roman" w:hAnsi="Times New Roman" w:cs="Times New Roman"/>
          <w:color w:val="000000" w:themeColor="text1"/>
          <w:w w:val="99"/>
          <w:sz w:val="24"/>
          <w:szCs w:val="24"/>
          <w:highlight w:val="none"/>
          <w:lang w:val="en-US"/>
          <w14:textFill>
            <w14:solidFill>
              <w14:schemeClr w14:val="tx1"/>
            </w14:solidFill>
          </w14:textFill>
        </w:rPr>
        <w:t>场站</w:t>
      </w:r>
      <w:r>
        <w:rPr>
          <w:rFonts w:hint="eastAsia" w:ascii="Times New Roman" w:hAnsi="Times New Roman" w:cs="Times New Roman"/>
          <w:color w:val="000000" w:themeColor="text1"/>
          <w:w w:val="99"/>
          <w:sz w:val="24"/>
          <w:szCs w:val="24"/>
          <w:highlight w:val="none"/>
          <w14:textFill>
            <w14:solidFill>
              <w14:schemeClr w14:val="tx1"/>
            </w14:solidFill>
          </w14:textFill>
        </w:rPr>
        <w:t>的</w:t>
      </w:r>
      <w:r>
        <w:rPr>
          <w:rFonts w:ascii="Times New Roman" w:hAnsi="Times New Roman" w:cs="Times New Roman"/>
          <w:color w:val="000000" w:themeColor="text1"/>
          <w:w w:val="99"/>
          <w:sz w:val="24"/>
          <w:szCs w:val="24"/>
          <w:highlight w:val="none"/>
          <w14:textFill>
            <w14:solidFill>
              <w14:schemeClr w14:val="tx1"/>
            </w14:solidFill>
          </w14:textFill>
        </w:rPr>
        <w:t>加热</w:t>
      </w:r>
      <w:r>
        <w:rPr>
          <w:rFonts w:hint="eastAsia" w:ascii="Times New Roman" w:hAnsi="Times New Roman" w:cs="Times New Roman"/>
          <w:color w:val="000000" w:themeColor="text1"/>
          <w:w w:val="99"/>
          <w:sz w:val="24"/>
          <w:szCs w:val="24"/>
          <w:highlight w:val="none"/>
          <w14:textFill>
            <w14:solidFill>
              <w14:schemeClr w14:val="tx1"/>
            </w14:solidFill>
          </w14:textFill>
        </w:rPr>
        <w:t>炉均为</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2014年之前建设完成的，其加热炉</w:t>
      </w:r>
      <w:r>
        <w:rPr>
          <w:rFonts w:ascii="Times New Roman" w:hAnsi="Times New Roman" w:cs="Times New Roman"/>
          <w:color w:val="000000" w:themeColor="text1"/>
          <w:w w:val="99"/>
          <w:sz w:val="24"/>
          <w:szCs w:val="24"/>
          <w:highlight w:val="none"/>
          <w14:textFill>
            <w14:solidFill>
              <w14:schemeClr w14:val="tx1"/>
            </w14:solidFill>
          </w14:textFill>
        </w:rPr>
        <w:t>产生的</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污染物</w:t>
      </w:r>
      <w:r>
        <w:rPr>
          <w:rFonts w:ascii="Times New Roman" w:hAnsi="Times New Roman" w:cs="Times New Roman"/>
          <w:color w:val="000000" w:themeColor="text1"/>
          <w:w w:val="99"/>
          <w:sz w:val="24"/>
          <w:szCs w:val="24"/>
          <w:highlight w:val="none"/>
          <w14:textFill>
            <w14:solidFill>
              <w14:schemeClr w14:val="tx1"/>
            </w14:solidFill>
          </w14:textFill>
        </w:rPr>
        <w:t>执行《锅炉大气污染物排放标准》（GB13271-2014）表1在用燃气锅炉标准，具体见表</w:t>
      </w:r>
      <w:r>
        <w:rPr>
          <w:rFonts w:ascii="Times New Roman" w:hAnsi="Times New Roman" w:cs="Times New Roman"/>
          <w:color w:val="000000" w:themeColor="text1"/>
          <w:w w:val="99"/>
          <w:sz w:val="24"/>
          <w:szCs w:val="24"/>
          <w:highlight w:val="none"/>
          <w:lang w:val="en-US"/>
          <w14:textFill>
            <w14:solidFill>
              <w14:schemeClr w14:val="tx1"/>
            </w14:solidFill>
          </w14:textFill>
        </w:rPr>
        <w:t>2.4-9</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45"/>
        <w:keepNext w:val="0"/>
        <w:keepLines w:val="0"/>
        <w:pageBreakBefore w:val="0"/>
        <w:widowControl w:val="0"/>
        <w:numPr>
          <w:ilvl w:val="0"/>
          <w:numId w:val="3"/>
        </w:numPr>
        <w:tabs>
          <w:tab w:val="left" w:pos="1571"/>
        </w:tabs>
        <w:kinsoku/>
        <w:wordWrap/>
        <w:overflowPunct/>
        <w:topLinePunct w:val="0"/>
        <w:autoSpaceDE w:val="0"/>
        <w:autoSpaceDN w:val="0"/>
        <w:bidi w:val="0"/>
        <w:adjustRightInd/>
        <w:snapToGrid/>
        <w:spacing w:line="440" w:lineRule="exact"/>
        <w:ind w:left="-34" w:leftChars="0" w:firstLine="474" w:firstLineChars="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2.4-9</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在用燃气锅炉大气污染物排放标准</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单位：mg/m</w:t>
      </w:r>
      <w:r>
        <w:rPr>
          <w:rFonts w:ascii="Times New Roman" w:hAnsi="Times New Roman" w:cs="Times New Roman"/>
          <w:b/>
          <w:bCs/>
          <w:color w:val="000000" w:themeColor="text1"/>
          <w:w w:val="99"/>
          <w:sz w:val="24"/>
          <w:szCs w:val="24"/>
          <w:highlight w:val="none"/>
          <w:vertAlign w:val="superscript"/>
          <w14:textFill>
            <w14:solidFill>
              <w14:schemeClr w14:val="tx1"/>
            </w14:solidFill>
          </w14:textFill>
        </w:rPr>
        <w:t>3</w:t>
      </w:r>
    </w:p>
    <w:tbl>
      <w:tblPr>
        <w:tblStyle w:val="3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418"/>
        <w:gridCol w:w="1275"/>
        <w:gridCol w:w="1396"/>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污染物项目</w:t>
            </w:r>
          </w:p>
        </w:tc>
        <w:tc>
          <w:tcPr>
            <w:tcW w:w="1418"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颗粒物</w:t>
            </w:r>
          </w:p>
        </w:tc>
        <w:tc>
          <w:tcPr>
            <w:tcW w:w="1275"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p>
        </w:tc>
        <w:tc>
          <w:tcPr>
            <w:tcW w:w="1396"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NOx</w:t>
            </w:r>
          </w:p>
        </w:tc>
        <w:tc>
          <w:tcPr>
            <w:tcW w:w="279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烟气黑度（林格曼级）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加热炉（在用、燃气）</w:t>
            </w:r>
          </w:p>
        </w:tc>
        <w:tc>
          <w:tcPr>
            <w:tcW w:w="1418"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w:t>
            </w:r>
          </w:p>
        </w:tc>
        <w:tc>
          <w:tcPr>
            <w:tcW w:w="1275"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100</w:t>
            </w:r>
          </w:p>
        </w:tc>
        <w:tc>
          <w:tcPr>
            <w:tcW w:w="1396"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400</w:t>
            </w:r>
          </w:p>
        </w:tc>
        <w:tc>
          <w:tcPr>
            <w:tcW w:w="279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r>
    </w:tbl>
    <w:p>
      <w:pPr>
        <w:tabs>
          <w:tab w:val="left" w:pos="1571"/>
        </w:tabs>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（5）</w:t>
      </w:r>
      <w:r>
        <w:rPr>
          <w:rFonts w:ascii="Times New Roman" w:hAnsi="Times New Roman" w:cs="Times New Roman"/>
          <w:color w:val="000000" w:themeColor="text1"/>
          <w:w w:val="99"/>
          <w:sz w:val="24"/>
          <w:szCs w:val="24"/>
          <w:highlight w:val="none"/>
          <w14:textFill>
            <w14:solidFill>
              <w14:schemeClr w14:val="tx1"/>
            </w14:solidFill>
          </w14:textFill>
        </w:rPr>
        <w:t>运营期</w:t>
      </w:r>
      <w:r>
        <w:rPr>
          <w:rFonts w:hint="eastAsia" w:ascii="Times New Roman" w:hAnsi="Times New Roman" w:cs="Times New Roman"/>
          <w:color w:val="000000" w:themeColor="text1"/>
          <w:w w:val="99"/>
          <w:sz w:val="24"/>
          <w:szCs w:val="24"/>
          <w:highlight w:val="none"/>
          <w14:textFill>
            <w14:solidFill>
              <w14:schemeClr w14:val="tx1"/>
            </w14:solidFill>
          </w14:textFill>
        </w:rPr>
        <w:t>依托场站站</w:t>
      </w:r>
      <w:r>
        <w:rPr>
          <w:rFonts w:ascii="Times New Roman" w:hAnsi="Times New Roman" w:cs="Times New Roman"/>
          <w:color w:val="000000" w:themeColor="text1"/>
          <w:w w:val="99"/>
          <w:sz w:val="24"/>
          <w:szCs w:val="24"/>
          <w:highlight w:val="none"/>
          <w14:textFill>
            <w14:solidFill>
              <w14:schemeClr w14:val="tx1"/>
            </w14:solidFill>
          </w14:textFill>
        </w:rPr>
        <w:t>内非甲烷总烃排放浓度执行《挥发性有机物无组织排放控制标准》（GB37822-2019）附录A中厂区内非甲烷总烃无组织排放限值，具体见表</w:t>
      </w:r>
      <w:r>
        <w:rPr>
          <w:rFonts w:ascii="Times New Roman" w:hAnsi="Times New Roman" w:cs="Times New Roman"/>
          <w:color w:val="000000" w:themeColor="text1"/>
          <w:w w:val="99"/>
          <w:sz w:val="24"/>
          <w:szCs w:val="24"/>
          <w:highlight w:val="none"/>
          <w:lang w:val="en-US"/>
          <w14:textFill>
            <w14:solidFill>
              <w14:schemeClr w14:val="tx1"/>
            </w14:solidFill>
          </w14:textFill>
        </w:rPr>
        <w:t>2.4-10。</w:t>
      </w:r>
    </w:p>
    <w:p>
      <w:pPr>
        <w:autoSpaceDE/>
        <w:autoSpaceDN/>
        <w:adjustRightInd w:val="0"/>
        <w:snapToGrid w:val="0"/>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2.4-10        场站内非甲烷总烃排放浓度限</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值</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单位：mg/m</w:t>
      </w:r>
      <w:r>
        <w:rPr>
          <w:rFonts w:ascii="Times New Roman" w:hAnsi="Times New Roman" w:cs="Times New Roman"/>
          <w:b/>
          <w:bCs/>
          <w:color w:val="000000" w:themeColor="text1"/>
          <w:w w:val="99"/>
          <w:sz w:val="24"/>
          <w:szCs w:val="24"/>
          <w:highlight w:val="none"/>
          <w:vertAlign w:val="superscript"/>
          <w:lang w:val="en-US"/>
          <w14:textFill>
            <w14:solidFill>
              <w14:schemeClr w14:val="tx1"/>
            </w14:solidFill>
          </w14:textFill>
        </w:rPr>
        <w:t>3</w:t>
      </w:r>
    </w:p>
    <w:tbl>
      <w:tblPr>
        <w:tblStyle w:val="32"/>
        <w:tblW w:w="928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04"/>
        <w:gridCol w:w="1201"/>
        <w:gridCol w:w="1663"/>
        <w:gridCol w:w="3061"/>
        <w:gridCol w:w="165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04"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污染物项目</w:t>
            </w:r>
          </w:p>
        </w:tc>
        <w:tc>
          <w:tcPr>
            <w:tcW w:w="1201"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排放限值</w:t>
            </w:r>
          </w:p>
        </w:tc>
        <w:tc>
          <w:tcPr>
            <w:tcW w:w="1663"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特别排放限值</w:t>
            </w:r>
          </w:p>
        </w:tc>
        <w:tc>
          <w:tcPr>
            <w:tcW w:w="3061"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限值含义</w:t>
            </w:r>
          </w:p>
        </w:tc>
        <w:tc>
          <w:tcPr>
            <w:tcW w:w="1659"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无组织排放监控位置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704" w:type="dxa"/>
            <w:vMerge w:val="restart"/>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非甲烷总烃</w:t>
            </w:r>
          </w:p>
        </w:tc>
        <w:tc>
          <w:tcPr>
            <w:tcW w:w="1201"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w:t>
            </w:r>
          </w:p>
        </w:tc>
        <w:tc>
          <w:tcPr>
            <w:tcW w:w="1663"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w:t>
            </w:r>
          </w:p>
        </w:tc>
        <w:tc>
          <w:tcPr>
            <w:tcW w:w="3061"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监控点处 1 h 平均浓度值</w:t>
            </w:r>
          </w:p>
        </w:tc>
        <w:tc>
          <w:tcPr>
            <w:tcW w:w="1659" w:type="dxa"/>
            <w:vMerge w:val="restart"/>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在厂房外设置</w:t>
            </w:r>
          </w:p>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监控点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04" w:type="dxa"/>
            <w:vMerge w:val="continue"/>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01"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w:t>
            </w:r>
          </w:p>
        </w:tc>
        <w:tc>
          <w:tcPr>
            <w:tcW w:w="1663"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w:t>
            </w:r>
          </w:p>
        </w:tc>
        <w:tc>
          <w:tcPr>
            <w:tcW w:w="3061"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监控点处任意一次浓度值</w:t>
            </w:r>
          </w:p>
        </w:tc>
        <w:tc>
          <w:tcPr>
            <w:tcW w:w="1659" w:type="dxa"/>
            <w:vMerge w:val="continue"/>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bl>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2.4.2.2 废水污染物排放标准</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本工程产生的管线试压废水</w:t>
      </w:r>
      <w:r>
        <w:rPr>
          <w:rFonts w:hint="eastAsia" w:ascii="Times New Roman" w:hAnsi="Times New Roman" w:cs="Times New Roman"/>
          <w:color w:val="000000" w:themeColor="text1"/>
          <w:w w:val="99"/>
          <w:sz w:val="24"/>
          <w:szCs w:val="24"/>
          <w:highlight w:val="none"/>
          <w14:textFill>
            <w14:solidFill>
              <w14:schemeClr w14:val="tx1"/>
            </w14:solidFill>
          </w14:textFill>
        </w:rPr>
        <w:t>拉运至葡二联含油</w:t>
      </w:r>
      <w:r>
        <w:rPr>
          <w:rFonts w:ascii="Times New Roman" w:hAnsi="Times New Roman" w:cs="Times New Roman"/>
          <w:color w:val="000000" w:themeColor="text1"/>
          <w:w w:val="99"/>
          <w:sz w:val="24"/>
          <w:szCs w:val="24"/>
          <w:highlight w:val="none"/>
          <w14:textFill>
            <w14:solidFill>
              <w14:schemeClr w14:val="tx1"/>
            </w14:solidFill>
          </w14:textFill>
        </w:rPr>
        <w:t>污水站</w:t>
      </w:r>
      <w:r>
        <w:rPr>
          <w:rFonts w:hint="eastAsia" w:ascii="Times New Roman" w:hAnsi="Times New Roman" w:cs="Times New Roman"/>
          <w:color w:val="000000" w:themeColor="text1"/>
          <w:w w:val="99"/>
          <w:sz w:val="24"/>
          <w:szCs w:val="24"/>
          <w:highlight w:val="none"/>
          <w14:textFill>
            <w14:solidFill>
              <w14:schemeClr w14:val="tx1"/>
            </w14:solidFill>
          </w14:textFill>
        </w:rPr>
        <w:t>处理</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采出液</w:t>
      </w:r>
      <w:r>
        <w:rPr>
          <w:rFonts w:ascii="Times New Roman" w:hAnsi="Times New Roman" w:cs="Times New Roman"/>
          <w:color w:val="000000" w:themeColor="text1"/>
          <w:w w:val="99"/>
          <w:sz w:val="24"/>
          <w:szCs w:val="24"/>
          <w:highlight w:val="none"/>
          <w14:textFill>
            <w14:solidFill>
              <w14:schemeClr w14:val="tx1"/>
            </w14:solidFill>
          </w14:textFill>
        </w:rPr>
        <w:t>分离</w:t>
      </w:r>
      <w:r>
        <w:rPr>
          <w:rFonts w:hint="eastAsia" w:ascii="Times New Roman" w:hAnsi="Times New Roman" w:cs="Times New Roman"/>
          <w:color w:val="000000" w:themeColor="text1"/>
          <w:w w:val="99"/>
          <w:sz w:val="24"/>
          <w:szCs w:val="24"/>
          <w:highlight w:val="none"/>
          <w14:textFill>
            <w14:solidFill>
              <w14:schemeClr w14:val="tx1"/>
            </w14:solidFill>
          </w14:textFill>
        </w:rPr>
        <w:t>含油废</w:t>
      </w:r>
      <w:r>
        <w:rPr>
          <w:rFonts w:ascii="Times New Roman" w:hAnsi="Times New Roman" w:cs="Times New Roman"/>
          <w:color w:val="000000" w:themeColor="text1"/>
          <w:w w:val="99"/>
          <w:sz w:val="24"/>
          <w:szCs w:val="24"/>
          <w:highlight w:val="none"/>
          <w14:textFill>
            <w14:solidFill>
              <w14:schemeClr w14:val="tx1"/>
            </w14:solidFill>
          </w14:textFill>
        </w:rPr>
        <w:t>水</w:t>
      </w:r>
      <w:r>
        <w:rPr>
          <w:rFonts w:hint="eastAsia" w:ascii="Times New Roman" w:hAnsi="Times New Roman" w:cs="Times New Roman"/>
          <w:color w:val="000000" w:themeColor="text1"/>
          <w:w w:val="99"/>
          <w:sz w:val="24"/>
          <w:szCs w:val="24"/>
          <w:highlight w:val="none"/>
          <w14:textFill>
            <w14:solidFill>
              <w14:schemeClr w14:val="tx1"/>
            </w14:solidFill>
          </w14:textFill>
        </w:rPr>
        <w:t>和</w:t>
      </w:r>
      <w:r>
        <w:rPr>
          <w:rFonts w:ascii="Times New Roman" w:hAnsi="Times New Roman" w:cs="Times New Roman"/>
          <w:color w:val="000000" w:themeColor="text1"/>
          <w:w w:val="99"/>
          <w:sz w:val="24"/>
          <w:szCs w:val="24"/>
          <w:highlight w:val="none"/>
          <w14:textFill>
            <w14:solidFill>
              <w14:schemeClr w14:val="tx1"/>
            </w14:solidFill>
          </w14:textFill>
        </w:rPr>
        <w:t>油井作业废水依托葡二联含油污水处理站处理</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处理后的水质执行《大庆油田地面工程建设设计规定》（Q/SYDQ0639-2015）限值要求：“含油量≤10mg/L、悬浮固体含量≤5mg/L、粒径中值≤2μm”，同时满足《碎岩屑油藏注水水质推荐指标及分析方法》（SY/T 5329-2012）中限值</w:t>
      </w:r>
      <w:r>
        <w:rPr>
          <w:rFonts w:hint="eastAsia" w:ascii="Times New Roman" w:hAnsi="Times New Roman" w:cs="Times New Roman"/>
          <w:color w:val="000000" w:themeColor="text1"/>
          <w:w w:val="99"/>
          <w:sz w:val="24"/>
          <w:szCs w:val="24"/>
          <w:highlight w:val="none"/>
          <w14:textFill>
            <w14:solidFill>
              <w14:schemeClr w14:val="tx1"/>
            </w14:solidFill>
          </w14:textFill>
        </w:rPr>
        <w:t>要求</w:t>
      </w:r>
      <w:r>
        <w:rPr>
          <w:rFonts w:ascii="Times New Roman" w:hAnsi="Times New Roman" w:cs="Times New Roman"/>
          <w:color w:val="000000" w:themeColor="text1"/>
          <w:w w:val="99"/>
          <w:sz w:val="24"/>
          <w:szCs w:val="24"/>
          <w:highlight w:val="none"/>
          <w14:textFill>
            <w14:solidFill>
              <w14:schemeClr w14:val="tx1"/>
            </w14:solidFill>
          </w14:textFill>
        </w:rPr>
        <w:t>：“含油量≤50mg/L、悬浮固体含量≤30mg/L、粒径中值≤5μm”。</w:t>
      </w:r>
    </w:p>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2.4.2.3 噪声排放标准</w:t>
      </w:r>
    </w:p>
    <w:p>
      <w:pPr>
        <w:pStyle w:val="45"/>
        <w:tabs>
          <w:tab w:val="left" w:pos="1571"/>
        </w:tabs>
        <w:spacing w:line="440" w:lineRule="exact"/>
        <w:ind w:left="0" w:firstLine="474" w:firstLineChars="200"/>
        <w:jc w:val="both"/>
        <w:rPr>
          <w:rFonts w:ascii="Times New Roman" w:hAnsi="Times New Roman" w:cs="Times New Roman"/>
          <w:color w:val="000000" w:themeColor="text1"/>
          <w:spacing w:val="-19"/>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施工期噪声执行《建筑施工场界环境噪声排放标准》（GB12523-2011）中规定的排放限值，具体见表</w:t>
      </w:r>
      <w:r>
        <w:rPr>
          <w:rFonts w:ascii="Times New Roman" w:hAnsi="Times New Roman" w:cs="Times New Roman"/>
          <w:color w:val="000000" w:themeColor="text1"/>
          <w:w w:val="99"/>
          <w:sz w:val="24"/>
          <w:szCs w:val="24"/>
          <w:highlight w:val="none"/>
          <w:lang w:val="en-US"/>
          <w14:textFill>
            <w14:solidFill>
              <w14:schemeClr w14:val="tx1"/>
            </w14:solidFill>
          </w14:textFill>
        </w:rPr>
        <w:t>2.4-11。</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2.4-11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建筑施工场界环境噪声排放标准</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单位：dB（A）</w:t>
      </w:r>
    </w:p>
    <w:tbl>
      <w:tblPr>
        <w:tblStyle w:val="32"/>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66"/>
        <w:gridCol w:w="4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45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昼  间</w:t>
            </w:r>
          </w:p>
        </w:tc>
        <w:tc>
          <w:tcPr>
            <w:tcW w:w="45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45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70</w:t>
            </w:r>
          </w:p>
        </w:tc>
        <w:tc>
          <w:tcPr>
            <w:tcW w:w="45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55</w:t>
            </w:r>
          </w:p>
        </w:tc>
      </w:tr>
    </w:tbl>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运营期井场及场站噪声执行《工业企业厂界环境噪声排放标准》（GB12348-2008）中2类标准，具体见表</w:t>
      </w:r>
      <w:r>
        <w:rPr>
          <w:rFonts w:ascii="Times New Roman" w:hAnsi="Times New Roman" w:cs="Times New Roman"/>
          <w:color w:val="000000" w:themeColor="text1"/>
          <w:w w:val="99"/>
          <w:sz w:val="24"/>
          <w:szCs w:val="24"/>
          <w:highlight w:val="none"/>
          <w:lang w:val="en-US"/>
          <w14:textFill>
            <w14:solidFill>
              <w14:schemeClr w14:val="tx1"/>
            </w14:solidFill>
          </w14:textFill>
        </w:rPr>
        <w:t>2.4-12</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8"/>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2.4-12 </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工业企业厂界环境噪声排放标准</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单位：dB（A）</w:t>
      </w:r>
    </w:p>
    <w:tbl>
      <w:tblPr>
        <w:tblStyle w:val="32"/>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66"/>
        <w:gridCol w:w="4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45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昼  间</w:t>
            </w:r>
          </w:p>
        </w:tc>
        <w:tc>
          <w:tcPr>
            <w:tcW w:w="45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45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60</w:t>
            </w:r>
          </w:p>
        </w:tc>
        <w:tc>
          <w:tcPr>
            <w:tcW w:w="45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50</w:t>
            </w:r>
          </w:p>
        </w:tc>
      </w:tr>
    </w:tbl>
    <w:p>
      <w:pPr>
        <w:pStyle w:val="67"/>
        <w:widowControl w:val="0"/>
        <w:autoSpaceDE/>
        <w:autoSpaceDN/>
        <w:spacing w:line="440" w:lineRule="exact"/>
        <w:ind w:firstLine="0" w:firstLineChars="0"/>
        <w:jc w:val="both"/>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2.4.2.4 固体废物</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）施工期管道敷设产生的施工废料执行《一般工业固体废物贮存和填埋污染控制标准》</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GB18599-2020</w:t>
      </w:r>
      <w:r>
        <w:rPr>
          <w:rFonts w:hint="eastAsia" w:ascii="Times New Roman" w:hAnsi="Times New Roman" w:cs="Times New Roman"/>
          <w:color w:val="000000" w:themeColor="text1"/>
          <w:w w:val="99"/>
          <w:sz w:val="24"/>
          <w:szCs w:val="24"/>
          <w:highlight w:val="none"/>
          <w14:textFill>
            <w14:solidFill>
              <w14:schemeClr w14:val="tx1"/>
            </w14:solidFill>
          </w14:textFill>
        </w:rPr>
        <w:t>）标准</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）运行期产生的含</w:t>
      </w:r>
      <w:r>
        <w:rPr>
          <w:rFonts w:hint="eastAsia" w:ascii="Times New Roman" w:hAnsi="Times New Roman" w:cs="Times New Roman"/>
          <w:color w:val="000000" w:themeColor="text1"/>
          <w:w w:val="99"/>
          <w:sz w:val="24"/>
          <w:szCs w:val="24"/>
          <w:highlight w:val="none"/>
          <w14:textFill>
            <w14:solidFill>
              <w14:schemeClr w14:val="tx1"/>
            </w14:solidFill>
          </w14:textFill>
        </w:rPr>
        <w:t>油</w:t>
      </w:r>
      <w:r>
        <w:rPr>
          <w:rFonts w:ascii="Times New Roman" w:hAnsi="Times New Roman" w:cs="Times New Roman"/>
          <w:color w:val="000000" w:themeColor="text1"/>
          <w:w w:val="99"/>
          <w:sz w:val="24"/>
          <w:szCs w:val="24"/>
          <w:highlight w:val="none"/>
          <w14:textFill>
            <w14:solidFill>
              <w14:schemeClr w14:val="tx1"/>
            </w14:solidFill>
          </w14:textFill>
        </w:rPr>
        <w:t>防渗布、含油污泥、落地油均属于危险废物，执行《危险废物贮存污染控制标准》（GB18597-2001）及其修改单标准要求。</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）项目运行期</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处理后的</w:t>
      </w:r>
      <w:r>
        <w:rPr>
          <w:rFonts w:ascii="Times New Roman" w:hAnsi="Times New Roman" w:cs="Times New Roman"/>
          <w:color w:val="000000" w:themeColor="text1"/>
          <w:w w:val="99"/>
          <w:sz w:val="24"/>
          <w:szCs w:val="24"/>
          <w:highlight w:val="none"/>
          <w14:textFill>
            <w14:solidFill>
              <w14:schemeClr w14:val="tx1"/>
            </w14:solidFill>
          </w14:textFill>
        </w:rPr>
        <w:t>含油污泥执行《油田含油污泥综合利用污染控制标准》（DB23/T1413-2010）</w:t>
      </w:r>
      <w:r>
        <w:rPr>
          <w:rFonts w:hint="eastAsia" w:ascii="Times New Roman" w:hAnsi="Times New Roman" w:cs="Times New Roman"/>
          <w:color w:val="000000" w:themeColor="text1"/>
          <w:w w:val="99"/>
          <w:sz w:val="24"/>
          <w:szCs w:val="24"/>
          <w:highlight w:val="none"/>
          <w14:textFill>
            <w14:solidFill>
              <w14:schemeClr w14:val="tx1"/>
            </w14:solidFill>
          </w14:textFill>
        </w:rPr>
        <w:t>垫井场</w:t>
      </w:r>
      <w:r>
        <w:rPr>
          <w:rFonts w:ascii="Times New Roman" w:hAnsi="Times New Roman" w:cs="Times New Roman"/>
          <w:color w:val="000000" w:themeColor="text1"/>
          <w:w w:val="99"/>
          <w:sz w:val="24"/>
          <w:szCs w:val="24"/>
          <w:highlight w:val="none"/>
          <w14:textFill>
            <w14:solidFill>
              <w14:schemeClr w14:val="tx1"/>
            </w14:solidFill>
          </w14:textFill>
        </w:rPr>
        <w:t>和通井路标准</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具体标准值见表</w:t>
      </w:r>
      <w:r>
        <w:rPr>
          <w:rFonts w:ascii="Times New Roman" w:hAnsi="Times New Roman" w:cs="Times New Roman"/>
          <w:color w:val="000000" w:themeColor="text1"/>
          <w:w w:val="99"/>
          <w:sz w:val="24"/>
          <w:szCs w:val="24"/>
          <w:highlight w:val="none"/>
          <w:lang w:val="en-US"/>
          <w14:textFill>
            <w14:solidFill>
              <w14:schemeClr w14:val="tx1"/>
            </w14:solidFill>
          </w14:textFill>
        </w:rPr>
        <w:t>2.4-13。</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2.4-13</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油田含油污泥综合利用污染控制指标</w:t>
      </w:r>
    </w:p>
    <w:tbl>
      <w:tblPr>
        <w:tblStyle w:val="32"/>
        <w:tblW w:w="8762" w:type="dxa"/>
        <w:jc w:val="center"/>
        <w:tblLayout w:type="fixed"/>
        <w:tblCellMar>
          <w:top w:w="0" w:type="dxa"/>
          <w:left w:w="0" w:type="dxa"/>
          <w:bottom w:w="0" w:type="dxa"/>
          <w:right w:w="0" w:type="dxa"/>
        </w:tblCellMar>
      </w:tblPr>
      <w:tblGrid>
        <w:gridCol w:w="1535"/>
        <w:gridCol w:w="3565"/>
        <w:gridCol w:w="3662"/>
      </w:tblGrid>
      <w:tr>
        <w:tblPrEx>
          <w:tblCellMar>
            <w:top w:w="0" w:type="dxa"/>
            <w:left w:w="0" w:type="dxa"/>
            <w:bottom w:w="0" w:type="dxa"/>
            <w:right w:w="0" w:type="dxa"/>
          </w:tblCellMar>
        </w:tblPrEx>
        <w:trPr>
          <w:trHeight w:val="340" w:hRule="atLeast"/>
          <w:jc w:val="center"/>
        </w:trPr>
        <w:tc>
          <w:tcPr>
            <w:tcW w:w="1535" w:type="dxa"/>
            <w:vMerge w:val="restart"/>
            <w:tcBorders>
              <w:top w:val="single" w:color="000000" w:sz="4" w:space="0"/>
              <w:left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序号</w:t>
            </w:r>
          </w:p>
        </w:tc>
        <w:tc>
          <w:tcPr>
            <w:tcW w:w="3565" w:type="dxa"/>
            <w:vMerge w:val="restart"/>
            <w:tcBorders>
              <w:top w:val="single" w:color="000000" w:sz="4" w:space="0"/>
              <w:left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项目</w:t>
            </w:r>
          </w:p>
        </w:tc>
        <w:tc>
          <w:tcPr>
            <w:tcW w:w="3662" w:type="dxa"/>
            <w:tcBorders>
              <w:top w:val="single" w:color="000000" w:sz="4" w:space="0"/>
              <w:left w:val="single" w:color="000000" w:sz="4" w:space="0"/>
              <w:bottom w:val="single" w:color="auto" w:sz="4" w:space="0"/>
              <w:right w:val="single" w:color="auto" w:sz="6"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污染控制指标</w:t>
            </w:r>
          </w:p>
        </w:tc>
      </w:tr>
      <w:tr>
        <w:tblPrEx>
          <w:tblCellMar>
            <w:top w:w="0" w:type="dxa"/>
            <w:left w:w="0" w:type="dxa"/>
            <w:bottom w:w="0" w:type="dxa"/>
            <w:right w:w="0" w:type="dxa"/>
          </w:tblCellMar>
        </w:tblPrEx>
        <w:trPr>
          <w:trHeight w:val="340" w:hRule="atLeast"/>
          <w:jc w:val="center"/>
        </w:trPr>
        <w:tc>
          <w:tcPr>
            <w:tcW w:w="1535" w:type="dxa"/>
            <w:vMerge w:val="continue"/>
            <w:tcBorders>
              <w:top w:val="single" w:color="000000" w:sz="4" w:space="0"/>
              <w:left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565" w:type="dxa"/>
            <w:vMerge w:val="continue"/>
            <w:tcBorders>
              <w:top w:val="single" w:color="000000" w:sz="4" w:space="0"/>
              <w:left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662" w:type="dxa"/>
            <w:tcBorders>
              <w:top w:val="single" w:color="auto" w:sz="4" w:space="0"/>
              <w:left w:val="single" w:color="000000" w:sz="4" w:space="0"/>
              <w:bottom w:val="single" w:color="auto" w:sz="4" w:space="0"/>
              <w:right w:val="single" w:color="auto" w:sz="6"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垫井场、通井路</w:t>
            </w:r>
          </w:p>
        </w:tc>
      </w:tr>
      <w:tr>
        <w:tblPrEx>
          <w:tblCellMar>
            <w:top w:w="0" w:type="dxa"/>
            <w:left w:w="0" w:type="dxa"/>
            <w:bottom w:w="0" w:type="dxa"/>
            <w:right w:w="0" w:type="dxa"/>
          </w:tblCellMar>
        </w:tblPrEx>
        <w:trPr>
          <w:trHeight w:val="340" w:hRule="atLeast"/>
          <w:jc w:val="center"/>
        </w:trPr>
        <w:tc>
          <w:tcPr>
            <w:tcW w:w="1535" w:type="dxa"/>
            <w:vMerge w:val="continue"/>
            <w:tcBorders>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565" w:type="dxa"/>
            <w:vMerge w:val="continue"/>
            <w:tcBorders>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p>
        </w:tc>
        <w:tc>
          <w:tcPr>
            <w:tcW w:w="3662" w:type="dxa"/>
            <w:tcBorders>
              <w:top w:val="single" w:color="auto"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mg/kg</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石油类</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20000</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As</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3</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Hg</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≤0</w:t>
            </w:r>
            <w:r>
              <w:rPr>
                <w:rFonts w:ascii="Times New Roman" w:hAnsi="Times New Roman" w:cs="Times New Roman"/>
                <w:color w:val="000000" w:themeColor="text1"/>
                <w:w w:val="99"/>
                <w:sz w:val="21"/>
                <w:szCs w:val="21"/>
                <w:highlight w:val="none"/>
                <w14:textFill>
                  <w14:solidFill>
                    <w14:schemeClr w14:val="tx1"/>
                  </w14:solidFill>
                </w14:textFill>
              </w:rPr>
              <w:t>.8</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4</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Cr</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5</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Cu</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150</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6</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Zn</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600</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7</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Ni</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150</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8</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Pb</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375</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9</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Cd</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3</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w:t>
            </w:r>
            <w:r>
              <w:rPr>
                <w:rFonts w:hint="eastAsia" w:ascii="Times New Roman" w:hAnsi="Times New Roman" w:cs="Times New Roman"/>
                <w:color w:val="000000" w:themeColor="text1"/>
                <w:w w:val="99"/>
                <w:sz w:val="21"/>
                <w:szCs w:val="21"/>
                <w:highlight w:val="none"/>
                <w14:textFill>
                  <w14:solidFill>
                    <w14:schemeClr w14:val="tx1"/>
                  </w14:solidFill>
                </w14:textFill>
              </w:rPr>
              <w:t>0</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pH值</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6</w:t>
            </w:r>
          </w:p>
        </w:tc>
      </w:tr>
      <w:tr>
        <w:tblPrEx>
          <w:tblCellMar>
            <w:top w:w="0" w:type="dxa"/>
            <w:left w:w="0" w:type="dxa"/>
            <w:bottom w:w="0" w:type="dxa"/>
            <w:right w:w="0" w:type="dxa"/>
          </w:tblCellMar>
        </w:tblPrEx>
        <w:trPr>
          <w:trHeight w:val="340" w:hRule="atLeast"/>
          <w:jc w:val="center"/>
        </w:trPr>
        <w:tc>
          <w:tcPr>
            <w:tcW w:w="153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1</w:t>
            </w:r>
            <w:r>
              <w:rPr>
                <w:rFonts w:ascii="Times New Roman" w:hAnsi="Times New Roman" w:cs="Times New Roman"/>
                <w:color w:val="000000" w:themeColor="text1"/>
                <w:w w:val="99"/>
                <w:sz w:val="21"/>
                <w:szCs w:val="21"/>
                <w:highlight w:val="none"/>
                <w14:textFill>
                  <w14:solidFill>
                    <w14:schemeClr w14:val="tx1"/>
                  </w14:solidFill>
                </w14:textFill>
              </w:rPr>
              <w:t>1</w:t>
            </w:r>
          </w:p>
        </w:tc>
        <w:tc>
          <w:tcPr>
            <w:tcW w:w="35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含水率</w:t>
            </w:r>
          </w:p>
        </w:tc>
        <w:tc>
          <w:tcPr>
            <w:tcW w:w="366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40</w:t>
            </w:r>
            <w:r>
              <w:rPr>
                <w:rFonts w:hint="eastAsia" w:ascii="Times New Roman" w:hAnsi="Times New Roman" w:cs="Times New Roman"/>
                <w:color w:val="000000" w:themeColor="text1"/>
                <w:w w:val="99"/>
                <w:sz w:val="21"/>
                <w:szCs w:val="21"/>
                <w:highlight w:val="none"/>
                <w14:textFill>
                  <w14:solidFill>
                    <w14:schemeClr w14:val="tx1"/>
                  </w14:solidFill>
                </w14:textFill>
              </w:rPr>
              <w:t>%</w:t>
            </w:r>
          </w:p>
        </w:tc>
      </w:tr>
    </w:tbl>
    <w:p>
      <w:pPr>
        <w:bidi w:val="0"/>
        <w:rPr>
          <w:color w:val="000000" w:themeColor="text1"/>
          <w:highlight w:val="none"/>
          <w:lang w:val="en-US"/>
          <w14:textFill>
            <w14:solidFill>
              <w14:schemeClr w14:val="tx1"/>
            </w14:solidFill>
          </w14:textFill>
        </w:rPr>
      </w:pP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2.5 评价工作等级</w:t>
      </w:r>
      <w:bookmarkEnd w:id="28"/>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2.5.1 大气环境</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根据对本项目的性质和环境要素分析可知，本工程运行期大气污染源主要为依托场站加热炉产生的燃烧烟气、油井产液集输过程中无组织排放的烃类气体。</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（1）烃类气体</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本次</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葡北油田葡72-70井区</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深部调驱油井</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21口</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，形成4座丛式井平台</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及12</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口单井，主要排放位置有井场、集输管道阀门、计量间、阀组间等位置，均以面源形式排放。</w:t>
      </w:r>
      <w:r>
        <w:rPr>
          <w:rFonts w:ascii="Times New Roman" w:hAnsi="Times New Roman" w:cs="Times New Roman"/>
          <w:bCs/>
          <w:color w:val="000000" w:themeColor="text1"/>
          <w:w w:val="99"/>
          <w:sz w:val="24"/>
          <w:szCs w:val="20"/>
          <w:highlight w:val="none"/>
          <w:lang w:val="en-US"/>
          <w14:textFill>
            <w14:solidFill>
              <w14:schemeClr w14:val="tx1"/>
            </w14:solidFill>
          </w14:textFill>
        </w:rPr>
        <w:t>本次评价面源选取</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1口单井井场和</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最大</w:t>
      </w:r>
      <w:r>
        <w:rPr>
          <w:rFonts w:ascii="Times New Roman" w:hAnsi="Times New Roman" w:cs="Times New Roman"/>
          <w:bCs/>
          <w:color w:val="000000" w:themeColor="text1"/>
          <w:w w:val="99"/>
          <w:sz w:val="24"/>
          <w:szCs w:val="20"/>
          <w:highlight w:val="none"/>
          <w:lang w:val="en-US"/>
          <w14:textFill>
            <w14:solidFill>
              <w14:schemeClr w14:val="tx1"/>
            </w14:solidFill>
          </w14:textFill>
        </w:rPr>
        <w:t>的</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平台</w:t>
      </w:r>
      <w:r>
        <w:rPr>
          <w:rFonts w:ascii="Times New Roman" w:hAnsi="Times New Roman" w:cs="Times New Roman"/>
          <w:bCs/>
          <w:color w:val="000000" w:themeColor="text1"/>
          <w:w w:val="99"/>
          <w:sz w:val="24"/>
          <w:szCs w:val="20"/>
          <w:highlight w:val="none"/>
          <w:lang w:val="en-US"/>
          <w14:textFill>
            <w14:solidFill>
              <w14:schemeClr w14:val="tx1"/>
            </w14:solidFill>
          </w14:textFill>
        </w:rPr>
        <w:t>井场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（葡73-69、葡73-702、葡72-斜702井场）</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单井最大产油2.47</w:t>
      </w:r>
      <w:r>
        <w:rPr>
          <w:rFonts w:ascii="Times New Roman" w:hAnsi="Times New Roman" w:cs="Times New Roman"/>
          <w:bCs/>
          <w:color w:val="000000" w:themeColor="text1"/>
          <w:w w:val="99"/>
          <w:sz w:val="24"/>
          <w:szCs w:val="20"/>
          <w:highlight w:val="none"/>
          <w:lang w:val="en-US"/>
          <w14:textFill>
            <w14:solidFill>
              <w14:schemeClr w14:val="tx1"/>
            </w14:solidFill>
          </w14:textFill>
        </w:rPr>
        <w:t>t/d</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平台</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井最大</w:t>
      </w:r>
      <w:r>
        <w:rPr>
          <w:rFonts w:ascii="Times New Roman" w:hAnsi="Times New Roman" w:cs="Times New Roman"/>
          <w:bCs/>
          <w:color w:val="000000" w:themeColor="text1"/>
          <w:w w:val="99"/>
          <w:sz w:val="24"/>
          <w:szCs w:val="20"/>
          <w:highlight w:val="none"/>
          <w:lang w:val="en-US"/>
          <w14:textFill>
            <w14:solidFill>
              <w14:schemeClr w14:val="tx1"/>
            </w14:solidFill>
          </w14:textFill>
        </w:rPr>
        <w:t>产油量</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7.41</w:t>
      </w:r>
      <w:r>
        <w:rPr>
          <w:rFonts w:ascii="Times New Roman" w:hAnsi="Times New Roman" w:cs="Times New Roman"/>
          <w:bCs/>
          <w:color w:val="000000" w:themeColor="text1"/>
          <w:w w:val="99"/>
          <w:sz w:val="24"/>
          <w:szCs w:val="20"/>
          <w:highlight w:val="none"/>
          <w:lang w:val="en-US"/>
          <w14:textFill>
            <w14:solidFill>
              <w14:schemeClr w14:val="tx1"/>
            </w14:solidFill>
          </w14:textFill>
        </w:rPr>
        <w:t xml:space="preserve">t/d，根据《大气挥发性有机物源排放清单编制技术指南（试行）》， </w:t>
      </w:r>
      <w:r>
        <w:rPr>
          <w:rFonts w:ascii="Times New Roman" w:hAnsi="Times New Roman" w:cs="Times New Roman"/>
          <w:color w:val="000000" w:themeColor="text1"/>
          <w:w w:val="99"/>
          <w:sz w:val="24"/>
          <w:szCs w:val="24"/>
          <w:highlight w:val="none"/>
          <w14:textFill>
            <w14:solidFill>
              <w14:schemeClr w14:val="tx1"/>
            </w14:solidFill>
          </w14:textFill>
        </w:rPr>
        <w:t>参照《2005年中国温室气体清单研究》和《2006年IPCC国家温室气体清单指南》划分办法，井场非甲烷总烃挥发量占比</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1.8</w:t>
      </w: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根据《大气挥发性有机物源排放清单编制技术指南（试行）》中石油化工业天然原油和天然气开采，石油开采挥发性有机物产生系数1.4175g/kg原油</w:t>
      </w:r>
      <w:r>
        <w:rPr>
          <w:rFonts w:hint="eastAsia" w:ascii="Times New Roman" w:hAnsi="Times New Roman" w:cs="Times New Roman"/>
          <w:color w:val="000000" w:themeColor="text1"/>
          <w:w w:val="99"/>
          <w:kern w:val="2"/>
          <w:sz w:val="24"/>
          <w:szCs w:val="24"/>
          <w:highlight w:val="none"/>
          <w:lang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eastAsia="zh-CN" w:bidi="ar-SA"/>
          <w14:textFill>
            <w14:solidFill>
              <w14:schemeClr w14:val="tx1"/>
            </w14:solidFill>
          </w14:textFill>
        </w:rPr>
        <w:t>单井</w:t>
      </w:r>
      <w:r>
        <w:rPr>
          <w:rFonts w:ascii="Times New Roman" w:hAnsi="Times New Roman" w:cs="Times New Roman"/>
          <w:bCs/>
          <w:color w:val="000000" w:themeColor="text1"/>
          <w:w w:val="99"/>
          <w:sz w:val="24"/>
          <w:szCs w:val="20"/>
          <w:highlight w:val="none"/>
          <w:lang w:val="en-US"/>
          <w14:textFill>
            <w14:solidFill>
              <w14:schemeClr w14:val="tx1"/>
            </w14:solidFill>
          </w14:textFill>
        </w:rPr>
        <w:t>井场非甲烷总烃逸散量为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w:t>
      </w:r>
      <w:r>
        <w:rPr>
          <w:rFonts w:ascii="Times New Roman" w:hAnsi="Times New Roman" w:cs="Times New Roman"/>
          <w:bCs/>
          <w:color w:val="000000" w:themeColor="text1"/>
          <w:w w:val="99"/>
          <w:sz w:val="24"/>
          <w:szCs w:val="20"/>
          <w:highlight w:val="none"/>
          <w:lang w:val="en-US"/>
          <w14:textFill>
            <w14:solidFill>
              <w14:schemeClr w14:val="tx1"/>
            </w14:solidFill>
          </w14:textFill>
        </w:rPr>
        <w:t>.063kg/d（</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2.47t</w:t>
      </w:r>
      <w:r>
        <w:rPr>
          <w:rFonts w:ascii="Times New Roman" w:hAnsi="Times New Roman" w:cs="Times New Roman"/>
          <w:bCs/>
          <w:color w:val="000000" w:themeColor="text1"/>
          <w:w w:val="99"/>
          <w:sz w:val="24"/>
          <w:szCs w:val="20"/>
          <w:highlight w:val="none"/>
          <w:lang w:val="en-US"/>
          <w14:textFill>
            <w14:solidFill>
              <w14:schemeClr w14:val="tx1"/>
            </w14:solidFill>
          </w14:textFill>
        </w:rPr>
        <w:t>/d×</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1.4175</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g/kg</w:t>
      </w:r>
      <w:r>
        <w:rPr>
          <w:rFonts w:ascii="Times New Roman" w:hAnsi="Times New Roman" w:cs="Times New Roman"/>
          <w:bCs/>
          <w:color w:val="000000" w:themeColor="text1"/>
          <w:w w:val="99"/>
          <w:sz w:val="24"/>
          <w:szCs w:val="20"/>
          <w:highlight w:val="none"/>
          <w:lang w:val="en-US"/>
          <w14:textFill>
            <w14:solidFill>
              <w14:schemeClr w14:val="tx1"/>
            </w14:solidFill>
          </w14:textFill>
        </w:rPr>
        <w:t xml:space="preserve">× </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1.8</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0.06</w:t>
      </w:r>
      <w:r>
        <w:rPr>
          <w:rFonts w:ascii="Times New Roman" w:hAnsi="Times New Roman" w:cs="Times New Roman"/>
          <w:bCs/>
          <w:color w:val="000000" w:themeColor="text1"/>
          <w:w w:val="99"/>
          <w:sz w:val="24"/>
          <w:szCs w:val="20"/>
          <w:highlight w:val="none"/>
          <w:lang w:val="en-US"/>
          <w14:textFill>
            <w14:solidFill>
              <w14:schemeClr w14:val="tx1"/>
            </w14:solidFill>
          </w14:textFill>
        </w:rPr>
        <w:t>3kg/d），排放速率为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0.063</w:t>
      </w:r>
      <w:r>
        <w:rPr>
          <w:rFonts w:ascii="Times New Roman" w:hAnsi="Times New Roman" w:cs="Times New Roman"/>
          <w:bCs/>
          <w:color w:val="000000" w:themeColor="text1"/>
          <w:w w:val="99"/>
          <w:sz w:val="24"/>
          <w:szCs w:val="20"/>
          <w:highlight w:val="none"/>
          <w:lang w:val="en-US"/>
          <w14:textFill>
            <w14:solidFill>
              <w14:schemeClr w14:val="tx1"/>
            </w14:solidFill>
          </w14:textFill>
        </w:rPr>
        <w:t>kg/24h=</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0.00262</w:t>
      </w:r>
      <w:r>
        <w:rPr>
          <w:rFonts w:ascii="Times New Roman" w:hAnsi="Times New Roman" w:cs="Times New Roman"/>
          <w:bCs/>
          <w:color w:val="000000" w:themeColor="text1"/>
          <w:w w:val="99"/>
          <w:sz w:val="24"/>
          <w:szCs w:val="20"/>
          <w:highlight w:val="none"/>
          <w:lang w:val="en-US"/>
          <w14:textFill>
            <w14:solidFill>
              <w14:schemeClr w14:val="tx1"/>
            </w14:solidFill>
          </w14:textFill>
        </w:rPr>
        <w:t>kg/h</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井场规格为</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30</w:t>
      </w:r>
      <w:r>
        <w:rPr>
          <w:rFonts w:ascii="Times New Roman" w:hAnsi="Times New Roman" w:cs="Times New Roman"/>
          <w:bCs/>
          <w:color w:val="000000" w:themeColor="text1"/>
          <w:w w:val="99"/>
          <w:sz w:val="24"/>
          <w:szCs w:val="20"/>
          <w:highlight w:val="none"/>
          <w:lang w:val="en-US"/>
          <w14:textFill>
            <w14:solidFill>
              <w14:schemeClr w14:val="tx1"/>
            </w14:solidFill>
          </w14:textFill>
        </w:rPr>
        <w:t>m×40m</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，平台</w:t>
      </w:r>
      <w:r>
        <w:rPr>
          <w:rFonts w:ascii="Times New Roman" w:hAnsi="Times New Roman" w:cs="Times New Roman"/>
          <w:bCs/>
          <w:color w:val="000000" w:themeColor="text1"/>
          <w:w w:val="99"/>
          <w:sz w:val="24"/>
          <w:szCs w:val="20"/>
          <w:highlight w:val="none"/>
          <w:lang w:val="en-US"/>
          <w14:textFill>
            <w14:solidFill>
              <w14:schemeClr w14:val="tx1"/>
            </w14:solidFill>
          </w14:textFill>
        </w:rPr>
        <w:t>井场非甲烷总烃逸散量为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0.189</w:t>
      </w:r>
      <w:r>
        <w:rPr>
          <w:rFonts w:ascii="Times New Roman" w:hAnsi="Times New Roman" w:cs="Times New Roman"/>
          <w:bCs/>
          <w:color w:val="000000" w:themeColor="text1"/>
          <w:w w:val="99"/>
          <w:sz w:val="24"/>
          <w:szCs w:val="20"/>
          <w:highlight w:val="none"/>
          <w:lang w:val="en-US"/>
          <w14:textFill>
            <w14:solidFill>
              <w14:schemeClr w14:val="tx1"/>
            </w14:solidFill>
          </w14:textFill>
        </w:rPr>
        <w:t>kg/d（</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7.41</w:t>
      </w:r>
      <w:r>
        <w:rPr>
          <w:rFonts w:ascii="Times New Roman" w:hAnsi="Times New Roman" w:cs="Times New Roman"/>
          <w:bCs/>
          <w:color w:val="000000" w:themeColor="text1"/>
          <w:w w:val="99"/>
          <w:sz w:val="24"/>
          <w:szCs w:val="20"/>
          <w:highlight w:val="none"/>
          <w:lang w:val="en-US"/>
          <w14:textFill>
            <w14:solidFill>
              <w14:schemeClr w14:val="tx1"/>
            </w14:solidFill>
          </w14:textFill>
        </w:rPr>
        <w:t>kg/d×</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1.4175</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g/kg</w:t>
      </w:r>
      <w:r>
        <w:rPr>
          <w:rFonts w:ascii="Times New Roman" w:hAnsi="Times New Roman" w:cs="Times New Roman"/>
          <w:bCs/>
          <w:color w:val="000000" w:themeColor="text1"/>
          <w:w w:val="99"/>
          <w:sz w:val="24"/>
          <w:szCs w:val="20"/>
          <w:highlight w:val="none"/>
          <w:lang w:val="en-US"/>
          <w14:textFill>
            <w14:solidFill>
              <w14:schemeClr w14:val="tx1"/>
            </w14:solidFill>
          </w14:textFill>
        </w:rPr>
        <w:t xml:space="preserve">× </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1.8</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0.189</w:t>
      </w:r>
      <w:r>
        <w:rPr>
          <w:rFonts w:ascii="Times New Roman" w:hAnsi="Times New Roman" w:cs="Times New Roman"/>
          <w:bCs/>
          <w:color w:val="000000" w:themeColor="text1"/>
          <w:w w:val="99"/>
          <w:sz w:val="24"/>
          <w:szCs w:val="20"/>
          <w:highlight w:val="none"/>
          <w:lang w:val="en-US"/>
          <w14:textFill>
            <w14:solidFill>
              <w14:schemeClr w14:val="tx1"/>
            </w14:solidFill>
          </w14:textFill>
        </w:rPr>
        <w:t>kg/d），排放速率为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0.189</w:t>
      </w:r>
      <w:r>
        <w:rPr>
          <w:rFonts w:ascii="Times New Roman" w:hAnsi="Times New Roman" w:cs="Times New Roman"/>
          <w:bCs/>
          <w:color w:val="000000" w:themeColor="text1"/>
          <w:w w:val="99"/>
          <w:sz w:val="24"/>
          <w:szCs w:val="20"/>
          <w:highlight w:val="none"/>
          <w:lang w:val="en-US"/>
          <w14:textFill>
            <w14:solidFill>
              <w14:schemeClr w14:val="tx1"/>
            </w14:solidFill>
          </w14:textFill>
        </w:rPr>
        <w:t>kg/24h=</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0.00788</w:t>
      </w:r>
      <w:r>
        <w:rPr>
          <w:rFonts w:ascii="Times New Roman" w:hAnsi="Times New Roman" w:cs="Times New Roman"/>
          <w:bCs/>
          <w:color w:val="000000" w:themeColor="text1"/>
          <w:w w:val="99"/>
          <w:sz w:val="24"/>
          <w:szCs w:val="20"/>
          <w:highlight w:val="none"/>
          <w:lang w:val="en-US"/>
          <w14:textFill>
            <w14:solidFill>
              <w14:schemeClr w14:val="tx1"/>
            </w14:solidFill>
          </w14:textFill>
        </w:rPr>
        <w:t>kg/h</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井场规格为</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30</w:t>
      </w:r>
      <w:r>
        <w:rPr>
          <w:rFonts w:ascii="Times New Roman" w:hAnsi="Times New Roman" w:cs="Times New Roman"/>
          <w:bCs/>
          <w:color w:val="000000" w:themeColor="text1"/>
          <w:w w:val="99"/>
          <w:sz w:val="24"/>
          <w:szCs w:val="20"/>
          <w:highlight w:val="none"/>
          <w:lang w:val="en-US"/>
          <w14:textFill>
            <w14:solidFill>
              <w14:schemeClr w14:val="tx1"/>
            </w14:solidFill>
          </w14:textFill>
        </w:rPr>
        <w:t>m×4</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6</w:t>
      </w:r>
      <w:r>
        <w:rPr>
          <w:rFonts w:ascii="Times New Roman" w:hAnsi="Times New Roman" w:cs="Times New Roman"/>
          <w:bCs/>
          <w:color w:val="000000" w:themeColor="text1"/>
          <w:w w:val="99"/>
          <w:sz w:val="24"/>
          <w:szCs w:val="20"/>
          <w:highlight w:val="none"/>
          <w:lang w:val="en-US"/>
          <w14:textFill>
            <w14:solidFill>
              <w14:schemeClr w14:val="tx1"/>
            </w14:solidFill>
          </w14:textFill>
        </w:rPr>
        <w:t>m</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面源污染源参数见表2.5-1。</w:t>
      </w:r>
    </w:p>
    <w:p>
      <w:pPr>
        <w:pStyle w:val="14"/>
        <w:spacing w:line="440" w:lineRule="exact"/>
        <w:ind w:firstLine="440" w:firstLineChars="200"/>
        <w:jc w:val="both"/>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b/>
          <w:bCs/>
          <w:color w:val="000000" w:themeColor="text1"/>
          <w:spacing w:val="-9"/>
          <w:w w:val="99"/>
          <w:sz w:val="24"/>
          <w:szCs w:val="24"/>
          <w:highlight w:val="none"/>
          <w14:textFill>
            <w14:solidFill>
              <w14:schemeClr w14:val="tx1"/>
            </w14:solidFill>
          </w14:textFill>
        </w:rPr>
        <w:t>表</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2.5-1</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面源参数调查清单</w:t>
      </w:r>
    </w:p>
    <w:tbl>
      <w:tblPr>
        <w:tblStyle w:val="32"/>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10"/>
        <w:gridCol w:w="847"/>
        <w:gridCol w:w="893"/>
        <w:gridCol w:w="785"/>
        <w:gridCol w:w="653"/>
        <w:gridCol w:w="712"/>
        <w:gridCol w:w="688"/>
        <w:gridCol w:w="862"/>
        <w:gridCol w:w="800"/>
        <w:gridCol w:w="702"/>
        <w:gridCol w:w="14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0"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名称</w:t>
            </w:r>
          </w:p>
        </w:tc>
        <w:tc>
          <w:tcPr>
            <w:tcW w:w="1740" w:type="dxa"/>
            <w:gridSpan w:val="2"/>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面源起点坐标</w:t>
            </w:r>
          </w:p>
        </w:tc>
        <w:tc>
          <w:tcPr>
            <w:tcW w:w="785"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面源海拔高度/m</w:t>
            </w:r>
          </w:p>
        </w:tc>
        <w:tc>
          <w:tcPr>
            <w:tcW w:w="653"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面源长度/m</w:t>
            </w:r>
          </w:p>
        </w:tc>
        <w:tc>
          <w:tcPr>
            <w:tcW w:w="712"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面源宽度/m</w:t>
            </w:r>
          </w:p>
        </w:tc>
        <w:tc>
          <w:tcPr>
            <w:tcW w:w="688"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与正北向夹角/°</w:t>
            </w:r>
          </w:p>
        </w:tc>
        <w:tc>
          <w:tcPr>
            <w:tcW w:w="862"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面源有效排放高度/m</w:t>
            </w:r>
          </w:p>
        </w:tc>
        <w:tc>
          <w:tcPr>
            <w:tcW w:w="800"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年排放小时数/h</w:t>
            </w:r>
          </w:p>
        </w:tc>
        <w:tc>
          <w:tcPr>
            <w:tcW w:w="702"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排放工况</w:t>
            </w:r>
          </w:p>
        </w:tc>
        <w:tc>
          <w:tcPr>
            <w:tcW w:w="1420" w:type="dxa"/>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污染物排放速率/（kg/h）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710"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847" w:type="dxa"/>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0"/>
                <w:szCs w:val="20"/>
                <w:highlight w:val="none"/>
                <w:lang w:val="en-US" w:bidi="ar-SA"/>
                <w14:textFill>
                  <w14:solidFill>
                    <w14:schemeClr w14:val="tx1"/>
                  </w14:solidFill>
                </w14:textFill>
              </w:rPr>
              <w:t>东经</w:t>
            </w:r>
          </w:p>
        </w:tc>
        <w:tc>
          <w:tcPr>
            <w:tcW w:w="893" w:type="dxa"/>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0"/>
                <w:szCs w:val="20"/>
                <w:highlight w:val="none"/>
                <w:lang w:val="en-US" w:bidi="ar-SA"/>
                <w14:textFill>
                  <w14:solidFill>
                    <w14:schemeClr w14:val="tx1"/>
                  </w14:solidFill>
                </w14:textFill>
              </w:rPr>
              <w:t>北纬</w:t>
            </w:r>
          </w:p>
        </w:tc>
        <w:tc>
          <w:tcPr>
            <w:tcW w:w="785"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653"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712"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688"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862"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800"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702"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420" w:type="dxa"/>
            <w:vAlign w:val="center"/>
          </w:tcPr>
          <w:p>
            <w:pPr>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非甲烷总烃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0"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葡70-斜702井</w:t>
            </w:r>
          </w:p>
        </w:tc>
        <w:tc>
          <w:tcPr>
            <w:tcW w:w="847"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124.70576158</w:t>
            </w:r>
          </w:p>
        </w:tc>
        <w:tc>
          <w:tcPr>
            <w:tcW w:w="893"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46.00856948</w:t>
            </w:r>
          </w:p>
        </w:tc>
        <w:tc>
          <w:tcPr>
            <w:tcW w:w="785"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131</w:t>
            </w:r>
          </w:p>
        </w:tc>
        <w:tc>
          <w:tcPr>
            <w:tcW w:w="653"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40</w:t>
            </w:r>
          </w:p>
        </w:tc>
        <w:tc>
          <w:tcPr>
            <w:tcW w:w="712"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30</w:t>
            </w:r>
          </w:p>
        </w:tc>
        <w:tc>
          <w:tcPr>
            <w:tcW w:w="688"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862"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800"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8760</w:t>
            </w:r>
          </w:p>
        </w:tc>
        <w:tc>
          <w:tcPr>
            <w:tcW w:w="702"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连续</w:t>
            </w:r>
          </w:p>
        </w:tc>
        <w:tc>
          <w:tcPr>
            <w:tcW w:w="1420"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10" w:type="dxa"/>
            <w:vAlign w:val="center"/>
          </w:tcPr>
          <w:p>
            <w:pPr>
              <w:autoSpaceDE/>
              <w:autoSpaceDN/>
              <w:adjustRightInd w:val="0"/>
              <w:jc w:val="center"/>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平台井</w:t>
            </w:r>
          </w:p>
        </w:tc>
        <w:tc>
          <w:tcPr>
            <w:tcW w:w="847"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124.71409078</w:t>
            </w:r>
          </w:p>
        </w:tc>
        <w:tc>
          <w:tcPr>
            <w:tcW w:w="893" w:type="dxa"/>
            <w:vAlign w:val="center"/>
          </w:tcPr>
          <w:p>
            <w:pPr>
              <w:autoSpaceDE/>
              <w:autoSpaceDN/>
              <w:adjustRightInd w:val="0"/>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46.00113975</w:t>
            </w:r>
          </w:p>
        </w:tc>
        <w:tc>
          <w:tcPr>
            <w:tcW w:w="785"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127</w:t>
            </w:r>
          </w:p>
        </w:tc>
        <w:tc>
          <w:tcPr>
            <w:tcW w:w="653"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46</w:t>
            </w:r>
          </w:p>
        </w:tc>
        <w:tc>
          <w:tcPr>
            <w:tcW w:w="712"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30</w:t>
            </w:r>
          </w:p>
        </w:tc>
        <w:tc>
          <w:tcPr>
            <w:tcW w:w="688" w:type="dxa"/>
            <w:vAlign w:val="center"/>
          </w:tcPr>
          <w:p>
            <w:pPr>
              <w:autoSpaceDE/>
              <w:autoSpaceDN/>
              <w:adjustRightInd w:val="0"/>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862" w:type="dxa"/>
            <w:vAlign w:val="center"/>
          </w:tcPr>
          <w:p>
            <w:pPr>
              <w:autoSpaceDE/>
              <w:autoSpaceDN/>
              <w:adjustRightInd w:val="0"/>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800" w:type="dxa"/>
            <w:vAlign w:val="center"/>
          </w:tcPr>
          <w:p>
            <w:pPr>
              <w:autoSpaceDE/>
              <w:autoSpaceDN/>
              <w:adjustRightInd w:val="0"/>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8760</w:t>
            </w:r>
          </w:p>
        </w:tc>
        <w:tc>
          <w:tcPr>
            <w:tcW w:w="702" w:type="dxa"/>
            <w:vAlign w:val="center"/>
          </w:tcPr>
          <w:p>
            <w:pPr>
              <w:autoSpaceDE/>
              <w:autoSpaceDN/>
              <w:adjustRightInd w:val="0"/>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连续</w:t>
            </w:r>
          </w:p>
        </w:tc>
        <w:tc>
          <w:tcPr>
            <w:tcW w:w="1420"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0.0079</w:t>
            </w:r>
          </w:p>
        </w:tc>
      </w:tr>
    </w:tbl>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500" w:lineRule="exact"/>
        <w:ind w:left="0"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根据《环境影响评价技术导则 大气环境》（HJ2.2-2018）规定，采用估算模式计算本项目正常排放情况下主要污染物的最大影响程度和最远影响范围，按照评价工作分级判据进行分级。</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50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根据《环境影响评价技术导则 大气环境》(HJ2.2-2018)附录B的 B.6.1城市/农村选项，“当项目周边3km半径范围内一半以上属于城市建成区或者规划区时选择城市，否则选择农村”</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本项目位于</w:t>
      </w:r>
      <w:r>
        <w:rPr>
          <w:rFonts w:hint="eastAsia" w:ascii="Times New Roman" w:hAnsi="Times New Roman" w:cs="Times New Roman"/>
          <w:color w:val="000000" w:themeColor="text1"/>
          <w:w w:val="99"/>
          <w:sz w:val="24"/>
          <w:szCs w:val="24"/>
          <w:highlight w:val="none"/>
          <w14:textFill>
            <w14:solidFill>
              <w14:schemeClr w14:val="tx1"/>
            </w14:solidFill>
          </w14:textFill>
        </w:rPr>
        <w:t>农村区域</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50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环境温度取值来源于大庆市气象站</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近</w:t>
      </w:r>
      <w:r>
        <w:rPr>
          <w:rFonts w:ascii="Times New Roman" w:hAnsi="Times New Roman" w:cs="Times New Roman"/>
          <w:color w:val="000000" w:themeColor="text1"/>
          <w:w w:val="99"/>
          <w:sz w:val="24"/>
          <w:szCs w:val="24"/>
          <w:highlight w:val="none"/>
          <w14:textFill>
            <w14:solidFill>
              <w14:schemeClr w14:val="tx1"/>
            </w14:solidFill>
          </w14:textFill>
        </w:rPr>
        <w:t>二十年气象数据统计。</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50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（3）拟建项目位于</w:t>
      </w:r>
      <w:r>
        <w:rPr>
          <w:rFonts w:hint="eastAsia" w:ascii="Times New Roman" w:hAnsi="Times New Roman" w:cs="Times New Roman"/>
          <w:color w:val="000000" w:themeColor="text1"/>
          <w:w w:val="99"/>
          <w:sz w:val="24"/>
          <w:szCs w:val="24"/>
          <w:highlight w:val="none"/>
          <w14:textFill>
            <w14:solidFill>
              <w14:schemeClr w14:val="tx1"/>
            </w14:solidFill>
          </w14:textFill>
        </w:rPr>
        <w:t>油田开采</w:t>
      </w:r>
      <w:r>
        <w:rPr>
          <w:rFonts w:ascii="Times New Roman" w:hAnsi="Times New Roman" w:cs="Times New Roman"/>
          <w:color w:val="000000" w:themeColor="text1"/>
          <w:w w:val="99"/>
          <w:sz w:val="24"/>
          <w:szCs w:val="24"/>
          <w:highlight w:val="none"/>
          <w14:textFill>
            <w14:solidFill>
              <w14:schemeClr w14:val="tx1"/>
            </w14:solidFill>
          </w14:textFill>
        </w:rPr>
        <w:t>区，本次评价的土地利用利类型选取</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草</w:t>
      </w:r>
      <w:r>
        <w:rPr>
          <w:rFonts w:hint="eastAsia" w:ascii="Times New Roman" w:hAnsi="Times New Roman" w:cs="Times New Roman"/>
          <w:color w:val="000000" w:themeColor="text1"/>
          <w:w w:val="99"/>
          <w:sz w:val="24"/>
          <w:szCs w:val="24"/>
          <w:highlight w:val="none"/>
          <w14:textFill>
            <w14:solidFill>
              <w14:schemeClr w14:val="tx1"/>
            </w14:solidFill>
          </w14:textFill>
        </w:rPr>
        <w:t>地</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500" w:lineRule="exact"/>
        <w:ind w:left="0"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（4</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根据中国干湿度分布图判断，本地区属于中等湿润气候。根据EIA2018大气预测软件的DEM地形文件，地形数据分辨率90m。估算模型具体参数见下表</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2.5-</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，然后按评价工作分级判据进行分级。</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2.5-2</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估算模型参数一览表</w:t>
      </w:r>
    </w:p>
    <w:tbl>
      <w:tblPr>
        <w:tblStyle w:val="32"/>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699"/>
        <w:gridCol w:w="4913"/>
        <w:gridCol w:w="24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blHeader/>
          <w:jc w:val="center"/>
        </w:trPr>
        <w:tc>
          <w:tcPr>
            <w:tcW w:w="3640" w:type="pct"/>
            <w:gridSpan w:val="2"/>
            <w:vAlign w:val="center"/>
          </w:tcPr>
          <w:p>
            <w:pPr>
              <w:autoSpaceDE/>
              <w:autoSpaceDN/>
              <w:adjustRightInd w:val="0"/>
              <w:snapToGrid w:val="0"/>
              <w:spacing w:line="300" w:lineRule="atLeas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参数</w:t>
            </w:r>
          </w:p>
        </w:tc>
        <w:tc>
          <w:tcPr>
            <w:tcW w:w="1359" w:type="pct"/>
            <w:vAlign w:val="center"/>
          </w:tcPr>
          <w:p>
            <w:pPr>
              <w:autoSpaceDE/>
              <w:autoSpaceDN/>
              <w:adjustRightInd w:val="0"/>
              <w:snapToGrid w:val="0"/>
              <w:spacing w:line="300" w:lineRule="atLeas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取值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36" w:type="pct"/>
            <w:vMerge w:val="restart"/>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城市/农村选项</w:t>
            </w:r>
          </w:p>
        </w:tc>
        <w:tc>
          <w:tcPr>
            <w:tcW w:w="2704" w:type="pct"/>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城市/农村</w:t>
            </w:r>
          </w:p>
        </w:tc>
        <w:tc>
          <w:tcPr>
            <w:tcW w:w="1359" w:type="pct"/>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农村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36" w:type="pct"/>
            <w:vMerge w:val="continue"/>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704" w:type="pct"/>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人口数（城市选项时）</w:t>
            </w:r>
          </w:p>
        </w:tc>
        <w:tc>
          <w:tcPr>
            <w:tcW w:w="1359" w:type="pct"/>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3640" w:type="pct"/>
            <w:gridSpan w:val="2"/>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最高环境温度/</w:t>
            </w:r>
            <w:r>
              <w:rPr>
                <w:rFonts w:hint="eastAsia"/>
                <w:color w:val="000000" w:themeColor="text1"/>
                <w:w w:val="99"/>
                <w:kern w:val="2"/>
                <w:sz w:val="21"/>
                <w:szCs w:val="21"/>
                <w:highlight w:val="none"/>
                <w:lang w:val="en-US" w:bidi="ar-SA"/>
                <w14:textFill>
                  <w14:solidFill>
                    <w14:schemeClr w14:val="tx1"/>
                  </w14:solidFill>
                </w14:textFill>
              </w:rPr>
              <w:t>℃</w:t>
            </w:r>
          </w:p>
        </w:tc>
        <w:tc>
          <w:tcPr>
            <w:tcW w:w="1359" w:type="pct"/>
            <w:vAlign w:val="center"/>
          </w:tcPr>
          <w:p>
            <w:pPr>
              <w:autoSpaceDE/>
              <w:autoSpaceDN/>
              <w:adjustRightInd w:val="0"/>
              <w:snapToGrid w:val="0"/>
              <w:spacing w:line="300" w:lineRule="atLeas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640" w:type="pct"/>
            <w:gridSpan w:val="2"/>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最低环境温度/</w:t>
            </w:r>
            <w:r>
              <w:rPr>
                <w:rFonts w:hint="eastAsia"/>
                <w:color w:val="000000" w:themeColor="text1"/>
                <w:w w:val="99"/>
                <w:kern w:val="2"/>
                <w:sz w:val="21"/>
                <w:szCs w:val="21"/>
                <w:highlight w:val="none"/>
                <w:lang w:val="en-US" w:bidi="ar-SA"/>
                <w14:textFill>
                  <w14:solidFill>
                    <w14:schemeClr w14:val="tx1"/>
                  </w14:solidFill>
                </w14:textFill>
              </w:rPr>
              <w:t>℃</w:t>
            </w:r>
          </w:p>
        </w:tc>
        <w:tc>
          <w:tcPr>
            <w:tcW w:w="1359" w:type="pct"/>
            <w:vAlign w:val="center"/>
          </w:tcPr>
          <w:p>
            <w:pPr>
              <w:autoSpaceDE/>
              <w:autoSpaceDN/>
              <w:adjustRightInd w:val="0"/>
              <w:snapToGrid w:val="0"/>
              <w:spacing w:line="300" w:lineRule="atLeas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40.7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640" w:type="pct"/>
            <w:gridSpan w:val="2"/>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土地</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利用</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类型</w:t>
            </w:r>
          </w:p>
        </w:tc>
        <w:tc>
          <w:tcPr>
            <w:tcW w:w="1359" w:type="pct"/>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640" w:type="pct"/>
            <w:gridSpan w:val="2"/>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区域湿度条件</w:t>
            </w:r>
          </w:p>
        </w:tc>
        <w:tc>
          <w:tcPr>
            <w:tcW w:w="1359" w:type="pct"/>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中等</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湿度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36" w:type="pct"/>
            <w:vMerge w:val="restart"/>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是否考虑地形</w:t>
            </w:r>
          </w:p>
        </w:tc>
        <w:tc>
          <w:tcPr>
            <w:tcW w:w="2704" w:type="pct"/>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考虑地形</w:t>
            </w:r>
          </w:p>
        </w:tc>
        <w:tc>
          <w:tcPr>
            <w:tcW w:w="1359" w:type="pct"/>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2" w:char="0052"/>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是</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2" w:char="00A3"/>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36" w:type="pct"/>
            <w:vMerge w:val="continue"/>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704" w:type="pct"/>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地形数据分辨率</w:t>
            </w:r>
          </w:p>
        </w:tc>
        <w:tc>
          <w:tcPr>
            <w:tcW w:w="1359" w:type="pct"/>
            <w:vAlign w:val="center"/>
          </w:tcPr>
          <w:p>
            <w:pPr>
              <w:autoSpaceDE/>
              <w:autoSpaceDN/>
              <w:adjustRightInd w:val="0"/>
              <w:snapToGrid w:val="0"/>
              <w:spacing w:line="300" w:lineRule="atLeas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936" w:type="pct"/>
            <w:vMerge w:val="restart"/>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是否考虑岸线熏烟</w:t>
            </w:r>
          </w:p>
        </w:tc>
        <w:tc>
          <w:tcPr>
            <w:tcW w:w="2704" w:type="pct"/>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考虑岸线熏烟</w:t>
            </w:r>
          </w:p>
        </w:tc>
        <w:tc>
          <w:tcPr>
            <w:tcW w:w="1359" w:type="pct"/>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2" w:char="00A3"/>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是</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2" w:char="0052"/>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936" w:type="pct"/>
            <w:vMerge w:val="continue"/>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704" w:type="pct"/>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岸线距离/km</w:t>
            </w:r>
          </w:p>
        </w:tc>
        <w:tc>
          <w:tcPr>
            <w:tcW w:w="1359" w:type="pct"/>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36" w:type="pct"/>
            <w:vMerge w:val="continue"/>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704" w:type="pct"/>
            <w:tcMar>
              <w:left w:w="0" w:type="dxa"/>
              <w:right w:w="0" w:type="dxa"/>
            </w:tcMar>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岸线方向/°</w:t>
            </w:r>
          </w:p>
        </w:tc>
        <w:tc>
          <w:tcPr>
            <w:tcW w:w="1359" w:type="pct"/>
            <w:vAlign w:val="center"/>
          </w:tcPr>
          <w:p>
            <w:pPr>
              <w:autoSpaceDE/>
              <w:autoSpaceDN/>
              <w:adjustRightInd w:val="0"/>
              <w:snapToGrid w:val="0"/>
              <w:spacing w:line="30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bl>
    <w:p>
      <w:pPr>
        <w:pStyle w:val="14"/>
        <w:spacing w:line="440" w:lineRule="exact"/>
        <w:ind w:firstLine="494"/>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根据《环境影响评价技术导则 大气环境》</w:t>
      </w:r>
      <w:r>
        <w:rPr>
          <w:rFonts w:ascii="Times New Roman" w:hAnsi="Times New Roman" w:cs="Times New Roman"/>
          <w:color w:val="000000" w:themeColor="text1"/>
          <w:spacing w:val="4"/>
          <w:w w:val="99"/>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4"/>
          <w:w w:val="99"/>
          <w:sz w:val="24"/>
          <w:szCs w:val="24"/>
          <w:highlight w:val="none"/>
          <w14:textFill>
            <w14:solidFill>
              <w14:schemeClr w14:val="tx1"/>
            </w14:solidFill>
          </w14:textFill>
        </w:rPr>
        <w:t>HJ2.2-2018</w:t>
      </w:r>
      <w:r>
        <w:rPr>
          <w:rFonts w:ascii="Times New Roman" w:hAnsi="Times New Roman" w:cs="Times New Roman"/>
          <w:color w:val="000000" w:themeColor="text1"/>
          <w:spacing w:val="4"/>
          <w:w w:val="99"/>
          <w:sz w:val="24"/>
          <w:szCs w:val="24"/>
          <w:highlight w:val="none"/>
          <w14:textFill>
            <w14:solidFill>
              <w14:schemeClr w14:val="tx1"/>
            </w14:solidFill>
          </w14:textFill>
        </w:rPr>
        <w:t>）中的有关规定，评价工</w:t>
      </w:r>
      <w:r>
        <w:rPr>
          <w:rFonts w:ascii="Times New Roman" w:hAnsi="Times New Roman" w:cs="Times New Roman"/>
          <w:color w:val="000000" w:themeColor="text1"/>
          <w:spacing w:val="4"/>
          <w:w w:val="99"/>
          <w:position w:val="2"/>
          <w:sz w:val="24"/>
          <w:szCs w:val="24"/>
          <w:highlight w:val="none"/>
          <w14:textFill>
            <w14:solidFill>
              <w14:schemeClr w14:val="tx1"/>
            </w14:solidFill>
          </w14:textFill>
        </w:rPr>
        <w:t>作等级由项目主要污染物的最大地面空气质量浓度占标率</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P</w:t>
      </w:r>
      <w:r>
        <w:rPr>
          <w:rFonts w:ascii="Times New Roman" w:hAnsi="Times New Roman" w:eastAsia="Times New Roman" w:cs="Times New Roman"/>
          <w:color w:val="000000" w:themeColor="text1"/>
          <w:w w:val="99"/>
          <w:position w:val="2"/>
          <w:sz w:val="24"/>
          <w:szCs w:val="24"/>
          <w:highlight w:val="none"/>
          <w:vertAlign w:val="subscript"/>
          <w14:textFill>
            <w14:solidFill>
              <w14:schemeClr w14:val="tx1"/>
            </w14:solidFill>
          </w14:textFill>
        </w:rPr>
        <w:t>i</w:t>
      </w:r>
      <w:r>
        <w:rPr>
          <w:rFonts w:ascii="Times New Roman" w:hAnsi="Times New Roman" w:cs="Times New Roman"/>
          <w:color w:val="000000" w:themeColor="text1"/>
          <w:spacing w:val="25"/>
          <w:w w:val="99"/>
          <w:position w:val="2"/>
          <w:sz w:val="24"/>
          <w:szCs w:val="24"/>
          <w:highlight w:val="none"/>
          <w14:textFill>
            <w14:solidFill>
              <w14:schemeClr w14:val="tx1"/>
            </w14:solidFill>
          </w14:textFill>
        </w:rPr>
        <w:t>及第</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i</w:t>
      </w:r>
      <w:r>
        <w:rPr>
          <w:rFonts w:ascii="Times New Roman" w:hAnsi="Times New Roman" w:cs="Times New Roman"/>
          <w:color w:val="000000" w:themeColor="text1"/>
          <w:w w:val="99"/>
          <w:position w:val="2"/>
          <w:sz w:val="24"/>
          <w:szCs w:val="24"/>
          <w:highlight w:val="none"/>
          <w14:textFill>
            <w14:solidFill>
              <w14:schemeClr w14:val="tx1"/>
            </w14:solidFill>
          </w14:textFill>
        </w:rPr>
        <w:t>个污染物的地面空气</w:t>
      </w:r>
      <w:r>
        <w:rPr>
          <w:rFonts w:ascii="Times New Roman" w:hAnsi="Times New Roman" w:cs="Times New Roman"/>
          <w:color w:val="000000" w:themeColor="text1"/>
          <w:spacing w:val="-6"/>
          <w:w w:val="99"/>
          <w:position w:val="2"/>
          <w:sz w:val="24"/>
          <w:szCs w:val="24"/>
          <w:highlight w:val="none"/>
          <w14:textFill>
            <w14:solidFill>
              <w14:schemeClr w14:val="tx1"/>
            </w14:solidFill>
          </w14:textFill>
        </w:rPr>
        <w:t>质量浓度达到标准值的</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10%</w:t>
      </w:r>
      <w:r>
        <w:rPr>
          <w:rFonts w:ascii="Times New Roman" w:hAnsi="Times New Roman" w:cs="Times New Roman"/>
          <w:color w:val="000000" w:themeColor="text1"/>
          <w:spacing w:val="-6"/>
          <w:w w:val="99"/>
          <w:position w:val="2"/>
          <w:sz w:val="24"/>
          <w:szCs w:val="24"/>
          <w:highlight w:val="none"/>
          <w14:textFill>
            <w14:solidFill>
              <w14:schemeClr w14:val="tx1"/>
            </w14:solidFill>
          </w14:textFill>
        </w:rPr>
        <w:t>时所对应的最远距离</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D</w:t>
      </w:r>
      <w:r>
        <w:rPr>
          <w:rFonts w:ascii="Times New Roman" w:hAnsi="Times New Roman" w:eastAsia="Times New Roman" w:cs="Times New Roman"/>
          <w:color w:val="000000" w:themeColor="text1"/>
          <w:w w:val="99"/>
          <w:position w:val="2"/>
          <w:sz w:val="24"/>
          <w:szCs w:val="24"/>
          <w:highlight w:val="none"/>
          <w:vertAlign w:val="subscript"/>
          <w14:textFill>
            <w14:solidFill>
              <w14:schemeClr w14:val="tx1"/>
            </w14:solidFill>
          </w14:textFill>
        </w:rPr>
        <w:t>10%</w:t>
      </w:r>
      <w:r>
        <w:rPr>
          <w:rFonts w:ascii="Times New Roman" w:hAnsi="Times New Roman" w:cs="Times New Roman"/>
          <w:color w:val="000000" w:themeColor="text1"/>
          <w:w w:val="99"/>
          <w:position w:val="2"/>
          <w:sz w:val="24"/>
          <w:szCs w:val="24"/>
          <w:highlight w:val="none"/>
          <w14:textFill>
            <w14:solidFill>
              <w14:schemeClr w14:val="tx1"/>
            </w14:solidFill>
          </w14:textFill>
        </w:rPr>
        <w:t>进行等级划分。其中，</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P</w:t>
      </w:r>
      <w:r>
        <w:rPr>
          <w:rFonts w:ascii="Times New Roman" w:hAnsi="Times New Roman" w:eastAsia="Times New Roman" w:cs="Times New Roman"/>
          <w:color w:val="000000" w:themeColor="text1"/>
          <w:w w:val="99"/>
          <w:position w:val="2"/>
          <w:sz w:val="24"/>
          <w:szCs w:val="24"/>
          <w:highlight w:val="none"/>
          <w:vertAlign w:val="subscript"/>
          <w14:textFill>
            <w14:solidFill>
              <w14:schemeClr w14:val="tx1"/>
            </w14:solidFill>
          </w14:textFill>
        </w:rPr>
        <w:t>i</w:t>
      </w:r>
      <w:r>
        <w:rPr>
          <w:rFonts w:ascii="Times New Roman" w:hAnsi="Times New Roman" w:cs="Times New Roman"/>
          <w:color w:val="000000" w:themeColor="text1"/>
          <w:spacing w:val="-7"/>
          <w:w w:val="99"/>
          <w:position w:val="2"/>
          <w:sz w:val="24"/>
          <w:szCs w:val="24"/>
          <w:highlight w:val="none"/>
          <w14:textFill>
            <w14:solidFill>
              <w14:schemeClr w14:val="tx1"/>
            </w14:solidFill>
          </w14:textFill>
        </w:rPr>
        <w:t>定义为：</w:t>
      </w:r>
    </w:p>
    <w:p>
      <w:pPr>
        <w:pStyle w:val="45"/>
        <w:tabs>
          <w:tab w:val="left" w:pos="1571"/>
        </w:tabs>
        <w:spacing w:line="440" w:lineRule="exact"/>
        <w:ind w:left="0" w:firstLine="0"/>
        <w:jc w:val="center"/>
        <w:rPr>
          <w:rFonts w:ascii="Times New Roman" w:hAnsi="Times New Roman" w:cs="Times New Roman"/>
          <w:color w:val="000000" w:themeColor="text1"/>
          <w:w w:val="99"/>
          <w:position w:val="2"/>
          <w:sz w:val="24"/>
          <w:szCs w:val="24"/>
          <w:highlight w:val="none"/>
          <w14:textFill>
            <w14:solidFill>
              <w14:schemeClr w14:val="tx1"/>
            </w14:solidFill>
          </w14:textFill>
        </w:rPr>
      </w:pPr>
      <w:r>
        <w:rPr>
          <w:rFonts w:ascii="Times New Roman" w:hAnsi="Times New Roman" w:cs="Times New Roman"/>
          <w:color w:val="000000" w:themeColor="text1"/>
          <w:w w:val="99"/>
          <w:position w:val="2"/>
          <w:sz w:val="24"/>
          <w:szCs w:val="24"/>
          <w:highlight w:val="none"/>
          <w14:textFill>
            <w14:solidFill>
              <w14:schemeClr w14:val="tx1"/>
            </w14:solidFill>
          </w14:textFill>
        </w:rPr>
        <w:t>P</w:t>
      </w:r>
      <w:r>
        <w:rPr>
          <w:rFonts w:ascii="Times New Roman" w:hAnsi="Times New Roman" w:cs="Times New Roman"/>
          <w:color w:val="000000" w:themeColor="text1"/>
          <w:w w:val="99"/>
          <w:position w:val="2"/>
          <w:sz w:val="24"/>
          <w:szCs w:val="24"/>
          <w:highlight w:val="none"/>
          <w:vertAlign w:val="subscript"/>
          <w14:textFill>
            <w14:solidFill>
              <w14:schemeClr w14:val="tx1"/>
            </w14:solidFill>
          </w14:textFill>
        </w:rPr>
        <w:t>i</w:t>
      </w:r>
      <w:r>
        <w:rPr>
          <w:rFonts w:ascii="Times New Roman" w:hAnsi="Times New Roman" w:cs="Times New Roman"/>
          <w:color w:val="000000" w:themeColor="text1"/>
          <w:w w:val="99"/>
          <w:position w:val="2"/>
          <w:sz w:val="24"/>
          <w:szCs w:val="24"/>
          <w:highlight w:val="none"/>
          <w14:textFill>
            <w14:solidFill>
              <w14:schemeClr w14:val="tx1"/>
            </w14:solidFill>
          </w14:textFill>
        </w:rPr>
        <w:t>=C</w:t>
      </w:r>
      <w:r>
        <w:rPr>
          <w:rFonts w:ascii="Times New Roman" w:hAnsi="Times New Roman" w:cs="Times New Roman"/>
          <w:color w:val="000000" w:themeColor="text1"/>
          <w:w w:val="99"/>
          <w:position w:val="2"/>
          <w:sz w:val="24"/>
          <w:szCs w:val="24"/>
          <w:highlight w:val="none"/>
          <w:vertAlign w:val="subscript"/>
          <w14:textFill>
            <w14:solidFill>
              <w14:schemeClr w14:val="tx1"/>
            </w14:solidFill>
          </w14:textFill>
        </w:rPr>
        <w:t>i</w:t>
      </w:r>
      <w:r>
        <w:rPr>
          <w:rFonts w:ascii="Times New Roman" w:hAnsi="Times New Roman" w:cs="Times New Roman"/>
          <w:color w:val="000000" w:themeColor="text1"/>
          <w:w w:val="99"/>
          <w:position w:val="2"/>
          <w:sz w:val="24"/>
          <w:szCs w:val="24"/>
          <w:highlight w:val="none"/>
          <w14:textFill>
            <w14:solidFill>
              <w14:schemeClr w14:val="tx1"/>
            </w14:solidFill>
          </w14:textFill>
        </w:rPr>
        <w:t>/C</w:t>
      </w:r>
      <w:r>
        <w:rPr>
          <w:rFonts w:ascii="Times New Roman" w:hAnsi="Times New Roman" w:cs="Times New Roman"/>
          <w:color w:val="000000" w:themeColor="text1"/>
          <w:w w:val="99"/>
          <w:position w:val="2"/>
          <w:sz w:val="24"/>
          <w:szCs w:val="24"/>
          <w:highlight w:val="none"/>
          <w:vertAlign w:val="subscript"/>
          <w14:textFill>
            <w14:solidFill>
              <w14:schemeClr w14:val="tx1"/>
            </w14:solidFill>
          </w14:textFill>
        </w:rPr>
        <w:t>0j</w:t>
      </w:r>
      <w:r>
        <w:rPr>
          <w:rFonts w:ascii="Times New Roman" w:hAnsi="Times New Roman" w:cs="Times New Roman"/>
          <w:color w:val="000000" w:themeColor="text1"/>
          <w:w w:val="99"/>
          <w:position w:val="2"/>
          <w:sz w:val="24"/>
          <w:szCs w:val="24"/>
          <w:highlight w:val="none"/>
          <w14:textFill>
            <w14:solidFill>
              <w14:schemeClr w14:val="tx1"/>
            </w14:solidFill>
          </w14:textFill>
        </w:rPr>
        <w:t>×100%</w:t>
      </w:r>
    </w:p>
    <w:p>
      <w:pPr>
        <w:pStyle w:val="14"/>
        <w:spacing w:line="440" w:lineRule="exact"/>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position w:val="2"/>
          <w:sz w:val="24"/>
          <w:szCs w:val="24"/>
          <w:highlight w:val="none"/>
          <w14:textFill>
            <w14:solidFill>
              <w14:schemeClr w14:val="tx1"/>
            </w14:solidFill>
          </w14:textFill>
        </w:rPr>
        <w:t>式中：</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P</w:t>
      </w:r>
      <w:r>
        <w:rPr>
          <w:rFonts w:ascii="Times New Roman" w:hAnsi="Times New Roman" w:eastAsia="Times New Roman" w:cs="Times New Roman"/>
          <w:color w:val="000000" w:themeColor="text1"/>
          <w:w w:val="99"/>
          <w:position w:val="2"/>
          <w:sz w:val="24"/>
          <w:szCs w:val="24"/>
          <w:highlight w:val="none"/>
          <w:vertAlign w:val="subscript"/>
          <w14:textFill>
            <w14:solidFill>
              <w14:schemeClr w14:val="tx1"/>
            </w14:solidFill>
          </w14:textFill>
        </w:rPr>
        <w:t>i</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w:t>
      </w:r>
      <w:r>
        <w:rPr>
          <w:rFonts w:ascii="Times New Roman" w:hAnsi="Times New Roman" w:cs="Times New Roman"/>
          <w:color w:val="000000" w:themeColor="text1"/>
          <w:w w:val="99"/>
          <w:position w:val="2"/>
          <w:sz w:val="24"/>
          <w:szCs w:val="24"/>
          <w:highlight w:val="none"/>
          <w14:textFill>
            <w14:solidFill>
              <w14:schemeClr w14:val="tx1"/>
            </w14:solidFill>
          </w14:textFill>
        </w:rPr>
        <w:t xml:space="preserve">第 </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 xml:space="preserve">i </w:t>
      </w:r>
      <w:r>
        <w:rPr>
          <w:rFonts w:ascii="Times New Roman" w:hAnsi="Times New Roman" w:cs="Times New Roman"/>
          <w:color w:val="000000" w:themeColor="text1"/>
          <w:w w:val="99"/>
          <w:position w:val="2"/>
          <w:sz w:val="24"/>
          <w:szCs w:val="24"/>
          <w:highlight w:val="none"/>
          <w14:textFill>
            <w14:solidFill>
              <w14:schemeClr w14:val="tx1"/>
            </w14:solidFill>
          </w14:textFill>
        </w:rPr>
        <w:t>个污染物的最大地面空气质量浓度占标率，</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w:t>
      </w:r>
      <w:r>
        <w:rPr>
          <w:rFonts w:ascii="Times New Roman" w:hAnsi="Times New Roman" w:cs="Times New Roman"/>
          <w:color w:val="000000" w:themeColor="text1"/>
          <w:w w:val="99"/>
          <w:position w:val="2"/>
          <w:sz w:val="24"/>
          <w:szCs w:val="24"/>
          <w:highlight w:val="none"/>
          <w14:textFill>
            <w14:solidFill>
              <w14:schemeClr w14:val="tx1"/>
            </w14:solidFill>
          </w14:textFill>
        </w:rPr>
        <w:t>；</w:t>
      </w:r>
    </w:p>
    <w:p>
      <w:pPr>
        <w:pStyle w:val="14"/>
        <w:spacing w:line="440" w:lineRule="exact"/>
        <w:ind w:firstLine="711" w:firstLineChars="3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C</w:t>
      </w:r>
      <w:r>
        <w:rPr>
          <w:rFonts w:ascii="Times New Roman" w:hAnsi="Times New Roman" w:eastAsia="Times New Roman" w:cs="Times New Roman"/>
          <w:color w:val="000000" w:themeColor="text1"/>
          <w:w w:val="99"/>
          <w:position w:val="2"/>
          <w:sz w:val="24"/>
          <w:szCs w:val="24"/>
          <w:highlight w:val="none"/>
          <w:vertAlign w:val="subscript"/>
          <w14:textFill>
            <w14:solidFill>
              <w14:schemeClr w14:val="tx1"/>
            </w14:solidFill>
          </w14:textFill>
        </w:rPr>
        <w:t>i</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w:t>
      </w:r>
      <w:r>
        <w:rPr>
          <w:rFonts w:ascii="Times New Roman" w:hAnsi="Times New Roman" w:cs="Times New Roman"/>
          <w:color w:val="000000" w:themeColor="text1"/>
          <w:w w:val="99"/>
          <w:position w:val="2"/>
          <w:sz w:val="24"/>
          <w:szCs w:val="24"/>
          <w:highlight w:val="none"/>
          <w14:textFill>
            <w14:solidFill>
              <w14:schemeClr w14:val="tx1"/>
            </w14:solidFill>
          </w14:textFill>
        </w:rPr>
        <w:t>采用估算模式计算出的第</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i</w:t>
      </w:r>
      <w:r>
        <w:rPr>
          <w:rFonts w:ascii="Times New Roman" w:hAnsi="Times New Roman" w:cs="Times New Roman"/>
          <w:color w:val="000000" w:themeColor="text1"/>
          <w:w w:val="99"/>
          <w:position w:val="2"/>
          <w:sz w:val="24"/>
          <w:szCs w:val="24"/>
          <w:highlight w:val="none"/>
          <w14:textFill>
            <w14:solidFill>
              <w14:schemeClr w14:val="tx1"/>
            </w14:solidFill>
          </w14:textFill>
        </w:rPr>
        <w:t>个污染物的最大</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1h</w:t>
      </w:r>
      <w:r>
        <w:rPr>
          <w:rFonts w:ascii="Times New Roman" w:hAnsi="Times New Roman" w:cs="Times New Roman"/>
          <w:color w:val="000000" w:themeColor="text1"/>
          <w:w w:val="99"/>
          <w:position w:val="2"/>
          <w:sz w:val="24"/>
          <w:szCs w:val="24"/>
          <w:highlight w:val="none"/>
          <w14:textFill>
            <w14:solidFill>
              <w14:schemeClr w14:val="tx1"/>
            </w14:solidFill>
          </w14:textFill>
        </w:rPr>
        <w:t>地面空气质量浓度，</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μg/m</w:t>
      </w:r>
      <w:r>
        <w:rPr>
          <w:rFonts w:ascii="Times New Roman" w:hAnsi="Times New Roman" w:eastAsia="Times New Roman" w:cs="Times New Roman"/>
          <w:color w:val="000000" w:themeColor="text1"/>
          <w:w w:val="99"/>
          <w:position w:val="2"/>
          <w:sz w:val="24"/>
          <w:szCs w:val="24"/>
          <w:highlight w:val="none"/>
          <w:vertAlign w:val="superscript"/>
          <w14:textFill>
            <w14:solidFill>
              <w14:schemeClr w14:val="tx1"/>
            </w14:solidFill>
          </w14:textFill>
        </w:rPr>
        <w:t>3</w:t>
      </w:r>
      <w:r>
        <w:rPr>
          <w:rFonts w:ascii="Times New Roman" w:hAnsi="Times New Roman" w:cs="Times New Roman"/>
          <w:color w:val="000000" w:themeColor="text1"/>
          <w:w w:val="99"/>
          <w:position w:val="2"/>
          <w:sz w:val="24"/>
          <w:szCs w:val="24"/>
          <w:highlight w:val="none"/>
          <w14:textFill>
            <w14:solidFill>
              <w14:schemeClr w14:val="tx1"/>
            </w14:solidFill>
          </w14:textFill>
        </w:rPr>
        <w:t>；</w:t>
      </w:r>
    </w:p>
    <w:p>
      <w:pPr>
        <w:pStyle w:val="14"/>
        <w:spacing w:line="440" w:lineRule="exact"/>
        <w:ind w:firstLine="711" w:firstLineChars="3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C</w:t>
      </w:r>
      <w:r>
        <w:rPr>
          <w:rFonts w:ascii="Times New Roman" w:hAnsi="Times New Roman" w:eastAsia="Times New Roman" w:cs="Times New Roman"/>
          <w:color w:val="000000" w:themeColor="text1"/>
          <w:w w:val="99"/>
          <w:position w:val="2"/>
          <w:sz w:val="24"/>
          <w:szCs w:val="24"/>
          <w:highlight w:val="none"/>
          <w:vertAlign w:val="subscript"/>
          <w14:textFill>
            <w14:solidFill>
              <w14:schemeClr w14:val="tx1"/>
            </w14:solidFill>
          </w14:textFill>
        </w:rPr>
        <w:t>0i</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w:t>
      </w:r>
      <w:r>
        <w:rPr>
          <w:rFonts w:ascii="Times New Roman" w:hAnsi="Times New Roman" w:cs="Times New Roman"/>
          <w:color w:val="000000" w:themeColor="text1"/>
          <w:w w:val="99"/>
          <w:position w:val="2"/>
          <w:sz w:val="24"/>
          <w:szCs w:val="24"/>
          <w:highlight w:val="none"/>
          <w14:textFill>
            <w14:solidFill>
              <w14:schemeClr w14:val="tx1"/>
            </w14:solidFill>
          </w14:textFill>
        </w:rPr>
        <w:t xml:space="preserve">第 </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 xml:space="preserve">i </w:t>
      </w:r>
      <w:r>
        <w:rPr>
          <w:rFonts w:ascii="Times New Roman" w:hAnsi="Times New Roman" w:cs="Times New Roman"/>
          <w:color w:val="000000" w:themeColor="text1"/>
          <w:w w:val="99"/>
          <w:position w:val="2"/>
          <w:sz w:val="24"/>
          <w:szCs w:val="24"/>
          <w:highlight w:val="none"/>
          <w14:textFill>
            <w14:solidFill>
              <w14:schemeClr w14:val="tx1"/>
            </w14:solidFill>
          </w14:textFill>
        </w:rPr>
        <w:t>个污染物的环境空气质量浓度标准，</w:t>
      </w:r>
      <w:r>
        <w:rPr>
          <w:rFonts w:ascii="Times New Roman" w:hAnsi="Times New Roman" w:eastAsia="Times New Roman" w:cs="Times New Roman"/>
          <w:color w:val="000000" w:themeColor="text1"/>
          <w:w w:val="99"/>
          <w:position w:val="2"/>
          <w:sz w:val="24"/>
          <w:szCs w:val="24"/>
          <w:highlight w:val="none"/>
          <w14:textFill>
            <w14:solidFill>
              <w14:schemeClr w14:val="tx1"/>
            </w14:solidFill>
          </w14:textFill>
        </w:rPr>
        <w:t>μg/m</w:t>
      </w:r>
      <w:r>
        <w:rPr>
          <w:rFonts w:ascii="Times New Roman" w:hAnsi="Times New Roman" w:eastAsia="Times New Roman" w:cs="Times New Roman"/>
          <w:color w:val="000000" w:themeColor="text1"/>
          <w:w w:val="99"/>
          <w:position w:val="2"/>
          <w:sz w:val="24"/>
          <w:szCs w:val="24"/>
          <w:highlight w:val="none"/>
          <w:vertAlign w:val="superscript"/>
          <w14:textFill>
            <w14:solidFill>
              <w14:schemeClr w14:val="tx1"/>
            </w14:solidFill>
          </w14:textFill>
        </w:rPr>
        <w:t>3</w:t>
      </w:r>
      <w:r>
        <w:rPr>
          <w:rFonts w:ascii="Times New Roman" w:hAnsi="Times New Roman" w:cs="Times New Roman"/>
          <w:color w:val="000000" w:themeColor="text1"/>
          <w:w w:val="99"/>
          <w:position w:val="2"/>
          <w:sz w:val="24"/>
          <w:szCs w:val="24"/>
          <w:highlight w:val="none"/>
          <w14:textFill>
            <w14:solidFill>
              <w14:schemeClr w14:val="tx1"/>
            </w14:solidFill>
          </w14:textFill>
        </w:rPr>
        <w:t>。</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position w:val="2"/>
          <w:sz w:val="24"/>
          <w:szCs w:val="24"/>
          <w:highlight w:val="none"/>
          <w:lang w:val="en-US"/>
          <w14:textFill>
            <w14:solidFill>
              <w14:schemeClr w14:val="tx1"/>
            </w14:solidFill>
          </w14:textFill>
        </w:rPr>
      </w:pPr>
      <w:r>
        <w:rPr>
          <w:rFonts w:ascii="Times New Roman" w:hAnsi="Times New Roman" w:cs="Times New Roman"/>
          <w:color w:val="000000" w:themeColor="text1"/>
          <w:w w:val="99"/>
          <w:position w:val="2"/>
          <w:sz w:val="24"/>
          <w:szCs w:val="24"/>
          <w:highlight w:val="none"/>
          <w14:textFill>
            <w14:solidFill>
              <w14:schemeClr w14:val="tx1"/>
            </w14:solidFill>
          </w14:textFill>
        </w:rPr>
        <w:t>根据 AERSCREEN 估算模式预测，本项目最大地面浓度占标率计算结果见表</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2.5-3。</w:t>
      </w:r>
    </w:p>
    <w:p>
      <w:pPr>
        <w:pStyle w:val="45"/>
        <w:tabs>
          <w:tab w:val="left" w:pos="1571"/>
        </w:tabs>
        <w:spacing w:line="440" w:lineRule="exact"/>
        <w:ind w:left="0" w:firstLine="476" w:firstLineChars="200"/>
        <w:jc w:val="both"/>
        <w:rPr>
          <w:rFonts w:ascii="Times New Roman" w:hAnsi="Times New Roman" w:cs="Times New Roman"/>
          <w:b/>
          <w:bCs/>
          <w:color w:val="000000" w:themeColor="text1"/>
          <w:w w:val="99"/>
          <w:sz w:val="28"/>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2.5-3        </w:t>
      </w:r>
      <w:r>
        <w:rPr>
          <w:rFonts w:ascii="Times New Roman" w:hAnsi="Times New Roman" w:cs="Times New Roman"/>
          <w:b/>
          <w:bCs/>
          <w:color w:val="000000" w:themeColor="text1"/>
          <w:w w:val="99"/>
          <w:position w:val="2"/>
          <w:sz w:val="24"/>
          <w:szCs w:val="24"/>
          <w:highlight w:val="none"/>
          <w14:textFill>
            <w14:solidFill>
              <w14:schemeClr w14:val="tx1"/>
            </w14:solidFill>
          </w14:textFill>
        </w:rPr>
        <w:t>主要污染物最大地面浓度占标率计算结果</w:t>
      </w:r>
    </w:p>
    <w:tbl>
      <w:tblPr>
        <w:tblStyle w:val="32"/>
        <w:tblW w:w="9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4"/>
        <w:gridCol w:w="1890"/>
        <w:gridCol w:w="4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75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污染源</w:t>
            </w:r>
          </w:p>
        </w:tc>
        <w:tc>
          <w:tcPr>
            <w:tcW w:w="189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预测因子</w:t>
            </w:r>
          </w:p>
        </w:tc>
        <w:tc>
          <w:tcPr>
            <w:tcW w:w="464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最大浓度占标率（%）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4" w:type="dxa"/>
            <w:tcBorders>
              <w:tl2br w:val="nil"/>
              <w:tr2bl w:val="nil"/>
            </w:tcBorders>
            <w:vAlign w:val="center"/>
          </w:tcPr>
          <w:p>
            <w:pPr>
              <w:autoSpaceDE/>
              <w:autoSpaceDN/>
              <w:adjustRightInd w:val="0"/>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葡70-斜702井</w:t>
            </w:r>
          </w:p>
        </w:tc>
        <w:tc>
          <w:tcPr>
            <w:tcW w:w="189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非甲烷总烃</w:t>
            </w:r>
          </w:p>
        </w:tc>
        <w:tc>
          <w:tcPr>
            <w:tcW w:w="4646" w:type="dxa"/>
            <w:tcBorders>
              <w:tl2br w:val="nil"/>
              <w:tr2bl w:val="nil"/>
            </w:tcBorders>
            <w:vAlign w:val="center"/>
          </w:tcPr>
          <w:p>
            <w:pPr>
              <w:autoSpaceDE/>
              <w:autoSpaceDN/>
              <w:spacing w:line="360" w:lineRule="exac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4" w:type="dxa"/>
            <w:tcBorders>
              <w:tl2br w:val="nil"/>
              <w:tr2bl w:val="nil"/>
            </w:tcBorders>
            <w:vAlign w:val="center"/>
          </w:tcPr>
          <w:p>
            <w:pPr>
              <w:autoSpaceDE/>
              <w:autoSpaceDN/>
              <w:adjustRightInd w:val="0"/>
              <w:jc w:val="center"/>
              <w:rPr>
                <w:rFonts w:hint="eastAsia"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平台井</w:t>
            </w:r>
          </w:p>
        </w:tc>
        <w:tc>
          <w:tcPr>
            <w:tcW w:w="189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非甲烷总烃</w:t>
            </w:r>
          </w:p>
        </w:tc>
        <w:tc>
          <w:tcPr>
            <w:tcW w:w="4646" w:type="dxa"/>
            <w:tcBorders>
              <w:tl2br w:val="nil"/>
              <w:tr2bl w:val="nil"/>
            </w:tcBorders>
            <w:vAlign w:val="center"/>
          </w:tcPr>
          <w:p>
            <w:pPr>
              <w:autoSpaceDE/>
              <w:autoSpaceDN/>
              <w:spacing w:line="360" w:lineRule="exac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1.4917</w:t>
            </w:r>
          </w:p>
        </w:tc>
      </w:tr>
    </w:tbl>
    <w:p>
      <w:pPr>
        <w:pStyle w:val="14"/>
        <w:spacing w:line="440" w:lineRule="exact"/>
        <w:ind w:firstLine="474" w:firstLineChars="200"/>
        <w:jc w:val="both"/>
        <w:rPr>
          <w:rFonts w:ascii="Times New Roman" w:hAnsi="Times New Roman" w:cs="Times New Roman"/>
          <w:color w:val="000000" w:themeColor="text1"/>
          <w:w w:val="99"/>
          <w:position w:val="2"/>
          <w:sz w:val="24"/>
          <w:szCs w:val="24"/>
          <w:highlight w:val="none"/>
          <w14:textFill>
            <w14:solidFill>
              <w14:schemeClr w14:val="tx1"/>
            </w14:solidFill>
          </w14:textFill>
        </w:rPr>
      </w:pPr>
      <w:r>
        <w:rPr>
          <w:rFonts w:ascii="Times New Roman" w:hAnsi="Times New Roman" w:cs="Times New Roman"/>
          <w:color w:val="000000" w:themeColor="text1"/>
          <w:w w:val="99"/>
          <w:position w:val="2"/>
          <w:sz w:val="24"/>
          <w:szCs w:val="24"/>
          <w:highlight w:val="none"/>
          <w14:textFill>
            <w14:solidFill>
              <w14:schemeClr w14:val="tx1"/>
            </w14:solidFill>
          </w14:textFill>
        </w:rPr>
        <w:t>《环境影响评价技术导则 大气环境》（HJ2.2-2018）中评价等级的划分原则见表2.5-4。</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2.5-4        </w:t>
      </w:r>
      <w:r>
        <w:rPr>
          <w:rFonts w:ascii="Times New Roman" w:hAnsi="Times New Roman" w:cs="Times New Roman"/>
          <w:b/>
          <w:bCs/>
          <w:color w:val="000000" w:themeColor="text1"/>
          <w:w w:val="99"/>
          <w:position w:val="2"/>
          <w:sz w:val="24"/>
          <w:szCs w:val="24"/>
          <w:highlight w:val="none"/>
          <w14:textFill>
            <w14:solidFill>
              <w14:schemeClr w14:val="tx1"/>
            </w14:solidFill>
          </w14:textFill>
        </w:rPr>
        <w:t>评价等级判别表</w:t>
      </w:r>
    </w:p>
    <w:tbl>
      <w:tblPr>
        <w:tblStyle w:val="32"/>
        <w:tblW w:w="9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6"/>
        <w:gridCol w:w="4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评价工作等级</w:t>
            </w:r>
          </w:p>
        </w:tc>
        <w:tc>
          <w:tcPr>
            <w:tcW w:w="464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一级</w:t>
            </w:r>
          </w:p>
        </w:tc>
        <w:tc>
          <w:tcPr>
            <w:tcW w:w="464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max</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p>
        </w:tc>
        <w:tc>
          <w:tcPr>
            <w:tcW w:w="464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1%≤P</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max</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p>
        </w:tc>
        <w:tc>
          <w:tcPr>
            <w:tcW w:w="464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max</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r>
    </w:tbl>
    <w:p>
      <w:pPr>
        <w:pStyle w:val="45"/>
        <w:tabs>
          <w:tab w:val="left" w:pos="1571"/>
        </w:tabs>
        <w:spacing w:line="440" w:lineRule="exact"/>
        <w:ind w:left="0" w:firstLine="474" w:firstLineChars="200"/>
        <w:jc w:val="both"/>
        <w:rPr>
          <w:rFonts w:ascii="Times New Roman" w:hAnsi="Times New Roman" w:cs="Times New Roman"/>
          <w:color w:val="000000" w:themeColor="text1"/>
          <w:w w:val="99"/>
          <w:position w:val="2"/>
          <w:sz w:val="24"/>
          <w:szCs w:val="24"/>
          <w:highlight w:val="none"/>
          <w14:textFill>
            <w14:solidFill>
              <w14:schemeClr w14:val="tx1"/>
            </w14:solidFill>
          </w14:textFill>
        </w:rPr>
      </w:pPr>
      <w:r>
        <w:rPr>
          <w:rFonts w:ascii="Times New Roman" w:hAnsi="Times New Roman" w:cs="Times New Roman"/>
          <w:color w:val="000000" w:themeColor="text1"/>
          <w:w w:val="99"/>
          <w:position w:val="2"/>
          <w:sz w:val="24"/>
          <w:szCs w:val="24"/>
          <w:highlight w:val="none"/>
          <w14:textFill>
            <w14:solidFill>
              <w14:schemeClr w14:val="tx1"/>
            </w14:solidFill>
          </w14:textFill>
        </w:rPr>
        <w:t>计算结果可以看出，无组织排放最大地面占标率Pmax=</w:t>
      </w:r>
      <w:r>
        <w:rPr>
          <w:rFonts w:hint="eastAsia" w:ascii="Times New Roman" w:hAnsi="Times New Roman" w:cs="Times New Roman"/>
          <w:color w:val="000000" w:themeColor="text1"/>
          <w:w w:val="99"/>
          <w:position w:val="2"/>
          <w:sz w:val="24"/>
          <w:szCs w:val="24"/>
          <w:highlight w:val="none"/>
          <w:lang w:val="en-US" w:eastAsia="zh-CN"/>
          <w14:textFill>
            <w14:solidFill>
              <w14:schemeClr w14:val="tx1"/>
            </w14:solidFill>
          </w14:textFill>
        </w:rPr>
        <w:t>1.4917</w:t>
      </w:r>
      <w:r>
        <w:rPr>
          <w:rFonts w:ascii="Times New Roman" w:hAnsi="Times New Roman" w:cs="Times New Roman"/>
          <w:color w:val="000000" w:themeColor="text1"/>
          <w:w w:val="99"/>
          <w:position w:val="2"/>
          <w:sz w:val="24"/>
          <w:szCs w:val="24"/>
          <w:highlight w:val="none"/>
          <w14:textFill>
            <w14:solidFill>
              <w14:schemeClr w14:val="tx1"/>
            </w14:solidFill>
          </w14:textFill>
        </w:rPr>
        <w:t>%，1%≤Pmax＜10%，评价等级为二级。</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2.5.2 地表水环境</w:t>
      </w:r>
    </w:p>
    <w:p>
      <w:pPr>
        <w:tabs>
          <w:tab w:val="left" w:pos="892"/>
        </w:tabs>
        <w:spacing w:line="440" w:lineRule="exact"/>
        <w:ind w:firstLine="474" w:firstLineChars="200"/>
        <w:jc w:val="both"/>
        <w:rPr>
          <w:rFonts w:ascii="Times New Roman" w:hAnsi="Times New Roman" w:cs="Times New Roman"/>
          <w:color w:val="000000" w:themeColor="text1"/>
          <w:w w:val="99"/>
          <w:position w:val="2"/>
          <w:sz w:val="28"/>
          <w:szCs w:val="28"/>
          <w:highlight w:val="none"/>
          <w14:textFill>
            <w14:solidFill>
              <w14:schemeClr w14:val="tx1"/>
            </w14:solidFill>
          </w14:textFill>
        </w:rPr>
      </w:pP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施工人员产生的生活污水</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排</w:t>
      </w:r>
      <w:r>
        <w:rPr>
          <w:rFonts w:hint="eastAsia" w:ascii="Times New Roman" w:hAnsi="Times New Roman" w:cs="Times New Roman"/>
          <w:color w:val="000000" w:themeColor="text1"/>
          <w:w w:val="99"/>
          <w:position w:val="2"/>
          <w:sz w:val="24"/>
          <w:szCs w:val="24"/>
          <w:highlight w:val="none"/>
          <w:lang w:val="en-US" w:eastAsia="zh-CN"/>
          <w14:textFill>
            <w14:solidFill>
              <w14:schemeClr w14:val="tx1"/>
            </w14:solidFill>
          </w14:textFill>
        </w:rPr>
        <w:t>注入井</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场附近</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阀组间内已建防渗旱厕</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，定期进行清掏堆肥</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；管道试压废水</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由罐车</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拉运至</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葡二联</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含油污水处理站处理后回注</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油层</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采出液分离</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污水经</w:t>
      </w:r>
      <w:r>
        <w:rPr>
          <w:rFonts w:hint="eastAsia" w:ascii="Times New Roman" w:hAnsi="Times New Roman" w:cs="Times New Roman"/>
          <w:color w:val="000000" w:themeColor="text1"/>
          <w:w w:val="99"/>
          <w:position w:val="2"/>
          <w:sz w:val="24"/>
          <w:szCs w:val="24"/>
          <w:highlight w:val="none"/>
          <w:lang w:val="en-US" w:eastAsia="zh-CN"/>
          <w14:textFill>
            <w14:solidFill>
              <w14:schemeClr w14:val="tx1"/>
            </w14:solidFill>
          </w14:textFill>
        </w:rPr>
        <w:t>葡二联含油污水处理站</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处理后</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满足《大庆油田地面工程建设设计规定》（Q/SYDQ 0639-2015）限值要求“含油量≤</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10</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mg/L、悬浮固体含量≤</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5</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mg/L、粒径中值≤</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2μm</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回注油层，项目不向地表水体排放废水，依据《环境影响评价技术导则 地表水环境》（HJ2.3-2018）</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“建设项目生产工艺中有废水产生，但作为回水利用，不排放到外环境的，按三级</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 xml:space="preserve"> B 评价</w:t>
      </w:r>
      <w:r>
        <w:rPr>
          <w:rFonts w:hint="eastAsia" w:ascii="Times New Roman" w:hAnsi="Times New Roman" w:cs="Times New Roman"/>
          <w:color w:val="000000" w:themeColor="text1"/>
          <w:w w:val="99"/>
          <w:position w:val="2"/>
          <w:sz w:val="24"/>
          <w:szCs w:val="24"/>
          <w:highlight w:val="none"/>
          <w:lang w:val="en-US"/>
          <w14:textFill>
            <w14:solidFill>
              <w14:schemeClr w14:val="tx1"/>
            </w14:solidFill>
          </w14:textFill>
        </w:rPr>
        <w:t>”</w:t>
      </w: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，本项目地表水评价等级为三级 B。</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2.5.3 地下水环境</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440" w:lineRule="exact"/>
        <w:ind w:left="440" w:leftChars="200" w:firstLine="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）划分依据</w:t>
      </w:r>
    </w:p>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position w:val="2"/>
          <w:sz w:val="24"/>
          <w:szCs w:val="24"/>
          <w:highlight w:val="none"/>
          <w14:textFill>
            <w14:solidFill>
              <w14:schemeClr w14:val="tx1"/>
            </w14:solidFill>
          </w14:textFill>
        </w:rPr>
      </w:pP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根据《环境影响评价技术导则地下水环境》（HJ610-2016）附录A中地下水环境影响评价行业分类表中规定，本项目属于石油开采类，地下水环境影响评价项目类别为Ⅰ类项目。</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position w:val="2"/>
          <w:sz w:val="24"/>
          <w:szCs w:val="24"/>
          <w:highlight w:val="none"/>
          <w:lang w:val="en-US"/>
          <w14:textFill>
            <w14:solidFill>
              <w14:schemeClr w14:val="tx1"/>
            </w14:solidFill>
          </w14:textFill>
        </w:rPr>
      </w:pPr>
      <w:r>
        <w:rPr>
          <w:rFonts w:ascii="Times New Roman" w:hAnsi="Times New Roman" w:cs="Times New Roman"/>
          <w:color w:val="000000" w:themeColor="text1"/>
          <w:w w:val="99"/>
          <w:position w:val="2"/>
          <w:sz w:val="24"/>
          <w:szCs w:val="24"/>
          <w:highlight w:val="none"/>
          <w:lang w:val="en-US"/>
          <w14:textFill>
            <w14:solidFill>
              <w14:schemeClr w14:val="tx1"/>
            </w14:solidFill>
          </w14:textFill>
        </w:rPr>
        <w:t>建设项目的地下水环境敏感程度可分为敏感、较敏感、不敏感三级，分级原则见表2.5-6。</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2.5-6</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position w:val="2"/>
          <w:sz w:val="24"/>
          <w:szCs w:val="24"/>
          <w:highlight w:val="none"/>
          <w:lang w:val="en-US"/>
          <w14:textFill>
            <w14:solidFill>
              <w14:schemeClr w14:val="tx1"/>
            </w14:solidFill>
          </w14:textFill>
        </w:rPr>
        <w:t>地下水环境敏感程度分级表</w:t>
      </w:r>
    </w:p>
    <w:tbl>
      <w:tblPr>
        <w:tblStyle w:val="32"/>
        <w:tblW w:w="9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2"/>
        <w:gridCol w:w="7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2" w:type="dxa"/>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敏感程度</w:t>
            </w:r>
          </w:p>
        </w:tc>
        <w:tc>
          <w:tcPr>
            <w:tcW w:w="7972" w:type="dxa"/>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2" w:type="dxa"/>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敏感</w:t>
            </w:r>
          </w:p>
        </w:tc>
        <w:tc>
          <w:tcPr>
            <w:tcW w:w="7972" w:type="dxa"/>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2" w:type="dxa"/>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较敏感</w:t>
            </w:r>
          </w:p>
        </w:tc>
        <w:tc>
          <w:tcPr>
            <w:tcW w:w="7972" w:type="dxa"/>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2" w:type="dxa"/>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不敏感</w:t>
            </w:r>
          </w:p>
        </w:tc>
        <w:tc>
          <w:tcPr>
            <w:tcW w:w="7972" w:type="dxa"/>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2" w:type="dxa"/>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本工程</w:t>
            </w:r>
          </w:p>
        </w:tc>
        <w:tc>
          <w:tcPr>
            <w:tcW w:w="7972" w:type="dxa"/>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不敏感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084" w:type="dxa"/>
            <w:gridSpan w:val="2"/>
            <w:tcBorders>
              <w:tl2br w:val="nil"/>
              <w:tr2bl w:val="nil"/>
            </w:tcBorders>
            <w:vAlign w:val="center"/>
          </w:tcPr>
          <w:p>
            <w:pPr>
              <w:widowControl/>
              <w:autoSpaceDE/>
              <w:autoSpaceDN/>
              <w:spacing w:line="360" w:lineRule="exact"/>
              <w:ind w:right="108"/>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“环境敏感区”是指《建设项目环境影响评价分类管理名录》中所界定的涉及地下水的环境敏感区。</w:t>
            </w:r>
          </w:p>
        </w:tc>
      </w:tr>
    </w:tbl>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ascii="Times New Roman" w:hAnsi="Times New Roman" w:cs="Times New Roman"/>
          <w:color w:val="000000" w:themeColor="text1"/>
          <w:w w:val="99"/>
          <w:sz w:val="24"/>
          <w:szCs w:val="24"/>
          <w:highlight w:val="none"/>
          <w:lang w:val="en-US" w:bidi="ar-SA"/>
          <w14:textFill>
            <w14:solidFill>
              <w14:schemeClr w14:val="tx1"/>
            </w14:solidFill>
          </w14:textFill>
        </w:rPr>
        <w:t>经现场</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调查</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，本项目</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井场</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周边村屯以地下水作为饮用</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水</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水源，在评价范围内的村屯主要为</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钱家屯、七井子村、唐花马屯</w:t>
      </w:r>
      <w:r>
        <w:rPr>
          <w:rFonts w:ascii="Times New Roman" w:hAnsi="Times New Roman" w:cs="Times New Roman"/>
          <w:color w:val="000000" w:themeColor="text1"/>
          <w:w w:val="99"/>
          <w:sz w:val="24"/>
          <w:szCs w:val="24"/>
          <w:highlight w:val="none"/>
          <w:lang w:val="en-US" w:bidi="ar-SA"/>
          <w14:textFill>
            <w14:solidFill>
              <w14:schemeClr w14:val="tx1"/>
            </w14:solidFill>
          </w14:textFill>
        </w:rPr>
        <w:t>等</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供水水源主要来自大同镇自来水管网</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（集中式水源井），</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开采层位为承压含水层。</w:t>
      </w:r>
    </w:p>
    <w:p>
      <w:pPr>
        <w:keepNext w:val="0"/>
        <w:keepLines w:val="0"/>
        <w:pageBreakBefore w:val="0"/>
        <w:widowControl/>
        <w:kinsoku/>
        <w:wordWrap/>
        <w:overflowPunct/>
        <w:topLinePunct w:val="0"/>
        <w:autoSpaceDE/>
        <w:autoSpaceDN/>
        <w:bidi w:val="0"/>
        <w:adjustRightInd/>
        <w:snapToGrid/>
        <w:spacing w:line="440" w:lineRule="exact"/>
        <w:ind w:firstLine="474" w:firstLineChars="200"/>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根据《黑龙江省人民政府关于大庆市及所辖县集中式饮用水水源保护区范围的批复》（黑政函</w:t>
      </w:r>
      <w:r>
        <w:rPr>
          <w:rFonts w:ascii="Times New Roman" w:hAnsi="Times New Roman" w:cs="Times New Roman"/>
          <w:color w:val="000000" w:themeColor="text1"/>
          <w:w w:val="99"/>
          <w:sz w:val="24"/>
          <w:szCs w:val="24"/>
          <w:highlight w:val="none"/>
          <w:lang w:val="en-US" w:bidi="ar-SA"/>
          <w14:textFill>
            <w14:solidFill>
              <w14:schemeClr w14:val="tx1"/>
            </w14:solidFill>
          </w14:textFill>
        </w:rPr>
        <w:t>[2011]38号），大庆市大同区大同镇地下水饮用水源井共4口，1#井位于东经124°48′47″、北纬46°02′35″，2#井位于东经124°48′48″、北纬46°02′32″，3#井位于东经124°48′42″、北纬46°02′25″，4#井位于东经124°48′35″、北纬46°02′18″</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sz w:val="24"/>
          <w:szCs w:val="24"/>
          <w:highlight w:val="none"/>
          <w:lang w:val="en-US" w:bidi="ar-SA"/>
          <w14:textFill>
            <w14:solidFill>
              <w14:schemeClr w14:val="tx1"/>
            </w14:solidFill>
          </w14:textFill>
        </w:rPr>
        <w:t>4口水源井井深144-170m，供水人口4.5万人，服务范围为大同镇及大同镇周边村屯，覆盖本项目地下水评价范围内</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部分</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村屯</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。该水源地一级保护区范围为：分别以</w:t>
      </w:r>
      <w:r>
        <w:rPr>
          <w:rFonts w:ascii="Times New Roman" w:hAnsi="Times New Roman" w:cs="Times New Roman"/>
          <w:color w:val="000000" w:themeColor="text1"/>
          <w:w w:val="99"/>
          <w:sz w:val="24"/>
          <w:szCs w:val="24"/>
          <w:highlight w:val="none"/>
          <w:lang w:val="en-US" w:bidi="ar-SA"/>
          <w14:textFill>
            <w14:solidFill>
              <w14:schemeClr w14:val="tx1"/>
            </w14:solidFill>
          </w14:textFill>
        </w:rPr>
        <w:t>4口取</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注入井</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为中心，36米为半径的圆形区域，未划定二级保护区及准保护区。</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本项目葡71-72井场</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井场</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距大同镇</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水源井最近</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距离</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为</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东南</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8.5</w:t>
      </w:r>
      <w:r>
        <w:rPr>
          <w:rFonts w:ascii="Times New Roman" w:hAnsi="Times New Roman" w:cs="Times New Roman"/>
          <w:color w:val="000000" w:themeColor="text1"/>
          <w:w w:val="99"/>
          <w:sz w:val="24"/>
          <w:szCs w:val="24"/>
          <w:highlight w:val="none"/>
          <w:lang w:val="en-US" w:bidi="ar-SA"/>
          <w14:textFill>
            <w14:solidFill>
              <w14:schemeClr w14:val="tx1"/>
            </w14:solidFill>
          </w14:textFill>
        </w:rPr>
        <w:t>km</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（地下水</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流向</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下游</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40" w:lineRule="exact"/>
        <w:ind w:firstLine="474" w:firstLineChars="200"/>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ascii="Times New Roman" w:hAnsi="Times New Roman" w:cs="Times New Roman"/>
          <w:color w:val="000000" w:themeColor="text1"/>
          <w:w w:val="99"/>
          <w:sz w:val="24"/>
          <w:szCs w:val="24"/>
          <w:highlight w:val="none"/>
          <w:lang w:val="en-US" w:bidi="ar-SA"/>
          <w14:textFill>
            <w14:solidFill>
              <w14:schemeClr w14:val="tx1"/>
            </w14:solidFill>
          </w14:textFill>
        </w:rPr>
        <w:t>根据《优化评价内容严控新增污染—&lt;环境影响评价技术导则 地下水环境&gt;解读》（梁鹏，环境保护部环境工程评估中心，2016.7），结合《饮用水水源保护区划分技术规范》（HJ/T338-2018），地下水敏感性判定依据见图2.</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5</w:t>
      </w:r>
      <w:r>
        <w:rPr>
          <w:rFonts w:ascii="Times New Roman" w:hAnsi="Times New Roman" w:cs="Times New Roman"/>
          <w:color w:val="000000" w:themeColor="text1"/>
          <w:w w:val="99"/>
          <w:sz w:val="24"/>
          <w:szCs w:val="24"/>
          <w:highlight w:val="none"/>
          <w:lang w:val="en-US" w:bidi="ar-SA"/>
          <w14:textFill>
            <w14:solidFill>
              <w14:schemeClr w14:val="tx1"/>
            </w14:solidFill>
          </w14:textFill>
        </w:rPr>
        <w:t>-1。</w:t>
      </w:r>
    </w:p>
    <w:p>
      <w:pPr>
        <w:widowControl/>
        <w:autoSpaceDE/>
        <w:autoSpaceDN/>
        <w:jc w:val="center"/>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ascii="Times New Roman" w:hAnsi="Times New Roman" w:cs="Times New Roman"/>
          <w:color w:val="000000" w:themeColor="text1"/>
          <w:w w:val="99"/>
          <w:sz w:val="24"/>
          <w:szCs w:val="24"/>
          <w:highlight w:val="none"/>
          <w:lang w:val="en-US" w:bidi="ar-SA"/>
          <w14:textFill>
            <w14:solidFill>
              <w14:schemeClr w14:val="tx1"/>
            </w14:solidFill>
          </w14:textFill>
        </w:rPr>
        <w:drawing>
          <wp:inline distT="0" distB="0" distL="114300" distR="114300">
            <wp:extent cx="4912360" cy="2093595"/>
            <wp:effectExtent l="9525" t="9525" r="12065" b="11430"/>
            <wp:docPr id="18" name="图片 3" descr="QQ图片2018012613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QQ图片20180126134517.jpg"/>
                    <pic:cNvPicPr>
                      <a:picLocks noChangeAspect="1"/>
                    </pic:cNvPicPr>
                  </pic:nvPicPr>
                  <pic:blipFill>
                    <a:blip r:embed="rId10" cstate="print"/>
                    <a:stretch>
                      <a:fillRect/>
                    </a:stretch>
                  </pic:blipFill>
                  <pic:spPr>
                    <a:xfrm>
                      <a:off x="0" y="0"/>
                      <a:ext cx="4912360" cy="20935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autoSpaceDE/>
        <w:autoSpaceDN/>
        <w:spacing w:line="520" w:lineRule="exact"/>
        <w:jc w:val="center"/>
        <w:rPr>
          <w:rFonts w:ascii="Times New Roman" w:hAnsi="Times New Roman" w:cs="Times New Roman"/>
          <w:b/>
          <w:bCs/>
          <w:color w:val="000000" w:themeColor="text1"/>
          <w:w w:val="99"/>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图2.</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5</w:t>
      </w: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-1      地下水敏感性判定依据</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ascii="Times New Roman" w:hAnsi="Times New Roman" w:cs="Times New Roman"/>
          <w:color w:val="000000" w:themeColor="text1"/>
          <w:w w:val="99"/>
          <w:sz w:val="24"/>
          <w:szCs w:val="24"/>
          <w:highlight w:val="none"/>
          <w:lang w:val="en-US" w:bidi="ar-SA"/>
          <w14:textFill>
            <w14:solidFill>
              <w14:schemeClr w14:val="tx1"/>
            </w14:solidFill>
          </w14:textFill>
        </w:rPr>
        <w:t>根据图2.</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5</w:t>
      </w:r>
      <w:r>
        <w:rPr>
          <w:rFonts w:ascii="Times New Roman" w:hAnsi="Times New Roman" w:cs="Times New Roman"/>
          <w:color w:val="000000" w:themeColor="text1"/>
          <w:w w:val="99"/>
          <w:sz w:val="24"/>
          <w:szCs w:val="24"/>
          <w:highlight w:val="none"/>
          <w:lang w:val="en-US" w:bidi="ar-SA"/>
          <w14:textFill>
            <w14:solidFill>
              <w14:schemeClr w14:val="tx1"/>
            </w14:solidFill>
          </w14:textFill>
        </w:rPr>
        <w:t>-1所示，以水源</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井</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为中心，</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一级保护区以外</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地下水质子迁移距离</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3000</w:t>
      </w:r>
      <w:r>
        <w:rPr>
          <w:rFonts w:ascii="Times New Roman" w:hAnsi="Times New Roman" w:cs="Times New Roman"/>
          <w:color w:val="000000" w:themeColor="text1"/>
          <w:w w:val="99"/>
          <w:sz w:val="24"/>
          <w:szCs w:val="24"/>
          <w:highlight w:val="none"/>
          <w:lang w:val="en-US" w:bidi="ar-SA"/>
          <w14:textFill>
            <w14:solidFill>
              <w14:schemeClr w14:val="tx1"/>
            </w14:solidFill>
          </w14:textFill>
        </w:rPr>
        <w:t>d</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范围</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内为敏感区</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以敏感区为边界，地下水质子迁移距离3000d的外扩区域为较敏感区；3000d以外的外扩区域为不敏感区。</w:t>
      </w:r>
    </w:p>
    <w:p>
      <w:pPr>
        <w:keepNext w:val="0"/>
        <w:keepLines w:val="0"/>
        <w:pageBreakBefore w:val="0"/>
        <w:widowControl/>
        <w:kinsoku/>
        <w:wordWrap/>
        <w:overflowPunct/>
        <w:topLinePunct w:val="0"/>
        <w:autoSpaceDE/>
        <w:autoSpaceDN/>
        <w:bidi w:val="0"/>
        <w:adjustRightInd/>
        <w:snapToGrid/>
        <w:spacing w:line="440" w:lineRule="exact"/>
        <w:ind w:firstLine="466" w:firstLineChars="200"/>
        <w:jc w:val="both"/>
        <w:textAlignment w:val="auto"/>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pP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质点运移距离采用下述公式计算：</w:t>
      </w:r>
    </w:p>
    <w:p>
      <w:pPr>
        <w:keepNext w:val="0"/>
        <w:keepLines w:val="0"/>
        <w:pageBreakBefore w:val="0"/>
        <w:widowControl/>
        <w:kinsoku/>
        <w:wordWrap/>
        <w:overflowPunct/>
        <w:topLinePunct w:val="0"/>
        <w:autoSpaceDE/>
        <w:autoSpaceDN/>
        <w:bidi w:val="0"/>
        <w:adjustRightInd/>
        <w:snapToGrid/>
        <w:spacing w:line="440" w:lineRule="exact"/>
        <w:ind w:firstLine="466" w:firstLineChars="200"/>
        <w:jc w:val="center"/>
        <w:textAlignment w:val="auto"/>
        <w:rPr>
          <w:rFonts w:ascii="Times New Roman" w:hAnsi="Times New Roman" w:cs="Times New Roman"/>
          <w:color w:val="000000" w:themeColor="text1"/>
          <w:spacing w:val="-2"/>
          <w:w w:val="99"/>
          <w:sz w:val="24"/>
          <w:szCs w:val="24"/>
          <w:highlight w:val="none"/>
          <w:vertAlign w:val="subscript"/>
          <w:lang w:val="de-DE" w:bidi="ar-SA"/>
          <w14:textFill>
            <w14:solidFill>
              <w14:schemeClr w14:val="tx1"/>
            </w14:solidFill>
          </w14:textFill>
        </w:rPr>
      </w:pP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L=α</w:t>
      </w:r>
      <w:r>
        <w:rPr>
          <w:rFonts w:ascii="Times New Roman" w:hAnsi="Times New Roman" w:cs="Times New Roman"/>
          <w:color w:val="000000" w:themeColor="text1"/>
          <w:spacing w:val="-2"/>
          <w:w w:val="99"/>
          <w:sz w:val="24"/>
          <w:szCs w:val="24"/>
          <w:highlight w:val="none"/>
          <w:lang w:val="de-DE" w:bidi="ar-SA"/>
          <w14:textFill>
            <w14:solidFill>
              <w14:schemeClr w14:val="tx1"/>
            </w14:solidFill>
          </w14:textFill>
        </w:rPr>
        <w:t>×K×I×T/n</w:t>
      </w:r>
      <w:r>
        <w:rPr>
          <w:rFonts w:ascii="Times New Roman" w:hAnsi="Times New Roman" w:cs="Times New Roman"/>
          <w:color w:val="000000" w:themeColor="text1"/>
          <w:spacing w:val="-2"/>
          <w:w w:val="99"/>
          <w:sz w:val="24"/>
          <w:szCs w:val="24"/>
          <w:highlight w:val="none"/>
          <w:vertAlign w:val="subscript"/>
          <w:lang w:val="de-DE" w:bidi="ar-SA"/>
          <w14:textFill>
            <w14:solidFill>
              <w14:schemeClr w14:val="tx1"/>
            </w14:solidFill>
          </w14:textFill>
        </w:rPr>
        <w:t>e</w:t>
      </w:r>
    </w:p>
    <w:p>
      <w:pPr>
        <w:keepNext w:val="0"/>
        <w:keepLines w:val="0"/>
        <w:pageBreakBefore w:val="0"/>
        <w:widowControl/>
        <w:kinsoku/>
        <w:wordWrap/>
        <w:overflowPunct/>
        <w:topLinePunct w:val="0"/>
        <w:autoSpaceDE/>
        <w:autoSpaceDN/>
        <w:bidi w:val="0"/>
        <w:adjustRightInd/>
        <w:snapToGrid/>
        <w:spacing w:line="440" w:lineRule="exact"/>
        <w:ind w:firstLine="466" w:firstLineChars="200"/>
        <w:jc w:val="both"/>
        <w:textAlignment w:val="auto"/>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pP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式中：L—下游迁移距离，m；</w:t>
      </w:r>
    </w:p>
    <w:p>
      <w:pPr>
        <w:keepNext w:val="0"/>
        <w:keepLines w:val="0"/>
        <w:pageBreakBefore w:val="0"/>
        <w:widowControl/>
        <w:kinsoku/>
        <w:wordWrap/>
        <w:overflowPunct/>
        <w:topLinePunct w:val="0"/>
        <w:autoSpaceDE/>
        <w:autoSpaceDN/>
        <w:bidi w:val="0"/>
        <w:adjustRightInd/>
        <w:snapToGrid/>
        <w:spacing w:line="440" w:lineRule="exact"/>
        <w:ind w:firstLine="1165" w:firstLineChars="500"/>
        <w:jc w:val="both"/>
        <w:textAlignment w:val="auto"/>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pP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α—变化系数，α≥1，一般取2；</w:t>
      </w:r>
    </w:p>
    <w:p>
      <w:pPr>
        <w:keepNext w:val="0"/>
        <w:keepLines w:val="0"/>
        <w:pageBreakBefore w:val="0"/>
        <w:widowControl/>
        <w:kinsoku/>
        <w:wordWrap/>
        <w:overflowPunct/>
        <w:topLinePunct w:val="0"/>
        <w:autoSpaceDE/>
        <w:autoSpaceDN/>
        <w:bidi w:val="0"/>
        <w:adjustRightInd/>
        <w:snapToGrid/>
        <w:spacing w:line="440" w:lineRule="exact"/>
        <w:ind w:firstLine="1165" w:firstLineChars="500"/>
        <w:jc w:val="both"/>
        <w:textAlignment w:val="auto"/>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pP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K—渗透系数，m/d；</w:t>
      </w:r>
    </w:p>
    <w:p>
      <w:pPr>
        <w:keepNext w:val="0"/>
        <w:keepLines w:val="0"/>
        <w:pageBreakBefore w:val="0"/>
        <w:widowControl/>
        <w:kinsoku/>
        <w:wordWrap/>
        <w:overflowPunct/>
        <w:topLinePunct w:val="0"/>
        <w:autoSpaceDE/>
        <w:autoSpaceDN/>
        <w:bidi w:val="0"/>
        <w:adjustRightInd/>
        <w:snapToGrid/>
        <w:spacing w:line="440" w:lineRule="exact"/>
        <w:ind w:firstLine="1165" w:firstLineChars="500"/>
        <w:jc w:val="both"/>
        <w:textAlignment w:val="auto"/>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pP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I—水力坡度，无量纲；</w:t>
      </w:r>
    </w:p>
    <w:p>
      <w:pPr>
        <w:keepNext w:val="0"/>
        <w:keepLines w:val="0"/>
        <w:pageBreakBefore w:val="0"/>
        <w:widowControl/>
        <w:kinsoku/>
        <w:wordWrap/>
        <w:overflowPunct/>
        <w:topLinePunct w:val="0"/>
        <w:autoSpaceDE/>
        <w:autoSpaceDN/>
        <w:bidi w:val="0"/>
        <w:adjustRightInd/>
        <w:snapToGrid/>
        <w:spacing w:line="440" w:lineRule="exact"/>
        <w:ind w:firstLine="1165" w:firstLineChars="500"/>
        <w:jc w:val="both"/>
        <w:textAlignment w:val="auto"/>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pP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T—质点迁移天数，取值6000d；</w:t>
      </w:r>
    </w:p>
    <w:p>
      <w:pPr>
        <w:keepNext w:val="0"/>
        <w:keepLines w:val="0"/>
        <w:pageBreakBefore w:val="0"/>
        <w:widowControl/>
        <w:kinsoku/>
        <w:wordWrap/>
        <w:overflowPunct/>
        <w:topLinePunct w:val="0"/>
        <w:autoSpaceDE/>
        <w:autoSpaceDN/>
        <w:bidi w:val="0"/>
        <w:adjustRightInd/>
        <w:snapToGrid/>
        <w:spacing w:line="440" w:lineRule="exact"/>
        <w:ind w:firstLine="1165" w:firstLineChars="500"/>
        <w:jc w:val="both"/>
        <w:textAlignment w:val="auto"/>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pP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n</w:t>
      </w:r>
      <w:r>
        <w:rPr>
          <w:rFonts w:ascii="Times New Roman" w:hAnsi="Times New Roman" w:cs="Times New Roman"/>
          <w:color w:val="000000" w:themeColor="text1"/>
          <w:spacing w:val="-2"/>
          <w:w w:val="99"/>
          <w:sz w:val="24"/>
          <w:szCs w:val="24"/>
          <w:highlight w:val="none"/>
          <w:vertAlign w:val="subscript"/>
          <w:lang w:val="en-US" w:bidi="ar-SA"/>
          <w14:textFill>
            <w14:solidFill>
              <w14:schemeClr w14:val="tx1"/>
            </w14:solidFill>
          </w14:textFill>
        </w:rPr>
        <w:t>e</w:t>
      </w: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 xml:space="preserve"> —有效孔隙度，无量纲。</w:t>
      </w:r>
    </w:p>
    <w:p>
      <w:pPr>
        <w:keepNext w:val="0"/>
        <w:keepLines w:val="0"/>
        <w:pageBreakBefore w:val="0"/>
        <w:widowControl/>
        <w:kinsoku/>
        <w:wordWrap/>
        <w:overflowPunct/>
        <w:topLinePunct w:val="0"/>
        <w:autoSpaceDE/>
        <w:autoSpaceDN/>
        <w:bidi w:val="0"/>
        <w:adjustRightInd/>
        <w:snapToGrid/>
        <w:spacing w:line="440" w:lineRule="exact"/>
        <w:ind w:firstLine="466" w:firstLineChars="200"/>
        <w:jc w:val="both"/>
        <w:textAlignment w:val="auto"/>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pP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根据《大庆市水文地质勘察报告》（石油管理局）及区域含水层特点综合确定，潜水含水层各参数值确定如下：α=2，K=2.5m/d；I=0.0025；T=6000；n</w:t>
      </w:r>
      <w:r>
        <w:rPr>
          <w:rFonts w:ascii="Times New Roman" w:hAnsi="Times New Roman" w:cs="Times New Roman"/>
          <w:color w:val="000000" w:themeColor="text1"/>
          <w:spacing w:val="-2"/>
          <w:w w:val="99"/>
          <w:sz w:val="24"/>
          <w:szCs w:val="24"/>
          <w:highlight w:val="none"/>
          <w:vertAlign w:val="subscript"/>
          <w:lang w:val="en-US" w:bidi="ar-SA"/>
          <w14:textFill>
            <w14:solidFill>
              <w14:schemeClr w14:val="tx1"/>
            </w14:solidFill>
          </w14:textFill>
        </w:rPr>
        <w:t>e</w:t>
      </w: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=0.34，得出L＝2×2.5×0.0025×6000／0.34＝220.6m；即L+36=256.6m区域内为“较敏感区”，地下饮用水水源井256.6m</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以外区域为不敏感区。</w:t>
      </w:r>
    </w:p>
    <w:p>
      <w:pPr>
        <w:keepNext w:val="0"/>
        <w:keepLines w:val="0"/>
        <w:pageBreakBefore w:val="0"/>
        <w:widowControl/>
        <w:kinsoku/>
        <w:wordWrap/>
        <w:overflowPunct/>
        <w:topLinePunct w:val="0"/>
        <w:autoSpaceDE/>
        <w:autoSpaceDN/>
        <w:bidi w:val="0"/>
        <w:adjustRightInd/>
        <w:snapToGrid/>
        <w:spacing w:line="440" w:lineRule="exact"/>
        <w:ind w:firstLine="466" w:firstLineChars="200"/>
        <w:jc w:val="both"/>
        <w:textAlignment w:val="auto"/>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spacing w:val="-2"/>
          <w:w w:val="99"/>
          <w:sz w:val="24"/>
          <w:szCs w:val="24"/>
          <w:highlight w:val="none"/>
          <w:lang w:val="en-US" w:bidi="ar-SA"/>
          <w14:textFill>
            <w14:solidFill>
              <w14:schemeClr w14:val="tx1"/>
            </w14:solidFill>
          </w14:textFill>
        </w:rPr>
        <w:t>本项目葡71-72井场</w:t>
      </w: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井场</w:t>
      </w:r>
      <w:r>
        <w:rPr>
          <w:rFonts w:hint="eastAsia" w:ascii="Times New Roman" w:hAnsi="Times New Roman" w:cs="Times New Roman"/>
          <w:color w:val="000000" w:themeColor="text1"/>
          <w:spacing w:val="-2"/>
          <w:w w:val="99"/>
          <w:sz w:val="24"/>
          <w:szCs w:val="24"/>
          <w:highlight w:val="none"/>
          <w:lang w:val="en-US" w:bidi="ar-SA"/>
          <w14:textFill>
            <w14:solidFill>
              <w14:schemeClr w14:val="tx1"/>
            </w14:solidFill>
          </w14:textFill>
        </w:rPr>
        <w:t>距大同镇</w:t>
      </w: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水源井最近</w:t>
      </w:r>
      <w:r>
        <w:rPr>
          <w:rFonts w:hint="eastAsia" w:ascii="Times New Roman" w:hAnsi="Times New Roman" w:cs="Times New Roman"/>
          <w:color w:val="000000" w:themeColor="text1"/>
          <w:spacing w:val="-2"/>
          <w:w w:val="99"/>
          <w:sz w:val="24"/>
          <w:szCs w:val="24"/>
          <w:highlight w:val="none"/>
          <w:lang w:val="en-US" w:bidi="ar-SA"/>
          <w14:textFill>
            <w14:solidFill>
              <w14:schemeClr w14:val="tx1"/>
            </w14:solidFill>
          </w14:textFill>
        </w:rPr>
        <w:t>距离</w:t>
      </w: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为</w:t>
      </w:r>
      <w:r>
        <w:rPr>
          <w:rFonts w:hint="eastAsia" w:ascii="Times New Roman" w:hAnsi="Times New Roman" w:cs="Times New Roman"/>
          <w:color w:val="000000" w:themeColor="text1"/>
          <w:spacing w:val="-2"/>
          <w:w w:val="99"/>
          <w:sz w:val="24"/>
          <w:szCs w:val="24"/>
          <w:highlight w:val="none"/>
          <w:lang w:val="en-US" w:bidi="ar-SA"/>
          <w14:textFill>
            <w14:solidFill>
              <w14:schemeClr w14:val="tx1"/>
            </w14:solidFill>
          </w14:textFill>
        </w:rPr>
        <w:t>东南</w:t>
      </w:r>
      <w:r>
        <w:rPr>
          <w:rFonts w:hint="eastAsia" w:ascii="Times New Roman" w:hAnsi="Times New Roman" w:cs="Times New Roman"/>
          <w:color w:val="000000" w:themeColor="text1"/>
          <w:spacing w:val="-2"/>
          <w:w w:val="99"/>
          <w:sz w:val="24"/>
          <w:szCs w:val="24"/>
          <w:highlight w:val="none"/>
          <w:lang w:val="en-US" w:eastAsia="zh-CN" w:bidi="ar-SA"/>
          <w14:textFill>
            <w14:solidFill>
              <w14:schemeClr w14:val="tx1"/>
            </w14:solidFill>
          </w14:textFill>
        </w:rPr>
        <w:t>8.5</w:t>
      </w: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km</w:t>
      </w:r>
      <w:r>
        <w:rPr>
          <w:rFonts w:hint="eastAsia" w:ascii="Times New Roman" w:hAnsi="Times New Roman" w:cs="Times New Roman"/>
          <w:color w:val="000000" w:themeColor="text1"/>
          <w:spacing w:val="-2"/>
          <w:w w:val="99"/>
          <w:sz w:val="24"/>
          <w:szCs w:val="24"/>
          <w:highlight w:val="none"/>
          <w:lang w:val="en-US" w:bidi="ar-SA"/>
          <w14:textFill>
            <w14:solidFill>
              <w14:schemeClr w14:val="tx1"/>
            </w14:solidFill>
          </w14:textFill>
        </w:rPr>
        <w:t>（地下水</w:t>
      </w: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流向</w:t>
      </w:r>
      <w:r>
        <w:rPr>
          <w:rFonts w:hint="eastAsia" w:ascii="Times New Roman" w:hAnsi="Times New Roman" w:cs="Times New Roman"/>
          <w:color w:val="000000" w:themeColor="text1"/>
          <w:spacing w:val="-2"/>
          <w:w w:val="99"/>
          <w:sz w:val="24"/>
          <w:szCs w:val="24"/>
          <w:highlight w:val="none"/>
          <w:lang w:val="en-US" w:eastAsia="zh-CN" w:bidi="ar-SA"/>
          <w14:textFill>
            <w14:solidFill>
              <w14:schemeClr w14:val="tx1"/>
            </w14:solidFill>
          </w14:textFill>
        </w:rPr>
        <w:t>下游</w:t>
      </w:r>
      <w:r>
        <w:rPr>
          <w:rFonts w:hint="eastAsia" w:ascii="Times New Roman" w:hAnsi="Times New Roman" w:cs="Times New Roman"/>
          <w:color w:val="000000" w:themeColor="text1"/>
          <w:spacing w:val="-2"/>
          <w:w w:val="99"/>
          <w:sz w:val="24"/>
          <w:szCs w:val="24"/>
          <w:highlight w:val="none"/>
          <w:lang w:val="en-US" w:bidi="ar-SA"/>
          <w14:textFill>
            <w14:solidFill>
              <w14:schemeClr w14:val="tx1"/>
            </w14:solidFill>
          </w14:textFill>
        </w:rPr>
        <w:t>）</w:t>
      </w: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。因此，</w:t>
      </w:r>
      <w:r>
        <w:rPr>
          <w:rFonts w:hint="eastAsia" w:ascii="Times New Roman" w:hAnsi="Times New Roman" w:cs="Times New Roman"/>
          <w:color w:val="000000" w:themeColor="text1"/>
          <w:spacing w:val="-2"/>
          <w:w w:val="99"/>
          <w:sz w:val="24"/>
          <w:szCs w:val="24"/>
          <w:highlight w:val="none"/>
          <w:lang w:val="en-US" w:bidi="ar-SA"/>
          <w14:textFill>
            <w14:solidFill>
              <w14:schemeClr w14:val="tx1"/>
            </w14:solidFill>
          </w14:textFill>
        </w:rPr>
        <w:t>本项目井场</w:t>
      </w:r>
      <w:r>
        <w:rPr>
          <w:rFonts w:ascii="Times New Roman" w:hAnsi="Times New Roman" w:cs="Times New Roman"/>
          <w:color w:val="000000" w:themeColor="text1"/>
          <w:spacing w:val="-2"/>
          <w:w w:val="99"/>
          <w:sz w:val="24"/>
          <w:szCs w:val="24"/>
          <w:highlight w:val="none"/>
          <w:lang w:val="en-US" w:bidi="ar-SA"/>
          <w14:textFill>
            <w14:solidFill>
              <w14:schemeClr w14:val="tx1"/>
            </w14:solidFill>
          </w14:textFill>
        </w:rPr>
        <w:t>区域地下水环境属于“不敏感”区域。</w:t>
      </w:r>
    </w:p>
    <w:p>
      <w:pPr>
        <w:pStyle w:val="45"/>
        <w:keepNext w:val="0"/>
        <w:keepLines w:val="0"/>
        <w:pageBreakBefore w:val="0"/>
        <w:tabs>
          <w:tab w:val="left" w:pos="1571"/>
        </w:tabs>
        <w:kinsoku/>
        <w:wordWrap/>
        <w:overflowPunct/>
        <w:topLinePunct w:val="0"/>
        <w:bidi w:val="0"/>
        <w:adjustRightInd/>
        <w:snapToGrid/>
        <w:spacing w:line="440" w:lineRule="exact"/>
        <w:ind w:left="440" w:leftChars="200" w:firstLine="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）本项目地下水评价等级判定</w:t>
      </w:r>
    </w:p>
    <w:p>
      <w:pPr>
        <w:pStyle w:val="45"/>
        <w:keepNext w:val="0"/>
        <w:keepLines w:val="0"/>
        <w:pageBreakBefore w:val="0"/>
        <w:tabs>
          <w:tab w:val="left" w:pos="1571"/>
        </w:tabs>
        <w:kinsoku/>
        <w:wordWrap/>
        <w:overflowPunct/>
        <w:topLinePunct w:val="0"/>
        <w:bidi w:val="0"/>
        <w:adjustRightInd/>
        <w:snapToGrid/>
        <w:spacing w:line="440" w:lineRule="exact"/>
        <w:ind w:left="440" w:leftChars="200" w:firstLine="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建设项目地下水环境影响评价工作等级划分见表</w:t>
      </w:r>
      <w:r>
        <w:rPr>
          <w:rFonts w:ascii="Times New Roman" w:hAnsi="Times New Roman" w:cs="Times New Roman"/>
          <w:color w:val="000000" w:themeColor="text1"/>
          <w:w w:val="99"/>
          <w:sz w:val="24"/>
          <w:szCs w:val="24"/>
          <w:highlight w:val="none"/>
          <w:lang w:val="en-US"/>
          <w14:textFill>
            <w14:solidFill>
              <w14:schemeClr w14:val="tx1"/>
            </w14:solidFill>
          </w14:textFill>
        </w:rPr>
        <w:t>2.5-7。</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2.5-7</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评价工作级分级表</w:t>
      </w:r>
    </w:p>
    <w:tbl>
      <w:tblPr>
        <w:tblStyle w:val="32"/>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63"/>
        <w:gridCol w:w="2162"/>
        <w:gridCol w:w="2162"/>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3" w:type="dxa"/>
            <w:tcBorders>
              <w:tl2br w:val="nil"/>
              <w:tr2bl w:val="nil"/>
            </w:tcBorders>
            <w:vAlign w:val="center"/>
          </w:tcPr>
          <w:p>
            <w:pPr>
              <w:widowControl/>
              <w:autoSpaceDE/>
              <w:autoSpaceDN/>
              <w:spacing w:line="360" w:lineRule="exact"/>
              <w:ind w:right="105"/>
              <w:jc w:val="right"/>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sz w:val="24"/>
                <w:highlight w:val="none"/>
                <w:lang w:val="en-US" w:bidi="ar-SA"/>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-3175</wp:posOffset>
                      </wp:positionV>
                      <wp:extent cx="1543050" cy="466725"/>
                      <wp:effectExtent l="1270" t="4445" r="17780" b="5080"/>
                      <wp:wrapNone/>
                      <wp:docPr id="28" name="直接连接符 28"/>
                      <wp:cNvGraphicFramePr/>
                      <a:graphic xmlns:a="http://schemas.openxmlformats.org/drawingml/2006/main">
                        <a:graphicData uri="http://schemas.microsoft.com/office/word/2010/wordprocessingShape">
                          <wps:wsp>
                            <wps:cNvCnPr/>
                            <wps:spPr>
                              <a:xfrm flipH="1" flipV="1">
                                <a:off x="0" y="0"/>
                                <a:ext cx="154305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0.8pt;margin-top:-0.25pt;height:36.75pt;width:121.5pt;z-index:251663360;mso-width-relative:page;mso-height-relative:page;" filled="f" stroked="t" coordsize="21600,21600" o:gfxdata="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lIIR0AAAAAYB&#10;AAAPAAAAAAAAAAEAIAAAACIAAABkcnMvZG93bnJldi54bWxQSwECFAAUAAAACACHTuJAB2/7r+oB&#10;AAC1AwAADgAAAAAAAAABACAAAAAfAQAAZHJzL2Uyb0RvYy54bWxQSwUGAAAAAAYABgBZAQAAewUA&#10;AAAA&#10;">
                      <v:fill on="f" focussize="0,0"/>
                      <v:stroke color="#000000 [3213]" joinstyle="round"/>
                      <v:imagedata o:title=""/>
                      <o:lock v:ext="edit" aspectratio="f"/>
                    </v:line>
                  </w:pict>
                </mc:Fallback>
              </mc:AlternateContent>
            </w:r>
            <w:r>
              <w:rPr>
                <w:rFonts w:ascii="Times New Roman" w:hAnsi="Times New Roman" w:cs="Times New Roman"/>
                <w:color w:val="000000" w:themeColor="text1"/>
                <w:w w:val="99"/>
                <w:sz w:val="21"/>
                <w:szCs w:val="21"/>
                <w:highlight w:val="none"/>
                <w:lang w:val="en-US" w:bidi="ar-SA"/>
                <w14:textFill>
                  <w14:solidFill>
                    <w14:schemeClr w14:val="tx1"/>
                  </w14:solidFill>
                </w14:textFill>
              </w:rPr>
              <w:t>项目类别</w:t>
            </w:r>
          </w:p>
          <w:p>
            <w:pPr>
              <w:widowControl/>
              <w:autoSpaceDE/>
              <w:autoSpaceDN/>
              <w:spacing w:line="360" w:lineRule="exact"/>
              <w:ind w:firstLine="103" w:firstLineChars="50"/>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环境敏感程度</w:t>
            </w:r>
          </w:p>
        </w:tc>
        <w:tc>
          <w:tcPr>
            <w:tcW w:w="2162"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I类项目</w:t>
            </w:r>
          </w:p>
        </w:tc>
        <w:tc>
          <w:tcPr>
            <w:tcW w:w="2162"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Ⅱ类项目</w:t>
            </w:r>
          </w:p>
        </w:tc>
        <w:tc>
          <w:tcPr>
            <w:tcW w:w="2295"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3"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敏感</w:t>
            </w:r>
          </w:p>
        </w:tc>
        <w:tc>
          <w:tcPr>
            <w:tcW w:w="2162"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一</w:t>
            </w:r>
          </w:p>
        </w:tc>
        <w:tc>
          <w:tcPr>
            <w:tcW w:w="2162"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一</w:t>
            </w:r>
          </w:p>
        </w:tc>
        <w:tc>
          <w:tcPr>
            <w:tcW w:w="2295"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3"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较敏感</w:t>
            </w:r>
          </w:p>
        </w:tc>
        <w:tc>
          <w:tcPr>
            <w:tcW w:w="2162"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一</w:t>
            </w:r>
          </w:p>
        </w:tc>
        <w:tc>
          <w:tcPr>
            <w:tcW w:w="2162"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二</w:t>
            </w:r>
          </w:p>
        </w:tc>
        <w:tc>
          <w:tcPr>
            <w:tcW w:w="2295"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63"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不敏感</w:t>
            </w:r>
          </w:p>
        </w:tc>
        <w:tc>
          <w:tcPr>
            <w:tcW w:w="2162"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二</w:t>
            </w:r>
          </w:p>
        </w:tc>
        <w:tc>
          <w:tcPr>
            <w:tcW w:w="2162"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三</w:t>
            </w:r>
          </w:p>
        </w:tc>
        <w:tc>
          <w:tcPr>
            <w:tcW w:w="2295" w:type="dxa"/>
            <w:tcBorders>
              <w:tl2br w:val="nil"/>
              <w:tr2bl w:val="nil"/>
            </w:tcBorders>
            <w:vAlign w:val="center"/>
          </w:tcPr>
          <w:p>
            <w:pPr>
              <w:widowControl/>
              <w:autoSpaceDE/>
              <w:autoSpaceDN/>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三</w:t>
            </w:r>
          </w:p>
        </w:tc>
      </w:tr>
    </w:tbl>
    <w:p>
      <w:pPr>
        <w:pStyle w:val="45"/>
        <w:tabs>
          <w:tab w:val="left" w:pos="1571"/>
        </w:tabs>
        <w:spacing w:line="440" w:lineRule="exact"/>
        <w:ind w:left="440" w:leftChars="200" w:firstLine="0"/>
        <w:jc w:val="both"/>
        <w:rPr>
          <w:rFonts w:ascii="Times New Roman" w:hAnsi="Times New Roman" w:cs="Times New Roman"/>
          <w:color w:val="000000" w:themeColor="text1"/>
          <w:w w:val="99"/>
          <w:sz w:val="28"/>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本项目地下水环境影响评价工作等级为二级。</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2.5.4 声环境</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8"/>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根据《环境影响评价技术导则 声环境》（HJ2.4-2009）中噪声环境影响评价等级划分的基本原则，</w:t>
      </w:r>
      <w:r>
        <w:rPr>
          <w:rFonts w:hint="eastAsia" w:ascii="Times New Roman" w:hAnsi="Times New Roman" w:cs="Times New Roman"/>
          <w:color w:val="000000" w:themeColor="text1"/>
          <w:w w:val="99"/>
          <w:sz w:val="24"/>
          <w:szCs w:val="24"/>
          <w:highlight w:val="none"/>
          <w14:textFill>
            <w14:solidFill>
              <w14:schemeClr w14:val="tx1"/>
            </w14:solidFill>
          </w14:textFill>
        </w:rPr>
        <w:t>根据《大庆市人民政府关于印发大庆市声环境功能区划分、大庆市环境空气质量功能区划分、大庆市地表水环境功能区划分的通知》（庆政发﹝2019﹞11号），</w:t>
      </w:r>
      <w:r>
        <w:rPr>
          <w:rFonts w:ascii="Times New Roman" w:hAnsi="Times New Roman" w:cs="Times New Roman"/>
          <w:color w:val="000000" w:themeColor="text1"/>
          <w:w w:val="99"/>
          <w:sz w:val="24"/>
          <w:szCs w:val="24"/>
          <w:highlight w:val="none"/>
          <w14:textFill>
            <w14:solidFill>
              <w14:schemeClr w14:val="tx1"/>
            </w14:solidFill>
          </w14:textFill>
        </w:rPr>
        <w:t>本工程</w:t>
      </w:r>
      <w:r>
        <w:rPr>
          <w:rFonts w:hint="eastAsia" w:ascii="Times New Roman" w:hAnsi="Times New Roman" w:cs="Times New Roman"/>
          <w:color w:val="000000" w:themeColor="text1"/>
          <w:w w:val="99"/>
          <w:sz w:val="24"/>
          <w:szCs w:val="24"/>
          <w:highlight w:val="none"/>
          <w14:textFill>
            <w14:solidFill>
              <w14:schemeClr w14:val="tx1"/>
            </w14:solidFill>
          </w14:textFill>
        </w:rPr>
        <w:t>开发</w:t>
      </w:r>
      <w:r>
        <w:rPr>
          <w:rFonts w:ascii="Times New Roman" w:hAnsi="Times New Roman" w:cs="Times New Roman"/>
          <w:color w:val="000000" w:themeColor="text1"/>
          <w:w w:val="99"/>
          <w:sz w:val="24"/>
          <w:szCs w:val="24"/>
          <w:highlight w:val="none"/>
          <w14:textFill>
            <w14:solidFill>
              <w14:schemeClr w14:val="tx1"/>
            </w14:solidFill>
          </w14:textFill>
        </w:rPr>
        <w:t>区域及周边</w:t>
      </w:r>
      <w:r>
        <w:rPr>
          <w:rFonts w:hint="eastAsia" w:ascii="Times New Roman" w:hAnsi="Times New Roman" w:cs="Times New Roman"/>
          <w:color w:val="000000" w:themeColor="text1"/>
          <w:w w:val="99"/>
          <w:sz w:val="24"/>
          <w:szCs w:val="24"/>
          <w:highlight w:val="none"/>
          <w14:textFill>
            <w14:solidFill>
              <w14:schemeClr w14:val="tx1"/>
            </w14:solidFill>
          </w14:textFill>
        </w:rPr>
        <w:t>属于</w:t>
      </w:r>
      <w:r>
        <w:rPr>
          <w:rFonts w:ascii="Times New Roman" w:hAnsi="Times New Roman" w:cs="Times New Roman"/>
          <w:color w:val="000000" w:themeColor="text1"/>
          <w:w w:val="99"/>
          <w:sz w:val="24"/>
          <w:szCs w:val="24"/>
          <w:highlight w:val="none"/>
          <w14:textFill>
            <w14:solidFill>
              <w14:schemeClr w14:val="tx1"/>
            </w14:solidFill>
          </w14:textFill>
        </w:rPr>
        <w:t>声功能区划的</w:t>
      </w:r>
      <w:r>
        <w:rPr>
          <w:rFonts w:hint="eastAsia" w:ascii="Times New Roman" w:hAnsi="Times New Roman" w:cs="Times New Roman"/>
          <w:color w:val="000000" w:themeColor="text1"/>
          <w:w w:val="99"/>
          <w:sz w:val="24"/>
          <w:szCs w:val="24"/>
          <w:highlight w:val="none"/>
          <w14:textFill>
            <w14:solidFill>
              <w14:schemeClr w14:val="tx1"/>
            </w14:solidFill>
          </w14:textFill>
        </w:rPr>
        <w:t>1类区</w:t>
      </w:r>
      <w:r>
        <w:rPr>
          <w:rFonts w:ascii="Times New Roman" w:hAnsi="Times New Roman" w:cs="Times New Roman"/>
          <w:color w:val="000000" w:themeColor="text1"/>
          <w:w w:val="99"/>
          <w:sz w:val="24"/>
          <w:szCs w:val="24"/>
          <w:highlight w:val="none"/>
          <w14:textFill>
            <w14:solidFill>
              <w14:schemeClr w14:val="tx1"/>
            </w14:solidFill>
          </w14:textFill>
        </w:rPr>
        <w:t>，本工程主要噪声源分为运行期井场</w:t>
      </w:r>
      <w:r>
        <w:rPr>
          <w:rFonts w:hint="eastAsia" w:ascii="Times New Roman" w:hAnsi="Times New Roman" w:cs="Times New Roman"/>
          <w:color w:val="000000" w:themeColor="text1"/>
          <w:w w:val="99"/>
          <w:sz w:val="24"/>
          <w:szCs w:val="24"/>
          <w:highlight w:val="none"/>
          <w14:textFill>
            <w14:solidFill>
              <w14:schemeClr w14:val="tx1"/>
            </w14:solidFill>
          </w14:textFill>
        </w:rPr>
        <w:t>抽油机的电机等装置产生的持续性噪声源、油井作业过程中产生的间断性噪声源及场站运行噪声，本项目油</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注入井</w:t>
      </w:r>
      <w:r>
        <w:rPr>
          <w:rFonts w:ascii="Times New Roman" w:hAnsi="Times New Roman" w:cs="Times New Roman"/>
          <w:color w:val="000000" w:themeColor="text1"/>
          <w:w w:val="99"/>
          <w:sz w:val="24"/>
          <w:szCs w:val="24"/>
          <w:highlight w:val="none"/>
          <w14:textFill>
            <w14:solidFill>
              <w14:schemeClr w14:val="tx1"/>
            </w14:solidFill>
          </w14:textFill>
        </w:rPr>
        <w:t>均为</w:t>
      </w:r>
      <w:r>
        <w:rPr>
          <w:rFonts w:hint="eastAsia" w:ascii="Times New Roman" w:hAnsi="Times New Roman" w:cs="Times New Roman"/>
          <w:color w:val="000000" w:themeColor="text1"/>
          <w:w w:val="99"/>
          <w:sz w:val="24"/>
          <w:szCs w:val="24"/>
          <w:highlight w:val="none"/>
          <w14:textFill>
            <w14:solidFill>
              <w14:schemeClr w14:val="tx1"/>
            </w14:solidFill>
          </w14:textFill>
        </w:rPr>
        <w:t>老井</w:t>
      </w:r>
      <w:r>
        <w:rPr>
          <w:rFonts w:ascii="Times New Roman" w:hAnsi="Times New Roman" w:cs="Times New Roman"/>
          <w:color w:val="000000" w:themeColor="text1"/>
          <w:w w:val="99"/>
          <w:sz w:val="24"/>
          <w:szCs w:val="24"/>
          <w:highlight w:val="none"/>
          <w14:textFill>
            <w14:solidFill>
              <w14:schemeClr w14:val="tx1"/>
            </w14:solidFill>
          </w14:textFill>
        </w:rPr>
        <w:t>、场站均为依托工程，周围居民受影响人口数量增加不多，敏感目标噪声级增高量在 5dB(A)以下，因此，声环境评价等级为二级。</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2.5.5 土壤环境</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根据《环境影响评价技术导则 土壤环境》（试行）（</w:t>
      </w:r>
      <w:r>
        <w:rPr>
          <w:rFonts w:ascii="Times New Roman" w:hAnsi="Times New Roman" w:eastAsia="Times New Roman" w:cs="Times New Roman"/>
          <w:color w:val="000000" w:themeColor="text1"/>
          <w:w w:val="99"/>
          <w:sz w:val="24"/>
          <w:szCs w:val="24"/>
          <w:highlight w:val="none"/>
          <w14:textFill>
            <w14:solidFill>
              <w14:schemeClr w14:val="tx1"/>
            </w14:solidFill>
          </w14:textFill>
        </w:rPr>
        <w:t>HJ964-2018</w:t>
      </w:r>
      <w:r>
        <w:rPr>
          <w:rFonts w:ascii="Times New Roman" w:hAnsi="Times New Roman" w:cs="Times New Roman"/>
          <w:color w:val="000000" w:themeColor="text1"/>
          <w:w w:val="99"/>
          <w:sz w:val="24"/>
          <w:szCs w:val="24"/>
          <w:highlight w:val="none"/>
          <w14:textFill>
            <w14:solidFill>
              <w14:schemeClr w14:val="tx1"/>
            </w14:solidFill>
          </w14:textFill>
        </w:rPr>
        <w:t>），建设项目土壤环境影响评价工作等级的划分应依据建设项目所属行业分类和土壤环境敏感程度分级进行判定：</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①建设项目行业分类：对照《环境影响评价技术导则 土壤环境》（试行）（HJ964-2018）附录A，本项目属于采矿业中金属矿、石油、页岩油开采，按土壤环境影响评价项目类别划分为Ⅰ类。</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②土壤环境敏感程度分级：</w:t>
      </w:r>
      <w:r>
        <w:rPr>
          <w:rFonts w:hint="eastAsia" w:ascii="Times New Roman" w:hAnsi="Times New Roman" w:cs="Times New Roman"/>
          <w:color w:val="000000" w:themeColor="text1"/>
          <w:w w:val="99"/>
          <w:sz w:val="24"/>
          <w:szCs w:val="24"/>
          <w:highlight w:val="none"/>
          <w14:textFill>
            <w14:solidFill>
              <w14:schemeClr w14:val="tx1"/>
            </w14:solidFill>
          </w14:textFill>
        </w:rPr>
        <w:t>井场</w:t>
      </w:r>
      <w:r>
        <w:rPr>
          <w:rFonts w:ascii="Times New Roman" w:hAnsi="Times New Roman" w:cs="Times New Roman"/>
          <w:color w:val="000000" w:themeColor="text1"/>
          <w:w w:val="99"/>
          <w:sz w:val="24"/>
          <w:szCs w:val="24"/>
          <w:highlight w:val="none"/>
          <w14:textFill>
            <w14:solidFill>
              <w14:schemeClr w14:val="tx1"/>
            </w14:solidFill>
          </w14:textFill>
        </w:rPr>
        <w:t>周边</w:t>
      </w:r>
      <w:r>
        <w:rPr>
          <w:rFonts w:hint="eastAsia" w:ascii="Times New Roman" w:hAnsi="Times New Roman" w:cs="Times New Roman"/>
          <w:color w:val="000000" w:themeColor="text1"/>
          <w:w w:val="99"/>
          <w:sz w:val="24"/>
          <w:szCs w:val="24"/>
          <w:highlight w:val="none"/>
          <w14:textFill>
            <w14:solidFill>
              <w14:schemeClr w14:val="tx1"/>
            </w14:solidFill>
          </w14:textFill>
        </w:rPr>
        <w:t>分布有耕地</w:t>
      </w:r>
      <w:r>
        <w:rPr>
          <w:rFonts w:ascii="Times New Roman" w:hAnsi="Times New Roman" w:cs="Times New Roman"/>
          <w:color w:val="000000" w:themeColor="text1"/>
          <w:w w:val="99"/>
          <w:sz w:val="24"/>
          <w:szCs w:val="24"/>
          <w:highlight w:val="none"/>
          <w14:textFill>
            <w14:solidFill>
              <w14:schemeClr w14:val="tx1"/>
            </w14:solidFill>
          </w14:textFill>
        </w:rPr>
        <w:t>，因此本项目土壤敏感程度为敏感，污染影响型敏感程度分级表见表</w:t>
      </w:r>
      <w:r>
        <w:rPr>
          <w:rFonts w:ascii="Times New Roman" w:hAnsi="Times New Roman" w:cs="Times New Roman"/>
          <w:color w:val="000000" w:themeColor="text1"/>
          <w:w w:val="99"/>
          <w:sz w:val="24"/>
          <w:szCs w:val="24"/>
          <w:highlight w:val="none"/>
          <w:lang w:val="en-US"/>
          <w14:textFill>
            <w14:solidFill>
              <w14:schemeClr w14:val="tx1"/>
            </w14:solidFill>
          </w14:textFill>
        </w:rPr>
        <w:t>2.5-8。</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2.5-8</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污染影响型敏感程度分级表</w:t>
      </w:r>
    </w:p>
    <w:tbl>
      <w:tblPr>
        <w:tblStyle w:val="32"/>
        <w:tblW w:w="90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3"/>
        <w:gridCol w:w="7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敏感程度</w:t>
            </w:r>
          </w:p>
        </w:tc>
        <w:tc>
          <w:tcPr>
            <w:tcW w:w="792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判别依据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敏感</w:t>
            </w:r>
          </w:p>
        </w:tc>
        <w:tc>
          <w:tcPr>
            <w:tcW w:w="792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建设项目周边存在耕地、园地、牧草地、饮用水水源地或居民区、学校、医院、疗养院、养老院等土壤环境敏感目标的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较敏感</w:t>
            </w:r>
          </w:p>
        </w:tc>
        <w:tc>
          <w:tcPr>
            <w:tcW w:w="792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建设项目周边存在其他土壤环境敏感目标的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不敏感</w:t>
            </w:r>
          </w:p>
        </w:tc>
        <w:tc>
          <w:tcPr>
            <w:tcW w:w="7923"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其他情况</w:t>
            </w:r>
          </w:p>
        </w:tc>
      </w:tr>
    </w:tbl>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③建设项目占地规模分级：根据《环境影响评价技术导则 土壤环境（试行）》（HJ964-2018）：将建设项目占地规模分为大型（≥50hm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）、中型（5~50hm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）、小型（≤5hm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本工程新增永久占地规模为</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0.25</w:t>
      </w:r>
      <w:r>
        <w:rPr>
          <w:rFonts w:ascii="Times New Roman" w:hAnsi="Times New Roman" w:cs="Times New Roman"/>
          <w:color w:val="000000" w:themeColor="text1"/>
          <w:w w:val="99"/>
          <w:sz w:val="24"/>
          <w:szCs w:val="24"/>
          <w:highlight w:val="none"/>
          <w:lang w:val="en-US"/>
          <w14:textFill>
            <w14:solidFill>
              <w14:schemeClr w14:val="tx1"/>
            </w14:solidFill>
          </w14:textFill>
        </w:rPr>
        <w:t>hm</w:t>
      </w:r>
      <w:r>
        <w:rPr>
          <w:rFonts w:ascii="Times New Roman" w:hAnsi="Times New Roman" w:cs="Times New Roman"/>
          <w:color w:val="000000" w:themeColor="text1"/>
          <w:w w:val="99"/>
          <w:sz w:val="24"/>
          <w:szCs w:val="24"/>
          <w:highlight w:val="none"/>
          <w:vertAlign w:val="superscript"/>
          <w:lang w:val="en-US"/>
          <w14:textFill>
            <w14:solidFill>
              <w14:schemeClr w14:val="tx1"/>
            </w14:solidFill>
          </w14:textFill>
        </w:rPr>
        <w:t>2</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占地规模属于小型。具体等级划分表见表</w:t>
      </w:r>
      <w:r>
        <w:rPr>
          <w:rFonts w:ascii="Times New Roman" w:hAnsi="Times New Roman" w:cs="Times New Roman"/>
          <w:color w:val="000000" w:themeColor="text1"/>
          <w:w w:val="99"/>
          <w:sz w:val="24"/>
          <w:szCs w:val="24"/>
          <w:highlight w:val="none"/>
          <w:lang w:val="en-US"/>
          <w14:textFill>
            <w14:solidFill>
              <w14:schemeClr w14:val="tx1"/>
            </w14:solidFill>
          </w14:textFill>
        </w:rPr>
        <w:t>2.5-9。</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2.5-9</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污染影响型评价工作等级划分表</w:t>
      </w:r>
    </w:p>
    <w:tbl>
      <w:tblPr>
        <w:tblStyle w:val="32"/>
        <w:tblW w:w="90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0"/>
        <w:gridCol w:w="826"/>
        <w:gridCol w:w="797"/>
        <w:gridCol w:w="866"/>
        <w:gridCol w:w="854"/>
        <w:gridCol w:w="856"/>
        <w:gridCol w:w="705"/>
        <w:gridCol w:w="694"/>
        <w:gridCol w:w="870"/>
        <w:gridCol w:w="8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0" w:type="dxa"/>
            <w:vMerge w:val="restart"/>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-1905</wp:posOffset>
                      </wp:positionV>
                      <wp:extent cx="1133475" cy="704850"/>
                      <wp:effectExtent l="2540" t="3810" r="6985" b="15240"/>
                      <wp:wrapNone/>
                      <wp:docPr id="831" name="直接连接符 831"/>
                      <wp:cNvGraphicFramePr/>
                      <a:graphic xmlns:a="http://schemas.openxmlformats.org/drawingml/2006/main">
                        <a:graphicData uri="http://schemas.microsoft.com/office/word/2010/wordprocessingShape">
                          <wps:wsp>
                            <wps:cNvCnPr/>
                            <wps:spPr>
                              <a:xfrm>
                                <a:off x="913130" y="1001395"/>
                                <a:ext cx="1133475" cy="7048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05pt;margin-top:-0.15pt;height:55.5pt;width:89.25pt;z-index:251661312;mso-width-relative:page;mso-height-relative:page;" filled="f" stroked="t" coordsize="21600,21600" o:gfxdata="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O6VfHVAAAABwEAAA8AAAAAAAAAAQAgAAAAIgAAAGRycy9kb3ducmV2Lnht&#10;bFBLAQIUABQAAAAIAIdO4kBsChu0/AEAANMDAAAOAAAAAAAAAAEAIAAAACQBAABkcnMvZTJvRG9j&#10;LnhtbFBLBQYAAAAABgAGAFkBAACSBQAAAAA=&#10;">
                      <v:fill on="f" focussize="0,0"/>
                      <v:stroke weight="0.5pt" color="#000000" miterlimit="8" joinstyle="miter"/>
                      <v:imagedata o:title=""/>
                      <o:lock v:ext="edit" aspectratio="f"/>
                    </v:line>
                  </w:pict>
                </mc:Fallback>
              </mc:AlternateConten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 </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    评价工作等级</w:t>
            </w:r>
          </w:p>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p>
            <w:pPr>
              <w:autoSpaceDE/>
              <w:autoSpaceDN/>
              <w:spacing w:line="360" w:lineRule="exact"/>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敏感程度</w:t>
            </w:r>
          </w:p>
        </w:tc>
        <w:tc>
          <w:tcPr>
            <w:tcW w:w="2489" w:type="dxa"/>
            <w:gridSpan w:val="3"/>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I类</w:t>
            </w:r>
          </w:p>
        </w:tc>
        <w:tc>
          <w:tcPr>
            <w:tcW w:w="2415" w:type="dxa"/>
            <w:gridSpan w:val="3"/>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II类</w:t>
            </w:r>
          </w:p>
        </w:tc>
        <w:tc>
          <w:tcPr>
            <w:tcW w:w="2398" w:type="dxa"/>
            <w:gridSpan w:val="3"/>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III类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0" w:type="dxa"/>
            <w:vMerge w:val="continue"/>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2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w:t>
            </w:r>
          </w:p>
        </w:tc>
        <w:tc>
          <w:tcPr>
            <w:tcW w:w="797"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中</w:t>
            </w:r>
          </w:p>
        </w:tc>
        <w:tc>
          <w:tcPr>
            <w:tcW w:w="8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小</w:t>
            </w:r>
          </w:p>
        </w:tc>
        <w:tc>
          <w:tcPr>
            <w:tcW w:w="85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w:t>
            </w:r>
          </w:p>
        </w:tc>
        <w:tc>
          <w:tcPr>
            <w:tcW w:w="8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中</w:t>
            </w:r>
          </w:p>
        </w:tc>
        <w:tc>
          <w:tcPr>
            <w:tcW w:w="70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小</w:t>
            </w:r>
          </w:p>
        </w:tc>
        <w:tc>
          <w:tcPr>
            <w:tcW w:w="69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w:t>
            </w:r>
          </w:p>
        </w:tc>
        <w:tc>
          <w:tcPr>
            <w:tcW w:w="87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中</w:t>
            </w:r>
          </w:p>
        </w:tc>
        <w:tc>
          <w:tcPr>
            <w:tcW w:w="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78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敏感</w:t>
            </w:r>
          </w:p>
        </w:tc>
        <w:tc>
          <w:tcPr>
            <w:tcW w:w="82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一级</w:t>
            </w:r>
          </w:p>
        </w:tc>
        <w:tc>
          <w:tcPr>
            <w:tcW w:w="797"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一级</w:t>
            </w:r>
          </w:p>
        </w:tc>
        <w:tc>
          <w:tcPr>
            <w:tcW w:w="8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一级</w:t>
            </w:r>
          </w:p>
        </w:tc>
        <w:tc>
          <w:tcPr>
            <w:tcW w:w="85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p>
        </w:tc>
        <w:tc>
          <w:tcPr>
            <w:tcW w:w="8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p>
        </w:tc>
        <w:tc>
          <w:tcPr>
            <w:tcW w:w="70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p>
        </w:tc>
        <w:tc>
          <w:tcPr>
            <w:tcW w:w="69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p>
        </w:tc>
        <w:tc>
          <w:tcPr>
            <w:tcW w:w="87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p>
        </w:tc>
        <w:tc>
          <w:tcPr>
            <w:tcW w:w="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较敏感</w:t>
            </w:r>
          </w:p>
        </w:tc>
        <w:tc>
          <w:tcPr>
            <w:tcW w:w="82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一级</w:t>
            </w:r>
          </w:p>
        </w:tc>
        <w:tc>
          <w:tcPr>
            <w:tcW w:w="797"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一级</w:t>
            </w:r>
          </w:p>
        </w:tc>
        <w:tc>
          <w:tcPr>
            <w:tcW w:w="8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p>
        </w:tc>
        <w:tc>
          <w:tcPr>
            <w:tcW w:w="85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p>
        </w:tc>
        <w:tc>
          <w:tcPr>
            <w:tcW w:w="8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p>
        </w:tc>
        <w:tc>
          <w:tcPr>
            <w:tcW w:w="70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p>
        </w:tc>
        <w:tc>
          <w:tcPr>
            <w:tcW w:w="69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p>
        </w:tc>
        <w:tc>
          <w:tcPr>
            <w:tcW w:w="87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p>
        </w:tc>
        <w:tc>
          <w:tcPr>
            <w:tcW w:w="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不敏感</w:t>
            </w:r>
          </w:p>
        </w:tc>
        <w:tc>
          <w:tcPr>
            <w:tcW w:w="82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一级</w:t>
            </w:r>
          </w:p>
        </w:tc>
        <w:tc>
          <w:tcPr>
            <w:tcW w:w="797"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p>
        </w:tc>
        <w:tc>
          <w:tcPr>
            <w:tcW w:w="86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p>
        </w:tc>
        <w:tc>
          <w:tcPr>
            <w:tcW w:w="85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p>
        </w:tc>
        <w:tc>
          <w:tcPr>
            <w:tcW w:w="856"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p>
        </w:tc>
        <w:tc>
          <w:tcPr>
            <w:tcW w:w="70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p>
        </w:tc>
        <w:tc>
          <w:tcPr>
            <w:tcW w:w="69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p>
        </w:tc>
        <w:tc>
          <w:tcPr>
            <w:tcW w:w="870"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082" w:type="dxa"/>
            <w:gridSpan w:val="10"/>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注：“-”表示可不开展土壤环境影响评价工作。</w:t>
            </w:r>
          </w:p>
        </w:tc>
      </w:tr>
    </w:tbl>
    <w:p>
      <w:pPr>
        <w:pStyle w:val="45"/>
        <w:keepNext w:val="0"/>
        <w:keepLines w:val="0"/>
        <w:pageBreakBefore w:val="0"/>
        <w:widowControl w:val="0"/>
        <w:tabs>
          <w:tab w:val="left" w:pos="1571"/>
        </w:tabs>
        <w:kinsoku/>
        <w:wordWrap/>
        <w:overflowPunct/>
        <w:topLinePunct w:val="0"/>
        <w:autoSpaceDE w:val="0"/>
        <w:autoSpaceDN w:val="0"/>
        <w:bidi w:val="0"/>
        <w:adjustRightInd/>
        <w:snapToGrid/>
        <w:spacing w:line="440" w:lineRule="exact"/>
        <w:ind w:left="0" w:firstLine="474" w:firstLineChars="200"/>
        <w:jc w:val="both"/>
        <w:textAlignment w:val="auto"/>
        <w:rPr>
          <w:rFonts w:ascii="Times New Roman" w:hAnsi="Times New Roman" w:cs="Times New Roman"/>
          <w:color w:val="000000" w:themeColor="text1"/>
          <w:w w:val="99"/>
          <w:sz w:val="28"/>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综上分析，根据《环境影响评价技术导则 土壤环境（试行）》（HJ964-2018）中相关规定，本项目为污染影响型的一级评价。</w:t>
      </w:r>
    </w:p>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2.5.6 生态环境</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本项目</w:t>
      </w:r>
      <w:r>
        <w:rPr>
          <w:rFonts w:hint="eastAsia" w:ascii="Times New Roman" w:hAnsi="Times New Roman" w:cs="Times New Roman"/>
          <w:color w:val="000000" w:themeColor="text1"/>
          <w:w w:val="99"/>
          <w:sz w:val="24"/>
          <w:szCs w:val="24"/>
          <w:highlight w:val="none"/>
          <w14:textFill>
            <w14:solidFill>
              <w14:schemeClr w14:val="tx1"/>
            </w14:solidFill>
          </w14:textFill>
        </w:rPr>
        <w:t>新增</w:t>
      </w:r>
      <w:r>
        <w:rPr>
          <w:rFonts w:ascii="Times New Roman" w:hAnsi="Times New Roman" w:cs="Times New Roman"/>
          <w:color w:val="000000" w:themeColor="text1"/>
          <w:w w:val="99"/>
          <w:sz w:val="24"/>
          <w:szCs w:val="24"/>
          <w:highlight w:val="none"/>
          <w14:textFill>
            <w14:solidFill>
              <w14:schemeClr w14:val="tx1"/>
            </w14:solidFill>
          </w14:textFill>
        </w:rPr>
        <w:t>永久占地</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0.25</w:t>
      </w:r>
      <w:r>
        <w:rPr>
          <w:rFonts w:ascii="Times New Roman" w:hAnsi="Times New Roman" w:cs="Times New Roman"/>
          <w:color w:val="000000" w:themeColor="text1"/>
          <w:w w:val="99"/>
          <w:sz w:val="24"/>
          <w:szCs w:val="24"/>
          <w:highlight w:val="none"/>
          <w14:textFill>
            <w14:solidFill>
              <w14:schemeClr w14:val="tx1"/>
            </w14:solidFill>
          </w14:textFill>
        </w:rPr>
        <w:t>hm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新增</w:t>
      </w:r>
      <w:r>
        <w:rPr>
          <w:rFonts w:ascii="Times New Roman" w:hAnsi="Times New Roman" w:cs="Times New Roman"/>
          <w:color w:val="000000" w:themeColor="text1"/>
          <w:w w:val="99"/>
          <w:sz w:val="24"/>
          <w:szCs w:val="24"/>
          <w:highlight w:val="none"/>
          <w14:textFill>
            <w14:solidFill>
              <w14:schemeClr w14:val="tx1"/>
            </w14:solidFill>
          </w14:textFill>
        </w:rPr>
        <w:t>临时占地</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4.72</w:t>
      </w:r>
      <w:r>
        <w:rPr>
          <w:rFonts w:ascii="Times New Roman" w:hAnsi="Times New Roman" w:cs="Times New Roman"/>
          <w:color w:val="000000" w:themeColor="text1"/>
          <w:w w:val="99"/>
          <w:sz w:val="24"/>
          <w:szCs w:val="24"/>
          <w:highlight w:val="none"/>
          <w14:textFill>
            <w14:solidFill>
              <w14:schemeClr w14:val="tx1"/>
            </w14:solidFill>
          </w14:textFill>
        </w:rPr>
        <w:t>hm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，总占地面积为</w:t>
      </w:r>
      <w:bookmarkStart w:id="29" w:name="_Hlk69491721"/>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4.97</w:t>
      </w:r>
      <w:r>
        <w:rPr>
          <w:rFonts w:ascii="Times New Roman" w:hAnsi="Times New Roman" w:cs="Times New Roman"/>
          <w:color w:val="000000" w:themeColor="text1"/>
          <w:w w:val="99"/>
          <w:sz w:val="24"/>
          <w:szCs w:val="24"/>
          <w:highlight w:val="none"/>
          <w14:textFill>
            <w14:solidFill>
              <w14:schemeClr w14:val="tx1"/>
            </w14:solidFill>
          </w14:textFill>
        </w:rPr>
        <w:t>hm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bookmarkEnd w:id="29"/>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0.0</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497</w:t>
      </w:r>
      <w:r>
        <w:rPr>
          <w:rFonts w:ascii="Times New Roman" w:hAnsi="Times New Roman" w:cs="Times New Roman"/>
          <w:color w:val="000000" w:themeColor="text1"/>
          <w:w w:val="99"/>
          <w:sz w:val="24"/>
          <w:szCs w:val="24"/>
          <w:highlight w:val="none"/>
          <w:lang w:val="en-US"/>
          <w14:textFill>
            <w14:solidFill>
              <w14:schemeClr w14:val="tx1"/>
            </w14:solidFill>
          </w14:textFill>
        </w:rPr>
        <w:t>5km</w:t>
      </w:r>
      <w:r>
        <w:rPr>
          <w:rFonts w:ascii="Times New Roman" w:hAnsi="Times New Roman" w:cs="Times New Roman"/>
          <w:color w:val="000000" w:themeColor="text1"/>
          <w:w w:val="99"/>
          <w:sz w:val="24"/>
          <w:szCs w:val="24"/>
          <w:highlight w:val="none"/>
          <w:vertAlign w:val="superscript"/>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）。项目占地面积在≤2km</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范围内，</w:t>
      </w:r>
      <w:r>
        <w:rPr>
          <w:rFonts w:hint="eastAsia" w:ascii="Times New Roman" w:hAnsi="Times New Roman" w:cs="Times New Roman"/>
          <w:color w:val="000000" w:themeColor="text1"/>
          <w:w w:val="99"/>
          <w:sz w:val="24"/>
          <w:szCs w:val="24"/>
          <w:highlight w:val="none"/>
          <w14:textFill>
            <w14:solidFill>
              <w14:schemeClr w14:val="tx1"/>
            </w14:solidFill>
          </w14:textFill>
        </w:rPr>
        <w:t>新建</w:t>
      </w:r>
      <w:r>
        <w:rPr>
          <w:rFonts w:ascii="Times New Roman" w:hAnsi="Times New Roman" w:cs="Times New Roman"/>
          <w:color w:val="000000" w:themeColor="text1"/>
          <w:w w:val="99"/>
          <w:sz w:val="24"/>
          <w:szCs w:val="24"/>
          <w:highlight w:val="none"/>
          <w14:textFill>
            <w14:solidFill>
              <w14:schemeClr w14:val="tx1"/>
            </w14:solidFill>
          </w14:textFill>
        </w:rPr>
        <w:t>管线</w:t>
      </w:r>
      <w:r>
        <w:rPr>
          <w:rFonts w:hint="eastAsia" w:ascii="Times New Roman" w:hAnsi="Times New Roman" w:cs="Times New Roman"/>
          <w:color w:val="000000" w:themeColor="text1"/>
          <w:w w:val="99"/>
          <w:sz w:val="24"/>
          <w:szCs w:val="24"/>
          <w:highlight w:val="none"/>
          <w14:textFill>
            <w14:solidFill>
              <w14:schemeClr w14:val="tx1"/>
            </w14:solidFill>
          </w14:textFill>
        </w:rPr>
        <w:t>总</w:t>
      </w:r>
      <w:r>
        <w:rPr>
          <w:rFonts w:ascii="Times New Roman" w:hAnsi="Times New Roman" w:cs="Times New Roman"/>
          <w:color w:val="000000" w:themeColor="text1"/>
          <w:w w:val="99"/>
          <w:sz w:val="24"/>
          <w:szCs w:val="24"/>
          <w:highlight w:val="none"/>
          <w14:textFill>
            <w14:solidFill>
              <w14:schemeClr w14:val="tx1"/>
            </w14:solidFill>
          </w14:textFill>
        </w:rPr>
        <w:t>长度</w:t>
      </w:r>
      <w:r>
        <w:rPr>
          <w:rFonts w:hint="eastAsia" w:ascii="Times New Roman" w:hAnsi="Times New Roman" w:cs="Times New Roman"/>
          <w:color w:val="000000" w:themeColor="text1"/>
          <w:w w:val="99"/>
          <w:sz w:val="24"/>
          <w:szCs w:val="24"/>
          <w:highlight w:val="none"/>
          <w14:textFill>
            <w14:solidFill>
              <w14:schemeClr w14:val="tx1"/>
            </w14:solidFill>
          </w14:textFill>
        </w:rPr>
        <w:t>为</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4.72</w:t>
      </w:r>
      <w:r>
        <w:rPr>
          <w:rFonts w:ascii="Times New Roman" w:hAnsi="Times New Roman" w:cs="Times New Roman"/>
          <w:color w:val="000000" w:themeColor="text1"/>
          <w:w w:val="99"/>
          <w:sz w:val="24"/>
          <w:szCs w:val="24"/>
          <w:highlight w:val="none"/>
          <w14:textFill>
            <w14:solidFill>
              <w14:schemeClr w14:val="tx1"/>
            </w14:solidFill>
          </w14:textFill>
        </w:rPr>
        <w:t>km，小于</w:t>
      </w:r>
      <w:r>
        <w:rPr>
          <w:rFonts w:hint="eastAsia" w:ascii="Times New Roman" w:hAnsi="Times New Roman" w:cs="Times New Roman"/>
          <w:color w:val="000000" w:themeColor="text1"/>
          <w:w w:val="99"/>
          <w:sz w:val="24"/>
          <w:szCs w:val="24"/>
          <w:highlight w:val="none"/>
          <w14:textFill>
            <w14:solidFill>
              <w14:schemeClr w14:val="tx1"/>
            </w14:solidFill>
          </w14:textFill>
        </w:rPr>
        <w:t>50</w:t>
      </w:r>
      <w:r>
        <w:rPr>
          <w:rFonts w:ascii="Times New Roman" w:hAnsi="Times New Roman" w:cs="Times New Roman"/>
          <w:color w:val="000000" w:themeColor="text1"/>
          <w:w w:val="99"/>
          <w:sz w:val="24"/>
          <w:szCs w:val="24"/>
          <w:highlight w:val="none"/>
          <w14:textFill>
            <w14:solidFill>
              <w14:schemeClr w14:val="tx1"/>
            </w14:solidFill>
          </w14:textFill>
        </w:rPr>
        <w:t>km，区域内主要为</w:t>
      </w:r>
      <w:r>
        <w:rPr>
          <w:rFonts w:hint="eastAsia" w:ascii="Times New Roman" w:hAnsi="Times New Roman" w:cs="Times New Roman"/>
          <w:color w:val="000000" w:themeColor="text1"/>
          <w:w w:val="99"/>
          <w:sz w:val="24"/>
          <w:szCs w:val="24"/>
          <w:highlight w:val="none"/>
          <w14:textFill>
            <w14:solidFill>
              <w14:schemeClr w14:val="tx1"/>
            </w14:solidFill>
          </w14:textFill>
        </w:rPr>
        <w:t>耕地（非</w:t>
      </w:r>
      <w:r>
        <w:rPr>
          <w:rFonts w:ascii="Times New Roman" w:hAnsi="Times New Roman" w:cs="Times New Roman"/>
          <w:color w:val="000000" w:themeColor="text1"/>
          <w:w w:val="99"/>
          <w:sz w:val="24"/>
          <w:szCs w:val="24"/>
          <w:highlight w:val="none"/>
          <w14:textFill>
            <w14:solidFill>
              <w14:schemeClr w14:val="tx1"/>
            </w14:solidFill>
          </w14:textFill>
        </w:rPr>
        <w:t>基本农田</w:t>
      </w:r>
      <w:r>
        <w:rPr>
          <w:rFonts w:hint="eastAsia" w:ascii="Times New Roman" w:hAnsi="Times New Roman" w:cs="Times New Roman"/>
          <w:color w:val="000000" w:themeColor="text1"/>
          <w:w w:val="99"/>
          <w:sz w:val="24"/>
          <w:szCs w:val="24"/>
          <w:highlight w:val="none"/>
          <w14:textFill>
            <w14:solidFill>
              <w14:schemeClr w14:val="tx1"/>
            </w14:solidFill>
          </w14:textFill>
        </w:rPr>
        <w:t>）、盐碱</w:t>
      </w:r>
      <w:r>
        <w:rPr>
          <w:rFonts w:ascii="Times New Roman" w:hAnsi="Times New Roman" w:cs="Times New Roman"/>
          <w:color w:val="000000" w:themeColor="text1"/>
          <w:w w:val="99"/>
          <w:sz w:val="24"/>
          <w:szCs w:val="24"/>
          <w:highlight w:val="none"/>
          <w14:textFill>
            <w14:solidFill>
              <w14:schemeClr w14:val="tx1"/>
            </w14:solidFill>
          </w14:textFill>
        </w:rPr>
        <w:t>草地</w:t>
      </w:r>
      <w:r>
        <w:rPr>
          <w:rFonts w:hint="eastAsia" w:ascii="Times New Roman" w:hAnsi="Times New Roman" w:cs="Times New Roman"/>
          <w:color w:val="000000" w:themeColor="text1"/>
          <w:w w:val="99"/>
          <w:sz w:val="24"/>
          <w:szCs w:val="24"/>
          <w:highlight w:val="none"/>
          <w14:textFill>
            <w14:solidFill>
              <w14:schemeClr w14:val="tx1"/>
            </w14:solidFill>
          </w14:textFill>
        </w:rPr>
        <w:t>（非</w:t>
      </w:r>
      <w:r>
        <w:rPr>
          <w:rFonts w:ascii="Times New Roman" w:hAnsi="Times New Roman" w:cs="Times New Roman"/>
          <w:color w:val="000000" w:themeColor="text1"/>
          <w:w w:val="99"/>
          <w:sz w:val="24"/>
          <w:szCs w:val="24"/>
          <w:highlight w:val="none"/>
          <w14:textFill>
            <w14:solidFill>
              <w14:schemeClr w14:val="tx1"/>
            </w14:solidFill>
          </w14:textFill>
        </w:rPr>
        <w:t>基本草原</w:t>
      </w:r>
      <w:r>
        <w:rPr>
          <w:rFonts w:hint="eastAsia" w:ascii="Times New Roman" w:hAnsi="Times New Roman" w:cs="Times New Roman"/>
          <w:color w:val="000000" w:themeColor="text1"/>
          <w:w w:val="99"/>
          <w:sz w:val="24"/>
          <w:szCs w:val="24"/>
          <w:highlight w:val="none"/>
          <w14:textFill>
            <w14:solidFill>
              <w14:schemeClr w14:val="tx1"/>
            </w14:solidFill>
          </w14:textFill>
        </w:rPr>
        <w:t>）和</w:t>
      </w:r>
      <w:r>
        <w:rPr>
          <w:rFonts w:ascii="Times New Roman" w:hAnsi="Times New Roman" w:cs="Times New Roman"/>
          <w:color w:val="000000" w:themeColor="text1"/>
          <w:w w:val="99"/>
          <w:sz w:val="24"/>
          <w:szCs w:val="24"/>
          <w:highlight w:val="none"/>
          <w14:textFill>
            <w14:solidFill>
              <w14:schemeClr w14:val="tx1"/>
            </w14:solidFill>
          </w14:textFill>
        </w:rPr>
        <w:t>一般湿地，属于一般区域。项目评价区域内无自然保护区、风景名胜区</w:t>
      </w:r>
      <w:r>
        <w:rPr>
          <w:rFonts w:hint="eastAsia" w:ascii="Times New Roman" w:hAnsi="Times New Roman" w:cs="Times New Roman"/>
          <w:color w:val="000000" w:themeColor="text1"/>
          <w:w w:val="99"/>
          <w:sz w:val="24"/>
          <w:szCs w:val="24"/>
          <w:highlight w:val="none"/>
          <w14:textFill>
            <w14:solidFill>
              <w14:schemeClr w14:val="tx1"/>
            </w14:solidFill>
          </w14:textFill>
        </w:rPr>
        <w:t>、重要湿地</w:t>
      </w:r>
      <w:r>
        <w:rPr>
          <w:rFonts w:ascii="Times New Roman" w:hAnsi="Times New Roman" w:cs="Times New Roman"/>
          <w:color w:val="000000" w:themeColor="text1"/>
          <w:w w:val="99"/>
          <w:sz w:val="24"/>
          <w:szCs w:val="24"/>
          <w:highlight w:val="none"/>
          <w14:textFill>
            <w14:solidFill>
              <w14:schemeClr w14:val="tx1"/>
            </w14:solidFill>
          </w14:textFill>
        </w:rPr>
        <w:t>等生态敏感区</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根据《环境影响评价技术导则 陆地石油天然气开发建设项目》（HJ/T349-2007）及《环境影响评价技术导则 生态环境》（HJ19-2011）的有关规定，确定本次生态影响评价等级为三级。</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8"/>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2.5-10</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生态影响评价工作等级划分判据</w:t>
      </w:r>
    </w:p>
    <w:tbl>
      <w:tblPr>
        <w:tblStyle w:val="32"/>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2321"/>
        <w:gridCol w:w="2321"/>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影响区域生态敏感性</w:t>
            </w:r>
          </w:p>
        </w:tc>
        <w:tc>
          <w:tcPr>
            <w:tcW w:w="6972"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工程占地（水域）范围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p>
        </w:tc>
        <w:tc>
          <w:tcPr>
            <w:tcW w:w="232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面积≥20km</w:t>
            </w:r>
            <w:r>
              <w:rPr>
                <w:rFonts w:ascii="Times New Roman" w:hAnsi="Times New Roman" w:cs="Times New Roman"/>
                <w:color w:val="000000" w:themeColor="text1"/>
                <w:w w:val="99"/>
                <w:sz w:val="21"/>
                <w:szCs w:val="21"/>
                <w:highlight w:val="none"/>
                <w:vertAlign w:val="superscript"/>
                <w:lang w:bidi="ar-SA"/>
                <w14:textFill>
                  <w14:solidFill>
                    <w14:schemeClr w14:val="tx1"/>
                  </w14:solidFill>
                </w14:textFill>
              </w:rPr>
              <w:t>2</w:t>
            </w:r>
            <w:r>
              <w:rPr>
                <w:rFonts w:ascii="Times New Roman" w:hAnsi="Times New Roman" w:cs="Times New Roman"/>
                <w:color w:val="000000" w:themeColor="text1"/>
                <w:w w:val="99"/>
                <w:sz w:val="21"/>
                <w:szCs w:val="21"/>
                <w:highlight w:val="none"/>
                <w:lang w:bidi="ar-SA"/>
                <w14:textFill>
                  <w14:solidFill>
                    <w14:schemeClr w14:val="tx1"/>
                  </w14:solidFill>
                </w14:textFill>
              </w:rPr>
              <w:t>或长度≥100km</w:t>
            </w:r>
          </w:p>
        </w:tc>
        <w:tc>
          <w:tcPr>
            <w:tcW w:w="232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面积2-20km</w:t>
            </w:r>
            <w:r>
              <w:rPr>
                <w:rFonts w:ascii="Times New Roman" w:hAnsi="Times New Roman" w:cs="Times New Roman"/>
                <w:color w:val="000000" w:themeColor="text1"/>
                <w:w w:val="99"/>
                <w:sz w:val="21"/>
                <w:szCs w:val="21"/>
                <w:highlight w:val="none"/>
                <w:vertAlign w:val="superscript"/>
                <w:lang w:bidi="ar-SA"/>
                <w14:textFill>
                  <w14:solidFill>
                    <w14:schemeClr w14:val="tx1"/>
                  </w14:solidFill>
                </w14:textFill>
              </w:rPr>
              <w:t>2</w:t>
            </w:r>
            <w:r>
              <w:rPr>
                <w:rFonts w:ascii="Times New Roman" w:hAnsi="Times New Roman" w:cs="Times New Roman"/>
                <w:color w:val="000000" w:themeColor="text1"/>
                <w:w w:val="99"/>
                <w:sz w:val="21"/>
                <w:szCs w:val="21"/>
                <w:highlight w:val="none"/>
                <w:lang w:bidi="ar-SA"/>
                <w14:textFill>
                  <w14:solidFill>
                    <w14:schemeClr w14:val="tx1"/>
                  </w14:solidFill>
                </w14:textFill>
              </w:rPr>
              <w:t>或长度50-100km</w:t>
            </w:r>
          </w:p>
        </w:tc>
        <w:tc>
          <w:tcPr>
            <w:tcW w:w="23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面积≤2km</w:t>
            </w:r>
            <w:r>
              <w:rPr>
                <w:rFonts w:ascii="Times New Roman" w:hAnsi="Times New Roman" w:cs="Times New Roman"/>
                <w:color w:val="000000" w:themeColor="text1"/>
                <w:w w:val="99"/>
                <w:sz w:val="21"/>
                <w:szCs w:val="21"/>
                <w:highlight w:val="none"/>
                <w:vertAlign w:val="superscript"/>
                <w:lang w:bidi="ar-SA"/>
                <w14:textFill>
                  <w14:solidFill>
                    <w14:schemeClr w14:val="tx1"/>
                  </w14:solidFill>
                </w14:textFill>
              </w:rPr>
              <w:t>2</w:t>
            </w:r>
            <w:r>
              <w:rPr>
                <w:rFonts w:ascii="Times New Roman" w:hAnsi="Times New Roman" w:cs="Times New Roman"/>
                <w:color w:val="000000" w:themeColor="text1"/>
                <w:w w:val="99"/>
                <w:sz w:val="21"/>
                <w:szCs w:val="21"/>
                <w:highlight w:val="none"/>
                <w:lang w:bidi="ar-SA"/>
                <w14:textFill>
                  <w14:solidFill>
                    <w14:schemeClr w14:val="tx1"/>
                  </w14:solidFill>
                </w14:textFill>
              </w:rPr>
              <w:t>或长度≤50km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特殊生态敏感区</w:t>
            </w:r>
          </w:p>
        </w:tc>
        <w:tc>
          <w:tcPr>
            <w:tcW w:w="232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一级</w:t>
            </w:r>
          </w:p>
        </w:tc>
        <w:tc>
          <w:tcPr>
            <w:tcW w:w="232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一级</w:t>
            </w:r>
          </w:p>
        </w:tc>
        <w:tc>
          <w:tcPr>
            <w:tcW w:w="23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重要生态敏感区</w:t>
            </w:r>
          </w:p>
        </w:tc>
        <w:tc>
          <w:tcPr>
            <w:tcW w:w="232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一级</w:t>
            </w:r>
          </w:p>
        </w:tc>
        <w:tc>
          <w:tcPr>
            <w:tcW w:w="232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二级</w:t>
            </w:r>
          </w:p>
        </w:tc>
        <w:tc>
          <w:tcPr>
            <w:tcW w:w="23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一般区域</w:t>
            </w:r>
          </w:p>
        </w:tc>
        <w:tc>
          <w:tcPr>
            <w:tcW w:w="232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二级</w:t>
            </w:r>
          </w:p>
        </w:tc>
        <w:tc>
          <w:tcPr>
            <w:tcW w:w="232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三级</w:t>
            </w:r>
          </w:p>
        </w:tc>
        <w:tc>
          <w:tcPr>
            <w:tcW w:w="23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bCs/>
                <w:color w:val="000000" w:themeColor="text1"/>
                <w:w w:val="99"/>
                <w:sz w:val="21"/>
                <w:szCs w:val="21"/>
                <w:highlight w:val="none"/>
                <w:lang w:bidi="ar-SA"/>
                <w14:textFill>
                  <w14:solidFill>
                    <w14:schemeClr w14:val="tx1"/>
                  </w14:solidFill>
                </w14:textFill>
              </w:rPr>
              <w:t>三级</w:t>
            </w:r>
          </w:p>
        </w:tc>
      </w:tr>
    </w:tbl>
    <w:p>
      <w:pPr>
        <w:pStyle w:val="7"/>
        <w:keepNext/>
        <w:keepLines/>
        <w:widowControl w:val="0"/>
        <w:autoSpaceDE/>
        <w:autoSpaceDN/>
        <w:spacing w:before="60" w:after="60" w:line="440" w:lineRule="exact"/>
        <w:ind w:left="0" w:firstLine="0"/>
        <w:jc w:val="both"/>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2.5.7 风险评价</w:t>
      </w:r>
    </w:p>
    <w:p>
      <w:pPr>
        <w:keepNext w:val="0"/>
        <w:keepLines w:val="0"/>
        <w:pageBreakBefore w:val="0"/>
        <w:widowControl/>
        <w:kinsoku/>
        <w:wordWrap/>
        <w:overflowPunct/>
        <w:topLinePunct w:val="0"/>
        <w:autoSpaceDE w:val="0"/>
        <w:autoSpaceDN w:val="0"/>
        <w:bidi w:val="0"/>
        <w:adjustRightInd w:val="0"/>
        <w:snapToGrid/>
        <w:spacing w:line="440" w:lineRule="exact"/>
        <w:ind w:firstLine="474" w:firstLineChars="200"/>
        <w:jc w:val="both"/>
        <w:textAlignment w:val="auto"/>
        <w:rPr>
          <w:rFonts w:hint="default" w:ascii="Times New Roman" w:hAnsi="Times New Roman" w:cs="Times New Roman"/>
          <w:color w:val="000000" w:themeColor="text1"/>
          <w:w w:val="99"/>
          <w:sz w:val="24"/>
          <w:highlight w:val="none"/>
          <w14:textFill>
            <w14:solidFill>
              <w14:schemeClr w14:val="tx1"/>
            </w14:solidFill>
          </w14:textFill>
        </w:rPr>
      </w:pPr>
      <w:r>
        <w:rPr>
          <w:rFonts w:hint="default" w:ascii="Times New Roman" w:hAnsi="Times New Roman" w:cs="Times New Roman"/>
          <w:color w:val="000000" w:themeColor="text1"/>
          <w:w w:val="99"/>
          <w:sz w:val="24"/>
          <w:szCs w:val="24"/>
          <w:highlight w:val="none"/>
          <w:lang w:eastAsia="zh-CN"/>
          <w14:textFill>
            <w14:solidFill>
              <w14:schemeClr w14:val="tx1"/>
            </w14:solidFill>
          </w14:textFill>
        </w:rPr>
        <w:t>本项目</w:t>
      </w:r>
      <w:r>
        <w:rPr>
          <w:rFonts w:hint="default" w:ascii="Times New Roman" w:hAnsi="Times New Roman" w:cs="Times New Roman"/>
          <w:color w:val="000000" w:themeColor="text1"/>
          <w:w w:val="99"/>
          <w:sz w:val="24"/>
          <w:szCs w:val="24"/>
          <w:highlight w:val="none"/>
          <w14:textFill>
            <w14:solidFill>
              <w14:schemeClr w14:val="tx1"/>
            </w14:solidFill>
          </w14:textFill>
        </w:rPr>
        <w:t>涉及的物质主要为原油和石油气（天然气），</w:t>
      </w:r>
      <w:r>
        <w:rPr>
          <w:rFonts w:hint="default" w:ascii="Times New Roman" w:hAnsi="Times New Roman" w:cs="Times New Roman"/>
          <w:color w:val="000000" w:themeColor="text1"/>
          <w:w w:val="99"/>
          <w:sz w:val="24"/>
          <w:highlight w:val="none"/>
          <w14:textFill>
            <w14:solidFill>
              <w14:schemeClr w14:val="tx1"/>
            </w14:solidFill>
          </w14:textFill>
        </w:rPr>
        <w:t>结合本项目工程内容，确定本工程涉及的主要风险源为依托</w:t>
      </w:r>
      <w:r>
        <w:rPr>
          <w:rFonts w:hint="default" w:ascii="Times New Roman" w:hAnsi="Times New Roman" w:eastAsia="宋体" w:cs="Times New Roman"/>
          <w:color w:val="000000" w:themeColor="text1"/>
          <w:w w:val="99"/>
          <w:sz w:val="24"/>
          <w:szCs w:val="24"/>
          <w:highlight w:val="none"/>
          <w14:textFill>
            <w14:solidFill>
              <w14:schemeClr w14:val="tx1"/>
            </w14:solidFill>
          </w14:textFill>
        </w:rPr>
        <w:t>葡北9</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w w:val="99"/>
          <w:sz w:val="24"/>
          <w:szCs w:val="24"/>
          <w:highlight w:val="none"/>
          <w:lang w:eastAsia="zh-CN"/>
          <w14:textFill>
            <w14:solidFill>
              <w14:schemeClr w14:val="tx1"/>
            </w14:solidFill>
          </w14:textFill>
        </w:rPr>
        <w:t>转油站</w:t>
      </w:r>
      <w:r>
        <w:rPr>
          <w:rFonts w:hint="default" w:ascii="Times New Roman" w:hAnsi="Times New Roman" w:eastAsia="宋体" w:cs="Times New Roman"/>
          <w:color w:val="000000" w:themeColor="text1"/>
          <w:w w:val="99"/>
          <w:sz w:val="24"/>
          <w:szCs w:val="24"/>
          <w:highlight w:val="none"/>
          <w14:textFill>
            <w14:solidFill>
              <w14:schemeClr w14:val="tx1"/>
            </w14:solidFill>
          </w14:textFill>
        </w:rPr>
        <w:t>站内</w:t>
      </w:r>
      <w:r>
        <w:rPr>
          <w:rFonts w:hint="default" w:ascii="Times New Roman" w:hAnsi="Times New Roman" w:eastAsia="宋体" w:cs="Times New Roman"/>
          <w:color w:val="000000" w:themeColor="text1"/>
          <w:w w:val="99"/>
          <w:sz w:val="24"/>
          <w:szCs w:val="24"/>
          <w:highlight w:val="none"/>
          <w:lang w:eastAsia="zh-CN"/>
          <w14:textFill>
            <w14:solidFill>
              <w14:schemeClr w14:val="tx1"/>
            </w14:solidFill>
          </w14:textFill>
        </w:rPr>
        <w:t>四</w:t>
      </w:r>
      <w:r>
        <w:rPr>
          <w:rFonts w:hint="default" w:ascii="Times New Roman" w:hAnsi="Times New Roman" w:eastAsia="宋体" w:cs="Times New Roman"/>
          <w:color w:val="000000" w:themeColor="text1"/>
          <w:w w:val="99"/>
          <w:sz w:val="24"/>
          <w:szCs w:val="24"/>
          <w:highlight w:val="none"/>
          <w14:textFill>
            <w14:solidFill>
              <w14:schemeClr w14:val="tx1"/>
            </w14:solidFill>
          </w14:textFill>
        </w:rPr>
        <w:t>合一装置</w:t>
      </w:r>
      <w:r>
        <w:rPr>
          <w:rFonts w:hint="default" w:ascii="Times New Roman" w:hAnsi="Times New Roman" w:eastAsia="宋体" w:cs="Times New Roman"/>
          <w:color w:val="000000" w:themeColor="text1"/>
          <w:w w:val="99"/>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w w:val="99"/>
          <w:sz w:val="24"/>
          <w:szCs w:val="24"/>
          <w:highlight w:val="none"/>
          <w14:textFill>
            <w14:solidFill>
              <w14:schemeClr w14:val="tx1"/>
            </w14:solidFill>
          </w14:textFill>
        </w:rPr>
        <w:t>葡北</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w w:val="99"/>
          <w:sz w:val="24"/>
          <w:szCs w:val="24"/>
          <w:highlight w:val="none"/>
          <w14:textFill>
            <w14:solidFill>
              <w14:schemeClr w14:val="tx1"/>
            </w14:solidFill>
          </w14:textFill>
        </w:rPr>
        <w:t>号转油站</w:t>
      </w:r>
      <w:r>
        <w:rPr>
          <w:rFonts w:hint="default" w:ascii="Times New Roman" w:hAnsi="Times New Roman" w:eastAsia="宋体" w:cs="Times New Roman"/>
          <w:color w:val="000000" w:themeColor="text1"/>
          <w:w w:val="99"/>
          <w:sz w:val="24"/>
          <w:szCs w:val="24"/>
          <w:highlight w:val="none"/>
          <w:lang w:eastAsia="zh-CN"/>
          <w14:textFill>
            <w14:solidFill>
              <w14:schemeClr w14:val="tx1"/>
            </w14:solidFill>
          </w14:textFill>
        </w:rPr>
        <w:t>站</w:t>
      </w:r>
      <w:r>
        <w:rPr>
          <w:rFonts w:hint="default" w:ascii="Times New Roman" w:hAnsi="Times New Roman" w:eastAsia="宋体" w:cs="Times New Roman"/>
          <w:color w:val="000000" w:themeColor="text1"/>
          <w:w w:val="99"/>
          <w:sz w:val="24"/>
          <w:szCs w:val="24"/>
          <w:highlight w:val="none"/>
          <w14:textFill>
            <w14:solidFill>
              <w14:schemeClr w14:val="tx1"/>
            </w14:solidFill>
          </w14:textFill>
        </w:rPr>
        <w:t>内三合一装置</w:t>
      </w:r>
      <w:r>
        <w:rPr>
          <w:rFonts w:hint="default" w:ascii="Times New Roman" w:hAnsi="Times New Roman" w:cs="Times New Roman"/>
          <w:color w:val="000000" w:themeColor="text1"/>
          <w:w w:val="99"/>
          <w:sz w:val="24"/>
          <w:highlight w:val="none"/>
          <w14:textFill>
            <w14:solidFill>
              <w14:schemeClr w14:val="tx1"/>
            </w14:solidFill>
          </w14:textFill>
        </w:rPr>
        <w:t>。</w:t>
      </w:r>
    </w:p>
    <w:p>
      <w:pPr>
        <w:keepNext w:val="0"/>
        <w:keepLines w:val="0"/>
        <w:pageBreakBefore w:val="0"/>
        <w:widowControl/>
        <w:kinsoku/>
        <w:wordWrap/>
        <w:overflowPunct/>
        <w:topLinePunct w:val="0"/>
        <w:autoSpaceDE w:val="0"/>
        <w:autoSpaceDN w:val="0"/>
        <w:bidi w:val="0"/>
        <w:adjustRightInd w:val="0"/>
        <w:snapToGrid/>
        <w:spacing w:line="440" w:lineRule="exact"/>
        <w:ind w:firstLine="474" w:firstLineChars="200"/>
        <w:jc w:val="both"/>
        <w:textAlignment w:val="auto"/>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葡北9#转油站</w:t>
      </w:r>
      <w:r>
        <w:rPr>
          <w:rFonts w:hint="default" w:ascii="Times New Roman" w:hAnsi="Times New Roman" w:eastAsia="宋体" w:cs="Times New Roman"/>
          <w:color w:val="000000" w:themeColor="text1"/>
          <w:w w:val="99"/>
          <w:sz w:val="24"/>
          <w:szCs w:val="24"/>
          <w:highlight w:val="none"/>
          <w14:textFill>
            <w14:solidFill>
              <w14:schemeClr w14:val="tx1"/>
            </w14:solidFill>
          </w14:textFill>
        </w:rPr>
        <w:t>站内</w:t>
      </w:r>
      <w:r>
        <w:rPr>
          <w:rFonts w:hint="default" w:ascii="Times New Roman" w:hAnsi="Times New Roman" w:eastAsia="宋体" w:cs="Times New Roman"/>
          <w:color w:val="000000" w:themeColor="text1"/>
          <w:w w:val="99"/>
          <w:sz w:val="24"/>
          <w:szCs w:val="24"/>
          <w:highlight w:val="none"/>
          <w:lang w:eastAsia="zh-CN"/>
          <w14:textFill>
            <w14:solidFill>
              <w14:schemeClr w14:val="tx1"/>
            </w14:solidFill>
          </w14:textFill>
        </w:rPr>
        <w:t>共有</w:t>
      </w:r>
      <w:r>
        <w:rPr>
          <w:rFonts w:hint="default" w:ascii="Times New Roman" w:hAnsi="Times New Roman" w:eastAsia="宋体" w:cs="Times New Roman"/>
          <w:color w:val="000000" w:themeColor="text1"/>
          <w:w w:val="99"/>
          <w:sz w:val="24"/>
          <w:szCs w:val="24"/>
          <w:highlight w:val="none"/>
          <w:lang w:val="en-US" w:eastAsia="zh-CN"/>
          <w14:textFill>
            <w14:solidFill>
              <w14:schemeClr w14:val="tx1"/>
            </w14:solidFill>
          </w14:textFill>
        </w:rPr>
        <w:t>4台</w:t>
      </w:r>
      <w:r>
        <w:rPr>
          <w:rFonts w:hint="default" w:ascii="Times New Roman" w:hAnsi="Times New Roman" w:eastAsia="宋体" w:cs="Times New Roman"/>
          <w:color w:val="000000" w:themeColor="text1"/>
          <w:w w:val="99"/>
          <w:sz w:val="24"/>
          <w:szCs w:val="24"/>
          <w:highlight w:val="none"/>
          <w:lang w:eastAsia="zh-CN"/>
          <w14:textFill>
            <w14:solidFill>
              <w14:schemeClr w14:val="tx1"/>
            </w14:solidFill>
          </w14:textFill>
        </w:rPr>
        <w:t>四</w:t>
      </w:r>
      <w:r>
        <w:rPr>
          <w:rFonts w:hint="default" w:ascii="Times New Roman" w:hAnsi="Times New Roman" w:eastAsia="宋体" w:cs="Times New Roman"/>
          <w:color w:val="000000" w:themeColor="text1"/>
          <w:w w:val="99"/>
          <w:sz w:val="24"/>
          <w:szCs w:val="24"/>
          <w:highlight w:val="none"/>
          <w14:textFill>
            <w14:solidFill>
              <w14:schemeClr w14:val="tx1"/>
            </w14:solidFill>
          </w14:textFill>
        </w:rPr>
        <w:t>合一装置</w:t>
      </w:r>
      <w:r>
        <w:rPr>
          <w:rFonts w:hint="default" w:ascii="Times New Roman" w:hAnsi="Times New Roman" w:cs="Times New Roman"/>
          <w:color w:val="000000" w:themeColor="text1"/>
          <w:w w:val="99"/>
          <w:sz w:val="24"/>
          <w:highlight w:val="none"/>
          <w14:textFill>
            <w14:solidFill>
              <w14:schemeClr w14:val="tx1"/>
            </w14:solidFill>
          </w14:textFill>
        </w:rPr>
        <w:t>，运</w:t>
      </w:r>
      <w:r>
        <w:rPr>
          <w:rFonts w:hint="default" w:ascii="Times New Roman" w:hAnsi="Times New Roman" w:cs="Times New Roman"/>
          <w:color w:val="000000" w:themeColor="text1"/>
          <w:w w:val="99"/>
          <w:sz w:val="24"/>
          <w:highlight w:val="none"/>
          <w:lang w:eastAsia="zh-CN"/>
          <w14:textFill>
            <w14:solidFill>
              <w14:schemeClr w14:val="tx1"/>
            </w14:solidFill>
          </w14:textFill>
        </w:rPr>
        <w:t>三</w:t>
      </w:r>
      <w:r>
        <w:rPr>
          <w:rFonts w:hint="default" w:ascii="Times New Roman" w:hAnsi="Times New Roman" w:cs="Times New Roman"/>
          <w:color w:val="000000" w:themeColor="text1"/>
          <w:w w:val="99"/>
          <w:sz w:val="24"/>
          <w:highlight w:val="none"/>
          <w14:textFill>
            <w14:solidFill>
              <w14:schemeClr w14:val="tx1"/>
            </w14:solidFill>
          </w14:textFill>
        </w:rPr>
        <w:t>备一，规格均为φ4×</w:t>
      </w:r>
      <w:r>
        <w:rPr>
          <w:rFonts w:hint="default" w:ascii="Times New Roman" w:hAnsi="Times New Roman" w:cs="Times New Roman"/>
          <w:color w:val="000000" w:themeColor="text1"/>
          <w:w w:val="99"/>
          <w:sz w:val="24"/>
          <w:highlight w:val="none"/>
          <w:lang w:val="en-US" w:eastAsia="zh-CN"/>
          <w14:textFill>
            <w14:solidFill>
              <w14:schemeClr w14:val="tx1"/>
            </w14:solidFill>
          </w14:textFill>
        </w:rPr>
        <w:t>16</w:t>
      </w:r>
      <w:r>
        <w:rPr>
          <w:rFonts w:hint="default" w:ascii="Times New Roman" w:hAnsi="Times New Roman" w:cs="Times New Roman"/>
          <w:color w:val="000000" w:themeColor="text1"/>
          <w:w w:val="99"/>
          <w:sz w:val="24"/>
          <w:highlight w:val="none"/>
          <w14:textFill>
            <w14:solidFill>
              <w14:schemeClr w14:val="tx1"/>
            </w14:solidFill>
          </w14:textFill>
        </w:rPr>
        <w:t>m，</w:t>
      </w:r>
      <w:r>
        <w:rPr>
          <w:rFonts w:hint="default" w:ascii="Times New Roman" w:hAnsi="Times New Roman" w:cs="Times New Roman"/>
          <w:color w:val="000000" w:themeColor="text1"/>
          <w:w w:val="99"/>
          <w:sz w:val="24"/>
          <w:szCs w:val="22"/>
          <w:highlight w:val="none"/>
          <w14:textFill>
            <w14:solidFill>
              <w14:schemeClr w14:val="tx1"/>
            </w14:solidFill>
          </w14:textFill>
        </w:rPr>
        <w:t>单台容积</w:t>
      </w:r>
      <w:r>
        <w:rPr>
          <w:rFonts w:hint="default" w:ascii="Times New Roman" w:hAnsi="Times New Roman" w:cs="Times New Roman"/>
          <w:color w:val="000000" w:themeColor="text1"/>
          <w:w w:val="99"/>
          <w:sz w:val="24"/>
          <w:szCs w:val="22"/>
          <w:highlight w:val="none"/>
          <w:lang w:val="en-US" w:eastAsia="zh-CN"/>
          <w14:textFill>
            <w14:solidFill>
              <w14:schemeClr w14:val="tx1"/>
            </w14:solidFill>
          </w14:textFill>
        </w:rPr>
        <w:t>2</w:t>
      </w:r>
      <w:r>
        <w:rPr>
          <w:rFonts w:hint="default" w:ascii="Times New Roman" w:hAnsi="Times New Roman" w:cs="Times New Roman"/>
          <w:color w:val="000000" w:themeColor="text1"/>
          <w:w w:val="99"/>
          <w:sz w:val="24"/>
          <w:szCs w:val="22"/>
          <w:highlight w:val="none"/>
          <w14:textFill>
            <w14:solidFill>
              <w14:schemeClr w14:val="tx1"/>
            </w14:solidFill>
          </w14:textFill>
        </w:rPr>
        <w:t>00m</w:t>
      </w:r>
      <w:r>
        <w:rPr>
          <w:rFonts w:hint="default" w:ascii="Times New Roman" w:hAnsi="Times New Roman" w:cs="Times New Roman"/>
          <w:color w:val="000000" w:themeColor="text1"/>
          <w:w w:val="99"/>
          <w:sz w:val="24"/>
          <w:szCs w:val="22"/>
          <w:highlight w:val="none"/>
          <w:vertAlign w:val="superscript"/>
          <w14:textFill>
            <w14:solidFill>
              <w14:schemeClr w14:val="tx1"/>
            </w14:solidFill>
          </w14:textFill>
        </w:rPr>
        <w:t>3</w:t>
      </w:r>
      <w:r>
        <w:rPr>
          <w:rFonts w:hint="default" w:ascii="Times New Roman" w:hAnsi="Times New Roman" w:cs="Times New Roman"/>
          <w:color w:val="000000" w:themeColor="text1"/>
          <w:w w:val="99"/>
          <w:sz w:val="24"/>
          <w:highlight w:val="none"/>
          <w14:textFill>
            <w14:solidFill>
              <w14:schemeClr w14:val="tx1"/>
            </w14:solidFill>
          </w14:textFill>
        </w:rPr>
        <w:t>，采出液原油密度</w:t>
      </w:r>
      <w:r>
        <w:rPr>
          <w:rFonts w:hint="default" w:ascii="Times New Roman" w:hAnsi="Times New Roman" w:cs="Times New Roman"/>
          <w:color w:val="000000" w:themeColor="text1"/>
          <w:w w:val="99"/>
          <w:sz w:val="24"/>
          <w:highlight w:val="none"/>
          <w:lang w:val="en-US" w:eastAsia="zh-CN"/>
          <w14:textFill>
            <w14:solidFill>
              <w14:schemeClr w14:val="tx1"/>
            </w14:solidFill>
          </w14:textFill>
        </w:rPr>
        <w:t>840</w:t>
      </w:r>
      <w:r>
        <w:rPr>
          <w:rFonts w:hint="default" w:ascii="Times New Roman" w:hAnsi="Times New Roman" w:cs="Times New Roman"/>
          <w:color w:val="000000" w:themeColor="text1"/>
          <w:w w:val="99"/>
          <w:sz w:val="24"/>
          <w:highlight w:val="none"/>
          <w14:textFill>
            <w14:solidFill>
              <w14:schemeClr w14:val="tx1"/>
            </w14:solidFill>
          </w14:textFill>
        </w:rPr>
        <w:t>kg/m</w:t>
      </w:r>
      <w:r>
        <w:rPr>
          <w:rFonts w:hint="default" w:ascii="Times New Roman" w:hAnsi="Times New Roman" w:cs="Times New Roman"/>
          <w:color w:val="000000" w:themeColor="text1"/>
          <w:w w:val="99"/>
          <w:sz w:val="24"/>
          <w:highlight w:val="none"/>
          <w:vertAlign w:val="superscript"/>
          <w14:textFill>
            <w14:solidFill>
              <w14:schemeClr w14:val="tx1"/>
            </w14:solidFill>
          </w14:textFill>
        </w:rPr>
        <w:t>3</w:t>
      </w:r>
      <w:r>
        <w:rPr>
          <w:rFonts w:hint="default" w:ascii="Times New Roman" w:hAnsi="Times New Roman" w:cs="Times New Roman"/>
          <w:color w:val="000000" w:themeColor="text1"/>
          <w:w w:val="99"/>
          <w:sz w:val="24"/>
          <w:highlight w:val="none"/>
          <w14:textFill>
            <w14:solidFill>
              <w14:schemeClr w14:val="tx1"/>
            </w14:solidFill>
          </w14:textFill>
        </w:rPr>
        <w:t>，根据工程方案，采出液综合含水率</w:t>
      </w:r>
      <w:r>
        <w:rPr>
          <w:rFonts w:hint="default" w:ascii="Times New Roman" w:hAnsi="Times New Roman" w:cs="Times New Roman"/>
          <w:color w:val="000000" w:themeColor="text1"/>
          <w:w w:val="99"/>
          <w:sz w:val="24"/>
          <w:highlight w:val="none"/>
          <w:lang w:val="en-US" w:eastAsia="zh-CN"/>
          <w14:textFill>
            <w14:solidFill>
              <w14:schemeClr w14:val="tx1"/>
            </w14:solidFill>
          </w14:textFill>
        </w:rPr>
        <w:t>91.35</w:t>
      </w:r>
      <w:r>
        <w:rPr>
          <w:rFonts w:hint="default" w:ascii="Times New Roman" w:hAnsi="Times New Roman" w:cs="Times New Roman"/>
          <w:color w:val="000000" w:themeColor="text1"/>
          <w:w w:val="99"/>
          <w:sz w:val="24"/>
          <w:highlight w:val="none"/>
          <w14:textFill>
            <w14:solidFill>
              <w14:schemeClr w14:val="tx1"/>
            </w14:solidFill>
          </w14:textFill>
        </w:rPr>
        <w:t>%，则最大原油储量为</w:t>
      </w:r>
      <w:r>
        <w:rPr>
          <w:rFonts w:hint="default" w:ascii="Times New Roman" w:hAnsi="Times New Roman" w:cs="Times New Roman"/>
          <w:color w:val="000000" w:themeColor="text1"/>
          <w:w w:val="99"/>
          <w:sz w:val="24"/>
          <w:highlight w:val="none"/>
          <w:lang w:val="en-US" w:eastAsia="zh-CN"/>
          <w14:textFill>
            <w14:solidFill>
              <w14:schemeClr w14:val="tx1"/>
            </w14:solidFill>
          </w14:textFill>
        </w:rPr>
        <w:t>43.596</w:t>
      </w:r>
      <w:r>
        <w:rPr>
          <w:rFonts w:hint="default" w:ascii="Times New Roman" w:hAnsi="Times New Roman" w:cs="Times New Roman"/>
          <w:color w:val="000000" w:themeColor="text1"/>
          <w:w w:val="99"/>
          <w:sz w:val="24"/>
          <w:highlight w:val="none"/>
          <w14:textFill>
            <w14:solidFill>
              <w14:schemeClr w14:val="tx1"/>
            </w14:solidFill>
          </w14:textFill>
        </w:rPr>
        <w:t>t。</w:t>
      </w:r>
      <w:r>
        <w:rPr>
          <w:rFonts w:hint="default" w:ascii="Times New Roman" w:hAnsi="Times New Roman" w:cs="Times New Roman"/>
          <w:color w:val="000000" w:themeColor="text1"/>
          <w:w w:val="99"/>
          <w:sz w:val="24"/>
          <w:szCs w:val="24"/>
          <w:highlight w:val="none"/>
          <w14:textFill>
            <w14:solidFill>
              <w14:schemeClr w14:val="tx1"/>
            </w14:solidFill>
          </w14:textFill>
        </w:rPr>
        <w:t>气油比为</w:t>
      </w:r>
      <w:r>
        <w:rPr>
          <w:rFonts w:hint="default" w:ascii="Times New Roman" w:hAnsi="Times New Roman" w:cs="Times New Roman"/>
          <w:color w:val="000000" w:themeColor="text1"/>
          <w:w w:val="99"/>
          <w:sz w:val="24"/>
          <w:szCs w:val="24"/>
          <w:highlight w:val="none"/>
          <w:lang w:val="en-US" w:eastAsia="zh-CN"/>
          <w14:textFill>
            <w14:solidFill>
              <w14:schemeClr w14:val="tx1"/>
            </w14:solidFill>
          </w14:textFill>
        </w:rPr>
        <w:t>45</w:t>
      </w:r>
      <w:r>
        <w:rPr>
          <w:rFonts w:hint="default" w:ascii="Times New Roman" w:hAnsi="Times New Roman" w:cs="Times New Roman"/>
          <w:color w:val="000000" w:themeColor="text1"/>
          <w:w w:val="99"/>
          <w:sz w:val="24"/>
          <w:szCs w:val="24"/>
          <w:highlight w:val="none"/>
          <w14:textFill>
            <w14:solidFill>
              <w14:schemeClr w14:val="tx1"/>
            </w14:solidFill>
          </w14:textFill>
        </w:rPr>
        <w:t>m</w:t>
      </w:r>
      <w:r>
        <w:rPr>
          <w:rFonts w:hint="default" w:ascii="Times New Roman" w:hAnsi="Times New Roman" w:cs="Times New Roman"/>
          <w:color w:val="000000" w:themeColor="text1"/>
          <w:w w:val="99"/>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w w:val="99"/>
          <w:sz w:val="24"/>
          <w:szCs w:val="24"/>
          <w:highlight w:val="none"/>
          <w14:textFill>
            <w14:solidFill>
              <w14:schemeClr w14:val="tx1"/>
            </w14:solidFill>
          </w14:textFill>
        </w:rPr>
        <w:t>/t，天然气的密度为0.7174</w:t>
      </w:r>
      <w:r>
        <w:rPr>
          <w:rFonts w:hint="default" w:ascii="Times New Roman" w:hAnsi="Times New Roman" w:cs="Times New Roman"/>
          <w:color w:val="000000" w:themeColor="text1"/>
          <w:w w:val="99"/>
          <w:sz w:val="24"/>
          <w:szCs w:val="24"/>
          <w:highlight w:val="none"/>
          <w:lang w:val="en-US"/>
          <w14:textFill>
            <w14:solidFill>
              <w14:schemeClr w14:val="tx1"/>
            </w14:solidFill>
          </w14:textFill>
        </w:rPr>
        <w:t>kg/m</w:t>
      </w:r>
      <w:r>
        <w:rPr>
          <w:rFonts w:hint="default" w:ascii="Times New Roman" w:hAnsi="Times New Roman" w:cs="Times New Roman"/>
          <w:color w:val="000000" w:themeColor="text1"/>
          <w:w w:val="99"/>
          <w:sz w:val="24"/>
          <w:szCs w:val="24"/>
          <w:highlight w:val="none"/>
          <w:vertAlign w:val="superscript"/>
          <w:lang w:val="en-US"/>
          <w14:textFill>
            <w14:solidFill>
              <w14:schemeClr w14:val="tx1"/>
            </w14:solidFill>
          </w14:textFill>
        </w:rPr>
        <w:t>3</w:t>
      </w:r>
      <w:r>
        <w:rPr>
          <w:rFonts w:hint="default" w:ascii="Times New Roman" w:hAnsi="Times New Roman" w:cs="Times New Roman"/>
          <w:color w:val="000000" w:themeColor="text1"/>
          <w:w w:val="99"/>
          <w:sz w:val="24"/>
          <w:szCs w:val="24"/>
          <w:highlight w:val="none"/>
          <w:lang w:val="en-US"/>
          <w14:textFill>
            <w14:solidFill>
              <w14:schemeClr w14:val="tx1"/>
            </w14:solidFill>
          </w14:textFill>
        </w:rPr>
        <w:t>，</w:t>
      </w:r>
      <w:r>
        <w:rPr>
          <w:rFonts w:hint="default" w:ascii="Times New Roman" w:hAnsi="Times New Roman" w:cs="Times New Roman"/>
          <w:color w:val="000000" w:themeColor="text1"/>
          <w:w w:val="99"/>
          <w:sz w:val="24"/>
          <w:szCs w:val="24"/>
          <w:highlight w:val="none"/>
          <w14:textFill>
            <w14:solidFill>
              <w14:schemeClr w14:val="tx1"/>
            </w14:solidFill>
          </w14:textFill>
        </w:rPr>
        <w:t>最大天然气储存量为</w:t>
      </w:r>
      <w:r>
        <w:rPr>
          <w:rFonts w:hint="default" w:ascii="Times New Roman" w:hAnsi="Times New Roman" w:cs="Times New Roman"/>
          <w:color w:val="000000" w:themeColor="text1"/>
          <w:w w:val="99"/>
          <w:sz w:val="24"/>
          <w:szCs w:val="24"/>
          <w:highlight w:val="none"/>
          <w:lang w:val="en-US" w:eastAsia="zh-CN"/>
          <w14:textFill>
            <w14:solidFill>
              <w14:schemeClr w14:val="tx1"/>
            </w14:solidFill>
          </w14:textFill>
        </w:rPr>
        <w:t>1.4074t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w:t>
      </w:r>
    </w:p>
    <w:p>
      <w:pPr>
        <w:keepNext w:val="0"/>
        <w:keepLines w:val="0"/>
        <w:pageBreakBefore w:val="0"/>
        <w:widowControl/>
        <w:kinsoku/>
        <w:wordWrap/>
        <w:overflowPunct/>
        <w:topLinePunct w:val="0"/>
        <w:autoSpaceDE w:val="0"/>
        <w:autoSpaceDN w:val="0"/>
        <w:bidi w:val="0"/>
        <w:adjustRightInd w:val="0"/>
        <w:snapToGrid/>
        <w:spacing w:line="440" w:lineRule="exact"/>
        <w:ind w:firstLine="474" w:firstLineChars="200"/>
        <w:jc w:val="both"/>
        <w:textAlignment w:val="auto"/>
        <w:rPr>
          <w:rFonts w:hint="default" w:ascii="Times New Roman" w:hAnsi="Times New Roman" w:cs="Times New Roman"/>
          <w:color w:val="000000" w:themeColor="text1"/>
          <w:w w:val="99"/>
          <w:sz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葡北10#转油站</w:t>
      </w:r>
      <w:r>
        <w:rPr>
          <w:rFonts w:hint="default" w:ascii="Times New Roman" w:hAnsi="Times New Roman" w:eastAsia="宋体" w:cs="Times New Roman"/>
          <w:color w:val="000000" w:themeColor="text1"/>
          <w:w w:val="99"/>
          <w:sz w:val="24"/>
          <w:szCs w:val="24"/>
          <w:highlight w:val="none"/>
          <w14:textFill>
            <w14:solidFill>
              <w14:schemeClr w14:val="tx1"/>
            </w14:solidFill>
          </w14:textFill>
        </w:rPr>
        <w:t>站内</w:t>
      </w:r>
      <w:r>
        <w:rPr>
          <w:rFonts w:hint="default" w:ascii="Times New Roman" w:hAnsi="Times New Roman" w:eastAsia="宋体" w:cs="Times New Roman"/>
          <w:color w:val="000000" w:themeColor="text1"/>
          <w:w w:val="99"/>
          <w:sz w:val="24"/>
          <w:szCs w:val="24"/>
          <w:highlight w:val="none"/>
          <w:lang w:eastAsia="zh-CN"/>
          <w14:textFill>
            <w14:solidFill>
              <w14:schemeClr w14:val="tx1"/>
            </w14:solidFill>
          </w14:textFill>
        </w:rPr>
        <w:t>共有</w:t>
      </w:r>
      <w:r>
        <w:rPr>
          <w:rFonts w:hint="default" w:ascii="Times New Roman" w:hAnsi="Times New Roman" w:eastAsia="宋体" w:cs="Times New Roman"/>
          <w:color w:val="000000" w:themeColor="text1"/>
          <w:w w:val="99"/>
          <w:sz w:val="24"/>
          <w:szCs w:val="24"/>
          <w:highlight w:val="none"/>
          <w:lang w:val="en-US" w:eastAsia="zh-CN"/>
          <w14:textFill>
            <w14:solidFill>
              <w14:schemeClr w14:val="tx1"/>
            </w14:solidFill>
          </w14:textFill>
        </w:rPr>
        <w:t>3台</w:t>
      </w:r>
      <w:r>
        <w:rPr>
          <w:rFonts w:hint="default" w:ascii="Times New Roman" w:hAnsi="Times New Roman" w:eastAsia="宋体" w:cs="Times New Roman"/>
          <w:color w:val="000000" w:themeColor="text1"/>
          <w:w w:val="99"/>
          <w:sz w:val="24"/>
          <w:szCs w:val="24"/>
          <w:highlight w:val="none"/>
          <w:lang w:eastAsia="zh-CN"/>
          <w14:textFill>
            <w14:solidFill>
              <w14:schemeClr w14:val="tx1"/>
            </w14:solidFill>
          </w14:textFill>
        </w:rPr>
        <w:t>三</w:t>
      </w:r>
      <w:r>
        <w:rPr>
          <w:rFonts w:hint="default" w:ascii="Times New Roman" w:hAnsi="Times New Roman" w:eastAsia="宋体" w:cs="Times New Roman"/>
          <w:color w:val="000000" w:themeColor="text1"/>
          <w:w w:val="99"/>
          <w:sz w:val="24"/>
          <w:szCs w:val="24"/>
          <w:highlight w:val="none"/>
          <w14:textFill>
            <w14:solidFill>
              <w14:schemeClr w14:val="tx1"/>
            </w14:solidFill>
          </w14:textFill>
        </w:rPr>
        <w:t>合一装置</w:t>
      </w:r>
      <w:r>
        <w:rPr>
          <w:rFonts w:hint="default" w:ascii="Times New Roman" w:hAnsi="Times New Roman" w:cs="Times New Roman"/>
          <w:color w:val="000000" w:themeColor="text1"/>
          <w:w w:val="99"/>
          <w:sz w:val="24"/>
          <w:highlight w:val="none"/>
          <w14:textFill>
            <w14:solidFill>
              <w14:schemeClr w14:val="tx1"/>
            </w14:solidFill>
          </w14:textFill>
        </w:rPr>
        <w:t>，运</w:t>
      </w:r>
      <w:r>
        <w:rPr>
          <w:rFonts w:hint="default" w:ascii="Times New Roman" w:hAnsi="Times New Roman" w:cs="Times New Roman"/>
          <w:color w:val="000000" w:themeColor="text1"/>
          <w:w w:val="99"/>
          <w:sz w:val="24"/>
          <w:highlight w:val="none"/>
          <w:lang w:eastAsia="zh-CN"/>
          <w14:textFill>
            <w14:solidFill>
              <w14:schemeClr w14:val="tx1"/>
            </w14:solidFill>
          </w14:textFill>
        </w:rPr>
        <w:t>二</w:t>
      </w:r>
      <w:r>
        <w:rPr>
          <w:rFonts w:hint="default" w:ascii="Times New Roman" w:hAnsi="Times New Roman" w:cs="Times New Roman"/>
          <w:color w:val="000000" w:themeColor="text1"/>
          <w:w w:val="99"/>
          <w:sz w:val="24"/>
          <w:highlight w:val="none"/>
          <w14:textFill>
            <w14:solidFill>
              <w14:schemeClr w14:val="tx1"/>
            </w14:solidFill>
          </w14:textFill>
        </w:rPr>
        <w:t>备一，规格均为φ</w:t>
      </w:r>
      <w:r>
        <w:rPr>
          <w:rFonts w:hint="default" w:ascii="Times New Roman" w:hAnsi="Times New Roman" w:cs="Times New Roman"/>
          <w:color w:val="000000" w:themeColor="text1"/>
          <w:w w:val="99"/>
          <w:sz w:val="24"/>
          <w:highlight w:val="none"/>
          <w:lang w:val="en-US" w:eastAsia="zh-CN"/>
          <w14:textFill>
            <w14:solidFill>
              <w14:schemeClr w14:val="tx1"/>
            </w14:solidFill>
          </w14:textFill>
        </w:rPr>
        <w:t>3</w:t>
      </w:r>
      <w:r>
        <w:rPr>
          <w:rFonts w:hint="default" w:ascii="Times New Roman" w:hAnsi="Times New Roman" w:cs="Times New Roman"/>
          <w:color w:val="000000" w:themeColor="text1"/>
          <w:w w:val="99"/>
          <w:sz w:val="24"/>
          <w:highlight w:val="none"/>
          <w14:textFill>
            <w14:solidFill>
              <w14:schemeClr w14:val="tx1"/>
            </w14:solidFill>
          </w14:textFill>
        </w:rPr>
        <w:t>×</w:t>
      </w:r>
      <w:r>
        <w:rPr>
          <w:rFonts w:hint="default" w:ascii="Times New Roman" w:hAnsi="Times New Roman" w:cs="Times New Roman"/>
          <w:color w:val="000000" w:themeColor="text1"/>
          <w:w w:val="99"/>
          <w:sz w:val="24"/>
          <w:highlight w:val="none"/>
          <w:lang w:val="en-US" w:eastAsia="zh-CN"/>
          <w14:textFill>
            <w14:solidFill>
              <w14:schemeClr w14:val="tx1"/>
            </w14:solidFill>
          </w14:textFill>
        </w:rPr>
        <w:t>14</w:t>
      </w:r>
      <w:r>
        <w:rPr>
          <w:rFonts w:hint="default" w:ascii="Times New Roman" w:hAnsi="Times New Roman" w:cs="Times New Roman"/>
          <w:color w:val="000000" w:themeColor="text1"/>
          <w:w w:val="99"/>
          <w:sz w:val="24"/>
          <w:highlight w:val="none"/>
          <w14:textFill>
            <w14:solidFill>
              <w14:schemeClr w14:val="tx1"/>
            </w14:solidFill>
          </w14:textFill>
        </w:rPr>
        <w:t>m，</w:t>
      </w:r>
      <w:r>
        <w:rPr>
          <w:rFonts w:hint="default" w:ascii="Times New Roman" w:hAnsi="Times New Roman" w:cs="Times New Roman"/>
          <w:color w:val="000000" w:themeColor="text1"/>
          <w:w w:val="99"/>
          <w:sz w:val="24"/>
          <w:szCs w:val="22"/>
          <w:highlight w:val="none"/>
          <w14:textFill>
            <w14:solidFill>
              <w14:schemeClr w14:val="tx1"/>
            </w14:solidFill>
          </w14:textFill>
        </w:rPr>
        <w:t>单台容积</w:t>
      </w:r>
      <w:r>
        <w:rPr>
          <w:rFonts w:hint="default" w:ascii="Times New Roman" w:hAnsi="Times New Roman" w:cs="Times New Roman"/>
          <w:color w:val="000000" w:themeColor="text1"/>
          <w:w w:val="99"/>
          <w:sz w:val="24"/>
          <w:szCs w:val="22"/>
          <w:highlight w:val="none"/>
          <w:lang w:val="en-US" w:eastAsia="zh-CN"/>
          <w14:textFill>
            <w14:solidFill>
              <w14:schemeClr w14:val="tx1"/>
            </w14:solidFill>
          </w14:textFill>
        </w:rPr>
        <w:t>18</w:t>
      </w:r>
      <w:r>
        <w:rPr>
          <w:rFonts w:hint="default" w:ascii="Times New Roman" w:hAnsi="Times New Roman" w:cs="Times New Roman"/>
          <w:color w:val="000000" w:themeColor="text1"/>
          <w:w w:val="99"/>
          <w:sz w:val="24"/>
          <w:szCs w:val="22"/>
          <w:highlight w:val="none"/>
          <w14:textFill>
            <w14:solidFill>
              <w14:schemeClr w14:val="tx1"/>
            </w14:solidFill>
          </w14:textFill>
        </w:rPr>
        <w:t>0m</w:t>
      </w:r>
      <w:r>
        <w:rPr>
          <w:rFonts w:hint="default" w:ascii="Times New Roman" w:hAnsi="Times New Roman" w:cs="Times New Roman"/>
          <w:color w:val="000000" w:themeColor="text1"/>
          <w:w w:val="99"/>
          <w:sz w:val="24"/>
          <w:szCs w:val="22"/>
          <w:highlight w:val="none"/>
          <w:vertAlign w:val="superscript"/>
          <w14:textFill>
            <w14:solidFill>
              <w14:schemeClr w14:val="tx1"/>
            </w14:solidFill>
          </w14:textFill>
        </w:rPr>
        <w:t>3</w:t>
      </w:r>
      <w:r>
        <w:rPr>
          <w:rFonts w:hint="default" w:ascii="Times New Roman" w:hAnsi="Times New Roman" w:cs="Times New Roman"/>
          <w:color w:val="000000" w:themeColor="text1"/>
          <w:w w:val="99"/>
          <w:sz w:val="24"/>
          <w:highlight w:val="none"/>
          <w14:textFill>
            <w14:solidFill>
              <w14:schemeClr w14:val="tx1"/>
            </w14:solidFill>
          </w14:textFill>
        </w:rPr>
        <w:t>，采出液原油密度</w:t>
      </w:r>
      <w:r>
        <w:rPr>
          <w:rFonts w:hint="default" w:ascii="Times New Roman" w:hAnsi="Times New Roman" w:cs="Times New Roman"/>
          <w:color w:val="000000" w:themeColor="text1"/>
          <w:w w:val="99"/>
          <w:sz w:val="24"/>
          <w:highlight w:val="none"/>
          <w:lang w:val="en-US" w:eastAsia="zh-CN"/>
          <w14:textFill>
            <w14:solidFill>
              <w14:schemeClr w14:val="tx1"/>
            </w14:solidFill>
          </w14:textFill>
        </w:rPr>
        <w:t>840</w:t>
      </w:r>
      <w:r>
        <w:rPr>
          <w:rFonts w:hint="default" w:ascii="Times New Roman" w:hAnsi="Times New Roman" w:cs="Times New Roman"/>
          <w:color w:val="000000" w:themeColor="text1"/>
          <w:w w:val="99"/>
          <w:sz w:val="24"/>
          <w:highlight w:val="none"/>
          <w14:textFill>
            <w14:solidFill>
              <w14:schemeClr w14:val="tx1"/>
            </w14:solidFill>
          </w14:textFill>
        </w:rPr>
        <w:t>kg/m</w:t>
      </w:r>
      <w:r>
        <w:rPr>
          <w:rFonts w:hint="default" w:ascii="Times New Roman" w:hAnsi="Times New Roman" w:cs="Times New Roman"/>
          <w:color w:val="000000" w:themeColor="text1"/>
          <w:w w:val="99"/>
          <w:sz w:val="24"/>
          <w:highlight w:val="none"/>
          <w:vertAlign w:val="superscript"/>
          <w14:textFill>
            <w14:solidFill>
              <w14:schemeClr w14:val="tx1"/>
            </w14:solidFill>
          </w14:textFill>
        </w:rPr>
        <w:t>3</w:t>
      </w:r>
      <w:r>
        <w:rPr>
          <w:rFonts w:hint="default" w:ascii="Times New Roman" w:hAnsi="Times New Roman" w:cs="Times New Roman"/>
          <w:color w:val="000000" w:themeColor="text1"/>
          <w:w w:val="99"/>
          <w:sz w:val="24"/>
          <w:highlight w:val="none"/>
          <w14:textFill>
            <w14:solidFill>
              <w14:schemeClr w14:val="tx1"/>
            </w14:solidFill>
          </w14:textFill>
        </w:rPr>
        <w:t>，根据工程方案，采出液综合含水率</w:t>
      </w:r>
      <w:r>
        <w:rPr>
          <w:rFonts w:hint="default" w:ascii="Times New Roman" w:hAnsi="Times New Roman" w:cs="Times New Roman"/>
          <w:color w:val="000000" w:themeColor="text1"/>
          <w:w w:val="99"/>
          <w:sz w:val="24"/>
          <w:highlight w:val="none"/>
          <w:lang w:val="en-US" w:eastAsia="zh-CN"/>
          <w14:textFill>
            <w14:solidFill>
              <w14:schemeClr w14:val="tx1"/>
            </w14:solidFill>
          </w14:textFill>
        </w:rPr>
        <w:t>91.35</w:t>
      </w:r>
      <w:r>
        <w:rPr>
          <w:rFonts w:hint="default" w:ascii="Times New Roman" w:hAnsi="Times New Roman" w:cs="Times New Roman"/>
          <w:color w:val="000000" w:themeColor="text1"/>
          <w:w w:val="99"/>
          <w:sz w:val="24"/>
          <w:highlight w:val="none"/>
          <w14:textFill>
            <w14:solidFill>
              <w14:schemeClr w14:val="tx1"/>
            </w14:solidFill>
          </w14:textFill>
        </w:rPr>
        <w:t>%，则最大原油储量为</w:t>
      </w:r>
      <w:r>
        <w:rPr>
          <w:rFonts w:hint="default" w:ascii="Times New Roman" w:hAnsi="Times New Roman" w:cs="Times New Roman"/>
          <w:color w:val="000000" w:themeColor="text1"/>
          <w:w w:val="99"/>
          <w:sz w:val="24"/>
          <w:highlight w:val="none"/>
          <w:lang w:val="en-US" w:eastAsia="zh-CN"/>
          <w14:textFill>
            <w14:solidFill>
              <w14:schemeClr w14:val="tx1"/>
            </w14:solidFill>
          </w14:textFill>
        </w:rPr>
        <w:t>26.1576</w:t>
      </w:r>
      <w:r>
        <w:rPr>
          <w:rFonts w:hint="default" w:ascii="Times New Roman" w:hAnsi="Times New Roman" w:cs="Times New Roman"/>
          <w:color w:val="000000" w:themeColor="text1"/>
          <w:w w:val="99"/>
          <w:sz w:val="24"/>
          <w:highlight w:val="none"/>
          <w14:textFill>
            <w14:solidFill>
              <w14:schemeClr w14:val="tx1"/>
            </w14:solidFill>
          </w14:textFill>
        </w:rPr>
        <w:t>t。</w:t>
      </w:r>
      <w:r>
        <w:rPr>
          <w:rFonts w:hint="default" w:ascii="Times New Roman" w:hAnsi="Times New Roman" w:cs="Times New Roman"/>
          <w:color w:val="000000" w:themeColor="text1"/>
          <w:w w:val="99"/>
          <w:sz w:val="24"/>
          <w:szCs w:val="24"/>
          <w:highlight w:val="none"/>
          <w14:textFill>
            <w14:solidFill>
              <w14:schemeClr w14:val="tx1"/>
            </w14:solidFill>
          </w14:textFill>
        </w:rPr>
        <w:t>气油比为</w:t>
      </w:r>
      <w:r>
        <w:rPr>
          <w:rFonts w:hint="default" w:ascii="Times New Roman" w:hAnsi="Times New Roman" w:cs="Times New Roman"/>
          <w:color w:val="000000" w:themeColor="text1"/>
          <w:w w:val="99"/>
          <w:sz w:val="24"/>
          <w:szCs w:val="24"/>
          <w:highlight w:val="none"/>
          <w:lang w:val="en-US" w:eastAsia="zh-CN"/>
          <w14:textFill>
            <w14:solidFill>
              <w14:schemeClr w14:val="tx1"/>
            </w14:solidFill>
          </w14:textFill>
        </w:rPr>
        <w:t>45</w:t>
      </w:r>
      <w:r>
        <w:rPr>
          <w:rFonts w:hint="default" w:ascii="Times New Roman" w:hAnsi="Times New Roman" w:cs="Times New Roman"/>
          <w:color w:val="000000" w:themeColor="text1"/>
          <w:w w:val="99"/>
          <w:sz w:val="24"/>
          <w:szCs w:val="24"/>
          <w:highlight w:val="none"/>
          <w14:textFill>
            <w14:solidFill>
              <w14:schemeClr w14:val="tx1"/>
            </w14:solidFill>
          </w14:textFill>
        </w:rPr>
        <w:t>m</w:t>
      </w:r>
      <w:r>
        <w:rPr>
          <w:rFonts w:hint="default" w:ascii="Times New Roman" w:hAnsi="Times New Roman" w:cs="Times New Roman"/>
          <w:color w:val="000000" w:themeColor="text1"/>
          <w:w w:val="99"/>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w w:val="99"/>
          <w:sz w:val="24"/>
          <w:szCs w:val="24"/>
          <w:highlight w:val="none"/>
          <w14:textFill>
            <w14:solidFill>
              <w14:schemeClr w14:val="tx1"/>
            </w14:solidFill>
          </w14:textFill>
        </w:rPr>
        <w:t>/t，天然气的密度为0.7174</w:t>
      </w:r>
      <w:r>
        <w:rPr>
          <w:rFonts w:hint="default" w:ascii="Times New Roman" w:hAnsi="Times New Roman" w:cs="Times New Roman"/>
          <w:color w:val="000000" w:themeColor="text1"/>
          <w:w w:val="99"/>
          <w:sz w:val="24"/>
          <w:szCs w:val="24"/>
          <w:highlight w:val="none"/>
          <w:lang w:val="en-US"/>
          <w14:textFill>
            <w14:solidFill>
              <w14:schemeClr w14:val="tx1"/>
            </w14:solidFill>
          </w14:textFill>
        </w:rPr>
        <w:t>kg/m</w:t>
      </w:r>
      <w:r>
        <w:rPr>
          <w:rFonts w:hint="default" w:ascii="Times New Roman" w:hAnsi="Times New Roman" w:cs="Times New Roman"/>
          <w:color w:val="000000" w:themeColor="text1"/>
          <w:w w:val="99"/>
          <w:sz w:val="24"/>
          <w:szCs w:val="24"/>
          <w:highlight w:val="none"/>
          <w:vertAlign w:val="superscript"/>
          <w:lang w:val="en-US"/>
          <w14:textFill>
            <w14:solidFill>
              <w14:schemeClr w14:val="tx1"/>
            </w14:solidFill>
          </w14:textFill>
        </w:rPr>
        <w:t>3</w:t>
      </w:r>
      <w:r>
        <w:rPr>
          <w:rFonts w:hint="default" w:ascii="Times New Roman" w:hAnsi="Times New Roman" w:cs="Times New Roman"/>
          <w:color w:val="000000" w:themeColor="text1"/>
          <w:w w:val="99"/>
          <w:sz w:val="24"/>
          <w:szCs w:val="24"/>
          <w:highlight w:val="none"/>
          <w:lang w:val="en-US"/>
          <w14:textFill>
            <w14:solidFill>
              <w14:schemeClr w14:val="tx1"/>
            </w14:solidFill>
          </w14:textFill>
        </w:rPr>
        <w:t>，</w:t>
      </w:r>
      <w:r>
        <w:rPr>
          <w:rFonts w:hint="default" w:ascii="Times New Roman" w:hAnsi="Times New Roman" w:cs="Times New Roman"/>
          <w:color w:val="000000" w:themeColor="text1"/>
          <w:w w:val="99"/>
          <w:sz w:val="24"/>
          <w:szCs w:val="24"/>
          <w:highlight w:val="none"/>
          <w14:textFill>
            <w14:solidFill>
              <w14:schemeClr w14:val="tx1"/>
            </w14:solidFill>
          </w14:textFill>
        </w:rPr>
        <w:t>最大天然气储存量为</w:t>
      </w:r>
      <w:r>
        <w:rPr>
          <w:rFonts w:hint="default" w:ascii="Times New Roman" w:hAnsi="Times New Roman" w:cs="Times New Roman"/>
          <w:color w:val="000000" w:themeColor="text1"/>
          <w:w w:val="99"/>
          <w:sz w:val="24"/>
          <w:szCs w:val="24"/>
          <w:highlight w:val="none"/>
          <w:lang w:val="en-US" w:eastAsia="zh-CN"/>
          <w14:textFill>
            <w14:solidFill>
              <w14:schemeClr w14:val="tx1"/>
            </w14:solidFill>
          </w14:textFill>
        </w:rPr>
        <w:t>0.844t</w:t>
      </w:r>
      <w:r>
        <w:rPr>
          <w:rFonts w:hint="default" w:ascii="Times New Roman" w:hAnsi="Times New Roman" w:cs="Times New Roman"/>
          <w:color w:val="000000" w:themeColor="text1"/>
          <w:w w:val="99"/>
          <w:sz w:val="24"/>
          <w:szCs w:val="24"/>
          <w:highlight w:val="none"/>
          <w14:textFill>
            <w14:solidFill>
              <w14:schemeClr w14:val="tx1"/>
            </w14:solidFill>
          </w14:textFill>
        </w:rPr>
        <w:t>。</w:t>
      </w:r>
    </w:p>
    <w:p>
      <w:pPr>
        <w:pStyle w:val="45"/>
        <w:keepNext w:val="0"/>
        <w:keepLines w:val="0"/>
        <w:pageBreakBefore w:val="0"/>
        <w:tabs>
          <w:tab w:val="left" w:pos="4154"/>
          <w:tab w:val="center" w:pos="8305"/>
        </w:tabs>
        <w:kinsoku/>
        <w:wordWrap/>
        <w:overflowPunct/>
        <w:topLinePunct w:val="0"/>
        <w:autoSpaceDE w:val="0"/>
        <w:autoSpaceDN w:val="0"/>
        <w:bidi w:val="0"/>
        <w:snapToGrid/>
        <w:spacing w:line="440" w:lineRule="exact"/>
        <w:ind w:left="0" w:leftChars="0"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根据《建设项目环境风险评价技术导则》（HJ169-2018），定量分析危险物质数量与临界量的比值（Q），</w:t>
      </w:r>
      <w:r>
        <w:rPr>
          <w:rFonts w:hint="eastAsia" w:ascii="Times New Roman" w:hAnsi="Times New Roman" w:cs="Times New Roman"/>
          <w:color w:val="000000" w:themeColor="text1"/>
          <w:w w:val="99"/>
          <w:sz w:val="24"/>
          <w:szCs w:val="24"/>
          <w:highlight w:val="none"/>
          <w14:textFill>
            <w14:solidFill>
              <w14:schemeClr w14:val="tx1"/>
            </w14:solidFill>
          </w14:textFill>
        </w:rPr>
        <w:t>见表</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2.5-11。</w:t>
      </w:r>
    </w:p>
    <w:p>
      <w:pPr>
        <w:pStyle w:val="45"/>
        <w:tabs>
          <w:tab w:val="left" w:pos="4154"/>
          <w:tab w:val="center" w:pos="8305"/>
        </w:tabs>
        <w:spacing w:line="50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b/>
          <w:bCs/>
          <w:color w:val="000000" w:themeColor="text1"/>
          <w:w w:val="99"/>
          <w:sz w:val="24"/>
          <w:szCs w:val="24"/>
          <w:highlight w:val="none"/>
          <w14:textFill>
            <w14:solidFill>
              <w14:schemeClr w14:val="tx1"/>
            </w14:solidFill>
          </w14:textFill>
        </w:rPr>
        <w:t>表</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2.5-1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1</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危险物质数量与临界量的比值（Q）确定情况</w:t>
      </w:r>
    </w:p>
    <w:tbl>
      <w:tblPr>
        <w:tblStyle w:val="32"/>
        <w:tblW w:w="499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033"/>
        <w:gridCol w:w="1519"/>
        <w:gridCol w:w="1413"/>
        <w:gridCol w:w="1210"/>
        <w:gridCol w:w="1244"/>
        <w:gridCol w:w="11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356"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序号</w:t>
            </w:r>
          </w:p>
        </w:tc>
        <w:tc>
          <w:tcPr>
            <w:tcW w:w="1095"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lang w:val="en-US" w:bidi="ar-SA"/>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危险物质</w:t>
            </w:r>
          </w:p>
        </w:tc>
        <w:tc>
          <w:tcPr>
            <w:tcW w:w="818"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CAS号</w:t>
            </w:r>
          </w:p>
        </w:tc>
        <w:tc>
          <w:tcPr>
            <w:tcW w:w="761"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lang w:val="en-US"/>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最大存在量（t）</w:t>
            </w:r>
          </w:p>
        </w:tc>
        <w:tc>
          <w:tcPr>
            <w:tcW w:w="652"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lang w:val="en-US" w:bidi="ar-SA"/>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临界量（t）</w:t>
            </w:r>
          </w:p>
        </w:tc>
        <w:tc>
          <w:tcPr>
            <w:tcW w:w="670"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qn/Q</w:t>
            </w:r>
          </w:p>
        </w:tc>
        <w:tc>
          <w:tcPr>
            <w:tcW w:w="644" w:type="pct"/>
            <w:vAlign w:val="center"/>
          </w:tcPr>
          <w:p>
            <w:pPr>
              <w:pStyle w:val="43"/>
              <w:tabs>
                <w:tab w:val="left" w:pos="4154"/>
                <w:tab w:val="center" w:pos="8305"/>
              </w:tabs>
              <w:spacing w:line="360" w:lineRule="exact"/>
              <w:ind w:firstLine="0"/>
              <w:jc w:val="center"/>
              <w:rPr>
                <w:rFonts w:ascii="Times New Roman"/>
                <w:color w:val="000000" w:themeColor="text1"/>
                <w:w w:val="99"/>
                <w:sz w:val="21"/>
                <w:highlight w:val="none"/>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ΣQ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56"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hint="eastAsia" w:ascii="Times New Roman" w:eastAsia="宋体"/>
                <w:color w:val="000000" w:themeColor="text1"/>
                <w:w w:val="99"/>
                <w:sz w:val="21"/>
                <w:highlight w:val="none"/>
                <w:lang w:eastAsia="zh-CN"/>
                <w14:textFill>
                  <w14:solidFill>
                    <w14:schemeClr w14:val="tx1"/>
                  </w14:solidFill>
                </w14:textFill>
              </w:rPr>
            </w:pPr>
            <w:r>
              <w:rPr>
                <w:rFonts w:hint="eastAsia" w:ascii="Times New Roman"/>
                <w:color w:val="000000" w:themeColor="text1"/>
                <w:w w:val="99"/>
                <w:sz w:val="21"/>
                <w:highlight w:val="none"/>
                <w:lang w:eastAsia="zh-CN"/>
                <w14:textFill>
                  <w14:solidFill>
                    <w14:schemeClr w14:val="tx1"/>
                  </w14:solidFill>
                </w14:textFill>
              </w:rPr>
              <w:t>1</w:t>
            </w:r>
          </w:p>
        </w:tc>
        <w:tc>
          <w:tcPr>
            <w:tcW w:w="1095"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lang w:val="en-US" w:bidi="ar-SA"/>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天然气（甲烷）</w:t>
            </w:r>
          </w:p>
        </w:tc>
        <w:tc>
          <w:tcPr>
            <w:tcW w:w="818"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lang w:val="en-US"/>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74-82-8</w:t>
            </w:r>
          </w:p>
        </w:tc>
        <w:tc>
          <w:tcPr>
            <w:tcW w:w="761"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hint="default" w:ascii="Times New Roman" w:eastAsia="宋体"/>
                <w:color w:val="000000" w:themeColor="text1"/>
                <w:w w:val="99"/>
                <w:sz w:val="21"/>
                <w:highlight w:val="none"/>
                <w:lang w:val="en-US" w:eastAsia="zh-CN"/>
                <w14:textFill>
                  <w14:solidFill>
                    <w14:schemeClr w14:val="tx1"/>
                  </w14:solidFill>
                </w14:textFill>
              </w:rPr>
            </w:pPr>
            <w:r>
              <w:rPr>
                <w:rFonts w:hint="eastAsia" w:ascii="Times New Roman"/>
                <w:color w:val="000000" w:themeColor="text1"/>
                <w:w w:val="99"/>
                <w:sz w:val="21"/>
                <w:highlight w:val="none"/>
                <w:lang w:val="en-US" w:eastAsia="zh-CN"/>
                <w14:textFill>
                  <w14:solidFill>
                    <w14:schemeClr w14:val="tx1"/>
                  </w14:solidFill>
                </w14:textFill>
              </w:rPr>
              <w:t>1.4074</w:t>
            </w:r>
          </w:p>
        </w:tc>
        <w:tc>
          <w:tcPr>
            <w:tcW w:w="652"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lang w:val="en-US" w:bidi="ar-SA"/>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10</w:t>
            </w:r>
          </w:p>
        </w:tc>
        <w:tc>
          <w:tcPr>
            <w:tcW w:w="670"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hint="default" w:ascii="Times New Roman" w:eastAsia="宋体"/>
                <w:color w:val="000000" w:themeColor="text1"/>
                <w:w w:val="99"/>
                <w:sz w:val="21"/>
                <w:highlight w:val="none"/>
                <w:lang w:val="en-US" w:eastAsia="zh-CN"/>
                <w14:textFill>
                  <w14:solidFill>
                    <w14:schemeClr w14:val="tx1"/>
                  </w14:solidFill>
                </w14:textFill>
              </w:rPr>
            </w:pPr>
            <w:r>
              <w:rPr>
                <w:rFonts w:hint="eastAsia" w:ascii="Times New Roman"/>
                <w:color w:val="000000" w:themeColor="text1"/>
                <w:w w:val="99"/>
                <w:sz w:val="21"/>
                <w:highlight w:val="none"/>
                <w:lang w:val="en-US" w:eastAsia="zh-CN"/>
                <w14:textFill>
                  <w14:solidFill>
                    <w14:schemeClr w14:val="tx1"/>
                  </w14:solidFill>
                </w14:textFill>
              </w:rPr>
              <w:t>0.14074</w:t>
            </w:r>
          </w:p>
        </w:tc>
        <w:tc>
          <w:tcPr>
            <w:tcW w:w="644" w:type="pct"/>
            <w:vMerge w:val="restart"/>
            <w:vAlign w:val="center"/>
          </w:tcPr>
          <w:p>
            <w:pPr>
              <w:pStyle w:val="43"/>
              <w:tabs>
                <w:tab w:val="left" w:pos="4154"/>
                <w:tab w:val="center" w:pos="8305"/>
              </w:tabs>
              <w:spacing w:line="360" w:lineRule="exact"/>
              <w:ind w:firstLine="0"/>
              <w:jc w:val="center"/>
              <w:rPr>
                <w:rFonts w:hint="default" w:ascii="Times New Roman" w:eastAsia="宋体"/>
                <w:color w:val="000000" w:themeColor="text1"/>
                <w:w w:val="99"/>
                <w:sz w:val="21"/>
                <w:highlight w:val="none"/>
                <w:lang w:val="en-US" w:eastAsia="zh-CN"/>
                <w14:textFill>
                  <w14:solidFill>
                    <w14:schemeClr w14:val="tx1"/>
                  </w14:solidFill>
                </w14:textFill>
              </w:rPr>
            </w:pPr>
            <w:r>
              <w:rPr>
                <w:rFonts w:hint="eastAsia" w:ascii="Times New Roman"/>
                <w:color w:val="000000" w:themeColor="text1"/>
                <w:w w:val="99"/>
                <w:sz w:val="21"/>
                <w:highlight w:val="none"/>
                <w:lang w:val="en-US" w:eastAsia="zh-CN"/>
                <w14:textFill>
                  <w14:solidFill>
                    <w14:schemeClr w14:val="tx1"/>
                  </w14:solidFill>
                </w14:textFill>
              </w:rPr>
              <w:t>0.1581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56"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hint="eastAsia" w:ascii="Times New Roman" w:eastAsia="宋体"/>
                <w:color w:val="000000" w:themeColor="text1"/>
                <w:w w:val="99"/>
                <w:sz w:val="21"/>
                <w:highlight w:val="none"/>
                <w:lang w:val="en-US" w:eastAsia="zh-CN"/>
                <w14:textFill>
                  <w14:solidFill>
                    <w14:schemeClr w14:val="tx1"/>
                  </w14:solidFill>
                </w14:textFill>
              </w:rPr>
            </w:pPr>
            <w:r>
              <w:rPr>
                <w:rFonts w:hint="eastAsia" w:ascii="Times New Roman"/>
                <w:color w:val="000000" w:themeColor="text1"/>
                <w:w w:val="99"/>
                <w:sz w:val="21"/>
                <w:highlight w:val="none"/>
                <w:lang w:val="en-US" w:eastAsia="zh-CN"/>
                <w14:textFill>
                  <w14:solidFill>
                    <w14:schemeClr w14:val="tx1"/>
                  </w14:solidFill>
                </w14:textFill>
              </w:rPr>
              <w:t>2</w:t>
            </w:r>
          </w:p>
        </w:tc>
        <w:tc>
          <w:tcPr>
            <w:tcW w:w="1095"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lang w:val="en-US" w:bidi="ar-SA"/>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原油（石油类）</w:t>
            </w:r>
          </w:p>
        </w:tc>
        <w:tc>
          <w:tcPr>
            <w:tcW w:w="818"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lang w:val="en-US"/>
                <w14:textFill>
                  <w14:solidFill>
                    <w14:schemeClr w14:val="tx1"/>
                  </w14:solidFill>
                </w14:textFill>
              </w:rPr>
            </w:pPr>
            <w:r>
              <w:rPr>
                <w:rFonts w:hint="eastAsia" w:ascii="Times New Roman"/>
                <w:color w:val="000000" w:themeColor="text1"/>
                <w:w w:val="99"/>
                <w:sz w:val="21"/>
                <w:highlight w:val="none"/>
                <w:lang w:val="en-US"/>
                <w14:textFill>
                  <w14:solidFill>
                    <w14:schemeClr w14:val="tx1"/>
                  </w14:solidFill>
                </w14:textFill>
              </w:rPr>
              <w:t>/</w:t>
            </w:r>
          </w:p>
        </w:tc>
        <w:tc>
          <w:tcPr>
            <w:tcW w:w="761"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hint="default" w:ascii="Times New Roman" w:eastAsia="宋体"/>
                <w:color w:val="000000" w:themeColor="text1"/>
                <w:w w:val="99"/>
                <w:sz w:val="21"/>
                <w:highlight w:val="none"/>
                <w:lang w:val="en-US" w:eastAsia="zh-CN"/>
                <w14:textFill>
                  <w14:solidFill>
                    <w14:schemeClr w14:val="tx1"/>
                  </w14:solidFill>
                </w14:textFill>
              </w:rPr>
            </w:pPr>
            <w:r>
              <w:rPr>
                <w:rFonts w:hint="eastAsia" w:ascii="Times New Roman"/>
                <w:color w:val="000000" w:themeColor="text1"/>
                <w:w w:val="99"/>
                <w:sz w:val="21"/>
                <w:highlight w:val="none"/>
                <w:lang w:val="en-US" w:eastAsia="zh-CN"/>
                <w14:textFill>
                  <w14:solidFill>
                    <w14:schemeClr w14:val="tx1"/>
                  </w14:solidFill>
                </w14:textFill>
              </w:rPr>
              <w:t>43.596</w:t>
            </w:r>
          </w:p>
        </w:tc>
        <w:tc>
          <w:tcPr>
            <w:tcW w:w="652"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ascii="Times New Roman"/>
                <w:color w:val="000000" w:themeColor="text1"/>
                <w:w w:val="99"/>
                <w:sz w:val="21"/>
                <w:highlight w:val="none"/>
                <w:lang w:val="en-US" w:bidi="ar-SA"/>
                <w14:textFill>
                  <w14:solidFill>
                    <w14:schemeClr w14:val="tx1"/>
                  </w14:solidFill>
                </w14:textFill>
              </w:rPr>
            </w:pPr>
            <w:r>
              <w:rPr>
                <w:rFonts w:hint="eastAsia" w:ascii="Times New Roman"/>
                <w:color w:val="000000" w:themeColor="text1"/>
                <w:w w:val="99"/>
                <w:sz w:val="21"/>
                <w:highlight w:val="none"/>
                <w14:textFill>
                  <w14:solidFill>
                    <w14:schemeClr w14:val="tx1"/>
                  </w14:solidFill>
                </w14:textFill>
              </w:rPr>
              <w:t>2500</w:t>
            </w:r>
          </w:p>
        </w:tc>
        <w:tc>
          <w:tcPr>
            <w:tcW w:w="670" w:type="pct"/>
            <w:vAlign w:val="center"/>
          </w:tcPr>
          <w:p>
            <w:pPr>
              <w:pStyle w:val="43"/>
              <w:keepNext w:val="0"/>
              <w:keepLines w:val="0"/>
              <w:pageBreakBefore w:val="0"/>
              <w:widowControl w:val="0"/>
              <w:tabs>
                <w:tab w:val="left" w:pos="4154"/>
                <w:tab w:val="center" w:pos="8305"/>
              </w:tabs>
              <w:kinsoku/>
              <w:wordWrap/>
              <w:overflowPunct/>
              <w:topLinePunct w:val="0"/>
              <w:autoSpaceDE w:val="0"/>
              <w:autoSpaceDN w:val="0"/>
              <w:bidi w:val="0"/>
              <w:adjustRightInd/>
              <w:snapToGrid/>
              <w:spacing w:line="360" w:lineRule="exact"/>
              <w:ind w:firstLine="0"/>
              <w:jc w:val="center"/>
              <w:textAlignment w:val="auto"/>
              <w:rPr>
                <w:rFonts w:hint="default" w:ascii="Times New Roman" w:eastAsia="宋体"/>
                <w:color w:val="000000" w:themeColor="text1"/>
                <w:w w:val="99"/>
                <w:sz w:val="21"/>
                <w:highlight w:val="none"/>
                <w:lang w:val="en-US" w:eastAsia="zh-CN"/>
                <w14:textFill>
                  <w14:solidFill>
                    <w14:schemeClr w14:val="tx1"/>
                  </w14:solidFill>
                </w14:textFill>
              </w:rPr>
            </w:pPr>
            <w:r>
              <w:rPr>
                <w:rFonts w:hint="eastAsia" w:ascii="Times New Roman"/>
                <w:color w:val="000000" w:themeColor="text1"/>
                <w:w w:val="99"/>
                <w:sz w:val="21"/>
                <w:highlight w:val="none"/>
                <w:lang w:val="en-US" w:eastAsia="zh-CN"/>
                <w14:textFill>
                  <w14:solidFill>
                    <w14:schemeClr w14:val="tx1"/>
                  </w14:solidFill>
                </w14:textFill>
              </w:rPr>
              <w:t>0.01744</w:t>
            </w:r>
          </w:p>
        </w:tc>
        <w:tc>
          <w:tcPr>
            <w:tcW w:w="644" w:type="pct"/>
            <w:vMerge w:val="continue"/>
            <w:vAlign w:val="center"/>
          </w:tcPr>
          <w:p>
            <w:pPr>
              <w:pStyle w:val="43"/>
              <w:tabs>
                <w:tab w:val="left" w:pos="4154"/>
                <w:tab w:val="center" w:pos="8305"/>
              </w:tabs>
              <w:spacing w:line="360" w:lineRule="exact"/>
              <w:ind w:firstLine="0"/>
              <w:jc w:val="center"/>
              <w:rPr>
                <w:rFonts w:ascii="Times New Roman"/>
                <w:color w:val="000000" w:themeColor="text1"/>
                <w:w w:val="99"/>
                <w:sz w:val="21"/>
                <w:highlight w:val="none"/>
                <w14:textFill>
                  <w14:solidFill>
                    <w14:schemeClr w14:val="tx1"/>
                  </w14:solidFill>
                </w14:textFill>
              </w:rPr>
            </w:pPr>
          </w:p>
        </w:tc>
      </w:tr>
    </w:tbl>
    <w:p>
      <w:pPr>
        <w:pStyle w:val="45"/>
        <w:tabs>
          <w:tab w:val="left" w:pos="4154"/>
          <w:tab w:val="center" w:pos="8305"/>
        </w:tabs>
        <w:spacing w:line="50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根据《建设项目环境风险评价技术导则》（HJ169-2018）中评价等级的判定方法见表2.5-</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12</w:t>
      </w:r>
      <w:r>
        <w:rPr>
          <w:rFonts w:ascii="Times New Roman" w:hAnsi="Times New Roman" w:cs="Times New Roman"/>
          <w:color w:val="000000" w:themeColor="text1"/>
          <w:w w:val="99"/>
          <w:sz w:val="24"/>
          <w:szCs w:val="24"/>
          <w:highlight w:val="none"/>
          <w14:textFill>
            <w14:solidFill>
              <w14:schemeClr w14:val="tx1"/>
            </w14:solidFill>
          </w14:textFill>
        </w:rPr>
        <w:t xml:space="preserve">，Q为 </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0.1581</w:t>
      </w:r>
      <w:r>
        <w:rPr>
          <w:rFonts w:ascii="Times New Roman" w:hAnsi="Times New Roman" w:cs="Times New Roman"/>
          <w:color w:val="000000" w:themeColor="text1"/>
          <w:w w:val="99"/>
          <w:sz w:val="24"/>
          <w:szCs w:val="24"/>
          <w:highlight w:val="none"/>
          <w14:textFill>
            <w14:solidFill>
              <w14:schemeClr w14:val="tx1"/>
            </w14:solidFill>
          </w14:textFill>
        </w:rPr>
        <w:t>＜1，因此，判定本项目环境风险潜势为 I，确定本工程风险评价等级为简单分析</w:t>
      </w:r>
      <w:r>
        <w:rPr>
          <w:rFonts w:hint="eastAsia" w:ascii="Times New Roman" w:hAnsi="Times New Roman" w:cs="Times New Roman"/>
          <w:color w:val="000000" w:themeColor="text1"/>
          <w:w w:val="99"/>
          <w:sz w:val="24"/>
          <w:szCs w:val="24"/>
          <w:highlight w:val="none"/>
          <w14:textFill>
            <w14:solidFill>
              <w14:schemeClr w14:val="tx1"/>
            </w14:solidFill>
          </w14:textFill>
        </w:rPr>
        <w:t>。</w:t>
      </w:r>
    </w:p>
    <w:p>
      <w:pPr>
        <w:pStyle w:val="45"/>
        <w:tabs>
          <w:tab w:val="left" w:pos="4154"/>
          <w:tab w:val="center" w:pos="8305"/>
        </w:tabs>
        <w:spacing w:line="50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b/>
          <w:bCs/>
          <w:color w:val="000000" w:themeColor="text1"/>
          <w:w w:val="99"/>
          <w:sz w:val="24"/>
          <w:szCs w:val="24"/>
          <w:highlight w:val="none"/>
          <w14:textFill>
            <w14:solidFill>
              <w14:schemeClr w14:val="tx1"/>
            </w14:solidFill>
          </w14:textFill>
        </w:rPr>
        <w:t>表</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2.5-12        风险评价工作级别表</w:t>
      </w:r>
    </w:p>
    <w:tbl>
      <w:tblPr>
        <w:tblStyle w:val="3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55"/>
        <w:gridCol w:w="1856"/>
        <w:gridCol w:w="1858"/>
        <w:gridCol w:w="1856"/>
        <w:gridCol w:w="186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999" w:type="pct"/>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环境风险潜势</w:t>
            </w:r>
          </w:p>
        </w:tc>
        <w:tc>
          <w:tcPr>
            <w:tcW w:w="999" w:type="pct"/>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Ⅳ、Ⅳ+</w:t>
            </w:r>
          </w:p>
        </w:tc>
        <w:tc>
          <w:tcPr>
            <w:tcW w:w="1000" w:type="pct"/>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Ⅲ</w:t>
            </w:r>
          </w:p>
        </w:tc>
        <w:tc>
          <w:tcPr>
            <w:tcW w:w="999" w:type="pct"/>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Ⅱ</w:t>
            </w:r>
          </w:p>
        </w:tc>
        <w:tc>
          <w:tcPr>
            <w:tcW w:w="1000" w:type="pct"/>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99" w:type="pct"/>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评价工作等级</w:t>
            </w:r>
          </w:p>
        </w:tc>
        <w:tc>
          <w:tcPr>
            <w:tcW w:w="999" w:type="pct"/>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一</w:t>
            </w:r>
          </w:p>
        </w:tc>
        <w:tc>
          <w:tcPr>
            <w:tcW w:w="1000" w:type="pct"/>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二</w:t>
            </w:r>
          </w:p>
        </w:tc>
        <w:tc>
          <w:tcPr>
            <w:tcW w:w="999" w:type="pct"/>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三</w:t>
            </w:r>
          </w:p>
        </w:tc>
        <w:tc>
          <w:tcPr>
            <w:tcW w:w="1000" w:type="pct"/>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简单分析a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00" w:type="pct"/>
            <w:gridSpan w:val="5"/>
            <w:vAlign w:val="center"/>
          </w:tcPr>
          <w:p>
            <w:pPr>
              <w:keepNext w:val="0"/>
              <w:keepLines w:val="0"/>
              <w:pageBreakBefore w:val="0"/>
              <w:widowControl w:val="0"/>
              <w:tabs>
                <w:tab w:val="left" w:pos="4154"/>
                <w:tab w:val="center" w:pos="8305"/>
              </w:tabs>
              <w:kinsoku/>
              <w:wordWrap/>
              <w:overflowPunct/>
              <w:topLinePunct w:val="0"/>
              <w:autoSpaceDE w:val="0"/>
              <w:autoSpaceDN w:val="0"/>
              <w:bidi w:val="0"/>
              <w:adjustRightInd w:val="0"/>
              <w:snapToGrid w:val="0"/>
              <w:spacing w:line="360" w:lineRule="exact"/>
              <w:jc w:val="center"/>
              <w:textAlignment w:val="auto"/>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a是相对于详细评价工作内容而言，在描述危险物质、环境影响途径、环境危害后果、风险防范措施等方面给出的定性的说明。见附录A。</w:t>
            </w:r>
          </w:p>
        </w:tc>
      </w:tr>
    </w:tbl>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30" w:name="_Toc9510"/>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2.6 评价范围及环境保护目标</w:t>
      </w:r>
      <w:bookmarkEnd w:id="30"/>
    </w:p>
    <w:p>
      <w:pPr>
        <w:pStyle w:val="45"/>
        <w:tabs>
          <w:tab w:val="left" w:pos="1571"/>
        </w:tabs>
        <w:spacing w:before="60" w:after="60" w:line="440" w:lineRule="exact"/>
        <w:ind w:left="0" w:firstLine="0"/>
        <w:jc w:val="both"/>
        <w:outlineLvl w:val="2"/>
        <w:rPr>
          <w:rFonts w:ascii="Times New Roman" w:hAnsi="Times New Roman" w:eastAsia="黑体" w:cs="Times New Roman"/>
          <w:b/>
          <w:bCs/>
          <w:color w:val="000000" w:themeColor="text1"/>
          <w:w w:val="99"/>
          <w:sz w:val="24"/>
          <w:szCs w:val="24"/>
          <w:highlight w:val="none"/>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2.6.1 大气环境评价范围及保护目标</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根据《环境影响评价技术导则 大气环境》（HJ2.2-2018）的要求，结合本项目井场分布位置，确定大气环境评价范围为</w:t>
      </w:r>
      <w:r>
        <w:rPr>
          <w:rFonts w:hint="eastAsia" w:ascii="Times New Roman" w:hAnsi="Times New Roman" w:cs="Times New Roman"/>
          <w:color w:val="000000" w:themeColor="text1"/>
          <w:w w:val="99"/>
          <w:sz w:val="24"/>
          <w:szCs w:val="24"/>
          <w:highlight w:val="none"/>
          <w14:textFill>
            <w14:solidFill>
              <w14:schemeClr w14:val="tx1"/>
            </w14:solidFill>
          </w14:textFill>
        </w:rPr>
        <w:t>以井场为中心</w:t>
      </w:r>
      <w:r>
        <w:rPr>
          <w:rFonts w:ascii="Times New Roman" w:hAnsi="Times New Roman" w:cs="Times New Roman"/>
          <w:color w:val="000000" w:themeColor="text1"/>
          <w:w w:val="99"/>
          <w:sz w:val="24"/>
          <w:szCs w:val="24"/>
          <w:highlight w:val="none"/>
          <w14:textFill>
            <w14:solidFill>
              <w14:schemeClr w14:val="tx1"/>
            </w14:solidFill>
          </w14:textFill>
        </w:rPr>
        <w:t>外扩</w:t>
      </w:r>
      <w:r>
        <w:rPr>
          <w:rFonts w:hint="eastAsia" w:ascii="Times New Roman" w:hAnsi="Times New Roman" w:cs="Times New Roman"/>
          <w:color w:val="000000" w:themeColor="text1"/>
          <w:w w:val="99"/>
          <w:sz w:val="24"/>
          <w:szCs w:val="24"/>
          <w:highlight w:val="none"/>
          <w14:textFill>
            <w14:solidFill>
              <w14:schemeClr w14:val="tx1"/>
            </w14:solidFill>
          </w14:textFill>
        </w:rPr>
        <w:t>2.5</w:t>
      </w:r>
      <w:r>
        <w:rPr>
          <w:rFonts w:ascii="Times New Roman" w:hAnsi="Times New Roman" w:cs="Times New Roman"/>
          <w:color w:val="000000" w:themeColor="text1"/>
          <w:w w:val="99"/>
          <w:sz w:val="24"/>
          <w:szCs w:val="24"/>
          <w:highlight w:val="none"/>
          <w14:textFill>
            <w14:solidFill>
              <w14:schemeClr w14:val="tx1"/>
            </w14:solidFill>
          </w14:textFill>
        </w:rPr>
        <w:t>km的矩形区域。大气环境保护具体见表</w:t>
      </w:r>
      <w:r>
        <w:rPr>
          <w:rFonts w:ascii="Times New Roman" w:hAnsi="Times New Roman" w:cs="Times New Roman"/>
          <w:color w:val="000000" w:themeColor="text1"/>
          <w:w w:val="99"/>
          <w:sz w:val="24"/>
          <w:szCs w:val="24"/>
          <w:highlight w:val="none"/>
          <w:lang w:val="en-US"/>
          <w14:textFill>
            <w14:solidFill>
              <w14:schemeClr w14:val="tx1"/>
            </w14:solidFill>
          </w14:textFill>
        </w:rPr>
        <w:t>2.6-1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，大气环境评价范围及保护目标分布见</w:t>
      </w:r>
      <w:r>
        <w:rPr>
          <w:rFonts w:ascii="Times New Roman" w:hAnsi="Times New Roman" w:cs="Times New Roman"/>
          <w:color w:val="000000" w:themeColor="text1"/>
          <w:w w:val="99"/>
          <w:sz w:val="24"/>
          <w:szCs w:val="24"/>
          <w:highlight w:val="none"/>
          <w:lang w:val="en-US"/>
          <w14:textFill>
            <w14:solidFill>
              <w14:schemeClr w14:val="tx1"/>
            </w14:solidFill>
          </w14:textFill>
        </w:rPr>
        <w:t>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3</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2.6-1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大气环境保护目标一览表</w:t>
      </w:r>
    </w:p>
    <w:tbl>
      <w:tblPr>
        <w:tblStyle w:val="3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306"/>
        <w:gridCol w:w="1167"/>
        <w:gridCol w:w="727"/>
        <w:gridCol w:w="1743"/>
        <w:gridCol w:w="87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名称</w:t>
            </w:r>
          </w:p>
        </w:tc>
        <w:tc>
          <w:tcPr>
            <w:tcW w:w="247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坐标</w:t>
            </w:r>
          </w:p>
        </w:tc>
        <w:tc>
          <w:tcPr>
            <w:tcW w:w="72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保护对象</w:t>
            </w:r>
          </w:p>
        </w:tc>
        <w:tc>
          <w:tcPr>
            <w:tcW w:w="174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保护内容</w:t>
            </w:r>
          </w:p>
        </w:tc>
        <w:tc>
          <w:tcPr>
            <w:tcW w:w="8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环境功能区</w:t>
            </w:r>
          </w:p>
        </w:tc>
        <w:tc>
          <w:tcPr>
            <w:tcW w:w="232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相对方位及距离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b/>
                <w:color w:val="000000" w:themeColor="text1"/>
                <w:w w:val="99"/>
                <w:kern w:val="2"/>
                <w:sz w:val="21"/>
                <w:szCs w:val="21"/>
                <w:highlight w:val="none"/>
                <w:lang w:val="en-US" w:bidi="ar-SA"/>
                <w14:textFill>
                  <w14:solidFill>
                    <w14:schemeClr w14:val="tx1"/>
                  </w14:solidFill>
                </w14:textFill>
              </w:rPr>
            </w:pP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东经</w:t>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北纬</w:t>
            </w:r>
          </w:p>
        </w:tc>
        <w:tc>
          <w:tcPr>
            <w:tcW w:w="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b/>
                <w:color w:val="000000" w:themeColor="text1"/>
                <w:w w:val="99"/>
                <w:kern w:val="2"/>
                <w:sz w:val="21"/>
                <w:szCs w:val="21"/>
                <w:highlight w:val="none"/>
                <w:lang w:val="en-US" w:bidi="ar-SA"/>
                <w14:textFill>
                  <w14:solidFill>
                    <w14:schemeClr w14:val="tx1"/>
                  </w14:solidFill>
                </w14:textFill>
              </w:rPr>
            </w:pPr>
          </w:p>
        </w:tc>
        <w:tc>
          <w:tcPr>
            <w:tcW w:w="17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b/>
                <w:color w:val="000000" w:themeColor="text1"/>
                <w:w w:val="99"/>
                <w:kern w:val="2"/>
                <w:sz w:val="21"/>
                <w:szCs w:val="21"/>
                <w:highlight w:val="none"/>
                <w:lang w:val="en-US" w:bidi="ar-SA"/>
                <w14:textFill>
                  <w14:solidFill>
                    <w14:schemeClr w14:val="tx1"/>
                  </w14:solidFill>
                </w14:textFill>
              </w:rPr>
            </w:pPr>
          </w:p>
        </w:tc>
        <w:tc>
          <w:tcPr>
            <w:tcW w:w="8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b/>
                <w:color w:val="000000" w:themeColor="text1"/>
                <w:w w:val="99"/>
                <w:kern w:val="2"/>
                <w:sz w:val="21"/>
                <w:szCs w:val="21"/>
                <w:highlight w:val="none"/>
                <w:lang w:val="en-US" w:bidi="ar-SA"/>
                <w14:textFill>
                  <w14:solidFill>
                    <w14:schemeClr w14:val="tx1"/>
                  </w14:solidFill>
                </w14:textFill>
              </w:rPr>
            </w:pPr>
          </w:p>
        </w:tc>
        <w:tc>
          <w:tcPr>
            <w:tcW w:w="232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b/>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万年屯</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124.66061</w:t>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46.00837</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宋体"/>
                <w:color w:val="000000" w:themeColor="text1"/>
                <w:sz w:val="22"/>
                <w:szCs w:val="22"/>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居民</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居民约60户，180人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w:t>
            </w: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葡70-67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井场西北侧2.16km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唐花马屯</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124.66950</w:t>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45.97864</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宋体"/>
                <w:color w:val="000000" w:themeColor="text1"/>
                <w:sz w:val="22"/>
                <w:szCs w:val="22"/>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居民</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居民约60户，180人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w:t>
            </w: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葡70-672、葡70-斜682平台井场西南2.45km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永和村</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124.66469</w:t>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46.00671</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宋体"/>
                <w:color w:val="000000" w:themeColor="text1"/>
                <w:sz w:val="22"/>
                <w:szCs w:val="22"/>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居民</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居民约90户，270人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w:t>
            </w: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葡70-67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井场西北侧1.052km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钱家屯</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124.70383</w:t>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46.00851</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宋体"/>
                <w:color w:val="000000" w:themeColor="text1"/>
                <w:sz w:val="22"/>
                <w:szCs w:val="22"/>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居民</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居民约80户，240人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w:t>
            </w: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葡71-72井场</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北侧0.05km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七井子村</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124.71996</w:t>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46.007040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宋体"/>
                <w:color w:val="000000" w:themeColor="text1"/>
                <w:sz w:val="22"/>
                <w:szCs w:val="22"/>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居民</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居民约</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户，2</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7</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w:t>
            </w: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葡71-72井场</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东侧0.22km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罗家屯</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124.73636</w:t>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46.00095</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宋体"/>
                <w:color w:val="000000" w:themeColor="text1"/>
                <w:sz w:val="22"/>
                <w:szCs w:val="22"/>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居民</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居民约65户，195人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w:t>
            </w: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井场</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东侧1.954km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张兴</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屯</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.72211</w:t>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6.00696</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宋体"/>
                <w:color w:val="000000" w:themeColor="text1"/>
                <w:sz w:val="22"/>
                <w:szCs w:val="22"/>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居民</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居民约60户，180人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w:t>
            </w: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井场</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东北侧0.876km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八井子村</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124.7300</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7</w:t>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46.02488</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宋体"/>
                <w:color w:val="000000" w:themeColor="text1"/>
                <w:sz w:val="22"/>
                <w:szCs w:val="22"/>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居民</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居民约60户，180人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w:t>
            </w: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葡71-72井场</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东北侧1.946km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八井子乡</w:t>
            </w:r>
          </w:p>
        </w:tc>
        <w:tc>
          <w:tcPr>
            <w:tcW w:w="13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124.73117</w:t>
            </w:r>
          </w:p>
        </w:tc>
        <w:tc>
          <w:tcPr>
            <w:tcW w:w="1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46.02088</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宋体"/>
                <w:color w:val="000000" w:themeColor="text1"/>
                <w:sz w:val="22"/>
                <w:szCs w:val="22"/>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居民</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居民约60户，180人</w:t>
            </w:r>
          </w:p>
        </w:tc>
        <w:tc>
          <w:tcPr>
            <w:tcW w:w="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w:t>
            </w:r>
          </w:p>
        </w:tc>
        <w:tc>
          <w:tcPr>
            <w:tcW w:w="23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葡71-72井场</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东北侧1.727km</w:t>
            </w:r>
          </w:p>
        </w:tc>
      </w:tr>
    </w:tbl>
    <w:p>
      <w:pPr>
        <w:pStyle w:val="45"/>
        <w:tabs>
          <w:tab w:val="left" w:pos="1571"/>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2.6.2 声环境评价范围及保护目标</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根据《环境影响评价技术导则 声环境》（HJ4.2-2009）的要求，结合建设项目特点，确定本工程声环境评价范围为井场</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管道、道路中心线两侧各200m范围内的声环境。</w:t>
      </w:r>
      <w:r>
        <w:rPr>
          <w:rFonts w:hint="eastAsia" w:ascii="Times New Roman" w:hAnsi="Times New Roman" w:cs="Times New Roman"/>
          <w:color w:val="000000" w:themeColor="text1"/>
          <w:w w:val="99"/>
          <w:sz w:val="24"/>
          <w:szCs w:val="24"/>
          <w:highlight w:val="none"/>
          <w14:textFill>
            <w14:solidFill>
              <w14:schemeClr w14:val="tx1"/>
            </w14:solidFill>
          </w14:textFill>
        </w:rPr>
        <w:t>声环境保护</w:t>
      </w:r>
      <w:r>
        <w:rPr>
          <w:rFonts w:ascii="Times New Roman" w:hAnsi="Times New Roman" w:cs="Times New Roman"/>
          <w:color w:val="000000" w:themeColor="text1"/>
          <w:w w:val="99"/>
          <w:sz w:val="24"/>
          <w:szCs w:val="24"/>
          <w:highlight w:val="none"/>
          <w14:textFill>
            <w14:solidFill>
              <w14:schemeClr w14:val="tx1"/>
            </w14:solidFill>
          </w14:textFill>
        </w:rPr>
        <w:t>目标</w:t>
      </w:r>
      <w:r>
        <w:rPr>
          <w:rFonts w:hint="eastAsia" w:ascii="Times New Roman" w:hAnsi="Times New Roman" w:cs="Times New Roman"/>
          <w:color w:val="000000" w:themeColor="text1"/>
          <w:w w:val="99"/>
          <w:sz w:val="24"/>
          <w:szCs w:val="24"/>
          <w:highlight w:val="none"/>
          <w14:textFill>
            <w14:solidFill>
              <w14:schemeClr w14:val="tx1"/>
            </w14:solidFill>
          </w14:textFill>
        </w:rPr>
        <w:t>具体见表2.6-2</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45"/>
        <w:tabs>
          <w:tab w:val="left" w:pos="1571"/>
        </w:tabs>
        <w:spacing w:line="440" w:lineRule="exact"/>
        <w:ind w:left="440" w:leftChars="200" w:firstLine="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 xml:space="preserve">表2.6-2   </w:t>
      </w:r>
      <w:r>
        <w:rPr>
          <w:rFonts w:hint="eastAsia" w:ascii="Times New Roman" w:hAnsi="Times New Roman" w:cs="Times New Roman"/>
          <w:color w:val="000000" w:themeColor="text1"/>
          <w:w w:val="99"/>
          <w:sz w:val="24"/>
          <w:szCs w:val="24"/>
          <w:highlight w:val="none"/>
          <w14:textFill>
            <w14:solidFill>
              <w14:schemeClr w14:val="tx1"/>
            </w14:solidFill>
          </w14:textFill>
        </w:rPr>
        <w:t>声环境</w:t>
      </w:r>
      <w:r>
        <w:rPr>
          <w:rFonts w:ascii="Times New Roman" w:hAnsi="Times New Roman" w:cs="Times New Roman"/>
          <w:color w:val="000000" w:themeColor="text1"/>
          <w:w w:val="99"/>
          <w:sz w:val="24"/>
          <w:szCs w:val="24"/>
          <w:highlight w:val="none"/>
          <w14:textFill>
            <w14:solidFill>
              <w14:schemeClr w14:val="tx1"/>
            </w14:solidFill>
          </w14:textFill>
        </w:rPr>
        <w:t>保护目标</w:t>
      </w:r>
      <w:r>
        <w:rPr>
          <w:rFonts w:hint="eastAsia" w:ascii="Times New Roman" w:hAnsi="Times New Roman" w:cs="Times New Roman"/>
          <w:color w:val="000000" w:themeColor="text1"/>
          <w:w w:val="99"/>
          <w:sz w:val="24"/>
          <w:szCs w:val="24"/>
          <w:highlight w:val="none"/>
          <w14:textFill>
            <w14:solidFill>
              <w14:schemeClr w14:val="tx1"/>
            </w14:solidFill>
          </w14:textFill>
        </w:rPr>
        <w:t>表</w:t>
      </w:r>
    </w:p>
    <w:tbl>
      <w:tblPr>
        <w:tblStyle w:val="32"/>
        <w:tblW w:w="914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727"/>
        <w:gridCol w:w="1193"/>
        <w:gridCol w:w="2231"/>
        <w:gridCol w:w="2225"/>
        <w:gridCol w:w="27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727"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环境要素</w:t>
            </w:r>
          </w:p>
        </w:tc>
        <w:tc>
          <w:tcPr>
            <w:tcW w:w="1193"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保护目标</w:t>
            </w:r>
          </w:p>
        </w:tc>
        <w:tc>
          <w:tcPr>
            <w:tcW w:w="223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最近方位及距离</w:t>
            </w:r>
          </w:p>
        </w:tc>
        <w:tc>
          <w:tcPr>
            <w:tcW w:w="222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保护内容</w:t>
            </w:r>
          </w:p>
        </w:tc>
        <w:tc>
          <w:tcPr>
            <w:tcW w:w="2769"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保护标准及保护级别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40" w:hRule="atLeast"/>
          <w:jc w:val="center"/>
        </w:trPr>
        <w:tc>
          <w:tcPr>
            <w:tcW w:w="727"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声环境</w:t>
            </w:r>
          </w:p>
        </w:tc>
        <w:tc>
          <w:tcPr>
            <w:tcW w:w="1193" w:type="dxa"/>
            <w:vAlign w:val="center"/>
          </w:tcPr>
          <w:p>
            <w:pPr>
              <w:autoSpaceDE/>
              <w:autoSpaceDN/>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钱家屯</w:t>
            </w:r>
          </w:p>
        </w:tc>
        <w:tc>
          <w:tcPr>
            <w:tcW w:w="223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葡71-72井场</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北侧0.05km</w:t>
            </w:r>
          </w:p>
        </w:tc>
        <w:tc>
          <w:tcPr>
            <w:tcW w:w="2225"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居民约80户，240人</w:t>
            </w:r>
          </w:p>
        </w:tc>
        <w:tc>
          <w:tcPr>
            <w:tcW w:w="2769"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《声环境质量标准》（</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GB3096-2008</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）中</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类标准</w:t>
            </w:r>
          </w:p>
        </w:tc>
      </w:tr>
    </w:tbl>
    <w:p>
      <w:pPr>
        <w:pStyle w:val="45"/>
        <w:tabs>
          <w:tab w:val="left" w:pos="1571"/>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2.6.</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3</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地下水环境评价范围及保护目标</w:t>
      </w:r>
    </w:p>
    <w:p>
      <w:pPr>
        <w:pStyle w:val="67"/>
        <w:widowControl w:val="0"/>
        <w:ind w:firstLine="473"/>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根据《环境影响评价技术导则 地下水环境》（HJ610-2016），采用公式法计算确定地下评价范围：L=α×K×I×T/ne=2×2.5×0.0025×5000/0.34=183.8m，</w:t>
      </w:r>
      <w:r>
        <w:rPr>
          <w:rFonts w:ascii="Times New Roman" w:hAnsi="Times New Roman" w:eastAsiaTheme="minorEastAsia"/>
          <w:snapToGrid w:val="0"/>
          <w:color w:val="000000" w:themeColor="text1"/>
          <w:w w:val="99"/>
          <w:sz w:val="24"/>
          <w:szCs w:val="24"/>
          <w:highlight w:val="none"/>
          <w14:textFill>
            <w14:solidFill>
              <w14:schemeClr w14:val="tx1"/>
            </w14:solidFill>
          </w14:textFill>
        </w:rPr>
        <w:t>结合该区域地下水流向、工程周边村屯取</w:t>
      </w:r>
      <w:r>
        <w:rPr>
          <w:rFonts w:hint="eastAsia" w:ascii="Times New Roman" w:hAnsi="Times New Roman" w:eastAsiaTheme="minorEastAsia"/>
          <w:snapToGrid w:val="0"/>
          <w:color w:val="000000" w:themeColor="text1"/>
          <w:w w:val="99"/>
          <w:sz w:val="24"/>
          <w:szCs w:val="24"/>
          <w:highlight w:val="none"/>
          <w:lang w:eastAsia="zh-CN"/>
          <w14:textFill>
            <w14:solidFill>
              <w14:schemeClr w14:val="tx1"/>
            </w14:solidFill>
          </w14:textFill>
        </w:rPr>
        <w:t>注入井</w:t>
      </w:r>
      <w:r>
        <w:rPr>
          <w:rFonts w:ascii="Times New Roman" w:hAnsi="Times New Roman" w:eastAsiaTheme="minorEastAsia"/>
          <w:snapToGrid w:val="0"/>
          <w:color w:val="000000" w:themeColor="text1"/>
          <w:w w:val="99"/>
          <w:sz w:val="24"/>
          <w:szCs w:val="24"/>
          <w:highlight w:val="none"/>
          <w14:textFill>
            <w14:solidFill>
              <w14:schemeClr w14:val="tx1"/>
            </w14:solidFill>
          </w14:textFill>
        </w:rPr>
        <w:t>分布的实际情况以及现状布点情况，确定地下水评价范围为</w:t>
      </w:r>
      <w:r>
        <w:rPr>
          <w:rFonts w:hint="eastAsia" w:ascii="Times New Roman" w:hAnsi="Times New Roman" w:eastAsiaTheme="minorEastAsia"/>
          <w:snapToGrid w:val="0"/>
          <w:color w:val="000000" w:themeColor="text1"/>
          <w:w w:val="99"/>
          <w:sz w:val="24"/>
          <w:szCs w:val="24"/>
          <w:highlight w:val="none"/>
          <w:lang w:val="en-US" w:eastAsia="zh-CN"/>
          <w14:textFill>
            <w14:solidFill>
              <w14:schemeClr w14:val="tx1"/>
            </w14:solidFill>
          </w14:textFill>
        </w:rPr>
        <w:t>4.0</w:t>
      </w:r>
      <w:r>
        <w:rPr>
          <w:rFonts w:ascii="Times New Roman" w:hAnsi="Times New Roman" w:eastAsiaTheme="minorEastAsia"/>
          <w:snapToGrid w:val="0"/>
          <w:color w:val="000000" w:themeColor="text1"/>
          <w:w w:val="99"/>
          <w:sz w:val="24"/>
          <w:szCs w:val="24"/>
          <w:highlight w:val="none"/>
          <w14:textFill>
            <w14:solidFill>
              <w14:schemeClr w14:val="tx1"/>
            </w14:solidFill>
          </w14:textFill>
        </w:rPr>
        <w:t>km</w:t>
      </w:r>
      <w:r>
        <w:rPr>
          <w:rFonts w:ascii="Times New Roman" w:hAnsi="Times New Roman" w:eastAsiaTheme="minorEastAsia"/>
          <w:color w:val="000000" w:themeColor="text1"/>
          <w:spacing w:val="-2"/>
          <w:w w:val="99"/>
          <w:sz w:val="24"/>
          <w:szCs w:val="24"/>
          <w:highlight w:val="none"/>
          <w:lang w:val="de-DE"/>
          <w14:textFill>
            <w14:solidFill>
              <w14:schemeClr w14:val="tx1"/>
            </w14:solidFill>
          </w14:textFill>
        </w:rPr>
        <w:t>×</w:t>
      </w:r>
      <w:r>
        <w:rPr>
          <w:rFonts w:hint="eastAsia" w:ascii="Times New Roman" w:hAnsi="Times New Roman" w:eastAsiaTheme="minorEastAsia"/>
          <w:color w:val="000000" w:themeColor="text1"/>
          <w:spacing w:val="-2"/>
          <w:w w:val="99"/>
          <w:sz w:val="24"/>
          <w:szCs w:val="24"/>
          <w:highlight w:val="none"/>
          <w:lang w:val="en-US" w:eastAsia="zh-CN"/>
          <w14:textFill>
            <w14:solidFill>
              <w14:schemeClr w14:val="tx1"/>
            </w14:solidFill>
          </w14:textFill>
        </w:rPr>
        <w:t>2.2</w:t>
      </w:r>
      <w:r>
        <w:rPr>
          <w:rFonts w:ascii="Times New Roman" w:hAnsi="Times New Roman" w:eastAsiaTheme="minorEastAsia"/>
          <w:snapToGrid w:val="0"/>
          <w:color w:val="000000" w:themeColor="text1"/>
          <w:w w:val="99"/>
          <w:sz w:val="24"/>
          <w:szCs w:val="24"/>
          <w:highlight w:val="none"/>
          <w14:textFill>
            <w14:solidFill>
              <w14:schemeClr w14:val="tx1"/>
            </w14:solidFill>
          </w14:textFill>
        </w:rPr>
        <w:t>km</w:t>
      </w:r>
      <w:r>
        <w:rPr>
          <w:rFonts w:ascii="Times New Roman" w:hAnsi="Times New Roman" w:eastAsiaTheme="minorEastAsia"/>
          <w:color w:val="000000" w:themeColor="text1"/>
          <w:spacing w:val="-2"/>
          <w:w w:val="99"/>
          <w:sz w:val="24"/>
          <w:szCs w:val="24"/>
          <w:highlight w:val="none"/>
          <w14:textFill>
            <w14:solidFill>
              <w14:schemeClr w14:val="tx1"/>
            </w14:solidFill>
          </w14:textFill>
        </w:rPr>
        <w:t>=</w:t>
      </w:r>
      <w:r>
        <w:rPr>
          <w:rFonts w:hint="eastAsia" w:ascii="Times New Roman" w:hAnsi="Times New Roman" w:eastAsiaTheme="minorEastAsia"/>
          <w:color w:val="000000" w:themeColor="text1"/>
          <w:spacing w:val="-2"/>
          <w:w w:val="99"/>
          <w:sz w:val="24"/>
          <w:szCs w:val="24"/>
          <w:highlight w:val="none"/>
          <w:lang w:val="en-US" w:eastAsia="zh-CN"/>
          <w14:textFill>
            <w14:solidFill>
              <w14:schemeClr w14:val="tx1"/>
            </w14:solidFill>
          </w14:textFill>
        </w:rPr>
        <w:t>8.8</w:t>
      </w:r>
      <w:r>
        <w:rPr>
          <w:rFonts w:ascii="Times New Roman" w:hAnsi="Times New Roman" w:eastAsiaTheme="minorEastAsia"/>
          <w:snapToGrid w:val="0"/>
          <w:color w:val="000000" w:themeColor="text1"/>
          <w:w w:val="99"/>
          <w:sz w:val="24"/>
          <w:szCs w:val="24"/>
          <w:highlight w:val="none"/>
          <w14:textFill>
            <w14:solidFill>
              <w14:schemeClr w14:val="tx1"/>
            </w14:solidFill>
          </w14:textFill>
        </w:rPr>
        <w:t>km</w:t>
      </w:r>
      <w:r>
        <w:rPr>
          <w:rFonts w:hint="eastAsia" w:ascii="Times New Roman" w:hAnsi="Times New Roman" w:eastAsiaTheme="minorEastAsia"/>
          <w:snapToGrid w:val="0"/>
          <w:color w:val="000000" w:themeColor="text1"/>
          <w:w w:val="99"/>
          <w:sz w:val="24"/>
          <w:szCs w:val="24"/>
          <w:highlight w:val="none"/>
          <w:vertAlign w:val="superscript"/>
          <w:lang w:val="en-US" w:eastAsia="zh-CN"/>
          <w14:textFill>
            <w14:solidFill>
              <w14:schemeClr w14:val="tx1"/>
            </w14:solidFill>
          </w14:textFill>
        </w:rPr>
        <w:t>2</w:t>
      </w:r>
      <w:r>
        <w:rPr>
          <w:rFonts w:ascii="Times New Roman" w:hAnsi="Times New Roman" w:eastAsiaTheme="minorEastAsia"/>
          <w:snapToGrid w:val="0"/>
          <w:color w:val="000000" w:themeColor="text1"/>
          <w:w w:val="99"/>
          <w:sz w:val="24"/>
          <w:szCs w:val="24"/>
          <w:highlight w:val="none"/>
          <w14:textFill>
            <w14:solidFill>
              <w14:schemeClr w14:val="tx1"/>
            </w14:solidFill>
          </w14:textFill>
        </w:rPr>
        <w:t>的东北→西南走向的矩形区域</w:t>
      </w:r>
      <w:r>
        <w:rPr>
          <w:rFonts w:hint="eastAsia" w:ascii="Times New Roman" w:hAnsi="Times New Roman" w:eastAsiaTheme="minorEastAsia"/>
          <w:snapToGrid w:val="0"/>
          <w:color w:val="000000" w:themeColor="text1"/>
          <w:w w:val="99"/>
          <w:sz w:val="24"/>
          <w:szCs w:val="24"/>
          <w:highlight w:val="none"/>
          <w:lang w:eastAsia="zh-CN"/>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地下水环境保护目标详见表2.6-</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地下水评价范围</w:t>
      </w:r>
      <w:r>
        <w:rPr>
          <w:rFonts w:hint="eastAsia" w:ascii="Times New Roman" w:hAnsi="Times New Roman" w:cs="Times New Roman"/>
          <w:color w:val="000000" w:themeColor="text1"/>
          <w:w w:val="99"/>
          <w:sz w:val="24"/>
          <w:szCs w:val="24"/>
          <w:highlight w:val="none"/>
          <w14:textFill>
            <w14:solidFill>
              <w14:schemeClr w14:val="tx1"/>
            </w14:solidFill>
          </w14:textFill>
        </w:rPr>
        <w:t>及</w:t>
      </w:r>
      <w:r>
        <w:rPr>
          <w:rFonts w:ascii="Times New Roman" w:hAnsi="Times New Roman" w:cs="Times New Roman"/>
          <w:color w:val="000000" w:themeColor="text1"/>
          <w:w w:val="99"/>
          <w:sz w:val="24"/>
          <w:szCs w:val="24"/>
          <w:highlight w:val="none"/>
          <w14:textFill>
            <w14:solidFill>
              <w14:schemeClr w14:val="tx1"/>
            </w14:solidFill>
          </w14:textFill>
        </w:rPr>
        <w:t>保护目标分布</w:t>
      </w:r>
      <w:r>
        <w:rPr>
          <w:rFonts w:hint="eastAsia" w:ascii="Times New Roman" w:hAnsi="Times New Roman" w:cs="Times New Roman"/>
          <w:color w:val="000000" w:themeColor="text1"/>
          <w:w w:val="99"/>
          <w:sz w:val="24"/>
          <w:szCs w:val="24"/>
          <w:highlight w:val="none"/>
          <w14:textFill>
            <w14:solidFill>
              <w14:schemeClr w14:val="tx1"/>
            </w14:solidFill>
          </w14:textFill>
        </w:rPr>
        <w:t>见</w:t>
      </w:r>
      <w:r>
        <w:rPr>
          <w:rFonts w:ascii="Times New Roman" w:hAnsi="Times New Roman" w:cs="Times New Roman"/>
          <w:color w:val="000000" w:themeColor="text1"/>
          <w:w w:val="99"/>
          <w:sz w:val="24"/>
          <w:szCs w:val="24"/>
          <w:highlight w:val="none"/>
          <w14:textFill>
            <w14:solidFill>
              <w14:schemeClr w14:val="tx1"/>
            </w14:solidFill>
          </w14:textFill>
        </w:rPr>
        <w:t>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 xml:space="preserve">表2.6-3      </w:t>
      </w:r>
      <w:r>
        <w:rPr>
          <w:rFonts w:hint="eastAsia" w:ascii="Times New Roman" w:hAnsi="Times New Roman" w:cs="Times New Roman"/>
          <w:b/>
          <w:bCs/>
          <w:color w:val="000000" w:themeColor="text1"/>
          <w:w w:val="99"/>
          <w:sz w:val="24"/>
          <w:szCs w:val="24"/>
          <w:highlight w:val="none"/>
          <w14:textFill>
            <w14:solidFill>
              <w14:schemeClr w14:val="tx1"/>
            </w14:solidFill>
          </w14:textFill>
        </w:rPr>
        <w:t>地下水环境</w:t>
      </w:r>
      <w:r>
        <w:rPr>
          <w:rFonts w:ascii="Times New Roman" w:hAnsi="Times New Roman" w:cs="Times New Roman"/>
          <w:b/>
          <w:bCs/>
          <w:color w:val="000000" w:themeColor="text1"/>
          <w:w w:val="99"/>
          <w:sz w:val="24"/>
          <w:szCs w:val="24"/>
          <w:highlight w:val="none"/>
          <w14:textFill>
            <w14:solidFill>
              <w14:schemeClr w14:val="tx1"/>
            </w14:solidFill>
          </w14:textFill>
        </w:rPr>
        <w:t>保护目标</w:t>
      </w:r>
      <w:r>
        <w:rPr>
          <w:rFonts w:hint="eastAsia" w:ascii="Times New Roman" w:hAnsi="Times New Roman" w:cs="Times New Roman"/>
          <w:b/>
          <w:bCs/>
          <w:color w:val="000000" w:themeColor="text1"/>
          <w:w w:val="99"/>
          <w:sz w:val="24"/>
          <w:szCs w:val="24"/>
          <w:highlight w:val="none"/>
          <w14:textFill>
            <w14:solidFill>
              <w14:schemeClr w14:val="tx1"/>
            </w14:solidFill>
          </w14:textFill>
        </w:rPr>
        <w:t>表</w:t>
      </w:r>
    </w:p>
    <w:tbl>
      <w:tblPr>
        <w:tblStyle w:val="3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727"/>
        <w:gridCol w:w="890"/>
        <w:gridCol w:w="1823"/>
        <w:gridCol w:w="4559"/>
        <w:gridCol w:w="11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blHeader/>
          <w:jc w:val="center"/>
        </w:trPr>
        <w:tc>
          <w:tcPr>
            <w:tcW w:w="39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环境要素</w:t>
            </w:r>
          </w:p>
        </w:tc>
        <w:tc>
          <w:tcPr>
            <w:tcW w:w="48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保护</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目标</w:t>
            </w:r>
          </w:p>
        </w:tc>
        <w:tc>
          <w:tcPr>
            <w:tcW w:w="99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最近方位及距离</w:t>
            </w:r>
          </w:p>
        </w:tc>
        <w:tc>
          <w:tcPr>
            <w:tcW w:w="24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规模</w:t>
            </w:r>
          </w:p>
        </w:tc>
        <w:tc>
          <w:tcPr>
            <w:tcW w:w="647" w:type="pct"/>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保护标准及保护级别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037" w:hRule="atLeast"/>
          <w:tblHeader/>
          <w:jc w:val="center"/>
        </w:trPr>
        <w:tc>
          <w:tcPr>
            <w:tcW w:w="395" w:type="pct"/>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地下水环境</w:t>
            </w:r>
          </w:p>
        </w:tc>
        <w:tc>
          <w:tcPr>
            <w:tcW w:w="484"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钱家屯</w:t>
            </w:r>
          </w:p>
        </w:tc>
        <w:tc>
          <w:tcPr>
            <w:tcW w:w="991"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葡71-72井场</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北侧0.05km</w:t>
            </w:r>
          </w:p>
        </w:tc>
        <w:tc>
          <w:tcPr>
            <w:tcW w:w="24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大同镇</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自来水</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管网统一供水，</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大同镇集中供水水源井共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4口，井深144-170m，供水人口4.5万人</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左右</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。村民自家均有自打井，井深15m</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左右</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，用于喂养牲畜及灌溉，潜</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水井</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约</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口。</w:t>
            </w:r>
          </w:p>
        </w:tc>
        <w:tc>
          <w:tcPr>
            <w:tcW w:w="647" w:type="pct"/>
            <w:vMerge w:val="restart"/>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《地下水质量标准》（GB/T14848-2017）</w:t>
            </w:r>
          </w:p>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III类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blHeader/>
          <w:jc w:val="center"/>
        </w:trPr>
        <w:tc>
          <w:tcPr>
            <w:tcW w:w="395"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84"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七井子村</w:t>
            </w:r>
          </w:p>
        </w:tc>
        <w:tc>
          <w:tcPr>
            <w:tcW w:w="991"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葡71-72井场</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东侧0.22km</w:t>
            </w:r>
          </w:p>
        </w:tc>
        <w:tc>
          <w:tcPr>
            <w:tcW w:w="24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大同镇</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自来水</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管网统一供水，</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大同镇集中供水水源井共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4口，井深144-170m，供水人口4.5万人</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左右</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。村民自家均有自打井，井深 </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15</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左右</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，用于喂养牲畜及灌溉，潜</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水井</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约</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口。</w:t>
            </w:r>
          </w:p>
        </w:tc>
        <w:tc>
          <w:tcPr>
            <w:tcW w:w="647" w:type="pct"/>
            <w:vMerge w:val="continue"/>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blHeader/>
          <w:jc w:val="center"/>
        </w:trPr>
        <w:tc>
          <w:tcPr>
            <w:tcW w:w="395"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84"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唐花马屯</w:t>
            </w:r>
          </w:p>
        </w:tc>
        <w:tc>
          <w:tcPr>
            <w:tcW w:w="991"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葡70-672、葡70-斜682平台井场西南2.45km</w:t>
            </w:r>
          </w:p>
        </w:tc>
        <w:tc>
          <w:tcPr>
            <w:tcW w:w="24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大同镇</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自来水</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管网统一供水，</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大同镇集中供水水源井共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4口，井深144-170m，供水人口4.5万人</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左右</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。村民自家均有自打井，井深 15m</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左右</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，用于喂养牲畜及灌溉，潜</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水井</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约</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60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口。</w:t>
            </w:r>
          </w:p>
        </w:tc>
        <w:tc>
          <w:tcPr>
            <w:tcW w:w="647" w:type="pct"/>
            <w:vMerge w:val="continue"/>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blHeader/>
          <w:jc w:val="center"/>
        </w:trPr>
        <w:tc>
          <w:tcPr>
            <w:tcW w:w="395"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84"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张兴</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屯</w:t>
            </w:r>
          </w:p>
        </w:tc>
        <w:tc>
          <w:tcPr>
            <w:tcW w:w="991" w:type="pct"/>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井场</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东北侧0.876km</w:t>
            </w:r>
          </w:p>
        </w:tc>
        <w:tc>
          <w:tcPr>
            <w:tcW w:w="24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大同镇</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自来水</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管网统一供水，</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大同镇集中供水水源井共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4口，井深144-170m，供水人口4.5万人</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左右</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。村民自家均有自打井，井深 15m</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左右</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，用于喂养牲畜及灌溉，潜</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水井</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约60口。</w:t>
            </w:r>
          </w:p>
        </w:tc>
        <w:tc>
          <w:tcPr>
            <w:tcW w:w="647" w:type="pct"/>
            <w:vMerge w:val="continue"/>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bl>
    <w:p>
      <w:pPr>
        <w:pStyle w:val="45"/>
        <w:tabs>
          <w:tab w:val="left" w:pos="1571"/>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2.6.</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4 </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环境风险评价范围及保护目标</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本项目环境风险潜势为Ⅰ，风险评价等级为简单分析。建设项目周围主要环境敏感目标分布见表2.6-1</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表2.6-</w:t>
      </w:r>
      <w:r>
        <w:rPr>
          <w:rFonts w:ascii="Times New Roman" w:hAnsi="Times New Roman" w:cs="Times New Roman"/>
          <w:color w:val="000000" w:themeColor="text1"/>
          <w:w w:val="99"/>
          <w:sz w:val="24"/>
          <w:szCs w:val="24"/>
          <w:highlight w:val="none"/>
          <w:lang w:val="en-US"/>
          <w14:textFill>
            <w14:solidFill>
              <w14:schemeClr w14:val="tx1"/>
            </w14:solidFill>
          </w14:textFill>
        </w:rPr>
        <w:t>3。</w:t>
      </w:r>
    </w:p>
    <w:p>
      <w:pPr>
        <w:pStyle w:val="45"/>
        <w:tabs>
          <w:tab w:val="left" w:pos="1571"/>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2.6.</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5 生态环境、土壤环境和</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地表水</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评价范围及保护目标</w:t>
      </w: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bookmarkStart w:id="31" w:name="_Toc71714606"/>
      <w:r>
        <w:rPr>
          <w:rFonts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本工程生态环境评价范围</w:t>
      </w:r>
      <w:r>
        <w:rPr>
          <w:rFonts w:hint="eastAsia"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为</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评价范围为</w:t>
      </w:r>
      <w:r>
        <w:rPr>
          <w:rFonts w:hint="eastAsia" w:ascii="Times New Roman" w:hAnsi="Times New Roman" w:cs="Times New Roman"/>
          <w:color w:val="000000" w:themeColor="text1"/>
          <w:w w:val="99"/>
          <w:sz w:val="24"/>
          <w:szCs w:val="24"/>
          <w:highlight w:val="none"/>
          <w:lang w:val="en-US" w:eastAsia="zh-CN" w:bidi="zh-CN"/>
          <w14:textFill>
            <w14:solidFill>
              <w14:schemeClr w14:val="tx1"/>
            </w14:solidFill>
          </w14:textFill>
        </w:rPr>
        <w:t>项目</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区域边界外扩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1km </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范围及新建管线、道路沿线两侧外扩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200m </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区域的生态环境。</w:t>
      </w:r>
      <w:r>
        <w:rPr>
          <w:rFonts w:ascii="Times New Roman" w:hAnsi="Times New Roman" w:cs="Times New Roman"/>
          <w:color w:val="000000" w:themeColor="text1"/>
          <w:w w:val="99"/>
          <w:sz w:val="24"/>
          <w:szCs w:val="24"/>
          <w:highlight w:val="none"/>
          <w14:textFill>
            <w14:solidFill>
              <w14:schemeClr w14:val="tx1"/>
            </w14:solidFill>
          </w14:textFill>
        </w:rPr>
        <w:t>生态环境保护目标详见表2.6-4，</w:t>
      </w:r>
      <w:r>
        <w:rPr>
          <w:rFonts w:hint="eastAsia" w:ascii="Times New Roman" w:hAnsi="Times New Roman" w:cs="Times New Roman"/>
          <w:color w:val="000000" w:themeColor="text1"/>
          <w:w w:val="99"/>
          <w:sz w:val="24"/>
          <w:szCs w:val="24"/>
          <w:highlight w:val="none"/>
          <w14:textFill>
            <w14:solidFill>
              <w14:schemeClr w14:val="tx1"/>
            </w14:solidFill>
          </w14:textFill>
        </w:rPr>
        <w:t>生态环境</w:t>
      </w:r>
      <w:r>
        <w:rPr>
          <w:rFonts w:ascii="Times New Roman" w:hAnsi="Times New Roman" w:cs="Times New Roman"/>
          <w:color w:val="000000" w:themeColor="text1"/>
          <w:w w:val="99"/>
          <w:sz w:val="24"/>
          <w:szCs w:val="24"/>
          <w:highlight w:val="none"/>
          <w14:textFill>
            <w14:solidFill>
              <w14:schemeClr w14:val="tx1"/>
            </w14:solidFill>
          </w14:textFill>
        </w:rPr>
        <w:t>评价范围见附图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5</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生态环境保护目标分布见</w:t>
      </w:r>
      <w:r>
        <w:rPr>
          <w:rFonts w:hint="eastAsia" w:ascii="Times New Roman" w:hAnsi="Times New Roman" w:cs="Times New Roman"/>
          <w:color w:val="000000" w:themeColor="text1"/>
          <w:w w:val="99"/>
          <w:sz w:val="24"/>
          <w:szCs w:val="24"/>
          <w:highlight w:val="none"/>
          <w14:textFill>
            <w14:solidFill>
              <w14:schemeClr w14:val="tx1"/>
            </w14:solidFill>
          </w14:textFill>
        </w:rPr>
        <w:t>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5</w:t>
      </w:r>
      <w:r>
        <w:rPr>
          <w:rFonts w:ascii="Times New Roman" w:hAnsi="Times New Roman" w:cs="Times New Roman"/>
          <w:color w:val="000000" w:themeColor="text1"/>
          <w:w w:val="99"/>
          <w:sz w:val="24"/>
          <w:szCs w:val="24"/>
          <w:highlight w:val="none"/>
          <w14:textFill>
            <w14:solidFill>
              <w14:schemeClr w14:val="tx1"/>
            </w14:solidFill>
          </w14:textFill>
        </w:rPr>
        <w:t>。</w:t>
      </w:r>
      <w:bookmarkEnd w:id="31"/>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本项目土壤环境评价范围为</w:t>
      </w:r>
      <w:r>
        <w:rPr>
          <w:rFonts w:hint="eastAsia" w:ascii="Times New Roman" w:hAnsi="Times New Roman" w:cs="Times New Roman"/>
          <w:color w:val="000000" w:themeColor="text1"/>
          <w:w w:val="99"/>
          <w:sz w:val="24"/>
          <w:szCs w:val="24"/>
          <w:highlight w:val="none"/>
          <w14:textFill>
            <w14:solidFill>
              <w14:schemeClr w14:val="tx1"/>
            </w14:solidFill>
          </w14:textFill>
        </w:rPr>
        <w:t>井场</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区块</w:t>
      </w:r>
      <w:r>
        <w:rPr>
          <w:rFonts w:ascii="Times New Roman" w:hAnsi="Times New Roman" w:cs="Times New Roman"/>
          <w:color w:val="000000" w:themeColor="text1"/>
          <w:w w:val="99"/>
          <w:sz w:val="24"/>
          <w:szCs w:val="24"/>
          <w:highlight w:val="none"/>
          <w14:textFill>
            <w14:solidFill>
              <w14:schemeClr w14:val="tx1"/>
            </w14:solidFill>
          </w14:textFill>
        </w:rPr>
        <w:t>外扩1000m范围内，管线两侧向外延伸200m区域的土壤环境</w:t>
      </w:r>
      <w:r>
        <w:rPr>
          <w:rFonts w:hint="eastAsia" w:ascii="Times New Roman" w:hAnsi="Times New Roman" w:cs="Times New Roman"/>
          <w:color w:val="000000" w:themeColor="text1"/>
          <w:w w:val="99"/>
          <w:sz w:val="24"/>
          <w:szCs w:val="24"/>
          <w:highlight w:val="none"/>
          <w14:textFill>
            <w14:solidFill>
              <w14:schemeClr w14:val="tx1"/>
            </w14:solidFill>
          </w14:textFill>
        </w:rPr>
        <w:t>。土壤</w:t>
      </w:r>
      <w:r>
        <w:rPr>
          <w:rFonts w:ascii="Times New Roman" w:hAnsi="Times New Roman" w:cs="Times New Roman"/>
          <w:color w:val="000000" w:themeColor="text1"/>
          <w:w w:val="99"/>
          <w:sz w:val="24"/>
          <w:szCs w:val="24"/>
          <w:highlight w:val="none"/>
          <w14:textFill>
            <w14:solidFill>
              <w14:schemeClr w14:val="tx1"/>
            </w14:solidFill>
          </w14:textFill>
        </w:rPr>
        <w:t>环境保护目标详见表</w:t>
      </w:r>
      <w:r>
        <w:rPr>
          <w:rFonts w:ascii="Times New Roman" w:hAnsi="Times New Roman" w:cs="Times New Roman"/>
          <w:color w:val="000000" w:themeColor="text1"/>
          <w:w w:val="99"/>
          <w:sz w:val="24"/>
          <w:szCs w:val="24"/>
          <w:highlight w:val="none"/>
          <w:lang w:val="en-US"/>
          <w14:textFill>
            <w14:solidFill>
              <w14:schemeClr w14:val="tx1"/>
            </w14:solidFill>
          </w14:textFill>
        </w:rPr>
        <w:t>2.6-4，</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土壤环境</w:t>
      </w:r>
      <w:r>
        <w:rPr>
          <w:rFonts w:ascii="Times New Roman" w:hAnsi="Times New Roman" w:cs="Times New Roman"/>
          <w:color w:val="000000" w:themeColor="text1"/>
          <w:w w:val="99"/>
          <w:sz w:val="24"/>
          <w:szCs w:val="24"/>
          <w:highlight w:val="none"/>
          <w:lang w:val="en-US"/>
          <w14:textFill>
            <w14:solidFill>
              <w14:schemeClr w14:val="tx1"/>
            </w14:solidFill>
          </w14:textFill>
        </w:rPr>
        <w:t>评价范围见附图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6</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67"/>
        <w:widowControl w:val="0"/>
        <w:ind w:firstLine="473"/>
        <w:rPr>
          <w:rFonts w:hint="eastAsia" w:eastAsia="宋体"/>
          <w:color w:val="000000" w:themeColor="text1"/>
          <w:highlight w:val="none"/>
          <w:lang w:eastAsia="zh-CN"/>
          <w14:textFill>
            <w14:solidFill>
              <w14:schemeClr w14:val="tx1"/>
            </w14:solidFill>
          </w14:textFill>
        </w:rPr>
      </w:pPr>
      <w:r>
        <w:rPr>
          <w:rFonts w:ascii="Times New Roman" w:hAnsi="Times New Roman" w:eastAsiaTheme="minorEastAsia"/>
          <w:snapToGrid w:val="0"/>
          <w:color w:val="000000" w:themeColor="text1"/>
          <w:w w:val="99"/>
          <w:sz w:val="24"/>
          <w:szCs w:val="24"/>
          <w:highlight w:val="none"/>
          <w14:textFill>
            <w14:solidFill>
              <w14:schemeClr w14:val="tx1"/>
            </w14:solidFill>
          </w14:textFill>
        </w:rPr>
        <w:t>根据《环境影响评价技术导则 地表水环境》（HJ2.3-2018）中关于地表水评价等级为三级B的评价范围要求，涉及地表水环境风险的，应覆盖环境风险影响范围所及的水环境保护目标水域。因此本项目地表水评价范围为区域内地表水体</w:t>
      </w:r>
      <w:r>
        <w:rPr>
          <w:rFonts w:hint="eastAsia" w:ascii="Times New Roman" w:hAnsi="Times New Roman" w:eastAsiaTheme="minorEastAsia"/>
          <w:snapToGrid w:val="0"/>
          <w:color w:val="000000" w:themeColor="text1"/>
          <w:w w:val="99"/>
          <w:sz w:val="24"/>
          <w:szCs w:val="24"/>
          <w:highlight w:val="none"/>
          <w:lang w:eastAsia="zh-CN"/>
          <w14:textFill>
            <w14:solidFill>
              <w14:schemeClr w14:val="tx1"/>
            </w14:solidFill>
          </w14:textFill>
        </w:rPr>
        <w:t>康家围子泡</w:t>
      </w:r>
      <w:r>
        <w:rPr>
          <w:rFonts w:ascii="Times New Roman" w:hAnsi="Times New Roman" w:eastAsiaTheme="minorEastAsia"/>
          <w:snapToGrid w:val="0"/>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保护目标详见表</w:t>
      </w:r>
      <w:r>
        <w:rPr>
          <w:rFonts w:ascii="Times New Roman" w:hAnsi="Times New Roman" w:cs="Times New Roman"/>
          <w:color w:val="000000" w:themeColor="text1"/>
          <w:w w:val="99"/>
          <w:sz w:val="24"/>
          <w:szCs w:val="24"/>
          <w:highlight w:val="none"/>
          <w:lang w:val="en-US"/>
          <w14:textFill>
            <w14:solidFill>
              <w14:schemeClr w14:val="tx1"/>
            </w14:solidFill>
          </w14:textFill>
        </w:rPr>
        <w:t>2.6-4</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w:t>
      </w:r>
    </w:p>
    <w:p>
      <w:pPr>
        <w:pStyle w:val="45"/>
        <w:tabs>
          <w:tab w:val="left" w:pos="1571"/>
        </w:tabs>
        <w:spacing w:line="440" w:lineRule="exact"/>
        <w:ind w:left="440" w:leftChars="200" w:firstLine="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2.6-4</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生态</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、土壤</w:t>
      </w:r>
      <w:r>
        <w:rPr>
          <w:rFonts w:ascii="Times New Roman" w:hAnsi="Times New Roman" w:cs="Times New Roman"/>
          <w:b/>
          <w:bCs/>
          <w:color w:val="000000" w:themeColor="text1"/>
          <w:w w:val="99"/>
          <w:sz w:val="24"/>
          <w:szCs w:val="24"/>
          <w:highlight w:val="none"/>
          <w:lang w:val="en-US"/>
          <w14:textFill>
            <w14:solidFill>
              <w14:schemeClr w14:val="tx1"/>
            </w14:solidFill>
          </w14:textFill>
        </w:rPr>
        <w:t>环境</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和</w:t>
      </w:r>
      <w:r>
        <w:rPr>
          <w:rFonts w:ascii="Times New Roman" w:hAnsi="Times New Roman" w:cs="Times New Roman"/>
          <w:b/>
          <w:bCs/>
          <w:color w:val="000000" w:themeColor="text1"/>
          <w:w w:val="99"/>
          <w:sz w:val="24"/>
          <w:szCs w:val="24"/>
          <w:highlight w:val="none"/>
          <w:lang w:val="en-US"/>
          <w14:textFill>
            <w14:solidFill>
              <w14:schemeClr w14:val="tx1"/>
            </w14:solidFill>
          </w14:textFill>
        </w:rPr>
        <w:t>地表水保护目标统计</w:t>
      </w:r>
    </w:p>
    <w:tbl>
      <w:tblPr>
        <w:tblStyle w:val="32"/>
        <w:tblW w:w="914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727"/>
        <w:gridCol w:w="1558"/>
        <w:gridCol w:w="2416"/>
        <w:gridCol w:w="1999"/>
        <w:gridCol w:w="244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jc w:val="center"/>
        </w:trPr>
        <w:tc>
          <w:tcPr>
            <w:tcW w:w="727"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环境要素</w:t>
            </w:r>
          </w:p>
        </w:tc>
        <w:tc>
          <w:tcPr>
            <w:tcW w:w="1558"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保护目标</w:t>
            </w:r>
          </w:p>
        </w:tc>
        <w:tc>
          <w:tcPr>
            <w:tcW w:w="2416"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最近方位及距离</w:t>
            </w:r>
          </w:p>
        </w:tc>
        <w:tc>
          <w:tcPr>
            <w:tcW w:w="1999"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规模</w:t>
            </w:r>
          </w:p>
        </w:tc>
        <w:tc>
          <w:tcPr>
            <w:tcW w:w="244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保护标准及保护级别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59" w:hRule="atLeast"/>
          <w:jc w:val="center"/>
        </w:trPr>
        <w:tc>
          <w:tcPr>
            <w:tcW w:w="727"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地表水环境</w:t>
            </w:r>
          </w:p>
        </w:tc>
        <w:tc>
          <w:tcPr>
            <w:tcW w:w="1558" w:type="dxa"/>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康家围子泡</w:t>
            </w:r>
          </w:p>
        </w:tc>
        <w:tc>
          <w:tcPr>
            <w:tcW w:w="2416"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0-672、葡70-斜682平台井场位于康家围子泡东侧边缘内60m为水泡井场。</w:t>
            </w:r>
          </w:p>
        </w:tc>
        <w:tc>
          <w:tcPr>
            <w:tcW w:w="1999" w:type="dxa"/>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自然泡沼，</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无水体功能规划，</w:t>
            </w:r>
            <w:r>
              <w:rPr>
                <w:rFonts w:ascii="Times New Roman" w:hAnsi="Times New Roman" w:cs="Times New Roman"/>
                <w:color w:val="000000" w:themeColor="text1"/>
                <w:w w:val="99"/>
                <w:sz w:val="21"/>
                <w:szCs w:val="21"/>
                <w:highlight w:val="none"/>
                <w:lang w:val="en-US" w:bidi="ar-SA"/>
                <w14:textFill>
                  <w14:solidFill>
                    <w14:schemeClr w14:val="tx1"/>
                  </w14:solidFill>
                </w14:textFill>
              </w:rPr>
              <w:t>主要功能为汇集雨水</w:t>
            </w:r>
          </w:p>
        </w:tc>
        <w:tc>
          <w:tcPr>
            <w:tcW w:w="244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保护水环境质量现状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606" w:hRule="atLeast"/>
          <w:jc w:val="center"/>
        </w:trPr>
        <w:tc>
          <w:tcPr>
            <w:tcW w:w="727" w:type="dxa"/>
            <w:vMerge w:val="restart"/>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土壤环境</w:t>
            </w:r>
          </w:p>
        </w:tc>
        <w:tc>
          <w:tcPr>
            <w:tcW w:w="5973" w:type="dxa"/>
            <w:gridSpan w:val="3"/>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井场</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永久占地范围</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内土壤</w:t>
            </w:r>
          </w:p>
        </w:tc>
        <w:tc>
          <w:tcPr>
            <w:tcW w:w="244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《土壤环境质量</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 </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建设用地土壤污染风险管控标准（试行）》中第二类</w:t>
            </w:r>
          </w:p>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用地风险筛选值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606" w:hRule="atLeast"/>
          <w:jc w:val="center"/>
        </w:trPr>
        <w:tc>
          <w:tcPr>
            <w:tcW w:w="727" w:type="dxa"/>
            <w:vMerge w:val="continue"/>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5973" w:type="dxa"/>
            <w:gridSpan w:val="3"/>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井场</w:t>
            </w:r>
            <w:r>
              <w:rPr>
                <w:rFonts w:ascii="Times New Roman" w:hAnsi="Times New Roman" w:cs="Times New Roman"/>
                <w:color w:val="000000" w:themeColor="text1"/>
                <w:w w:val="99"/>
                <w:sz w:val="21"/>
                <w:szCs w:val="21"/>
                <w:highlight w:val="none"/>
                <w:lang w:val="en-US" w:bidi="ar-SA"/>
                <w14:textFill>
                  <w14:solidFill>
                    <w14:schemeClr w14:val="tx1"/>
                  </w14:solidFill>
                </w14:textFill>
              </w:rPr>
              <w:t>边界外延1km范围内的</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居民区</w:t>
            </w:r>
            <w:r>
              <w:rPr>
                <w:rFonts w:ascii="Times New Roman" w:hAnsi="Times New Roman" w:cs="Times New Roman"/>
                <w:color w:val="000000" w:themeColor="text1"/>
                <w:w w:val="99"/>
                <w:sz w:val="21"/>
                <w:szCs w:val="21"/>
                <w:highlight w:val="none"/>
                <w:lang w:val="en-US" w:bidi="ar-SA"/>
                <w14:textFill>
                  <w14:solidFill>
                    <w14:schemeClr w14:val="tx1"/>
                  </w14:solidFill>
                </w14:textFill>
              </w:rPr>
              <w:t>等土壤环境，</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主要包括村屯</w:t>
            </w:r>
            <w:r>
              <w:rPr>
                <w:rFonts w:ascii="Times New Roman" w:hAnsi="Times New Roman" w:cs="Times New Roman"/>
                <w:color w:val="000000" w:themeColor="text1"/>
                <w:w w:val="99"/>
                <w:sz w:val="21"/>
                <w:szCs w:val="21"/>
                <w:highlight w:val="none"/>
                <w:lang w:val="en-US" w:bidi="ar-SA"/>
                <w14:textFill>
                  <w14:solidFill>
                    <w14:schemeClr w14:val="tx1"/>
                  </w14:solidFill>
                </w14:textFill>
              </w:rPr>
              <w:t>等</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居住</w:t>
            </w:r>
            <w:r>
              <w:rPr>
                <w:rFonts w:ascii="Times New Roman" w:hAnsi="Times New Roman" w:cs="Times New Roman"/>
                <w:color w:val="000000" w:themeColor="text1"/>
                <w:w w:val="99"/>
                <w:sz w:val="21"/>
                <w:szCs w:val="21"/>
                <w:highlight w:val="none"/>
                <w:lang w:val="en-US" w:bidi="ar-SA"/>
                <w14:textFill>
                  <w14:solidFill>
                    <w14:schemeClr w14:val="tx1"/>
                  </w14:solidFill>
                </w14:textFill>
              </w:rPr>
              <w:t>用地</w:t>
            </w:r>
          </w:p>
        </w:tc>
        <w:tc>
          <w:tcPr>
            <w:tcW w:w="244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《土壤环境质量 建设用地土壤污染风险管控标准（试行）》（GB36600-2018）第</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一</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类用地筛选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jc w:val="center"/>
        </w:trPr>
        <w:tc>
          <w:tcPr>
            <w:tcW w:w="727"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5973" w:type="dxa"/>
            <w:gridSpan w:val="3"/>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边界外延1km范围内的土壤环境，</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以及管道、道路中心线两侧各200m</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范围内内土壤环境，主要为</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耕地</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非基本农田</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、一般</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草地（盐碱草地）</w:t>
            </w:r>
          </w:p>
        </w:tc>
        <w:tc>
          <w:tcPr>
            <w:tcW w:w="244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《土壤环境质量</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 </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农用地土壤污染风险管控标准（试行）》（GB15618-2018）中风险筛选值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247" w:hRule="atLeast"/>
          <w:jc w:val="center"/>
        </w:trPr>
        <w:tc>
          <w:tcPr>
            <w:tcW w:w="727"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生态环境</w:t>
            </w:r>
          </w:p>
        </w:tc>
        <w:tc>
          <w:tcPr>
            <w:tcW w:w="1558"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草地生态系统</w:t>
            </w: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农田</w:t>
            </w: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生态系统</w:t>
            </w:r>
          </w:p>
        </w:tc>
        <w:tc>
          <w:tcPr>
            <w:tcW w:w="4415" w:type="dxa"/>
            <w:gridSpan w:val="2"/>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井场</w:t>
            </w:r>
            <w:r>
              <w:rPr>
                <w:rFonts w:hint="eastAsia"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外扩1km以及管道、道路中心线两侧各200m</w:t>
            </w:r>
          </w:p>
        </w:tc>
        <w:tc>
          <w:tcPr>
            <w:tcW w:w="244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生态环境不受到破坏</w:t>
            </w:r>
          </w:p>
        </w:tc>
      </w:tr>
    </w:tbl>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 xml:space="preserve"> </w:t>
      </w:r>
      <w:bookmarkStart w:id="32" w:name="_Toc11954"/>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2.7 评价工作内容及重点</w:t>
      </w:r>
      <w:bookmarkEnd w:id="32"/>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评价区域的环境特征及油田开发建设项目的具体特点，在工程分析的基础上，以生态环境影响评价、土壤环境影响评价、地下水环境影响评价、环境风险评价及工程污染防治措施评价为重点，同时进行项目大气环境影响评价、声环境影响评价，环境影响经济损益分析、环境管理及监测计划等项目的评价与分析，在评价过程中力求工业污染防治与生态环境保护并重，提出相应的污染防治措施和生态保护措施及建议。</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p>
    <w:p>
      <w:pPr>
        <w:pStyle w:val="45"/>
        <w:tabs>
          <w:tab w:val="left" w:pos="1571"/>
        </w:tabs>
        <w:spacing w:line="440" w:lineRule="exact"/>
        <w:ind w:left="0"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p>
    <w:p>
      <w:pPr>
        <w:bidi w:val="0"/>
        <w:rPr>
          <w:color w:val="000000" w:themeColor="text1"/>
          <w:highlight w:val="none"/>
          <w:lang w:val="en-US"/>
          <w14:textFill>
            <w14:solidFill>
              <w14:schemeClr w14:val="tx1"/>
            </w14:solidFill>
          </w14:textFill>
        </w:rPr>
      </w:pPr>
      <w:bookmarkStart w:id="33" w:name="_Toc6410"/>
    </w:p>
    <w:p>
      <w:pPr>
        <w:pStyle w:val="4"/>
        <w:keepNext w:val="0"/>
        <w:keepLines w:val="0"/>
        <w:pageBreakBefore w:val="0"/>
        <w:widowControl w:val="0"/>
        <w:kinsoku/>
        <w:wordWrap/>
        <w:overflowPunct/>
        <w:topLinePunct w:val="0"/>
        <w:autoSpaceDE/>
        <w:autoSpaceDN/>
        <w:bidi w:val="0"/>
        <w:adjustRightInd/>
        <w:snapToGrid/>
        <w:spacing w:before="180" w:after="180" w:line="440" w:lineRule="exact"/>
        <w:ind w:left="0" w:firstLine="0"/>
        <w:textAlignment w:val="auto"/>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pPr>
      <w:bookmarkStart w:id="34" w:name="_Toc11581"/>
      <w:r>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t>3 建设项目工程分析</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3.1建设项目概况</w:t>
      </w:r>
      <w:bookmarkEnd w:id="34"/>
    </w:p>
    <w:p>
      <w:pPr>
        <w:pStyle w:val="45"/>
        <w:keepNext w:val="0"/>
        <w:keepLines w:val="0"/>
        <w:pageBreakBefore w:val="0"/>
        <w:widowControl w:val="0"/>
        <w:tabs>
          <w:tab w:val="left" w:pos="930"/>
        </w:tabs>
        <w:kinsoku/>
        <w:wordWrap/>
        <w:overflowPunct/>
        <w:topLinePunct w:val="0"/>
        <w:autoSpaceDE w:val="0"/>
        <w:autoSpaceDN w:val="0"/>
        <w:bidi w:val="0"/>
        <w:adjustRightInd/>
        <w:snapToGrid/>
        <w:spacing w:before="60" w:after="60" w:line="440" w:lineRule="exact"/>
        <w:ind w:left="0" w:firstLine="0"/>
        <w:jc w:val="both"/>
        <w:textAlignment w:val="auto"/>
        <w:outlineLvl w:val="2"/>
        <w:rPr>
          <w:color w:val="000000" w:themeColor="text1"/>
          <w:highlight w:val="none"/>
          <w:lang w:val="en-US"/>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3.1.1基本情况</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eastAsia" w:ascii="Times New Roman" w:hAnsi="Times New Roman" w:cs="Times New Roman"/>
          <w:color w:val="000000" w:themeColor="text1"/>
          <w:w w:val="99"/>
          <w:sz w:val="24"/>
          <w:szCs w:val="24"/>
          <w:highlight w:val="none"/>
          <w:lang w:eastAsia="zh-CN"/>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项目名称：</w:t>
      </w:r>
      <w:r>
        <w:rPr>
          <w:rFonts w:hint="eastAsia" w:ascii="Times New Roman" w:hAnsi="Times New Roman" w:cs="Times New Roman"/>
          <w:bCs/>
          <w:snapToGrid w:val="0"/>
          <w:color w:val="000000" w:themeColor="text1"/>
          <w:w w:val="99"/>
          <w:sz w:val="24"/>
          <w:szCs w:val="24"/>
          <w:highlight w:val="none"/>
          <w:lang w:eastAsia="zh-CN"/>
          <w14:textFill>
            <w14:solidFill>
              <w14:schemeClr w14:val="tx1"/>
            </w14:solidFill>
          </w14:textFill>
        </w:rPr>
        <w:t>采油七厂葡北油田三断块葡72-70井区深部调驱产能建设地面工程</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建设地点：</w:t>
      </w:r>
      <w:r>
        <w:rPr>
          <w:rFonts w:ascii="Times New Roman" w:hAnsi="Times New Roman" w:cs="Times New Roman"/>
          <w:snapToGrid w:val="0"/>
          <w:color w:val="000000" w:themeColor="text1"/>
          <w:w w:val="99"/>
          <w:sz w:val="24"/>
          <w:szCs w:val="24"/>
          <w:highlight w:val="none"/>
          <w14:textFill>
            <w14:solidFill>
              <w14:schemeClr w14:val="tx1"/>
            </w14:solidFill>
          </w14:textFill>
        </w:rPr>
        <w:t>黑龙江省大庆市</w:t>
      </w:r>
      <w:r>
        <w:rPr>
          <w:rFonts w:hint="eastAsia" w:ascii="Times New Roman" w:hAnsi="Times New Roman" w:cs="Times New Roman"/>
          <w:snapToGrid w:val="0"/>
          <w:color w:val="000000" w:themeColor="text1"/>
          <w:w w:val="99"/>
          <w:sz w:val="24"/>
          <w:szCs w:val="24"/>
          <w:highlight w:val="none"/>
          <w14:textFill>
            <w14:solidFill>
              <w14:schemeClr w14:val="tx1"/>
            </w14:solidFill>
          </w14:textFill>
        </w:rPr>
        <w:t>大同区</w:t>
      </w:r>
      <w:r>
        <w:rPr>
          <w:rFonts w:hint="eastAsia" w:ascii="Times New Roman" w:hAnsi="Times New Roman" w:cs="Times New Roman"/>
          <w:snapToGrid w:val="0"/>
          <w:color w:val="000000" w:themeColor="text1"/>
          <w:w w:val="99"/>
          <w:sz w:val="24"/>
          <w:szCs w:val="24"/>
          <w:highlight w:val="none"/>
          <w:lang w:eastAsia="zh-CN"/>
          <w14:textFill>
            <w14:solidFill>
              <w14:schemeClr w14:val="tx1"/>
            </w14:solidFill>
          </w14:textFill>
        </w:rPr>
        <w:t>八井子乡；</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建设性质：</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改</w:t>
      </w:r>
      <w:r>
        <w:rPr>
          <w:rFonts w:ascii="Times New Roman" w:hAnsi="Times New Roman" w:cs="Times New Roman"/>
          <w:color w:val="000000" w:themeColor="text1"/>
          <w:w w:val="99"/>
          <w:sz w:val="24"/>
          <w:szCs w:val="24"/>
          <w:highlight w:val="none"/>
          <w14:textFill>
            <w14:solidFill>
              <w14:schemeClr w14:val="tx1"/>
            </w14:solidFill>
          </w14:textFill>
        </w:rPr>
        <w:t>扩建</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建设内容</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本项目深部调区驱油利用</w:t>
      </w:r>
      <w:r>
        <w:rPr>
          <w:rFonts w:hint="eastAsia" w:ascii="Times New Roman" w:hAnsi="Times New Roman" w:cs="Times New Roman"/>
          <w:bCs/>
          <w:snapToGrid w:val="0"/>
          <w:color w:val="000000" w:themeColor="text1"/>
          <w:w w:val="99"/>
          <w:sz w:val="24"/>
          <w:szCs w:val="24"/>
          <w:highlight w:val="none"/>
          <w:lang w:eastAsia="zh-CN"/>
          <w14:textFill>
            <w14:solidFill>
              <w14:schemeClr w14:val="tx1"/>
            </w14:solidFill>
          </w14:textFill>
        </w:rPr>
        <w:t>葡北油田三断块葡72-70井区现有30口油注入井（采出井21口，注入井9口），原油管道集输、处理系统依托已建工程，本工程扩建配水间1座，新建配水阀组4套。新建注水支干线Ф114×9~0.1km，新建单井注水支线Ф60×5~4.62km。租用橇装配注站1座，配套厂区地面平整1900m</w:t>
      </w:r>
      <w:r>
        <w:rPr>
          <w:rFonts w:hint="eastAsia" w:ascii="Times New Roman" w:hAnsi="Times New Roman" w:cs="Times New Roman"/>
          <w:bCs/>
          <w:snapToGrid w:val="0"/>
          <w:color w:val="000000" w:themeColor="text1"/>
          <w:w w:val="99"/>
          <w:sz w:val="24"/>
          <w:szCs w:val="24"/>
          <w:highlight w:val="none"/>
          <w:vertAlign w:val="superscript"/>
          <w:lang w:eastAsia="zh-CN"/>
          <w14:textFill>
            <w14:solidFill>
              <w14:schemeClr w14:val="tx1"/>
            </w14:solidFill>
          </w14:textFill>
        </w:rPr>
        <w:t>2</w:t>
      </w:r>
      <w:r>
        <w:rPr>
          <w:rFonts w:hint="eastAsia" w:ascii="Times New Roman" w:hAnsi="Times New Roman" w:cs="Times New Roman"/>
          <w:bCs/>
          <w:snapToGrid w:val="0"/>
          <w:color w:val="000000" w:themeColor="text1"/>
          <w:w w:val="99"/>
          <w:sz w:val="24"/>
          <w:szCs w:val="24"/>
          <w:highlight w:val="none"/>
          <w:lang w:eastAsia="zh-CN"/>
          <w14:textFill>
            <w14:solidFill>
              <w14:schemeClr w14:val="tx1"/>
            </w14:solidFill>
          </w14:textFill>
        </w:rPr>
        <w:t>，4m宽水泥路120m，水泥回车场地225m</w:t>
      </w:r>
      <w:r>
        <w:rPr>
          <w:rFonts w:hint="eastAsia" w:ascii="Times New Roman" w:hAnsi="Times New Roman" w:cs="Times New Roman"/>
          <w:bCs/>
          <w:snapToGrid w:val="0"/>
          <w:color w:val="000000" w:themeColor="text1"/>
          <w:w w:val="99"/>
          <w:sz w:val="24"/>
          <w:szCs w:val="24"/>
          <w:highlight w:val="none"/>
          <w:vertAlign w:val="superscript"/>
          <w:lang w:eastAsia="zh-CN"/>
          <w14:textFill>
            <w14:solidFill>
              <w14:schemeClr w14:val="tx1"/>
            </w14:solidFill>
          </w14:textFill>
        </w:rPr>
        <w:t>2</w:t>
      </w:r>
      <w:r>
        <w:rPr>
          <w:rFonts w:hint="eastAsia" w:ascii="Times New Roman" w:hAnsi="Times New Roman" w:cs="Times New Roman"/>
          <w:bCs/>
          <w:snapToGrid w:val="0"/>
          <w:color w:val="000000" w:themeColor="text1"/>
          <w:w w:val="99"/>
          <w:sz w:val="24"/>
          <w:szCs w:val="24"/>
          <w:highlight w:val="none"/>
          <w:lang w:eastAsia="zh-CN"/>
          <w14:textFill>
            <w14:solidFill>
              <w14:schemeClr w14:val="tx1"/>
            </w14:solidFill>
          </w14:textFill>
        </w:rPr>
        <w:t>，新建进站砂石路0.1km</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bCs/>
          <w:snapToGrid w:val="0"/>
          <w:color w:val="000000" w:themeColor="text1"/>
          <w:w w:val="99"/>
          <w:sz w:val="24"/>
          <w:szCs w:val="24"/>
          <w:highlight w:val="none"/>
          <w:lang w:eastAsia="zh-CN"/>
          <w14:textFill>
            <w14:solidFill>
              <w14:schemeClr w14:val="tx1"/>
            </w14:solidFill>
          </w14:textFill>
        </w:rPr>
        <w:t>配注站新建用电负荷380.95kW，为配注站负荷新建500kVA(6.3±5% /0.4kV）变压器1台，新建6kV线路0.3km，迁建占压已建变压器杆1基。</w:t>
      </w:r>
    </w:p>
    <w:p>
      <w:pPr>
        <w:keepNext w:val="0"/>
        <w:keepLines w:val="0"/>
        <w:pageBreakBefore w:val="0"/>
        <w:widowControl w:val="0"/>
        <w:kinsoku/>
        <w:wordWrap/>
        <w:overflowPunct/>
        <w:topLinePunct w:val="0"/>
        <w:autoSpaceDE w:val="0"/>
        <w:autoSpaceDN w:val="0"/>
        <w:bidi w:val="0"/>
        <w:adjustRightInd/>
        <w:snapToGrid/>
        <w:spacing w:line="440" w:lineRule="exact"/>
        <w:ind w:firstLine="434" w:firstLineChars="200"/>
        <w:jc w:val="both"/>
        <w:textAlignment w:val="auto"/>
        <w:rPr>
          <w:rFonts w:ascii="Times New Roman" w:hAnsi="Times New Roman" w:cs="Times New Roman"/>
          <w:color w:val="000000" w:themeColor="text1"/>
          <w:spacing w:val="-13"/>
          <w:w w:val="99"/>
          <w:sz w:val="24"/>
          <w:szCs w:val="24"/>
          <w:highlight w:val="none"/>
          <w14:textFill>
            <w14:solidFill>
              <w14:schemeClr w14:val="tx1"/>
            </w14:solidFill>
          </w14:textFill>
        </w:rPr>
      </w:pPr>
      <w:r>
        <w:rPr>
          <w:rFonts w:ascii="Times New Roman" w:hAnsi="Times New Roman" w:cs="Times New Roman"/>
          <w:color w:val="000000" w:themeColor="text1"/>
          <w:spacing w:val="-10"/>
          <w:w w:val="99"/>
          <w:sz w:val="24"/>
          <w:szCs w:val="24"/>
          <w:highlight w:val="none"/>
          <w14:textFill>
            <w14:solidFill>
              <w14:schemeClr w14:val="tx1"/>
            </w14:solidFill>
          </w14:textFill>
        </w:rPr>
        <w:t>占地面积：</w:t>
      </w:r>
      <w:r>
        <w:rPr>
          <w:rFonts w:hint="eastAsia" w:ascii="Times New Roman" w:hAnsi="Times New Roman" w:cs="Times New Roman"/>
          <w:color w:val="000000" w:themeColor="text1"/>
          <w:spacing w:val="-10"/>
          <w:w w:val="99"/>
          <w:sz w:val="24"/>
          <w:szCs w:val="24"/>
          <w:highlight w:val="none"/>
          <w14:textFill>
            <w14:solidFill>
              <w14:schemeClr w14:val="tx1"/>
            </w14:solidFill>
          </w14:textFill>
        </w:rPr>
        <w:t>项目新增占地</w:t>
      </w:r>
      <w:r>
        <w:rPr>
          <w:rFonts w:ascii="Times New Roman" w:hAnsi="Times New Roman" w:cs="Times New Roman"/>
          <w:color w:val="000000" w:themeColor="text1"/>
          <w:spacing w:val="-10"/>
          <w:w w:val="99"/>
          <w:sz w:val="24"/>
          <w:szCs w:val="24"/>
          <w:highlight w:val="none"/>
          <w14:textFill>
            <w14:solidFill>
              <w14:schemeClr w14:val="tx1"/>
            </w14:solidFill>
          </w14:textFill>
        </w:rPr>
        <w:t>面积</w:t>
      </w:r>
      <w:r>
        <w:rPr>
          <w:rFonts w:hint="eastAsia" w:ascii="Times New Roman" w:hAnsi="Times New Roman" w:cs="Times New Roman"/>
          <w:color w:val="000000" w:themeColor="text1"/>
          <w:spacing w:val="-10"/>
          <w:w w:val="99"/>
          <w:sz w:val="24"/>
          <w:szCs w:val="24"/>
          <w:highlight w:val="none"/>
          <w:lang w:val="en-US" w:eastAsia="zh-CN"/>
          <w14:textFill>
            <w14:solidFill>
              <w14:schemeClr w14:val="tx1"/>
            </w14:solidFill>
          </w14:textFill>
        </w:rPr>
        <w:t>4.97</w:t>
      </w:r>
      <w:r>
        <w:rPr>
          <w:rFonts w:ascii="Times New Roman" w:hAnsi="Times New Roman" w:cs="Times New Roman"/>
          <w:color w:val="000000" w:themeColor="text1"/>
          <w:spacing w:val="-10"/>
          <w:w w:val="99"/>
          <w:sz w:val="24"/>
          <w:szCs w:val="24"/>
          <w:highlight w:val="none"/>
          <w14:textFill>
            <w14:solidFill>
              <w14:schemeClr w14:val="tx1"/>
            </w14:solidFill>
          </w14:textFill>
        </w:rPr>
        <w:t>hm</w:t>
      </w:r>
      <w:r>
        <w:rPr>
          <w:rFonts w:ascii="Times New Roman" w:hAnsi="Times New Roman" w:cs="Times New Roman"/>
          <w:color w:val="000000" w:themeColor="text1"/>
          <w:spacing w:val="-10"/>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spacing w:val="-10"/>
          <w:w w:val="99"/>
          <w:sz w:val="24"/>
          <w:szCs w:val="24"/>
          <w:highlight w:val="none"/>
          <w14:textFill>
            <w14:solidFill>
              <w14:schemeClr w14:val="tx1"/>
            </w14:solidFill>
          </w14:textFill>
        </w:rPr>
        <w:t>，</w:t>
      </w:r>
      <w:r>
        <w:rPr>
          <w:rFonts w:hint="eastAsia" w:ascii="Times New Roman" w:hAnsi="Times New Roman" w:cs="Times New Roman"/>
          <w:color w:val="000000" w:themeColor="text1"/>
          <w:spacing w:val="-10"/>
          <w:w w:val="99"/>
          <w:sz w:val="24"/>
          <w:szCs w:val="24"/>
          <w:highlight w:val="none"/>
          <w14:textFill>
            <w14:solidFill>
              <w14:schemeClr w14:val="tx1"/>
            </w14:solidFill>
          </w14:textFill>
        </w:rPr>
        <w:t>其中</w:t>
      </w:r>
      <w:r>
        <w:rPr>
          <w:rFonts w:ascii="Times New Roman" w:hAnsi="Times New Roman" w:cs="Times New Roman"/>
          <w:color w:val="000000" w:themeColor="text1"/>
          <w:spacing w:val="-10"/>
          <w:w w:val="99"/>
          <w:sz w:val="24"/>
          <w:szCs w:val="24"/>
          <w:highlight w:val="none"/>
          <w14:textFill>
            <w14:solidFill>
              <w14:schemeClr w14:val="tx1"/>
            </w14:solidFill>
          </w14:textFill>
        </w:rPr>
        <w:t>永久占地</w:t>
      </w:r>
      <w:r>
        <w:rPr>
          <w:rFonts w:ascii="Times New Roman" w:hAnsi="Times New Roman" w:cs="Times New Roman"/>
          <w:color w:val="000000" w:themeColor="text1"/>
          <w:spacing w:val="-10"/>
          <w:w w:val="99"/>
          <w:sz w:val="24"/>
          <w:szCs w:val="24"/>
          <w:highlight w:val="none"/>
          <w:lang w:val="en-US"/>
          <w14:textFill>
            <w14:solidFill>
              <w14:schemeClr w14:val="tx1"/>
            </w14:solidFill>
          </w14:textFill>
        </w:rPr>
        <w:t>0</w:t>
      </w:r>
      <w:r>
        <w:rPr>
          <w:rFonts w:hint="eastAsia" w:ascii="Times New Roman" w:hAnsi="Times New Roman" w:cs="Times New Roman"/>
          <w:color w:val="000000" w:themeColor="text1"/>
          <w:spacing w:val="-10"/>
          <w:w w:val="99"/>
          <w:sz w:val="24"/>
          <w:szCs w:val="24"/>
          <w:highlight w:val="none"/>
          <w:lang w:val="en-US" w:eastAsia="zh-CN"/>
          <w14:textFill>
            <w14:solidFill>
              <w14:schemeClr w14:val="tx1"/>
            </w14:solidFill>
          </w14:textFill>
        </w:rPr>
        <w:t>.25</w:t>
      </w:r>
      <w:r>
        <w:rPr>
          <w:rFonts w:ascii="Times New Roman" w:hAnsi="Times New Roman" w:cs="Times New Roman"/>
          <w:color w:val="000000" w:themeColor="text1"/>
          <w:spacing w:val="-10"/>
          <w:w w:val="99"/>
          <w:sz w:val="24"/>
          <w:szCs w:val="24"/>
          <w:highlight w:val="none"/>
          <w14:textFill>
            <w14:solidFill>
              <w14:schemeClr w14:val="tx1"/>
            </w14:solidFill>
          </w14:textFill>
        </w:rPr>
        <w:t>hm</w:t>
      </w:r>
      <w:r>
        <w:rPr>
          <w:rFonts w:ascii="Times New Roman" w:hAnsi="Times New Roman" w:cs="Times New Roman"/>
          <w:color w:val="000000" w:themeColor="text1"/>
          <w:spacing w:val="-10"/>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spacing w:val="-10"/>
          <w:w w:val="99"/>
          <w:sz w:val="24"/>
          <w:szCs w:val="24"/>
          <w:highlight w:val="none"/>
          <w14:textFill>
            <w14:solidFill>
              <w14:schemeClr w14:val="tx1"/>
            </w14:solidFill>
          </w14:textFill>
        </w:rPr>
        <w:t>，临时占地</w:t>
      </w:r>
      <w:r>
        <w:rPr>
          <w:rFonts w:hint="eastAsia" w:ascii="Times New Roman" w:hAnsi="Times New Roman" w:cs="Times New Roman"/>
          <w:color w:val="000000" w:themeColor="text1"/>
          <w:spacing w:val="-10"/>
          <w:w w:val="99"/>
          <w:sz w:val="24"/>
          <w:szCs w:val="24"/>
          <w:highlight w:val="none"/>
          <w:lang w:val="en-US" w:eastAsia="zh-CN"/>
          <w14:textFill>
            <w14:solidFill>
              <w14:schemeClr w14:val="tx1"/>
            </w14:solidFill>
          </w14:textFill>
        </w:rPr>
        <w:t>4.72</w:t>
      </w:r>
      <w:r>
        <w:rPr>
          <w:rFonts w:ascii="Times New Roman" w:hAnsi="Times New Roman" w:cs="Times New Roman"/>
          <w:color w:val="000000" w:themeColor="text1"/>
          <w:spacing w:val="-10"/>
          <w:w w:val="99"/>
          <w:sz w:val="24"/>
          <w:szCs w:val="24"/>
          <w:highlight w:val="none"/>
          <w14:textFill>
            <w14:solidFill>
              <w14:schemeClr w14:val="tx1"/>
            </w14:solidFill>
          </w14:textFill>
        </w:rPr>
        <w:t>hm</w:t>
      </w:r>
      <w:r>
        <w:rPr>
          <w:rFonts w:ascii="Times New Roman" w:hAnsi="Times New Roman" w:cs="Times New Roman"/>
          <w:color w:val="000000" w:themeColor="text1"/>
          <w:spacing w:val="-10"/>
          <w:w w:val="99"/>
          <w:sz w:val="24"/>
          <w:szCs w:val="24"/>
          <w:highlight w:val="none"/>
          <w:vertAlign w:val="superscript"/>
          <w14:textFill>
            <w14:solidFill>
              <w14:schemeClr w14:val="tx1"/>
            </w14:solidFill>
          </w14:textFill>
        </w:rPr>
        <w:t>2</w:t>
      </w:r>
      <w:r>
        <w:rPr>
          <w:rFonts w:hint="eastAsia" w:ascii="Times New Roman" w:hAnsi="Times New Roman" w:cs="Times New Roman"/>
          <w:color w:val="000000" w:themeColor="text1"/>
          <w:spacing w:val="-10"/>
          <w:w w:val="99"/>
          <w:sz w:val="24"/>
          <w:szCs w:val="24"/>
          <w:highlight w:val="none"/>
          <w:lang w:val="en-US"/>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70"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spacing w:val="-1"/>
          <w:w w:val="99"/>
          <w:sz w:val="24"/>
          <w:szCs w:val="24"/>
          <w:highlight w:val="none"/>
          <w14:textFill>
            <w14:solidFill>
              <w14:schemeClr w14:val="tx1"/>
            </w14:solidFill>
          </w14:textFill>
        </w:rPr>
        <w:t>工程投资：</w:t>
      </w:r>
      <w:r>
        <w:rPr>
          <w:rFonts w:hint="eastAsia" w:ascii="Times New Roman" w:hAnsi="Times New Roman" w:cs="Times New Roman"/>
          <w:color w:val="000000" w:themeColor="text1"/>
          <w:spacing w:val="-1"/>
          <w:w w:val="99"/>
          <w:sz w:val="24"/>
          <w:szCs w:val="24"/>
          <w:highlight w:val="none"/>
          <w:lang w:val="en-US" w:eastAsia="zh-CN"/>
          <w14:textFill>
            <w14:solidFill>
              <w14:schemeClr w14:val="tx1"/>
            </w14:solidFill>
          </w14:textFill>
        </w:rPr>
        <w:t>558.3</w:t>
      </w:r>
      <w:r>
        <w:rPr>
          <w:rFonts w:ascii="Times New Roman" w:hAnsi="Times New Roman" w:cs="Times New Roman"/>
          <w:color w:val="000000" w:themeColor="text1"/>
          <w:w w:val="99"/>
          <w:sz w:val="24"/>
          <w:szCs w:val="24"/>
          <w:highlight w:val="none"/>
          <w14:textFill>
            <w14:solidFill>
              <w14:schemeClr w14:val="tx1"/>
            </w14:solidFill>
          </w14:textFill>
        </w:rPr>
        <w:t>万元。</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施工</w:t>
      </w:r>
      <w:r>
        <w:rPr>
          <w:rFonts w:ascii="Times New Roman" w:hAnsi="Times New Roman" w:cs="Times New Roman"/>
          <w:color w:val="000000" w:themeColor="text1"/>
          <w:w w:val="99"/>
          <w:sz w:val="24"/>
          <w:szCs w:val="24"/>
          <w:highlight w:val="none"/>
          <w14:textFill>
            <w14:solidFill>
              <w14:schemeClr w14:val="tx1"/>
            </w14:solidFill>
          </w14:textFill>
        </w:rPr>
        <w:t>时段：</w:t>
      </w:r>
      <w:r>
        <w:rPr>
          <w:rFonts w:hint="eastAsia" w:ascii="Times New Roman" w:hAnsi="Times New Roman" w:cs="Times New Roman"/>
          <w:color w:val="000000" w:themeColor="text1"/>
          <w:w w:val="99"/>
          <w:sz w:val="24"/>
          <w:szCs w:val="24"/>
          <w:highlight w:val="none"/>
          <w14:textFill>
            <w14:solidFill>
              <w14:schemeClr w14:val="tx1"/>
            </w14:solidFill>
          </w14:textFill>
        </w:rPr>
        <w:t>预计</w:t>
      </w:r>
      <w:r>
        <w:rPr>
          <w:rFonts w:ascii="Times New Roman" w:hAnsi="Times New Roman" w:cs="Times New Roman"/>
          <w:color w:val="000000" w:themeColor="text1"/>
          <w:w w:val="99"/>
          <w:sz w:val="24"/>
          <w:szCs w:val="24"/>
          <w:highlight w:val="none"/>
          <w14:textFill>
            <w14:solidFill>
              <w14:schemeClr w14:val="tx1"/>
            </w14:solidFill>
          </w14:textFill>
        </w:rPr>
        <w:t>本项目施工期</w:t>
      </w:r>
      <w:r>
        <w:rPr>
          <w:rFonts w:hint="eastAsia" w:ascii="Times New Roman" w:hAnsi="Times New Roman" w:cs="Times New Roman"/>
          <w:color w:val="000000" w:themeColor="text1"/>
          <w:w w:val="99"/>
          <w:sz w:val="24"/>
          <w:szCs w:val="24"/>
          <w:highlight w:val="none"/>
          <w14:textFill>
            <w14:solidFill>
              <w14:schemeClr w14:val="tx1"/>
            </w14:solidFill>
          </w14:textFill>
        </w:rPr>
        <w:t>为202</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w w:val="99"/>
          <w:sz w:val="24"/>
          <w:szCs w:val="24"/>
          <w:highlight w:val="none"/>
          <w14:textFill>
            <w14:solidFill>
              <w14:schemeClr w14:val="tx1"/>
            </w14:solidFill>
          </w14:textFill>
        </w:rPr>
        <w:t>年</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w w:val="99"/>
          <w:sz w:val="24"/>
          <w:szCs w:val="24"/>
          <w:highlight w:val="none"/>
          <w14:textFill>
            <w14:solidFill>
              <w14:schemeClr w14:val="tx1"/>
            </w14:solidFill>
          </w14:textFill>
        </w:rPr>
        <w:t>月</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2021年</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5</w:t>
      </w:r>
      <w:r>
        <w:rPr>
          <w:rFonts w:hint="eastAsia" w:ascii="Times New Roman" w:hAnsi="Times New Roman" w:cs="Times New Roman"/>
          <w:color w:val="000000" w:themeColor="text1"/>
          <w:w w:val="99"/>
          <w:sz w:val="24"/>
          <w:szCs w:val="24"/>
          <w:highlight w:val="none"/>
          <w14:textFill>
            <w14:solidFill>
              <w14:schemeClr w14:val="tx1"/>
            </w14:solidFill>
          </w14:textFill>
        </w:rPr>
        <w:t>月。</w:t>
      </w:r>
    </w:p>
    <w:p>
      <w:pPr>
        <w:pStyle w:val="45"/>
        <w:keepNext w:val="0"/>
        <w:keepLines w:val="0"/>
        <w:pageBreakBefore w:val="0"/>
        <w:widowControl w:val="0"/>
        <w:tabs>
          <w:tab w:val="left" w:pos="930"/>
        </w:tabs>
        <w:kinsoku/>
        <w:wordWrap/>
        <w:overflowPunct/>
        <w:topLinePunct w:val="0"/>
        <w:autoSpaceDE w:val="0"/>
        <w:autoSpaceDN w:val="0"/>
        <w:bidi w:val="0"/>
        <w:adjustRightInd/>
        <w:snapToGrid/>
        <w:spacing w:before="60" w:after="60" w:line="440" w:lineRule="exact"/>
        <w:ind w:left="0" w:firstLine="0"/>
        <w:jc w:val="both"/>
        <w:textAlignment w:val="auto"/>
        <w:outlineLvl w:val="2"/>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rFonts w:hint="eastAsia" w:ascii="Times New Roman" w:hAnsi="Times New Roman" w:eastAsia="黑体" w:cs="Times New Roman"/>
          <w:b/>
          <w:bCs/>
          <w:color w:val="000000" w:themeColor="text1"/>
          <w:w w:val="99"/>
          <w:sz w:val="24"/>
          <w:szCs w:val="24"/>
          <w:highlight w:val="none"/>
          <w:lang w:val="en-US" w:eastAsia="zh-CN"/>
          <w14:textFill>
            <w14:solidFill>
              <w14:schemeClr w14:val="tx1"/>
            </w14:solidFill>
          </w14:textFill>
        </w:rPr>
        <w:t>3.1.2</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项目组成</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default" w:ascii="Times New Roman" w:hAnsi="Times New Roman" w:cs="Times New Roman"/>
          <w:color w:val="000000" w:themeColor="text1"/>
          <w:w w:val="99"/>
          <w:sz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本工程项目组成情况见表</w:t>
      </w:r>
      <w:r>
        <w:rPr>
          <w:rFonts w:ascii="Times New Roman" w:hAnsi="Times New Roman" w:eastAsia="Times New Roman" w:cs="Times New Roman"/>
          <w:color w:val="000000" w:themeColor="text1"/>
          <w:w w:val="99"/>
          <w:sz w:val="24"/>
          <w:szCs w:val="24"/>
          <w:highlight w:val="none"/>
          <w14:textFill>
            <w14:solidFill>
              <w14:schemeClr w14:val="tx1"/>
            </w14:solidFill>
          </w14:textFill>
        </w:rPr>
        <w:t>3.</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1</w:t>
      </w:r>
      <w:r>
        <w:rPr>
          <w:rFonts w:ascii="Times New Roman" w:hAnsi="Times New Roman" w:eastAsia="Times New Roman" w:cs="Times New Roman"/>
          <w:color w:val="000000" w:themeColor="text1"/>
          <w:w w:val="99"/>
          <w:sz w:val="24"/>
          <w:szCs w:val="24"/>
          <w:highlight w:val="none"/>
          <w14:textFill>
            <w14:solidFill>
              <w14:schemeClr w14:val="tx1"/>
            </w14:solidFill>
          </w14:textFill>
        </w:rPr>
        <w:t>-1</w:t>
      </w:r>
      <w:r>
        <w:rPr>
          <w:rFonts w:hint="default" w:ascii="Times New Roman" w:hAnsi="Times New Roman" w:cs="Times New Roman"/>
          <w:color w:val="000000" w:themeColor="text1"/>
          <w:w w:val="99"/>
          <w:sz w:val="24"/>
          <w:highlight w:val="none"/>
          <w14:textFill>
            <w14:solidFill>
              <w14:schemeClr w14:val="tx1"/>
            </w14:solidFill>
          </w14:textFill>
        </w:rPr>
        <w:t>。</w:t>
      </w:r>
    </w:p>
    <w:p>
      <w:pPr>
        <w:widowControl w:val="0"/>
        <w:autoSpaceDE/>
        <w:autoSpaceDN/>
        <w:spacing w:line="440" w:lineRule="exact"/>
        <w:ind w:firstLine="476" w:firstLineChars="200"/>
        <w:rPr>
          <w:rFonts w:ascii="Times New Roman" w:hAnsi="Times New Roman" w:cs="Times New Roman" w:eastAsiaTheme="minorEastAsia"/>
          <w:b/>
          <w:snapToGrid w:val="0"/>
          <w:color w:val="000000" w:themeColor="text1"/>
          <w:w w:val="99"/>
          <w:sz w:val="24"/>
          <w:szCs w:val="24"/>
          <w:highlight w:val="none"/>
          <w:lang w:val="en-US" w:bidi="ar-SA"/>
          <w14:textFill>
            <w14:solidFill>
              <w14:schemeClr w14:val="tx1"/>
            </w14:solidFill>
          </w14:textFill>
        </w:rPr>
      </w:pPr>
      <w:r>
        <w:rPr>
          <w:rFonts w:ascii="Times New Roman" w:hAnsi="Times New Roman" w:cs="Times New Roman" w:eastAsiaTheme="minorEastAsia"/>
          <w:b/>
          <w:snapToGrid w:val="0"/>
          <w:color w:val="000000" w:themeColor="text1"/>
          <w:w w:val="99"/>
          <w:sz w:val="24"/>
          <w:szCs w:val="24"/>
          <w:highlight w:val="none"/>
          <w:lang w:val="en-US" w:bidi="ar-SA"/>
          <w14:textFill>
            <w14:solidFill>
              <w14:schemeClr w14:val="tx1"/>
            </w14:solidFill>
          </w14:textFill>
        </w:rPr>
        <w:t>表3.</w:t>
      </w:r>
      <w:r>
        <w:rPr>
          <w:rFonts w:hint="eastAsia" w:ascii="Times New Roman" w:hAnsi="Times New Roman" w:cs="Times New Roman" w:eastAsiaTheme="minorEastAsia"/>
          <w:b/>
          <w:snapToGrid w:val="0"/>
          <w:color w:val="000000" w:themeColor="text1"/>
          <w:w w:val="99"/>
          <w:sz w:val="24"/>
          <w:szCs w:val="24"/>
          <w:highlight w:val="none"/>
          <w:lang w:val="en-US" w:eastAsia="zh-CN" w:bidi="ar-SA"/>
          <w14:textFill>
            <w14:solidFill>
              <w14:schemeClr w14:val="tx1"/>
            </w14:solidFill>
          </w14:textFill>
        </w:rPr>
        <w:t>1</w:t>
      </w:r>
      <w:r>
        <w:rPr>
          <w:rFonts w:ascii="Times New Roman" w:hAnsi="Times New Roman" w:cs="Times New Roman" w:eastAsiaTheme="minorEastAsia"/>
          <w:b/>
          <w:snapToGrid w:val="0"/>
          <w:color w:val="000000" w:themeColor="text1"/>
          <w:w w:val="99"/>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snapToGrid w:val="0"/>
          <w:color w:val="000000" w:themeColor="text1"/>
          <w:w w:val="99"/>
          <w:sz w:val="24"/>
          <w:szCs w:val="24"/>
          <w:highlight w:val="none"/>
          <w:lang w:val="en-US" w:bidi="ar-SA"/>
          <w14:textFill>
            <w14:solidFill>
              <w14:schemeClr w14:val="tx1"/>
            </w14:solidFill>
          </w14:textFill>
        </w:rPr>
        <w:t xml:space="preserve">  </w:t>
      </w:r>
      <w:r>
        <w:rPr>
          <w:rFonts w:ascii="Times New Roman" w:hAnsi="Times New Roman" w:cs="Times New Roman" w:eastAsiaTheme="minorEastAsia"/>
          <w:b/>
          <w:snapToGrid w:val="0"/>
          <w:color w:val="000000" w:themeColor="text1"/>
          <w:w w:val="99"/>
          <w:sz w:val="24"/>
          <w:szCs w:val="24"/>
          <w:highlight w:val="none"/>
          <w:lang w:val="en-US" w:bidi="ar-SA"/>
          <w14:textFill>
            <w14:solidFill>
              <w14:schemeClr w14:val="tx1"/>
            </w14:solidFill>
          </w14:textFill>
        </w:rPr>
        <w:t xml:space="preserve">   </w:t>
      </w:r>
      <w:r>
        <w:rPr>
          <w:rFonts w:hint="eastAsia" w:ascii="Times New Roman" w:hAnsi="Times New Roman" w:cs="Times New Roman" w:eastAsiaTheme="minorEastAsia"/>
          <w:b/>
          <w:snapToGrid w:val="0"/>
          <w:color w:val="000000" w:themeColor="text1"/>
          <w:w w:val="99"/>
          <w:sz w:val="24"/>
          <w:szCs w:val="24"/>
          <w:highlight w:val="none"/>
          <w:lang w:val="en-US" w:eastAsia="zh-CN" w:bidi="ar-SA"/>
          <w14:textFill>
            <w14:solidFill>
              <w14:schemeClr w14:val="tx1"/>
            </w14:solidFill>
          </w14:textFill>
        </w:rPr>
        <w:t xml:space="preserve">   </w:t>
      </w:r>
      <w:r>
        <w:rPr>
          <w:rFonts w:ascii="Times New Roman" w:hAnsi="Times New Roman" w:cs="Times New Roman" w:eastAsiaTheme="minorEastAsia"/>
          <w:b/>
          <w:snapToGrid w:val="0"/>
          <w:color w:val="000000" w:themeColor="text1"/>
          <w:w w:val="99"/>
          <w:sz w:val="24"/>
          <w:szCs w:val="24"/>
          <w:highlight w:val="none"/>
          <w:lang w:val="en-US" w:bidi="ar-SA"/>
          <w14:textFill>
            <w14:solidFill>
              <w14:schemeClr w14:val="tx1"/>
            </w14:solidFill>
          </w14:textFill>
        </w:rPr>
        <w:t>本工程项目组成一览表</w:t>
      </w:r>
    </w:p>
    <w:tbl>
      <w:tblPr>
        <w:tblStyle w:val="32"/>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555"/>
        <w:gridCol w:w="982"/>
        <w:gridCol w:w="5953"/>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bookmarkStart w:id="35" w:name="_Toc11047677"/>
            <w:r>
              <w:rPr>
                <w:rFonts w:hint="default" w:ascii="Times New Roman" w:hAnsi="Times New Roman" w:cs="Times New Roman"/>
                <w:color w:val="000000" w:themeColor="text1"/>
                <w:w w:val="99"/>
                <w:sz w:val="21"/>
                <w:szCs w:val="21"/>
                <w:highlight w:val="none"/>
                <w:lang w:bidi="ar-SA"/>
                <w14:textFill>
                  <w14:solidFill>
                    <w14:schemeClr w14:val="tx1"/>
                  </w14:solidFill>
                </w14:textFill>
              </w:rPr>
              <w:t>工程类别</w:t>
            </w:r>
            <w:bookmarkEnd w:id="35"/>
          </w:p>
        </w:tc>
        <w:tc>
          <w:tcPr>
            <w:tcW w:w="1537" w:type="dxa"/>
            <w:gridSpan w:val="2"/>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bookmarkStart w:id="36" w:name="_Toc11047678"/>
            <w:r>
              <w:rPr>
                <w:rFonts w:hint="default" w:ascii="Times New Roman" w:hAnsi="Times New Roman" w:cs="Times New Roman"/>
                <w:color w:val="000000" w:themeColor="text1"/>
                <w:w w:val="99"/>
                <w:sz w:val="21"/>
                <w:szCs w:val="21"/>
                <w:highlight w:val="none"/>
                <w:lang w:bidi="ar-SA"/>
                <w14:textFill>
                  <w14:solidFill>
                    <w14:schemeClr w14:val="tx1"/>
                  </w14:solidFill>
                </w14:textFill>
              </w:rPr>
              <w:t>工程名称</w:t>
            </w:r>
            <w:bookmarkEnd w:id="36"/>
            <w:bookmarkStart w:id="37" w:name="_Toc11047680"/>
          </w:p>
        </w:tc>
        <w:tc>
          <w:tcPr>
            <w:tcW w:w="5953"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规模及建设内容</w:t>
            </w:r>
            <w:bookmarkEnd w:id="37"/>
          </w:p>
        </w:tc>
        <w:tc>
          <w:tcPr>
            <w:tcW w:w="645"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bookmarkStart w:id="38" w:name="_Toc11047682"/>
            <w:r>
              <w:rPr>
                <w:rFonts w:hint="default" w:ascii="Times New Roman" w:hAnsi="Times New Roman" w:cs="Times New Roman"/>
                <w:color w:val="000000" w:themeColor="text1"/>
                <w:w w:val="99"/>
                <w:sz w:val="21"/>
                <w:szCs w:val="21"/>
                <w:highlight w:val="none"/>
                <w:lang w:bidi="ar-SA"/>
                <w14:textFill>
                  <w14:solidFill>
                    <w14:schemeClr w14:val="tx1"/>
                  </w14:solidFill>
                </w14:textFill>
              </w:rPr>
              <w:t>主体工程</w:t>
            </w:r>
            <w:bookmarkEnd w:id="38"/>
          </w:p>
        </w:tc>
        <w:tc>
          <w:tcPr>
            <w:tcW w:w="1537" w:type="dxa"/>
            <w:gridSpan w:val="2"/>
            <w:tcBorders>
              <w:tl2br w:val="nil"/>
              <w:tr2bl w:val="nil"/>
            </w:tcBorders>
            <w:vAlign w:val="center"/>
          </w:tcPr>
          <w:p>
            <w:pPr>
              <w:adjustRightIn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14:textFill>
                  <w14:solidFill>
                    <w14:schemeClr w14:val="tx1"/>
                  </w14:solidFill>
                </w14:textFill>
              </w:rPr>
              <w:t>原油集输工程</w:t>
            </w:r>
          </w:p>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5953" w:type="dxa"/>
            <w:tcBorders>
              <w:tl2br w:val="nil"/>
              <w:tr2bl w:val="nil"/>
            </w:tcBorders>
            <w:vAlign w:val="center"/>
          </w:tcPr>
          <w:p>
            <w:pPr>
              <w:adjustRightInd w:val="0"/>
              <w:spacing w:line="360" w:lineRule="exact"/>
              <w:jc w:val="both"/>
              <w:rPr>
                <w:rFonts w:hint="default"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Fonts w:hint="default" w:ascii="Times New Roman" w:hAnsi="Times New Roman" w:cs="Times New Roman"/>
                <w:color w:val="000000" w:themeColor="text1"/>
                <w:w w:val="99"/>
                <w:sz w:val="21"/>
                <w:szCs w:val="21"/>
                <w:highlight w:val="none"/>
                <w14:textFill>
                  <w14:solidFill>
                    <w14:schemeClr w14:val="tx1"/>
                  </w14:solidFill>
                </w14:textFill>
              </w:rPr>
              <w:t>本工程利用</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已建</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油井</w:t>
            </w:r>
            <w:r>
              <w:rPr>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t>21</w:t>
            </w:r>
            <w:r>
              <w:rPr>
                <w:rFonts w:hint="default" w:ascii="Times New Roman" w:hAnsi="Times New Roman" w:cs="Times New Roman"/>
                <w:color w:val="000000" w:themeColor="text1"/>
                <w:w w:val="99"/>
                <w:sz w:val="21"/>
                <w:szCs w:val="21"/>
                <w:highlight w:val="none"/>
                <w14:textFill>
                  <w14:solidFill>
                    <w14:schemeClr w14:val="tx1"/>
                  </w14:solidFill>
                </w14:textFill>
              </w:rPr>
              <w:t>口，</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油井采出液</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采用单管环状掺水集油工艺流程</w:t>
            </w:r>
            <w:r>
              <w:rPr>
                <w:rFonts w:hint="default" w:ascii="Times New Roman" w:hAnsi="Times New Roman" w:cs="Times New Roman"/>
                <w:color w:val="000000" w:themeColor="text1"/>
                <w:w w:val="99"/>
                <w:sz w:val="21"/>
                <w:szCs w:val="21"/>
                <w:highlight w:val="none"/>
                <w14:textFill>
                  <w14:solidFill>
                    <w14:schemeClr w14:val="tx1"/>
                  </w14:solidFill>
                </w14:textFill>
              </w:rPr>
              <w:t>，</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采出液经计量间分别进</w:t>
            </w:r>
            <w:r>
              <w:rPr>
                <w:rFonts w:hint="default" w:ascii="Times New Roman" w:hAnsi="Times New Roman" w:cs="Times New Roman"/>
                <w:color w:val="000000" w:themeColor="text1"/>
                <w:w w:val="99"/>
                <w:sz w:val="21"/>
                <w:szCs w:val="21"/>
                <w:highlight w:val="none"/>
                <w14:textFill>
                  <w14:solidFill>
                    <w14:schemeClr w14:val="tx1"/>
                  </w14:solidFill>
                </w14:textFill>
              </w:rPr>
              <w:t>入</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葡北9</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转油站和</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葡北10#转油站</w:t>
            </w:r>
            <w:r>
              <w:rPr>
                <w:rFonts w:hint="default" w:ascii="Times New Roman" w:hAnsi="Times New Roman" w:cs="Times New Roman"/>
                <w:color w:val="000000" w:themeColor="text1"/>
                <w:w w:val="99"/>
                <w:sz w:val="21"/>
                <w:szCs w:val="21"/>
                <w:highlight w:val="none"/>
                <w14:textFill>
                  <w14:solidFill>
                    <w14:schemeClr w14:val="tx1"/>
                  </w14:solidFill>
                </w14:textFill>
              </w:rPr>
              <w:t>后进入</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葡二联脱水站</w:t>
            </w:r>
            <w:r>
              <w:rPr>
                <w:rFonts w:hint="default" w:ascii="Times New Roman" w:hAnsi="Times New Roman" w:cs="Times New Roman"/>
                <w:color w:val="000000" w:themeColor="text1"/>
                <w:w w:val="99"/>
                <w:sz w:val="21"/>
                <w:szCs w:val="21"/>
                <w:highlight w:val="none"/>
                <w14:textFill>
                  <w14:solidFill>
                    <w14:schemeClr w14:val="tx1"/>
                  </w14:solidFill>
                </w14:textFill>
              </w:rPr>
              <w:t>。分离的含油污水由</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葡二联</w:t>
            </w:r>
            <w:r>
              <w:rPr>
                <w:rFonts w:hint="default" w:ascii="Times New Roman" w:hAnsi="Times New Roman" w:cs="Times New Roman"/>
                <w:color w:val="000000" w:themeColor="text1"/>
                <w:w w:val="99"/>
                <w:sz w:val="21"/>
                <w:szCs w:val="21"/>
                <w:highlight w:val="none"/>
                <w14:textFill>
                  <w14:solidFill>
                    <w14:schemeClr w14:val="tx1"/>
                  </w14:solidFill>
                </w14:textFill>
              </w:rPr>
              <w:t>污水处理站处理。为保证利用井高效运行，</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本工程原油管道集输、处理系统依托已建工程</w:t>
            </w:r>
            <w:r>
              <w:rPr>
                <w:rFonts w:hint="default" w:ascii="Times New Roman" w:hAnsi="Times New Roman" w:cs="Times New Roman"/>
                <w:color w:val="000000" w:themeColor="text1"/>
                <w:w w:val="99"/>
                <w:sz w:val="21"/>
                <w:szCs w:val="21"/>
                <w:highlight w:val="none"/>
                <w14:textFill>
                  <w14:solidFill>
                    <w14:schemeClr w14:val="tx1"/>
                  </w14:solidFill>
                </w14:textFill>
              </w:rPr>
              <w:t>。建成产能为1.7</w:t>
            </w:r>
            <w:r>
              <w:rPr>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w w:val="99"/>
                <w:sz w:val="21"/>
                <w:szCs w:val="21"/>
                <w:highlight w:val="none"/>
                <w14:textFill>
                  <w14:solidFill>
                    <w14:schemeClr w14:val="tx1"/>
                  </w14:solidFill>
                </w14:textFill>
              </w:rPr>
              <w:t>×10</w:t>
            </w:r>
            <w:r>
              <w:rPr>
                <w:rFonts w:hint="default" w:ascii="Times New Roman" w:hAnsi="Times New Roman" w:cs="Times New Roman"/>
                <w:color w:val="000000" w:themeColor="text1"/>
                <w:w w:val="99"/>
                <w:sz w:val="21"/>
                <w:szCs w:val="21"/>
                <w:highlight w:val="none"/>
                <w:vertAlign w:val="superscript"/>
                <w14:textFill>
                  <w14:solidFill>
                    <w14:schemeClr w14:val="tx1"/>
                  </w14:solidFill>
                </w14:textFill>
              </w:rPr>
              <w:t>4</w:t>
            </w:r>
            <w:r>
              <w:rPr>
                <w:rFonts w:hint="default" w:ascii="Times New Roman" w:hAnsi="Times New Roman" w:cs="Times New Roman"/>
                <w:color w:val="000000" w:themeColor="text1"/>
                <w:w w:val="99"/>
                <w:sz w:val="21"/>
                <w:szCs w:val="21"/>
                <w:highlight w:val="none"/>
                <w14:textFill>
                  <w14:solidFill>
                    <w14:schemeClr w14:val="tx1"/>
                  </w14:solidFill>
                </w14:textFill>
              </w:rPr>
              <w:t>t/a。</w:t>
            </w:r>
          </w:p>
        </w:tc>
        <w:tc>
          <w:tcPr>
            <w:tcW w:w="645" w:type="dxa"/>
            <w:tcBorders>
              <w:tl2br w:val="nil"/>
              <w:tr2bl w:val="nil"/>
            </w:tcBorders>
            <w:vAlign w:val="center"/>
          </w:tcPr>
          <w:p>
            <w:pPr>
              <w:widowControl/>
              <w:adjustRightInd w:val="0"/>
              <w:snapToGrid w:val="0"/>
              <w:spacing w:line="360" w:lineRule="exact"/>
              <w:jc w:val="both"/>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vMerge w:val="restart"/>
            <w:tcBorders>
              <w:tl2br w:val="nil"/>
              <w:tr2bl w:val="nil"/>
            </w:tcBorders>
            <w:vAlign w:val="center"/>
          </w:tcPr>
          <w:p>
            <w:pPr>
              <w:adjustRightInd w:val="0"/>
              <w:spacing w:line="360" w:lineRule="exact"/>
              <w:jc w:val="center"/>
              <w:rPr>
                <w:rFonts w:hint="eastAsia" w:ascii="Times New Roman" w:hAnsi="Times New Roman" w:cs="Times New Roman"/>
                <w:color w:val="000000" w:themeColor="text1"/>
                <w:w w:val="99"/>
                <w:sz w:val="21"/>
                <w:szCs w:val="21"/>
                <w:highlight w:val="none"/>
                <w:lang w:val="zh-CN" w:eastAsia="zh-CN" w:bidi="zh-CN"/>
                <w14:textFill>
                  <w14:solidFill>
                    <w14:schemeClr w14:val="tx1"/>
                  </w14:solidFill>
                </w14:textFill>
              </w:rPr>
            </w:pPr>
          </w:p>
          <w:p>
            <w:pPr>
              <w:adjustRightInd w:val="0"/>
              <w:spacing w:line="360" w:lineRule="exact"/>
              <w:jc w:val="center"/>
              <w:rPr>
                <w:rFonts w:hint="default"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注入</w:t>
            </w:r>
            <w:r>
              <w:rPr>
                <w:rFonts w:hint="default" w:ascii="Times New Roman" w:hAnsi="Times New Roman" w:cs="Times New Roman"/>
                <w:color w:val="000000" w:themeColor="text1"/>
                <w:w w:val="99"/>
                <w:sz w:val="21"/>
                <w:szCs w:val="21"/>
                <w:highlight w:val="none"/>
                <w14:textFill>
                  <w14:solidFill>
                    <w14:schemeClr w14:val="tx1"/>
                  </w14:solidFill>
                </w14:textFill>
              </w:rPr>
              <w:t>工程</w:t>
            </w:r>
          </w:p>
        </w:tc>
        <w:tc>
          <w:tcPr>
            <w:tcW w:w="5953" w:type="dxa"/>
            <w:tcBorders>
              <w:tl2br w:val="nil"/>
              <w:tr2bl w:val="nil"/>
            </w:tcBorders>
            <w:vAlign w:val="center"/>
          </w:tcPr>
          <w:p>
            <w:pPr>
              <w:adjustRightInd w:val="0"/>
              <w:spacing w:line="360" w:lineRule="exact"/>
              <w:jc w:val="both"/>
              <w:rPr>
                <w:rFonts w:hint="default"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租赁配注站</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1座：</w:t>
            </w:r>
            <w:r>
              <w:rPr>
                <w:rFonts w:hint="default" w:ascii="Times New Roman" w:hAnsi="Times New Roman" w:cs="Times New Roman"/>
                <w:color w:val="000000" w:themeColor="text1"/>
                <w:w w:val="99"/>
                <w:sz w:val="21"/>
                <w:szCs w:val="21"/>
                <w:highlight w:val="none"/>
                <w14:textFill>
                  <w14:solidFill>
                    <w14:schemeClr w14:val="tx1"/>
                  </w14:solidFill>
                </w14:textFill>
              </w:rPr>
              <w:t>为减少建设周期，现场调驱设备采用租用形式。现场调驱设备的调配流程由采油七厂提供</w:t>
            </w:r>
            <w:r>
              <w:rPr>
                <w:rFonts w:hint="eastAsia" w:ascii="Times New Roman" w:hAnsi="Times New Roman" w:cs="Times New Roman"/>
                <w:color w:val="000000" w:themeColor="text1"/>
                <w:w w:val="99"/>
                <w:sz w:val="21"/>
                <w:szCs w:val="21"/>
                <w:highlight w:val="none"/>
                <w14:textFill>
                  <w14:solidFill>
                    <w14:schemeClr w14:val="tx1"/>
                  </w14:solidFill>
                </w14:textFill>
              </w:rPr>
              <w:t>与往年深部调驱区块流程一致</w:t>
            </w:r>
            <w:r>
              <w:rPr>
                <w:rFonts w:hint="default" w:ascii="Times New Roman" w:hAnsi="Times New Roman" w:cs="Times New Roman"/>
                <w:color w:val="000000" w:themeColor="text1"/>
                <w:w w:val="99"/>
                <w:sz w:val="21"/>
                <w:szCs w:val="21"/>
                <w:highlight w:val="none"/>
                <w14:textFill>
                  <w14:solidFill>
                    <w14:schemeClr w14:val="tx1"/>
                  </w14:solidFill>
                </w14:textFill>
              </w:rPr>
              <w:t>，主要流程：调驱药剂干粉与曝氧污水经分散装置预混后进入熟化罐，熟化后调驱剂经转输泵、过滤器及注入泵</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注入井</w:t>
            </w:r>
            <w:r>
              <w:rPr>
                <w:rFonts w:hint="default" w:ascii="Times New Roman" w:hAnsi="Times New Roman" w:cs="Times New Roman"/>
                <w:color w:val="000000" w:themeColor="text1"/>
                <w:w w:val="99"/>
                <w:sz w:val="21"/>
                <w:szCs w:val="21"/>
                <w:highlight w:val="none"/>
                <w14:textFill>
                  <w14:solidFill>
                    <w14:schemeClr w14:val="tx1"/>
                  </w14:solidFill>
                </w14:textFill>
              </w:rPr>
              <w:t>下</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w w:val="99"/>
                <w:sz w:val="21"/>
                <w:szCs w:val="21"/>
                <w:highlight w:val="none"/>
                <w14:textFill>
                  <w14:solidFill>
                    <w14:schemeClr w14:val="tx1"/>
                  </w14:solidFill>
                </w14:textFill>
              </w:rPr>
              <w:t>配注站为模块化撬装形式，厂区内设置4m宽水泥路1条，回车场地1座，厂区占地面积1</w:t>
            </w:r>
            <w:r>
              <w:rPr>
                <w:rFonts w:hint="default" w:ascii="Times New Roman" w:hAnsi="Times New Roman" w:cs="Times New Roman"/>
                <w:color w:val="000000" w:themeColor="text1"/>
                <w:w w:val="99"/>
                <w:sz w:val="21"/>
                <w:szCs w:val="21"/>
                <w:highlight w:val="none"/>
                <w14:textFill>
                  <w14:solidFill>
                    <w14:schemeClr w14:val="tx1"/>
                  </w14:solidFill>
                </w14:textFill>
              </w:rPr>
              <w:t>900</w:t>
            </w:r>
            <w:r>
              <w:rPr>
                <w:rFonts w:hint="eastAsia" w:ascii="Times New Roman" w:hAnsi="Times New Roman" w:cs="Times New Roman"/>
                <w:color w:val="000000" w:themeColor="text1"/>
                <w:w w:val="99"/>
                <w:sz w:val="21"/>
                <w:szCs w:val="21"/>
                <w:highlight w:val="none"/>
                <w14:textFill>
                  <w14:solidFill>
                    <w14:schemeClr w14:val="tx1"/>
                  </w14:solidFill>
                </w14:textFill>
              </w:rPr>
              <w:t>m</w:t>
            </w:r>
            <w:r>
              <w:rPr>
                <w:rFonts w:hint="default" w:ascii="Times New Roman" w:hAnsi="Times New Roman" w:cs="Times New Roman"/>
                <w:color w:val="000000" w:themeColor="text1"/>
                <w:w w:val="99"/>
                <w:sz w:val="21"/>
                <w:szCs w:val="21"/>
                <w:highlight w:val="none"/>
                <w:vertAlign w:val="superscript"/>
                <w14:textFill>
                  <w14:solidFill>
                    <w14:schemeClr w14:val="tx1"/>
                  </w14:solidFill>
                </w14:textFill>
              </w:rPr>
              <w:t>2</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w:t>
            </w:r>
          </w:p>
        </w:tc>
        <w:tc>
          <w:tcPr>
            <w:tcW w:w="645" w:type="dxa"/>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vMerge w:val="continue"/>
            <w:tcBorders>
              <w:tl2br w:val="nil"/>
              <w:tr2bl w:val="nil"/>
            </w:tcBorders>
            <w:vAlign w:val="center"/>
          </w:tcPr>
          <w:p>
            <w:pPr>
              <w:adjustRightInd w:val="0"/>
              <w:spacing w:line="360" w:lineRule="exact"/>
              <w:jc w:val="cente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pPr>
          </w:p>
        </w:tc>
        <w:tc>
          <w:tcPr>
            <w:tcW w:w="5953" w:type="dxa"/>
            <w:tcBorders>
              <w:tl2br w:val="nil"/>
              <w:tr2bl w:val="nil"/>
            </w:tcBorders>
            <w:vAlign w:val="center"/>
          </w:tcPr>
          <w:p>
            <w:pPr>
              <w:adjustRightInd w:val="0"/>
              <w:spacing w:line="360" w:lineRule="exact"/>
              <w:jc w:val="both"/>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pPr>
            <w:r>
              <w:rPr>
                <w:rFonts w:hint="default" w:ascii="Times New Roman" w:hAnsi="Times New Roman" w:cs="Times New Roman"/>
                <w:color w:val="000000" w:themeColor="text1"/>
                <w:w w:val="99"/>
                <w:sz w:val="21"/>
                <w:szCs w:val="21"/>
                <w:highlight w:val="none"/>
                <w14:textFill>
                  <w14:solidFill>
                    <w14:schemeClr w14:val="tx1"/>
                  </w14:solidFill>
                </w14:textFill>
              </w:rPr>
              <w:t>扩建</w:t>
            </w:r>
            <w:r>
              <w:rPr>
                <w:rFonts w:hint="eastAsia" w:ascii="Times New Roman" w:hAnsi="Times New Roman" w:cs="Times New Roman"/>
                <w:color w:val="000000" w:themeColor="text1"/>
                <w:w w:val="99"/>
                <w:sz w:val="21"/>
                <w:szCs w:val="21"/>
                <w:highlight w:val="none"/>
                <w14:textFill>
                  <w14:solidFill>
                    <w14:schemeClr w14:val="tx1"/>
                  </w14:solidFill>
                </w14:textFill>
              </w:rPr>
              <w:t>葡北12-1号配水间</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w w:val="99"/>
                <w:sz w:val="21"/>
                <w:szCs w:val="21"/>
                <w:highlight w:val="none"/>
                <w14:textFill>
                  <w14:solidFill>
                    <w14:schemeClr w14:val="tx1"/>
                  </w14:solidFill>
                </w14:textFill>
              </w:rPr>
              <w:t>本工程涉及区域</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注入井</w:t>
            </w:r>
            <w:r>
              <w:rPr>
                <w:rFonts w:hint="eastAsia" w:ascii="Times New Roman" w:hAnsi="Times New Roman" w:cs="Times New Roman"/>
                <w:color w:val="000000" w:themeColor="text1"/>
                <w:w w:val="99"/>
                <w:sz w:val="21"/>
                <w:szCs w:val="21"/>
                <w:highlight w:val="none"/>
                <w14:textFill>
                  <w14:solidFill>
                    <w14:schemeClr w14:val="tx1"/>
                  </w14:solidFill>
                </w14:textFill>
              </w:rPr>
              <w:t>9口，其中5口井为葡北12-1号配水</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间</w:t>
            </w:r>
            <w:r>
              <w:rPr>
                <w:rFonts w:hint="eastAsia" w:ascii="Times New Roman" w:hAnsi="Times New Roman" w:cs="Times New Roman"/>
                <w:color w:val="000000" w:themeColor="text1"/>
                <w:w w:val="99"/>
                <w:sz w:val="21"/>
                <w:szCs w:val="21"/>
                <w:highlight w:val="none"/>
                <w14:textFill>
                  <w14:solidFill>
                    <w14:schemeClr w14:val="tx1"/>
                  </w14:solidFill>
                </w14:textFill>
              </w:rPr>
              <w:t>管辖</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，本次</w:t>
            </w:r>
            <w:r>
              <w:rPr>
                <w:rFonts w:hint="eastAsia" w:ascii="Times New Roman" w:hAnsi="Times New Roman" w:cs="Times New Roman"/>
                <w:color w:val="000000" w:themeColor="text1"/>
                <w:w w:val="99"/>
                <w:sz w:val="21"/>
                <w:szCs w:val="21"/>
                <w:highlight w:val="none"/>
                <w14:textFill>
                  <w14:solidFill>
                    <w14:schemeClr w14:val="tx1"/>
                  </w14:solidFill>
                </w14:textFill>
              </w:rPr>
              <w:t>在间内预留位置新建高压配水阀组4套</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w w:val="99"/>
                <w:sz w:val="21"/>
                <w:szCs w:val="21"/>
                <w:highlight w:val="none"/>
                <w14:textFill>
                  <w14:solidFill>
                    <w14:schemeClr w14:val="tx1"/>
                  </w14:solidFill>
                </w14:textFill>
              </w:rPr>
              <w:t>将本次产能</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注入井</w:t>
            </w:r>
            <w:r>
              <w:rPr>
                <w:rFonts w:hint="eastAsia" w:ascii="Times New Roman" w:hAnsi="Times New Roman" w:cs="Times New Roman"/>
                <w:color w:val="000000" w:themeColor="text1"/>
                <w:w w:val="99"/>
                <w:sz w:val="21"/>
                <w:szCs w:val="21"/>
                <w:highlight w:val="none"/>
                <w14:textFill>
                  <w14:solidFill>
                    <w14:schemeClr w14:val="tx1"/>
                  </w14:solidFill>
                </w14:textFill>
              </w:rPr>
              <w:t>全部划入该间管辖</w:t>
            </w:r>
            <w:r>
              <w:rPr>
                <w:rFonts w:hint="default" w:ascii="Times New Roman" w:hAnsi="Times New Roman" w:cs="Times New Roman"/>
                <w:color w:val="000000" w:themeColor="text1"/>
                <w:w w:val="99"/>
                <w:sz w:val="21"/>
                <w:szCs w:val="21"/>
                <w:highlight w:val="none"/>
                <w14:textFill>
                  <w14:solidFill>
                    <w14:schemeClr w14:val="tx1"/>
                  </w14:solidFill>
                </w14:textFill>
              </w:rPr>
              <w:t>。</w:t>
            </w:r>
          </w:p>
        </w:tc>
        <w:tc>
          <w:tcPr>
            <w:tcW w:w="645" w:type="dxa"/>
            <w:tcBorders>
              <w:tl2br w:val="nil"/>
              <w:tr2bl w:val="nil"/>
            </w:tcBorders>
            <w:vAlign w:val="center"/>
          </w:tcPr>
          <w:p>
            <w:pPr>
              <w:widowControl/>
              <w:adjustRightInd w:val="0"/>
              <w:snapToGrid w:val="0"/>
              <w:spacing w:line="360" w:lineRule="exact"/>
              <w:jc w:val="cente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改扩建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vMerge w:val="continue"/>
            <w:tcBorders>
              <w:tl2br w:val="nil"/>
              <w:tr2bl w:val="nil"/>
            </w:tcBorders>
            <w:vAlign w:val="center"/>
          </w:tcPr>
          <w:p>
            <w:pPr>
              <w:adjustRightInd w:val="0"/>
              <w:spacing w:line="360" w:lineRule="exact"/>
              <w:jc w:val="cente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pPr>
          </w:p>
        </w:tc>
        <w:tc>
          <w:tcPr>
            <w:tcW w:w="5953" w:type="dxa"/>
            <w:tcBorders>
              <w:tl2br w:val="nil"/>
              <w:tr2bl w:val="nil"/>
            </w:tcBorders>
            <w:vAlign w:val="center"/>
          </w:tcPr>
          <w:p>
            <w:pPr>
              <w:widowControl/>
              <w:adjustRightInd w:val="0"/>
              <w:snapToGrid w:val="0"/>
              <w:spacing w:line="360" w:lineRule="exact"/>
              <w:rPr>
                <w:rFonts w:hint="default"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新建葡北1</w:t>
            </w:r>
            <w:r>
              <w:rPr>
                <w:rFonts w:hint="default" w:ascii="Times New Roman" w:hAnsi="Times New Roman" w:cs="Times New Roman"/>
                <w:color w:val="000000" w:themeColor="text1"/>
                <w:w w:val="99"/>
                <w:sz w:val="21"/>
                <w:szCs w:val="21"/>
                <w:highlight w:val="none"/>
                <w14:textFill>
                  <w14:solidFill>
                    <w14:schemeClr w14:val="tx1"/>
                  </w14:solidFill>
                </w14:textFill>
              </w:rPr>
              <w:t>2-1</w:t>
            </w:r>
            <w:r>
              <w:rPr>
                <w:rFonts w:hint="eastAsia" w:ascii="Times New Roman" w:hAnsi="Times New Roman" w:cs="Times New Roman"/>
                <w:color w:val="000000" w:themeColor="text1"/>
                <w:w w:val="99"/>
                <w:sz w:val="21"/>
                <w:szCs w:val="21"/>
                <w:highlight w:val="none"/>
                <w14:textFill>
                  <w14:solidFill>
                    <w14:schemeClr w14:val="tx1"/>
                  </w14:solidFill>
                </w14:textFill>
              </w:rPr>
              <w:t>号配水间至配注站供水管线</w:t>
            </w:r>
            <w:r>
              <w:rPr>
                <w:rFonts w:hint="default" w:ascii="Times New Roman" w:hAnsi="Times New Roman" w:cs="Times New Roman"/>
                <w:color w:val="000000" w:themeColor="text1"/>
                <w:w w:val="99"/>
                <w:sz w:val="21"/>
                <w:szCs w:val="21"/>
                <w:highlight w:val="none"/>
                <w14:textFill>
                  <w14:solidFill>
                    <w14:schemeClr w14:val="tx1"/>
                  </w14:solidFill>
                </w14:textFill>
              </w:rPr>
              <w:t>Ф114×9</w:t>
            </w:r>
            <w:r>
              <w:rPr>
                <w:rFonts w:hint="eastAsia" w:ascii="Times New Roman" w:hAnsi="Times New Roman" w:cs="Times New Roman"/>
                <w:color w:val="000000" w:themeColor="text1"/>
                <w:w w:val="99"/>
                <w:sz w:val="21"/>
                <w:szCs w:val="21"/>
                <w:highlight w:val="none"/>
                <w14:textFill>
                  <w14:solidFill>
                    <w14:schemeClr w14:val="tx1"/>
                  </w14:solidFill>
                </w14:textFill>
              </w:rPr>
              <w:t>-</w:t>
            </w:r>
            <w:r>
              <w:rPr>
                <w:rFonts w:hint="default" w:ascii="Times New Roman" w:hAnsi="Times New Roman" w:cs="Times New Roman"/>
                <w:color w:val="000000" w:themeColor="text1"/>
                <w:w w:val="99"/>
                <w:sz w:val="21"/>
                <w:szCs w:val="21"/>
                <w:highlight w:val="none"/>
                <w14:textFill>
                  <w14:solidFill>
                    <w14:schemeClr w14:val="tx1"/>
                  </w14:solidFill>
                </w14:textFill>
              </w:rPr>
              <w:t>0.1</w:t>
            </w:r>
            <w:r>
              <w:rPr>
                <w:rFonts w:hint="eastAsia" w:ascii="Times New Roman" w:hAnsi="Times New Roman" w:cs="Times New Roman"/>
                <w:color w:val="000000" w:themeColor="text1"/>
                <w:w w:val="99"/>
                <w:sz w:val="21"/>
                <w:szCs w:val="21"/>
                <w:highlight w:val="none"/>
                <w14:textFill>
                  <w14:solidFill>
                    <w14:schemeClr w14:val="tx1"/>
                  </w14:solidFill>
                </w14:textFill>
              </w:rPr>
              <w:t>km；</w:t>
            </w:r>
          </w:p>
          <w:p>
            <w:pPr>
              <w:adjustRightInd w:val="0"/>
              <w:spacing w:line="360" w:lineRule="exact"/>
              <w:jc w:val="both"/>
              <w:rPr>
                <w:rFonts w:hint="default"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新建单井注水管线</w:t>
            </w:r>
            <w:r>
              <w:rPr>
                <w:rFonts w:hint="default" w:ascii="Times New Roman" w:hAnsi="Times New Roman" w:cs="Times New Roman"/>
                <w:color w:val="000000" w:themeColor="text1"/>
                <w:w w:val="99"/>
                <w:sz w:val="21"/>
                <w:szCs w:val="21"/>
                <w:highlight w:val="none"/>
                <w14:textFill>
                  <w14:solidFill>
                    <w14:schemeClr w14:val="tx1"/>
                  </w14:solidFill>
                </w14:textFill>
              </w:rPr>
              <w:t>Ф60×5-4.62</w:t>
            </w:r>
            <w:r>
              <w:rPr>
                <w:rFonts w:hint="eastAsia" w:ascii="Times New Roman" w:hAnsi="Times New Roman" w:cs="Times New Roman"/>
                <w:color w:val="000000" w:themeColor="text1"/>
                <w:w w:val="99"/>
                <w:sz w:val="21"/>
                <w:szCs w:val="21"/>
                <w:highlight w:val="none"/>
                <w14:textFill>
                  <w14:solidFill>
                    <w14:schemeClr w14:val="tx1"/>
                  </w14:solidFill>
                </w14:textFill>
              </w:rPr>
              <w:t>km；</w:t>
            </w:r>
          </w:p>
        </w:tc>
        <w:tc>
          <w:tcPr>
            <w:tcW w:w="645" w:type="dxa"/>
            <w:tcBorders>
              <w:tl2br w:val="nil"/>
              <w:tr2bl w:val="nil"/>
            </w:tcBorders>
            <w:vAlign w:val="center"/>
          </w:tcPr>
          <w:p>
            <w:pPr>
              <w:widowControl/>
              <w:adjustRightInd w:val="0"/>
              <w:snapToGrid w:val="0"/>
              <w:spacing w:line="360" w:lineRule="exact"/>
              <w:jc w:val="cente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vMerge w:val="continue"/>
            <w:tcBorders>
              <w:tl2br w:val="nil"/>
              <w:tr2bl w:val="nil"/>
            </w:tcBorders>
            <w:vAlign w:val="center"/>
          </w:tcPr>
          <w:p>
            <w:pPr>
              <w:adjustRightInd w:val="0"/>
              <w:snapToGrid w:val="0"/>
              <w:spacing w:line="360" w:lineRule="exact"/>
              <w:jc w:val="center"/>
              <w:rPr>
                <w:rFonts w:hint="eastAsia"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p>
        </w:tc>
        <w:tc>
          <w:tcPr>
            <w:tcW w:w="59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textAlignment w:val="auto"/>
              <w:rPr>
                <w:rFonts w:hint="eastAsia"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本项目新建管线涉及道路穿越7处</w:t>
            </w:r>
            <w:r>
              <w:rPr>
                <w:rFonts w:hint="eastAsia" w:ascii="Times New Roman" w:hAnsi="Times New Roman" w:cs="Times New Roman"/>
                <w:color w:val="000000" w:themeColor="text1"/>
                <w:w w:val="99"/>
                <w:sz w:val="21"/>
                <w:szCs w:val="21"/>
                <w:highlight w:val="none"/>
                <w:lang w:val="en-US"/>
                <w14:textFill>
                  <w14:solidFill>
                    <w14:schemeClr w14:val="tx1"/>
                  </w14:solidFill>
                </w14:textFill>
              </w:rPr>
              <w:t>（钢顶</w:t>
            </w:r>
            <w:r>
              <w:rPr>
                <w:rFonts w:hint="eastAsia" w:ascii="宋体" w:hAnsi="宋体" w:eastAsia="宋体" w:cs="宋体"/>
                <w:color w:val="000000" w:themeColor="text1"/>
                <w:w w:val="99"/>
                <w:sz w:val="21"/>
                <w:szCs w:val="21"/>
                <w:highlight w:val="none"/>
                <w:lang w:val="en-US"/>
                <w14:textFill>
                  <w14:solidFill>
                    <w14:schemeClr w14:val="tx1"/>
                  </w14:solidFill>
                </w14:textFill>
              </w:rPr>
              <w:t>I</w:t>
            </w:r>
            <w:r>
              <w:rPr>
                <w:rFonts w:hint="eastAsia" w:ascii="Times New Roman" w:hAnsi="Times New Roman" w:cs="Times New Roman"/>
                <w:color w:val="000000" w:themeColor="text1"/>
                <w:w w:val="99"/>
                <w:sz w:val="21"/>
                <w:szCs w:val="21"/>
                <w:highlight w:val="none"/>
                <w:lang w:val="en-US"/>
                <w14:textFill>
                  <w14:solidFill>
                    <w14:schemeClr w14:val="tx1"/>
                  </w14:solidFill>
                </w14:textFill>
              </w:rPr>
              <w:t>型</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w w:val="99"/>
                <w:sz w:val="21"/>
                <w:szCs w:val="21"/>
                <w:highlight w:val="none"/>
                <w:lang w:val="en-US"/>
                <w14:textFill>
                  <w14:solidFill>
                    <w14:schemeClr w14:val="tx1"/>
                  </w14:solidFill>
                </w14:textFill>
              </w:rPr>
              <w:t>L=</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4</w:t>
            </w:r>
            <w:r>
              <w:rPr>
                <w:rFonts w:hint="eastAsia" w:ascii="Times New Roman" w:hAnsi="Times New Roman" w:cs="Times New Roman"/>
                <w:color w:val="000000" w:themeColor="text1"/>
                <w:w w:val="99"/>
                <w:sz w:val="21"/>
                <w:szCs w:val="21"/>
                <w:highlight w:val="none"/>
                <w:lang w:val="en-US"/>
                <w14:textFill>
                  <w14:solidFill>
                    <w14:schemeClr w14:val="tx1"/>
                  </w14:solidFill>
                </w14:textFill>
              </w:rPr>
              <w:t>m）</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645" w:type="dxa"/>
            <w:tcBorders>
              <w:tl2br w:val="nil"/>
              <w:tr2bl w:val="nil"/>
            </w:tcBorders>
            <w:vAlign w:val="center"/>
          </w:tcPr>
          <w:p>
            <w:pPr>
              <w:widowControl/>
              <w:adjustRightInd w:val="0"/>
              <w:snapToGrid w:val="0"/>
              <w:spacing w:line="360" w:lineRule="exact"/>
              <w:jc w:val="cente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辅助工程</w:t>
            </w:r>
          </w:p>
        </w:tc>
        <w:tc>
          <w:tcPr>
            <w:tcW w:w="1537" w:type="dxa"/>
            <w:gridSpan w:val="2"/>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道路工程</w:t>
            </w:r>
          </w:p>
        </w:tc>
        <w:tc>
          <w:tcPr>
            <w:tcW w:w="5953" w:type="dxa"/>
            <w:tcBorders>
              <w:tl2br w:val="nil"/>
              <w:tr2bl w:val="nil"/>
            </w:tcBorders>
            <w:vAlign w:val="center"/>
          </w:tcPr>
          <w:p>
            <w:pPr>
              <w:widowControl/>
              <w:adjustRightInd w:val="0"/>
              <w:snapToGrid w:val="0"/>
              <w:spacing w:line="360" w:lineRule="exac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新建</w:t>
            </w: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配注站进</w:t>
            </w: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站砂石</w:t>
            </w: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路</w:t>
            </w: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0.1km。</w:t>
            </w:r>
          </w:p>
        </w:tc>
        <w:tc>
          <w:tcPr>
            <w:tcW w:w="645" w:type="dxa"/>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w w:val="99"/>
                <w:sz w:val="21"/>
                <w:szCs w:val="21"/>
                <w:highlight w:val="none"/>
                <w:lang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tcBorders>
              <w:tl2br w:val="nil"/>
              <w:tr2bl w:val="nil"/>
            </w:tcBorders>
            <w:vAlign w:val="center"/>
          </w:tcPr>
          <w:p>
            <w:pPr>
              <w:widowControl/>
              <w:adjustRightInd w:val="0"/>
              <w:snapToGrid w:val="0"/>
              <w:spacing w:line="360" w:lineRule="exact"/>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油井清防蜡</w:t>
            </w:r>
          </w:p>
        </w:tc>
        <w:tc>
          <w:tcPr>
            <w:tcW w:w="5953" w:type="dxa"/>
            <w:tcBorders>
              <w:tl2br w:val="nil"/>
              <w:tr2bl w:val="nil"/>
            </w:tcBorders>
            <w:vAlign w:val="center"/>
          </w:tcPr>
          <w:p>
            <w:pPr>
              <w:widowControl/>
              <w:adjustRightInd w:val="0"/>
              <w:snapToGrid w:val="0"/>
              <w:spacing w:line="360" w:lineRule="exact"/>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bidi="ar"/>
                <w14:textFill>
                  <w14:solidFill>
                    <w14:schemeClr w14:val="tx1"/>
                  </w14:solidFill>
                </w14:textFill>
              </w:rPr>
              <w:t>采用热洗车高温热洗方式</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进行清防蜡，</w:t>
            </w:r>
            <w:r>
              <w:rPr>
                <w:rFonts w:hint="default" w:ascii="Times New Roman" w:hAnsi="Times New Roman" w:eastAsia="宋体" w:cs="Times New Roman"/>
                <w:color w:val="000000" w:themeColor="text1"/>
                <w:w w:val="99"/>
                <w:sz w:val="21"/>
                <w:szCs w:val="21"/>
                <w:highlight w:val="none"/>
                <w:lang w:val="en-US" w:bidi="ar"/>
                <w14:textFill>
                  <w14:solidFill>
                    <w14:schemeClr w14:val="tx1"/>
                  </w14:solidFill>
                </w14:textFill>
              </w:rPr>
              <w:t>平均热洗周期为156天</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645" w:type="dxa"/>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w w:val="99"/>
                <w:sz w:val="21"/>
                <w:szCs w:val="21"/>
                <w:highlight w:val="none"/>
                <w:lang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20" w:type="dxa"/>
            <w:vMerge w:val="restart"/>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公用工程</w:t>
            </w:r>
          </w:p>
        </w:tc>
        <w:tc>
          <w:tcPr>
            <w:tcW w:w="1537" w:type="dxa"/>
            <w:gridSpan w:val="2"/>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供水工程</w:t>
            </w:r>
          </w:p>
        </w:tc>
        <w:tc>
          <w:tcPr>
            <w:tcW w:w="5953"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360" w:lineRule="exact"/>
              <w:textAlignment w:val="auto"/>
              <w:rPr>
                <w:rFonts w:hint="default" w:ascii="Times New Roman" w:hAnsi="Times New Roman" w:eastAsia="宋体" w:cs="Times New Roman"/>
                <w:color w:val="000000" w:themeColor="text1"/>
                <w:w w:val="99"/>
                <w:sz w:val="21"/>
                <w:szCs w:val="21"/>
                <w:highlight w:val="none"/>
                <w:lang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14:textFill>
                  <w14:solidFill>
                    <w14:schemeClr w14:val="tx1"/>
                  </w14:solidFill>
                </w14:textFill>
              </w:rPr>
              <w:t>地面工程施工期生产用水由水罐车运送，生活用水采用</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桶装水</w:t>
            </w:r>
            <w:r>
              <w:rPr>
                <w:rFonts w:hint="default" w:ascii="Times New Roman" w:hAnsi="Times New Roman" w:cs="Times New Roman"/>
                <w:color w:val="000000" w:themeColor="text1"/>
                <w:w w:val="99"/>
                <w:sz w:val="21"/>
                <w:szCs w:val="21"/>
                <w:highlight w:val="none"/>
                <w14:textFill>
                  <w14:solidFill>
                    <w14:schemeClr w14:val="tx1"/>
                  </w14:solidFill>
                </w14:textFill>
              </w:rPr>
              <w:t>。运营期</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无新增定员。</w:t>
            </w:r>
          </w:p>
        </w:tc>
        <w:tc>
          <w:tcPr>
            <w:tcW w:w="645"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排水工程</w:t>
            </w:r>
          </w:p>
        </w:tc>
        <w:tc>
          <w:tcPr>
            <w:tcW w:w="5953" w:type="dxa"/>
            <w:tcBorders>
              <w:tl2br w:val="nil"/>
              <w:tr2bl w:val="nil"/>
            </w:tcBorders>
            <w:vAlign w:val="center"/>
          </w:tcPr>
          <w:p>
            <w:pPr>
              <w:widowControl/>
              <w:adjustRightInd w:val="0"/>
              <w:snapToGrid w:val="0"/>
              <w:spacing w:line="360" w:lineRule="exact"/>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default" w:ascii="Times New Roman" w:hAnsi="Times New Roman" w:cs="Times New Roman"/>
                <w:color w:val="000000" w:themeColor="text1"/>
                <w:w w:val="99"/>
                <w:sz w:val="21"/>
                <w:szCs w:val="21"/>
                <w:highlight w:val="none"/>
                <w14:textFill>
                  <w14:solidFill>
                    <w14:schemeClr w14:val="tx1"/>
                  </w14:solidFill>
                </w14:textFill>
              </w:rPr>
              <w:t>本工程采用清水试压，管线试压废水排放量为</w:t>
            </w:r>
            <w:r>
              <w:rPr>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t>47.4</w:t>
            </w:r>
            <w:r>
              <w:rPr>
                <w:rFonts w:hint="default" w:ascii="Times New Roman" w:hAnsi="Times New Roman" w:cs="Times New Roman"/>
                <w:color w:val="000000" w:themeColor="text1"/>
                <w:w w:val="99"/>
                <w:sz w:val="21"/>
                <w:szCs w:val="21"/>
                <w:highlight w:val="none"/>
                <w14:textFill>
                  <w14:solidFill>
                    <w14:schemeClr w14:val="tx1"/>
                  </w14:solidFill>
                </w14:textFill>
              </w:rPr>
              <w:t>m</w:t>
            </w:r>
            <w:r>
              <w:rPr>
                <w:rFonts w:hint="default" w:ascii="Times New Roman" w:hAnsi="Times New Roman" w:cs="Times New Roman"/>
                <w:color w:val="000000" w:themeColor="text1"/>
                <w:w w:val="99"/>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w w:val="99"/>
                <w:sz w:val="21"/>
                <w:szCs w:val="21"/>
                <w:highlight w:val="none"/>
                <w14:textFill>
                  <w14:solidFill>
                    <w14:schemeClr w14:val="tx1"/>
                  </w14:solidFill>
                </w14:textFill>
              </w:rPr>
              <w:t>，由罐车拉运至</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葡二联</w:t>
            </w:r>
            <w:r>
              <w:rPr>
                <w:rFonts w:hint="default" w:ascii="Times New Roman" w:hAnsi="Times New Roman" w:cs="Times New Roman"/>
                <w:color w:val="000000" w:themeColor="text1"/>
                <w:w w:val="99"/>
                <w:sz w:val="21"/>
                <w:szCs w:val="21"/>
                <w:highlight w:val="none"/>
                <w14:textFill>
                  <w14:solidFill>
                    <w14:schemeClr w14:val="tx1"/>
                  </w14:solidFill>
                </w14:textFill>
              </w:rPr>
              <w:t>污水处理站处理后满足《大庆油田地面工程建设设计规定》（Q/SY DQ0639-2015）“含油量≤</w:t>
            </w:r>
            <w:r>
              <w:rPr>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t>10</w:t>
            </w:r>
            <w:r>
              <w:rPr>
                <w:rFonts w:hint="default" w:ascii="Times New Roman" w:hAnsi="Times New Roman" w:cs="Times New Roman"/>
                <w:color w:val="000000" w:themeColor="text1"/>
                <w:w w:val="99"/>
                <w:sz w:val="21"/>
                <w:szCs w:val="21"/>
                <w:highlight w:val="none"/>
                <w14:textFill>
                  <w14:solidFill>
                    <w14:schemeClr w14:val="tx1"/>
                  </w14:solidFill>
                </w14:textFill>
              </w:rPr>
              <w:t>mg/L、悬浮固体含量≤</w:t>
            </w:r>
            <w:r>
              <w:rPr>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w w:val="99"/>
                <w:sz w:val="21"/>
                <w:szCs w:val="21"/>
                <w:highlight w:val="none"/>
                <w14:textFill>
                  <w14:solidFill>
                    <w14:schemeClr w14:val="tx1"/>
                  </w14:solidFill>
                </w14:textFill>
              </w:rPr>
              <w:t>mg/L”限值要求后回注，不外排。施工人员住宿依托施工单位后线驻地，施工现场不设暂舍，施工人员生活污水</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依托七厂周围场站内防渗旱厕</w:t>
            </w:r>
            <w:r>
              <w:rPr>
                <w:rFonts w:hint="default" w:ascii="Times New Roman" w:hAnsi="Times New Roman" w:cs="Times New Roman"/>
                <w:color w:val="000000" w:themeColor="text1"/>
                <w:w w:val="99"/>
                <w:sz w:val="21"/>
                <w:szCs w:val="21"/>
                <w:highlight w:val="none"/>
                <w14:textFill>
                  <w14:solidFill>
                    <w14:schemeClr w14:val="tx1"/>
                  </w14:solidFill>
                </w14:textFill>
              </w:rPr>
              <w:t>。运营期</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无新增定员</w:t>
            </w:r>
            <w:r>
              <w:rPr>
                <w:rFonts w:hint="default" w:ascii="Times New Roman" w:hAnsi="Times New Roman" w:cs="Times New Roman"/>
                <w:color w:val="000000" w:themeColor="text1"/>
                <w:w w:val="99"/>
                <w:sz w:val="21"/>
                <w:szCs w:val="21"/>
                <w:highlight w:val="none"/>
                <w14:textFill>
                  <w14:solidFill>
                    <w14:schemeClr w14:val="tx1"/>
                  </w14:solidFill>
                </w14:textFill>
              </w:rPr>
              <w:t>。</w:t>
            </w:r>
          </w:p>
        </w:tc>
        <w:tc>
          <w:tcPr>
            <w:tcW w:w="645"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供暖工程</w:t>
            </w:r>
          </w:p>
        </w:tc>
        <w:tc>
          <w:tcPr>
            <w:tcW w:w="5953" w:type="dxa"/>
            <w:tcBorders>
              <w:tl2br w:val="nil"/>
              <w:tr2bl w:val="nil"/>
            </w:tcBorders>
            <w:vAlign w:val="center"/>
          </w:tcPr>
          <w:p>
            <w:pPr>
              <w:widowControl/>
              <w:adjustRightInd w:val="0"/>
              <w:snapToGrid w:val="0"/>
              <w:spacing w:line="360" w:lineRule="exact"/>
              <w:rPr>
                <w:rFonts w:hint="eastAsia" w:ascii="Times New Roman" w:hAnsi="Times New Roman" w:eastAsia="宋体" w:cs="Times New Roman"/>
                <w:color w:val="000000" w:themeColor="text1"/>
                <w:w w:val="99"/>
                <w:sz w:val="21"/>
                <w:szCs w:val="21"/>
                <w:highlight w:val="none"/>
                <w:lang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本项目不设施工营地，不需供暖</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645"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供电工程</w:t>
            </w:r>
          </w:p>
        </w:tc>
        <w:tc>
          <w:tcPr>
            <w:tcW w:w="5953" w:type="dxa"/>
            <w:tcBorders>
              <w:tl2br w:val="nil"/>
              <w:tr2bl w:val="nil"/>
            </w:tcBorders>
            <w:vAlign w:val="center"/>
          </w:tcPr>
          <w:p>
            <w:pPr>
              <w:widowControl/>
              <w:adjustRightInd w:val="0"/>
              <w:snapToGrid w:val="0"/>
              <w:spacing w:line="360" w:lineRule="exact"/>
              <w:jc w:val="both"/>
              <w:rPr>
                <w:rFonts w:hint="default"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为配注站负荷新建500kVA(6.3±5% /0.4kV）变电站1座，含变压器、基础、隔离开关、断路器、围栏等。配电室及室内设备、电力电缆由租赁单位提供，变压器电源由附近6kV架空线路引接，新建6kV线路0.3km，导线采用LGJ-120型，低洼地电杆加固。迁建占压已建变压器杆1基。</w:t>
            </w:r>
          </w:p>
        </w:tc>
        <w:tc>
          <w:tcPr>
            <w:tcW w:w="645"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120" w:type="dxa"/>
            <w:vMerge w:val="restart"/>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环保工程</w:t>
            </w:r>
          </w:p>
        </w:tc>
        <w:tc>
          <w:tcPr>
            <w:tcW w:w="1537" w:type="dxa"/>
            <w:gridSpan w:val="2"/>
            <w:vMerge w:val="restart"/>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废气治理措施</w:t>
            </w:r>
          </w:p>
        </w:tc>
        <w:tc>
          <w:tcPr>
            <w:tcW w:w="5953" w:type="dxa"/>
            <w:tcBorders>
              <w:tl2br w:val="nil"/>
              <w:tr2bl w:val="nil"/>
            </w:tcBorders>
            <w:vAlign w:val="center"/>
          </w:tcPr>
          <w:p>
            <w:pPr>
              <w:widowControl/>
              <w:adjustRightInd w:val="0"/>
              <w:snapToGrid w:val="0"/>
              <w:spacing w:line="360" w:lineRule="exact"/>
              <w:jc w:val="both"/>
              <w:rPr>
                <w:rFonts w:hint="default" w:ascii="Times New Roman" w:hAnsi="Times New Roman" w:cs="Times New Roman"/>
                <w:color w:val="000000" w:themeColor="text1"/>
                <w:w w:val="99"/>
                <w:sz w:val="21"/>
                <w:szCs w:val="21"/>
                <w:highlight w:val="none"/>
                <w14:textFill>
                  <w14:solidFill>
                    <w14:schemeClr w14:val="tx1"/>
                  </w14:solidFill>
                </w14:textFill>
              </w:rPr>
            </w:pPr>
            <w:r>
              <w:rPr>
                <w:rFonts w:hint="default" w:ascii="Times New Roman" w:hAnsi="Times New Roman" w:cs="Times New Roman"/>
                <w:color w:val="000000" w:themeColor="text1"/>
                <w:w w:val="99"/>
                <w:sz w:val="21"/>
                <w:szCs w:val="21"/>
                <w:highlight w:val="none"/>
                <w14:textFill>
                  <w14:solidFill>
                    <w14:schemeClr w14:val="tx1"/>
                  </w14:solidFill>
                </w14:textFill>
              </w:rPr>
              <w:t>本项目施工期采取了在</w:t>
            </w:r>
            <w:r>
              <w:rPr>
                <w:rFonts w:hint="default" w:ascii="Times New Roman" w:hAnsi="Times New Roman" w:cs="Times New Roman"/>
                <w:color w:val="000000" w:themeColor="text1"/>
                <w:w w:val="99"/>
                <w:sz w:val="21"/>
                <w:szCs w:val="21"/>
                <w:highlight w:val="none"/>
                <w:lang w:val="en-US"/>
                <w14:textFill>
                  <w14:solidFill>
                    <w14:schemeClr w14:val="tx1"/>
                  </w14:solidFill>
                </w14:textFill>
              </w:rPr>
              <w:t>施工现场及时洒水、运输车辆洒水抑尘</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、大风天气避免土方作业</w:t>
            </w:r>
            <w:r>
              <w:rPr>
                <w:rFonts w:hint="default" w:ascii="Times New Roman" w:hAnsi="Times New Roman" w:cs="Times New Roman"/>
                <w:color w:val="000000" w:themeColor="text1"/>
                <w:w w:val="99"/>
                <w:sz w:val="21"/>
                <w:szCs w:val="21"/>
                <w:highlight w:val="none"/>
                <w:lang w:val="en-US"/>
                <w14:textFill>
                  <w14:solidFill>
                    <w14:schemeClr w14:val="tx1"/>
                  </w14:solidFill>
                </w14:textFill>
              </w:rPr>
              <w:t>等措施，防止扬尘的扩散。</w:t>
            </w:r>
          </w:p>
        </w:tc>
        <w:tc>
          <w:tcPr>
            <w:tcW w:w="645"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p>
        </w:tc>
        <w:tc>
          <w:tcPr>
            <w:tcW w:w="5953" w:type="dxa"/>
            <w:tcBorders>
              <w:tl2br w:val="nil"/>
              <w:tr2bl w:val="nil"/>
            </w:tcBorders>
            <w:vAlign w:val="center"/>
          </w:tcPr>
          <w:p>
            <w:pPr>
              <w:widowControl/>
              <w:adjustRightInd w:val="0"/>
              <w:snapToGrid w:val="0"/>
              <w:spacing w:line="360" w:lineRule="exact"/>
              <w:jc w:val="both"/>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14:textFill>
                  <w14:solidFill>
                    <w14:schemeClr w14:val="tx1"/>
                  </w14:solidFill>
                </w14:textFill>
              </w:rPr>
              <w:t>运行期井场及依托场站原油集输过程均采用了密闭流程等措施，防止了烃类气体的挥发；依托场站加热炉均使用天然气为燃料，葡北</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9#</w:t>
            </w:r>
            <w:r>
              <w:rPr>
                <w:rFonts w:hint="default" w:ascii="Times New Roman" w:hAnsi="Times New Roman" w:cs="Times New Roman"/>
                <w:color w:val="000000" w:themeColor="text1"/>
                <w:w w:val="99"/>
                <w:sz w:val="21"/>
                <w:szCs w:val="21"/>
                <w:highlight w:val="none"/>
                <w:lang w:val="en-US"/>
                <w14:textFill>
                  <w14:solidFill>
                    <w14:schemeClr w14:val="tx1"/>
                  </w14:solidFill>
                </w14:textFill>
              </w:rPr>
              <w:t>转油站、</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葡北10#转油站</w:t>
            </w:r>
            <w:r>
              <w:rPr>
                <w:rFonts w:hint="default" w:ascii="Times New Roman" w:hAnsi="Times New Roman" w:cs="Times New Roman"/>
                <w:color w:val="000000" w:themeColor="text1"/>
                <w:w w:val="99"/>
                <w:sz w:val="21"/>
                <w:szCs w:val="21"/>
                <w:highlight w:val="none"/>
                <w:lang w:val="en-US"/>
                <w14:textFill>
                  <w14:solidFill>
                    <w14:schemeClr w14:val="tx1"/>
                  </w14:solidFill>
                </w14:textFill>
              </w:rPr>
              <w:t>加热炉产生的废气均经8m以上烟囱排放</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645"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vMerge w:val="restart"/>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废水治理措施</w:t>
            </w:r>
          </w:p>
        </w:tc>
        <w:tc>
          <w:tcPr>
            <w:tcW w:w="5953" w:type="dxa"/>
            <w:tcBorders>
              <w:tl2br w:val="nil"/>
              <w:tr2bl w:val="nil"/>
            </w:tcBorders>
            <w:vAlign w:val="center"/>
          </w:tcPr>
          <w:p>
            <w:pPr>
              <w:widowControl/>
              <w:adjustRightInd w:val="0"/>
              <w:snapToGrid w:val="0"/>
              <w:spacing w:line="360" w:lineRule="exact"/>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施工人员产生的生活污水</w:t>
            </w:r>
            <w:r>
              <w:rPr>
                <w:rFonts w:hint="default" w:ascii="Times New Roman" w:hAnsi="Times New Roman" w:cs="Times New Roman"/>
                <w:color w:val="000000" w:themeColor="text1"/>
                <w:w w:val="99"/>
                <w:sz w:val="21"/>
                <w:szCs w:val="21"/>
                <w:highlight w:val="none"/>
                <w:lang w:eastAsia="zh-CN"/>
                <w14:textFill>
                  <w14:solidFill>
                    <w14:schemeClr w14:val="tx1"/>
                  </w14:solidFill>
                </w14:textFill>
              </w:rPr>
              <w:t>依托七厂周围场站内防渗旱厕</w:t>
            </w: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；管道试压废水由罐车拉运至葡二联含油污水处理站处理后回注，不外排。</w:t>
            </w:r>
          </w:p>
        </w:tc>
        <w:tc>
          <w:tcPr>
            <w:tcW w:w="645" w:type="dxa"/>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p>
        </w:tc>
        <w:tc>
          <w:tcPr>
            <w:tcW w:w="5953" w:type="dxa"/>
            <w:tcBorders>
              <w:tl2br w:val="nil"/>
              <w:tr2bl w:val="nil"/>
            </w:tcBorders>
            <w:vAlign w:val="center"/>
          </w:tcPr>
          <w:p>
            <w:pPr>
              <w:adjustRightInd w:val="0"/>
              <w:snapToGrid w:val="0"/>
              <w:spacing w:line="360" w:lineRule="exact"/>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运营期产生的采出液经密闭管线输送至转油站、脱水站初步处理，产生的含油污水经葡二联含油污水站处理后回注地下，出水满足“含油量≤10mg/L、悬浮固体含量≤5mg/L、粒径中值≤2μm”标准后回注油层；油井作业废水由罐车拉运至葡二联含油污水站进行处理，处理达标后回注地下，不外排</w:t>
            </w: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w:t>
            </w:r>
          </w:p>
        </w:tc>
        <w:tc>
          <w:tcPr>
            <w:tcW w:w="645" w:type="dxa"/>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噪声治理措施</w:t>
            </w:r>
          </w:p>
        </w:tc>
        <w:tc>
          <w:tcPr>
            <w:tcW w:w="5953" w:type="dxa"/>
            <w:tcBorders>
              <w:tl2br w:val="nil"/>
              <w:tr2bl w:val="nil"/>
            </w:tcBorders>
            <w:vAlign w:val="center"/>
          </w:tcPr>
          <w:p>
            <w:pPr>
              <w:spacing w:line="360" w:lineRule="exact"/>
              <w:rPr>
                <w:rFonts w:hint="default" w:ascii="宋体" w:hAnsi="宋体" w:eastAsia="宋体" w:cs="宋体"/>
                <w:color w:val="000000" w:themeColor="text1"/>
                <w:w w:val="99"/>
                <w:sz w:val="22"/>
                <w:szCs w:val="21"/>
                <w:highlight w:val="none"/>
                <w:lang w:val="en-US" w:eastAsia="zh-CN" w:bidi="zh-CN"/>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项目定期对油</w:t>
            </w: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注入井</w:t>
            </w: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进行巡检，发现异常响动及时处理；依托场站新增机泵设备均安装在室内，并且设置减震基础、隔声门窗等</w:t>
            </w: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w:t>
            </w:r>
          </w:p>
        </w:tc>
        <w:tc>
          <w:tcPr>
            <w:tcW w:w="645" w:type="dxa"/>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vMerge w:val="restart"/>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固废处置措施</w:t>
            </w:r>
          </w:p>
        </w:tc>
        <w:tc>
          <w:tcPr>
            <w:tcW w:w="5953" w:type="dxa"/>
            <w:tcBorders>
              <w:tl2br w:val="nil"/>
              <w:tr2bl w:val="nil"/>
            </w:tcBorders>
            <w:vAlign w:val="center"/>
          </w:tcPr>
          <w:p>
            <w:pPr>
              <w:widowControl/>
              <w:adjustRightInd w:val="0"/>
              <w:snapToGrid w:val="0"/>
              <w:spacing w:line="360" w:lineRule="exact"/>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施工期生活垃圾统一收集，由环卫部门拉运至大庆市生活垃圾综合处理厂进行处理；管线施工产生的废保温材料送至第七采油厂工业固废填埋场</w:t>
            </w:r>
            <w:r>
              <w:rPr>
                <w:rFonts w:hint="default" w:ascii="Times New Roman" w:hAnsi="Times New Roman" w:cs="Times New Roman"/>
                <w:bCs/>
                <w:color w:val="000000" w:themeColor="text1"/>
                <w:w w:val="99"/>
                <w:sz w:val="21"/>
                <w:szCs w:val="21"/>
                <w:highlight w:val="none"/>
                <w:lang w:val="en-US" w:bidi="ar"/>
                <w14:textFill>
                  <w14:solidFill>
                    <w14:schemeClr w14:val="tx1"/>
                  </w14:solidFill>
                </w14:textFill>
              </w:rPr>
              <w:t>。</w:t>
            </w:r>
          </w:p>
        </w:tc>
        <w:tc>
          <w:tcPr>
            <w:tcW w:w="645" w:type="dxa"/>
            <w:vMerge w:val="restart"/>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p>
        </w:tc>
        <w:tc>
          <w:tcPr>
            <w:tcW w:w="5953" w:type="dxa"/>
            <w:tcBorders>
              <w:tl2br w:val="nil"/>
              <w:tr2bl w:val="nil"/>
            </w:tcBorders>
            <w:vAlign w:val="center"/>
          </w:tcPr>
          <w:p>
            <w:pPr>
              <w:adjustRightInd w:val="0"/>
              <w:snapToGrid w:val="0"/>
              <w:spacing w:line="360" w:lineRule="exact"/>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运营期井下作业产生的落地油及依托场站产生的油泥（砂）统一收集送葡萄花含油污泥处理站；</w:t>
            </w:r>
          </w:p>
          <w:p>
            <w:pPr>
              <w:adjustRightInd w:val="0"/>
              <w:snapToGrid w:val="0"/>
              <w:spacing w:line="360" w:lineRule="exact"/>
              <w:rPr>
                <w:rFonts w:hint="eastAsia" w:ascii="Times New Roman" w:hAnsi="Times New Roman" w:eastAsia="宋体" w:cs="Times New Roman"/>
                <w:color w:val="000000" w:themeColor="text1"/>
                <w:w w:val="99"/>
                <w:sz w:val="21"/>
                <w:szCs w:val="21"/>
                <w:highlight w:val="none"/>
                <w:lang w:eastAsia="zh-CN"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废防渗布由建设单位统一收集后委托有资质单位处理</w:t>
            </w: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w:t>
            </w:r>
          </w:p>
        </w:tc>
        <w:tc>
          <w:tcPr>
            <w:tcW w:w="645" w:type="dxa"/>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生态保护措施</w:t>
            </w:r>
          </w:p>
        </w:tc>
        <w:tc>
          <w:tcPr>
            <w:tcW w:w="5953" w:type="dxa"/>
            <w:tcBorders>
              <w:tl2br w:val="nil"/>
              <w:tr2bl w:val="nil"/>
            </w:tcBorders>
            <w:vAlign w:val="center"/>
          </w:tcPr>
          <w:p>
            <w:pPr>
              <w:widowControl/>
              <w:adjustRightInd w:val="0"/>
              <w:snapToGrid w:val="0"/>
              <w:spacing w:line="360" w:lineRule="exact"/>
              <w:rPr>
                <w:rFonts w:hint="eastAsia" w:ascii="Times New Roman" w:hAnsi="Times New Roman" w:eastAsia="宋体" w:cs="Times New Roman"/>
                <w:color w:val="000000" w:themeColor="text1"/>
                <w:w w:val="99"/>
                <w:sz w:val="21"/>
                <w:szCs w:val="21"/>
                <w:highlight w:val="none"/>
                <w:lang w:eastAsia="zh-CN"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SA"/>
                <w14:textFill>
                  <w14:solidFill>
                    <w14:schemeClr w14:val="tx1"/>
                  </w14:solidFill>
                </w14:textFill>
              </w:rPr>
              <w:t>本项目生态恢复主要是对管线铺设临时占地进行恢复，需恢复的面积为</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4.72</w:t>
            </w:r>
            <w:r>
              <w:rPr>
                <w:rFonts w:hint="default" w:ascii="Times New Roman" w:hAnsi="Times New Roman" w:cs="Times New Roman"/>
                <w:color w:val="000000" w:themeColor="text1"/>
                <w:w w:val="99"/>
                <w:sz w:val="21"/>
                <w:szCs w:val="21"/>
                <w:highlight w:val="none"/>
                <w:lang w:bidi="ar-SA"/>
                <w14:textFill>
                  <w14:solidFill>
                    <w14:schemeClr w14:val="tx1"/>
                  </w14:solidFill>
                </w14:textFill>
              </w:rPr>
              <w:t>hm</w:t>
            </w:r>
            <w:r>
              <w:rPr>
                <w:rFonts w:hint="default" w:ascii="Times New Roman" w:hAnsi="Times New Roman" w:cs="Times New Roman"/>
                <w:color w:val="000000" w:themeColor="text1"/>
                <w:w w:val="99"/>
                <w:sz w:val="21"/>
                <w:szCs w:val="21"/>
                <w:highlight w:val="none"/>
                <w:vertAlign w:val="superscript"/>
                <w:lang w:bidi="ar-SA"/>
                <w14:textFill>
                  <w14:solidFill>
                    <w14:schemeClr w14:val="tx1"/>
                  </w14:solidFill>
                </w14:textFill>
              </w:rPr>
              <w:t>2</w:t>
            </w:r>
            <w:r>
              <w:rPr>
                <w:rFonts w:hint="default" w:ascii="Times New Roman" w:hAnsi="Times New Roman" w:cs="Times New Roman"/>
                <w:color w:val="000000" w:themeColor="text1"/>
                <w:w w:val="99"/>
                <w:sz w:val="21"/>
                <w:szCs w:val="21"/>
                <w:highlight w:val="none"/>
                <w:lang w:bidi="ar-SA"/>
                <w14:textFill>
                  <w14:solidFill>
                    <w14:schemeClr w14:val="tx1"/>
                  </w14:solidFill>
                </w14:textFill>
              </w:rPr>
              <w:t>。对临时占用土地采取表土留存，分层回填，翻松整平，植被恢复等措施</w:t>
            </w:r>
            <w:r>
              <w:rPr>
                <w:rFonts w:hint="eastAsia" w:ascii="Times New Roman" w:hAnsi="Times New Roman" w:cs="Times New Roman"/>
                <w:color w:val="000000" w:themeColor="text1"/>
                <w:w w:val="99"/>
                <w:sz w:val="21"/>
                <w:szCs w:val="21"/>
                <w:highlight w:val="none"/>
                <w:lang w:eastAsia="zh-CN" w:bidi="ar-SA"/>
                <w14:textFill>
                  <w14:solidFill>
                    <w14:schemeClr w14:val="tx1"/>
                  </w14:solidFill>
                </w14:textFill>
              </w:rPr>
              <w:t>。</w:t>
            </w:r>
          </w:p>
        </w:tc>
        <w:tc>
          <w:tcPr>
            <w:tcW w:w="645" w:type="dxa"/>
            <w:tcBorders>
              <w:tl2br w:val="nil"/>
              <w:tr2bl w:val="nil"/>
            </w:tcBorders>
            <w:vAlign w:val="center"/>
          </w:tcPr>
          <w:p>
            <w:pPr>
              <w:adjustRightInd w:val="0"/>
              <w:snapToGrid w:val="0"/>
              <w:spacing w:line="360" w:lineRule="exact"/>
              <w:jc w:val="center"/>
              <w:rPr>
                <w:rFonts w:hint="eastAsia" w:ascii="Times New Roman" w:hAnsi="Times New Roman" w:eastAsia="宋体"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SA"/>
                <w14:textFill>
                  <w14:solidFill>
                    <w14:schemeClr w14:val="tx1"/>
                  </w14:solidFill>
                </w14:textFill>
              </w:rPr>
            </w:pPr>
          </w:p>
        </w:tc>
        <w:tc>
          <w:tcPr>
            <w:tcW w:w="1537" w:type="dxa"/>
            <w:gridSpan w:val="2"/>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风险防控措施</w:t>
            </w:r>
          </w:p>
        </w:tc>
        <w:tc>
          <w:tcPr>
            <w:tcW w:w="5953" w:type="dxa"/>
            <w:tcBorders>
              <w:tl2br w:val="nil"/>
              <w:tr2bl w:val="nil"/>
            </w:tcBorders>
            <w:vAlign w:val="center"/>
          </w:tcPr>
          <w:p>
            <w:pPr>
              <w:widowControl/>
              <w:adjustRightInd w:val="0"/>
              <w:snapToGrid w:val="0"/>
              <w:spacing w:line="360" w:lineRule="exact"/>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14:textFill>
                  <w14:solidFill>
                    <w14:schemeClr w14:val="tx1"/>
                  </w14:solidFill>
                </w14:textFill>
              </w:rPr>
              <w:t>依托场站泵房设有可燃气体报警器，站内设有视频监控系统，连接至值班室。站内设有应急物资库房，围油栏、 铁锹、 吸油毡、 消油剂等应急工具和设备齐备完好，可在发生泄漏事故时对产生的污油污水进行及时回收和处理， 避免对周围地表水、 地下水、 土壤等环境产生污染。</w:t>
            </w:r>
          </w:p>
        </w:tc>
        <w:tc>
          <w:tcPr>
            <w:tcW w:w="645" w:type="dxa"/>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p>
        </w:tc>
        <w:tc>
          <w:tcPr>
            <w:tcW w:w="555" w:type="dxa"/>
            <w:vMerge w:val="restart"/>
            <w:tcBorders>
              <w:tl2br w:val="nil"/>
              <w:tr2bl w:val="nil"/>
            </w:tcBorders>
            <w:vAlign w:val="center"/>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转油站</w:t>
            </w:r>
          </w:p>
        </w:tc>
        <w:tc>
          <w:tcPr>
            <w:tcW w:w="982" w:type="dxa"/>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葡北10#转油站</w:t>
            </w:r>
          </w:p>
        </w:tc>
        <w:tc>
          <w:tcPr>
            <w:tcW w:w="5953" w:type="dxa"/>
            <w:tcBorders>
              <w:tl2br w:val="nil"/>
              <w:tr2bl w:val="nil"/>
            </w:tcBorders>
            <w:vAlign w:val="center"/>
          </w:tcPr>
          <w:p>
            <w:pPr>
              <w:widowControl/>
              <w:adjustRightInd w:val="0"/>
              <w:snapToGrid w:val="0"/>
              <w:spacing w:line="360" w:lineRule="exact"/>
              <w:rPr>
                <w:rFonts w:hint="eastAsia" w:ascii="Times New Roman" w:hAnsi="Times New Roman" w:eastAsia="宋体" w:cs="Times New Roman"/>
                <w:snapToGrid w:val="0"/>
                <w:color w:val="000000" w:themeColor="text1"/>
                <w:w w:val="99"/>
                <w:sz w:val="21"/>
                <w:szCs w:val="21"/>
                <w:highlight w:val="none"/>
                <w:lang w:eastAsia="zh-CN" w:bidi="ar-SA"/>
                <w14:textFill>
                  <w14:solidFill>
                    <w14:schemeClr w14:val="tx1"/>
                  </w14:solidFill>
                </w14:textFill>
              </w:rPr>
            </w:pPr>
            <w:r>
              <w:rPr>
                <w:rFonts w:hint="default"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t>葡北10#转油站建于1980年，目前辖油井177口，计量间7座，含水油经升压泵输至葡二联脱水站进行脱水处理。</w:t>
            </w:r>
            <w: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t>站内采用“三合一”处理工艺，三合一设计处理能力为7100t/d，三合一处理量为6394t/d，负荷率为90.06%，</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本项目实施后不新增产液，</w:t>
            </w:r>
            <w: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t>该站可以满足本次产能建设需要</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w:t>
            </w:r>
          </w:p>
        </w:tc>
        <w:tc>
          <w:tcPr>
            <w:tcW w:w="645" w:type="dxa"/>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p>
        </w:tc>
        <w:tc>
          <w:tcPr>
            <w:tcW w:w="555"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p>
        </w:tc>
        <w:tc>
          <w:tcPr>
            <w:tcW w:w="982" w:type="dxa"/>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葡北9#转油站</w:t>
            </w:r>
          </w:p>
        </w:tc>
        <w:tc>
          <w:tcPr>
            <w:tcW w:w="5953" w:type="dxa"/>
            <w:tcBorders>
              <w:tl2br w:val="nil"/>
              <w:tr2bl w:val="nil"/>
            </w:tcBorders>
            <w:vAlign w:val="center"/>
          </w:tcPr>
          <w:p>
            <w:pPr>
              <w:widowControl/>
              <w:adjustRightInd w:val="0"/>
              <w:snapToGrid w:val="0"/>
              <w:spacing w:line="360" w:lineRule="exact"/>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bCs/>
                <w:snapToGrid w:val="0"/>
                <w:color w:val="000000" w:themeColor="text1"/>
                <w:w w:val="99"/>
                <w:sz w:val="21"/>
                <w:szCs w:val="21"/>
                <w:highlight w:val="none"/>
                <w:lang w:val="en-US" w:eastAsia="zh-CN" w:bidi="ar-SA"/>
                <w14:textFill>
                  <w14:solidFill>
                    <w14:schemeClr w14:val="tx1"/>
                  </w14:solidFill>
                </w14:textFill>
              </w:rPr>
              <w:t>葡北9#转油站</w:t>
            </w:r>
            <w:r>
              <w:rPr>
                <w:rFonts w:hint="default"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t>建于</w:t>
            </w:r>
            <w:r>
              <w:rPr>
                <w:rFonts w:hint="eastAsia" w:ascii="Times New Roman" w:hAnsi="Times New Roman" w:cs="Times New Roman"/>
                <w:bCs/>
                <w:snapToGrid w:val="0"/>
                <w:color w:val="000000" w:themeColor="text1"/>
                <w:w w:val="99"/>
                <w:sz w:val="21"/>
                <w:szCs w:val="21"/>
                <w:highlight w:val="none"/>
                <w:lang w:val="en-US" w:eastAsia="zh-CN" w:bidi="ar-SA"/>
                <w14:textFill>
                  <w14:solidFill>
                    <w14:schemeClr w14:val="tx1"/>
                  </w14:solidFill>
                </w14:textFill>
              </w:rPr>
              <w:t>2010</w:t>
            </w:r>
            <w:r>
              <w:rPr>
                <w:rFonts w:hint="default"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t>年，目前辖油井</w:t>
            </w:r>
            <w:r>
              <w:rPr>
                <w:rFonts w:hint="eastAsia" w:ascii="Times New Roman" w:hAnsi="Times New Roman" w:cs="Times New Roman"/>
                <w:bCs/>
                <w:snapToGrid w:val="0"/>
                <w:color w:val="000000" w:themeColor="text1"/>
                <w:w w:val="99"/>
                <w:sz w:val="21"/>
                <w:szCs w:val="21"/>
                <w:highlight w:val="none"/>
                <w:lang w:val="en-US" w:eastAsia="zh-CN" w:bidi="ar-SA"/>
                <w14:textFill>
                  <w14:solidFill>
                    <w14:schemeClr w14:val="tx1"/>
                  </w14:solidFill>
                </w14:textFill>
              </w:rPr>
              <w:t>126</w:t>
            </w:r>
            <w:r>
              <w:rPr>
                <w:rFonts w:hint="default"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t>口，计量间</w:t>
            </w:r>
            <w:r>
              <w:rPr>
                <w:rFonts w:hint="eastAsia" w:ascii="Times New Roman" w:hAnsi="Times New Roman" w:cs="Times New Roman"/>
                <w:bCs/>
                <w:snapToGrid w:val="0"/>
                <w:color w:val="000000" w:themeColor="text1"/>
                <w:w w:val="99"/>
                <w:sz w:val="21"/>
                <w:szCs w:val="21"/>
                <w:highlight w:val="none"/>
                <w:lang w:val="en-US" w:eastAsia="zh-CN" w:bidi="ar-SA"/>
                <w14:textFill>
                  <w14:solidFill>
                    <w14:schemeClr w14:val="tx1"/>
                  </w14:solidFill>
                </w14:textFill>
              </w:rPr>
              <w:t>6</w:t>
            </w:r>
            <w:r>
              <w:rPr>
                <w:rFonts w:hint="default"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t>座，含水油经升压泵输至葡二联脱水站进行脱水处理。</w:t>
            </w:r>
            <w: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t>站内采用“</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四</w:t>
            </w:r>
            <w: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t>合一”处理工艺，</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四</w:t>
            </w:r>
            <w: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t>合一设计处理能力为</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6000</w:t>
            </w:r>
            <w: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t>t/d，</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四</w:t>
            </w:r>
            <w: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t>合一处理量为</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5522</w:t>
            </w:r>
            <w: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t>t/d，负荷率为9</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2.0</w:t>
            </w:r>
            <w: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本项目实施后不新增产液，</w:t>
            </w:r>
            <w: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t>该站可以满足本次产能建设需要</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w:t>
            </w:r>
          </w:p>
        </w:tc>
        <w:tc>
          <w:tcPr>
            <w:tcW w:w="645" w:type="dxa"/>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p>
        </w:tc>
        <w:tc>
          <w:tcPr>
            <w:tcW w:w="555" w:type="dxa"/>
            <w:tcBorders>
              <w:tl2br w:val="nil"/>
              <w:tr2bl w:val="nil"/>
            </w:tcBorders>
            <w:vAlign w:val="center"/>
          </w:tcPr>
          <w:p>
            <w:pPr>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含油污水处理站</w:t>
            </w:r>
          </w:p>
        </w:tc>
        <w:tc>
          <w:tcPr>
            <w:tcW w:w="982"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葡二联含油污水处理站</w:t>
            </w:r>
          </w:p>
        </w:tc>
        <w:tc>
          <w:tcPr>
            <w:tcW w:w="5953" w:type="dxa"/>
            <w:tcBorders>
              <w:tl2br w:val="nil"/>
              <w:tr2bl w:val="nil"/>
            </w:tcBorders>
            <w:vAlign w:val="center"/>
          </w:tcPr>
          <w:p>
            <w:pPr>
              <w:widowControl/>
              <w:adjustRightInd w:val="0"/>
              <w:snapToGrid w:val="0"/>
              <w:spacing w:line="360" w:lineRule="exact"/>
              <w:rPr>
                <w:rFonts w:hint="eastAsia" w:ascii="Times New Roman" w:hAnsi="Times New Roman" w:eastAsia="宋体" w:cs="Times New Roman"/>
                <w:snapToGrid w:val="0"/>
                <w:color w:val="000000" w:themeColor="text1"/>
                <w:w w:val="99"/>
                <w:sz w:val="21"/>
                <w:szCs w:val="21"/>
                <w:highlight w:val="none"/>
                <w:lang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葡二联污水站于1997年建成，该站采用“二级沉降石英砂过滤+二段压力式过滤”污水处理工艺，设计能力为2×10</w:t>
            </w:r>
            <w:r>
              <w:rPr>
                <w:rFonts w:hint="default" w:ascii="Times New Roman" w:hAnsi="Times New Roman" w:cs="Times New Roman"/>
                <w:color w:val="000000" w:themeColor="text1"/>
                <w:w w:val="99"/>
                <w:sz w:val="21"/>
                <w:szCs w:val="21"/>
                <w:highlight w:val="none"/>
                <w:vertAlign w:val="superscript"/>
                <w:lang w:val="en-US" w:bidi="ar-SA"/>
                <w14:textFill>
                  <w14:solidFill>
                    <w14:schemeClr w14:val="tx1"/>
                  </w14:solidFill>
                </w14:textFill>
              </w:rPr>
              <w:t>4</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m</w:t>
            </w:r>
            <w:r>
              <w:rPr>
                <w:rFonts w:hint="default" w:ascii="Times New Roman" w:hAnsi="Times New Roman" w:cs="Times New Roman"/>
                <w:color w:val="000000" w:themeColor="text1"/>
                <w:w w:val="99"/>
                <w:sz w:val="21"/>
                <w:szCs w:val="21"/>
                <w:highlight w:val="none"/>
                <w:vertAlign w:val="superscript"/>
                <w:lang w:val="en-US" w:bidi="ar-SA"/>
                <w14:textFill>
                  <w14:solidFill>
                    <w14:schemeClr w14:val="tx1"/>
                  </w14:solidFill>
                </w14:textFill>
              </w:rPr>
              <w:t>3</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/d，实际处理量为18000m</w:t>
            </w:r>
            <w:r>
              <w:rPr>
                <w:rFonts w:hint="default" w:ascii="Times New Roman" w:hAnsi="Times New Roman" w:cs="Times New Roman"/>
                <w:color w:val="000000" w:themeColor="text1"/>
                <w:w w:val="99"/>
                <w:sz w:val="21"/>
                <w:szCs w:val="21"/>
                <w:highlight w:val="none"/>
                <w:vertAlign w:val="superscript"/>
                <w:lang w:val="en-US" w:bidi="ar-SA"/>
                <w14:textFill>
                  <w14:solidFill>
                    <w14:schemeClr w14:val="tx1"/>
                  </w14:solidFill>
                </w14:textFill>
              </w:rPr>
              <w:t>3</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/d，当前负荷90%，</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本项目实施后不新增产液</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，可以满足本项目要求</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645" w:type="dxa"/>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p>
        </w:tc>
        <w:tc>
          <w:tcPr>
            <w:tcW w:w="1537" w:type="dxa"/>
            <w:gridSpan w:val="2"/>
            <w:tcBorders>
              <w:tl2br w:val="nil"/>
              <w:tr2bl w:val="nil"/>
            </w:tcBorders>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葡萄花含油污泥处理站</w:t>
            </w:r>
          </w:p>
        </w:tc>
        <w:tc>
          <w:tcPr>
            <w:tcW w:w="5953" w:type="dxa"/>
            <w:tcBorders>
              <w:tl2br w:val="nil"/>
              <w:tr2bl w:val="nil"/>
            </w:tcBorders>
            <w:vAlign w:val="center"/>
          </w:tcPr>
          <w:p>
            <w:pPr>
              <w:widowControl/>
              <w:adjustRightInd w:val="0"/>
              <w:snapToGrid w:val="0"/>
              <w:spacing w:line="360" w:lineRule="exact"/>
              <w:rPr>
                <w:rFonts w:hint="default" w:ascii="Times New Roman" w:hAnsi="Times New Roman" w:cs="Times New Roman"/>
                <w:snapToGrid w:val="0"/>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采用含油污泥调质-离心处理技术工艺，设计规模为5m</w:t>
            </w:r>
            <w:r>
              <w:rPr>
                <w:rFonts w:hint="default" w:ascii="Times New Roman" w:hAnsi="Times New Roman" w:cs="Times New Roman"/>
                <w:color w:val="000000" w:themeColor="text1"/>
                <w:w w:val="99"/>
                <w:sz w:val="21"/>
                <w:szCs w:val="21"/>
                <w:highlight w:val="none"/>
                <w:vertAlign w:val="superscript"/>
                <w:lang w:val="en-US" w:bidi="ar-SA"/>
                <w14:textFill>
                  <w14:solidFill>
                    <w14:schemeClr w14:val="tx1"/>
                  </w14:solidFill>
                </w14:textFill>
              </w:rPr>
              <w:t>3</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/h（年运行150天，每天24小时，年最大处理量18000m</w:t>
            </w:r>
            <w:r>
              <w:rPr>
                <w:rFonts w:hint="default" w:ascii="Times New Roman" w:hAnsi="Times New Roman" w:cs="Times New Roman"/>
                <w:color w:val="000000" w:themeColor="text1"/>
                <w:w w:val="99"/>
                <w:sz w:val="21"/>
                <w:szCs w:val="21"/>
                <w:highlight w:val="none"/>
                <w:vertAlign w:val="superscript"/>
                <w:lang w:val="en-US" w:bidi="ar-SA"/>
                <w14:textFill>
                  <w14:solidFill>
                    <w14:schemeClr w14:val="tx1"/>
                  </w14:solidFill>
                </w14:textFill>
              </w:rPr>
              <w:t>3</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），目前实际处理量为12600m</w:t>
            </w:r>
            <w:r>
              <w:rPr>
                <w:rFonts w:hint="default" w:ascii="Times New Roman" w:hAnsi="Times New Roman" w:cs="Times New Roman"/>
                <w:color w:val="000000" w:themeColor="text1"/>
                <w:w w:val="99"/>
                <w:sz w:val="21"/>
                <w:szCs w:val="21"/>
                <w:highlight w:val="none"/>
                <w:vertAlign w:val="superscript"/>
                <w:lang w:val="en-US" w:bidi="ar-SA"/>
                <w14:textFill>
                  <w14:solidFill>
                    <w14:schemeClr w14:val="tx1"/>
                  </w14:solidFill>
                </w14:textFill>
              </w:rPr>
              <w:t>3</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/a，剩余处理量为5400m</w:t>
            </w:r>
            <w:r>
              <w:rPr>
                <w:rFonts w:hint="default" w:ascii="Times New Roman" w:hAnsi="Times New Roman" w:cs="Times New Roman"/>
                <w:color w:val="000000" w:themeColor="text1"/>
                <w:w w:val="99"/>
                <w:sz w:val="21"/>
                <w:szCs w:val="21"/>
                <w:highlight w:val="none"/>
                <w:vertAlign w:val="superscript"/>
                <w:lang w:val="en-US" w:bidi="ar-SA"/>
                <w14:textFill>
                  <w14:solidFill>
                    <w14:schemeClr w14:val="tx1"/>
                  </w14:solidFill>
                </w14:textFill>
              </w:rPr>
              <w:t>3</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/a，本工程污泥处理量为</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1.213t/a</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，处理能力满足需求。</w:t>
            </w:r>
          </w:p>
        </w:tc>
        <w:tc>
          <w:tcPr>
            <w:tcW w:w="645" w:type="dxa"/>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p>
        </w:tc>
        <w:tc>
          <w:tcPr>
            <w:tcW w:w="1537" w:type="dxa"/>
            <w:gridSpan w:val="2"/>
            <w:tcBorders>
              <w:tl2br w:val="nil"/>
              <w:tr2bl w:val="nil"/>
            </w:tcBorders>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
                <w14:textFill>
                  <w14:solidFill>
                    <w14:schemeClr w14:val="tx1"/>
                  </w14:solidFill>
                </w14:textFill>
              </w:rPr>
              <w:t>第七采油厂工业固废填埋场</w:t>
            </w:r>
          </w:p>
        </w:tc>
        <w:tc>
          <w:tcPr>
            <w:tcW w:w="5953" w:type="dxa"/>
            <w:tcBorders>
              <w:tl2br w:val="nil"/>
              <w:tr2bl w:val="nil"/>
            </w:tcBorders>
            <w:vAlign w:val="center"/>
          </w:tcPr>
          <w:p>
            <w:pPr>
              <w:widowControl/>
              <w:adjustRightInd w:val="0"/>
              <w:snapToGrid w:val="0"/>
              <w:spacing w:line="360" w:lineRule="exact"/>
              <w:jc w:val="both"/>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default" w:ascii="Times New Roman" w:hAnsi="Times New Roman" w:cs="Times New Roman"/>
                <w:bCs/>
                <w:color w:val="000000" w:themeColor="text1"/>
                <w:w w:val="99"/>
                <w:sz w:val="21"/>
                <w:szCs w:val="21"/>
                <w:highlight w:val="none"/>
                <w:lang w:val="en-US" w:bidi="ar-SA"/>
                <w14:textFill>
                  <w14:solidFill>
                    <w14:schemeClr w14:val="tx1"/>
                  </w14:solidFill>
                </w14:textFill>
              </w:rPr>
              <w:t>第七采油厂工业固废填埋场位于大同区采油七厂东北9km一处盐碱地内，于 2013 年通过环保验收（验收文号为庆环验[2013]12号），总容量为 14000m</w:t>
            </w:r>
            <w:r>
              <w:rPr>
                <w:rFonts w:hint="default" w:ascii="Times New Roman" w:hAnsi="Times New Roman" w:cs="Times New Roman"/>
                <w:bCs/>
                <w:color w:val="000000" w:themeColor="text1"/>
                <w:w w:val="99"/>
                <w:sz w:val="21"/>
                <w:szCs w:val="21"/>
                <w:highlight w:val="none"/>
                <w:vertAlign w:val="superscript"/>
                <w:lang w:val="en-US" w:bidi="ar-SA"/>
                <w14:textFill>
                  <w14:solidFill>
                    <w14:schemeClr w14:val="tx1"/>
                  </w14:solidFill>
                </w14:textFill>
              </w:rPr>
              <w:t>3</w:t>
            </w:r>
            <w:r>
              <w:rPr>
                <w:rFonts w:hint="default" w:ascii="Times New Roman" w:hAnsi="Times New Roman" w:cs="Times New Roman"/>
                <w:bCs/>
                <w:color w:val="000000" w:themeColor="text1"/>
                <w:w w:val="99"/>
                <w:sz w:val="21"/>
                <w:szCs w:val="21"/>
                <w:highlight w:val="none"/>
                <w:lang w:val="en-US" w:bidi="ar-SA"/>
                <w14:textFill>
                  <w14:solidFill>
                    <w14:schemeClr w14:val="tx1"/>
                  </w14:solidFill>
                </w14:textFill>
              </w:rPr>
              <w:t>，设计年处理能力为 581.2m</w:t>
            </w:r>
            <w:r>
              <w:rPr>
                <w:rFonts w:hint="default" w:ascii="Times New Roman" w:hAnsi="Times New Roman" w:cs="Times New Roman"/>
                <w:bCs/>
                <w:color w:val="000000" w:themeColor="text1"/>
                <w:w w:val="99"/>
                <w:sz w:val="21"/>
                <w:szCs w:val="21"/>
                <w:highlight w:val="none"/>
                <w:vertAlign w:val="superscript"/>
                <w:lang w:val="en-US" w:bidi="ar-SA"/>
                <w14:textFill>
                  <w14:solidFill>
                    <w14:schemeClr w14:val="tx1"/>
                  </w14:solidFill>
                </w14:textFill>
              </w:rPr>
              <w:t>3</w:t>
            </w:r>
            <w:r>
              <w:rPr>
                <w:rFonts w:hint="default" w:ascii="Times New Roman" w:hAnsi="Times New Roman" w:cs="Times New Roman"/>
                <w:bCs/>
                <w:color w:val="000000" w:themeColor="text1"/>
                <w:w w:val="99"/>
                <w:sz w:val="21"/>
                <w:szCs w:val="21"/>
                <w:highlight w:val="none"/>
                <w:lang w:val="en-US" w:bidi="ar-SA"/>
                <w14:textFill>
                  <w14:solidFill>
                    <w14:schemeClr w14:val="tx1"/>
                  </w14:solidFill>
                </w14:textFill>
              </w:rPr>
              <w:t>，目前填埋总量约为9100m</w:t>
            </w:r>
            <w:r>
              <w:rPr>
                <w:rFonts w:hint="default" w:ascii="Times New Roman" w:hAnsi="Times New Roman" w:cs="Times New Roman"/>
                <w:bCs/>
                <w:color w:val="000000" w:themeColor="text1"/>
                <w:w w:val="99"/>
                <w:sz w:val="21"/>
                <w:szCs w:val="21"/>
                <w:highlight w:val="none"/>
                <w:vertAlign w:val="superscript"/>
                <w:lang w:val="en-US" w:bidi="ar-SA"/>
                <w14:textFill>
                  <w14:solidFill>
                    <w14:schemeClr w14:val="tx1"/>
                  </w14:solidFill>
                </w14:textFill>
              </w:rPr>
              <w:t>3</w:t>
            </w:r>
            <w:r>
              <w:rPr>
                <w:rFonts w:hint="default" w:ascii="Times New Roman" w:hAnsi="Times New Roman" w:cs="Times New Roman"/>
                <w:bCs/>
                <w:color w:val="000000" w:themeColor="text1"/>
                <w:w w:val="99"/>
                <w:sz w:val="21"/>
                <w:szCs w:val="21"/>
                <w:highlight w:val="none"/>
                <w:lang w:val="en-US" w:bidi="ar-SA"/>
                <w14:textFill>
                  <w14:solidFill>
                    <w14:schemeClr w14:val="tx1"/>
                  </w14:solidFill>
                </w14:textFill>
              </w:rPr>
              <w:t>，剩余填埋量约为4900m</w:t>
            </w:r>
            <w:r>
              <w:rPr>
                <w:rFonts w:hint="default" w:ascii="Times New Roman" w:hAnsi="Times New Roman" w:cs="Times New Roman"/>
                <w:bCs/>
                <w:color w:val="000000" w:themeColor="text1"/>
                <w:w w:val="99"/>
                <w:sz w:val="21"/>
                <w:szCs w:val="21"/>
                <w:highlight w:val="none"/>
                <w:vertAlign w:val="superscript"/>
                <w:lang w:val="en-US" w:bidi="ar-SA"/>
                <w14:textFill>
                  <w14:solidFill>
                    <w14:schemeClr w14:val="tx1"/>
                  </w14:solidFill>
                </w14:textFill>
              </w:rPr>
              <w:t>3</w:t>
            </w:r>
            <w:r>
              <w:rPr>
                <w:rFonts w:hint="default" w:ascii="Times New Roman" w:hAnsi="Times New Roman" w:cs="Times New Roman"/>
                <w:bCs/>
                <w:color w:val="000000" w:themeColor="text1"/>
                <w:w w:val="99"/>
                <w:sz w:val="21"/>
                <w:szCs w:val="21"/>
                <w:highlight w:val="none"/>
                <w:lang w:val="en-US" w:bidi="ar-SA"/>
                <w14:textFill>
                  <w14:solidFill>
                    <w14:schemeClr w14:val="tx1"/>
                  </w14:solidFill>
                </w14:textFill>
              </w:rPr>
              <w:t>，本项目产生废弃防渗布和一般包装袋共计0.06t，填埋场剩余容量能够容纳本项目产生的固体废物，本项目依托可行。</w:t>
            </w:r>
          </w:p>
        </w:tc>
        <w:tc>
          <w:tcPr>
            <w:tcW w:w="645" w:type="dxa"/>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tcBorders>
              <w:tl2br w:val="nil"/>
              <w:tr2bl w:val="nil"/>
            </w:tcBorders>
            <w:vAlign w:val="center"/>
          </w:tcPr>
          <w:p>
            <w:pPr>
              <w:widowControl/>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临时工程</w:t>
            </w:r>
          </w:p>
        </w:tc>
        <w:tc>
          <w:tcPr>
            <w:tcW w:w="7490" w:type="dxa"/>
            <w:gridSpan w:val="3"/>
            <w:tcBorders>
              <w:tl2br w:val="nil"/>
              <w:tr2bl w:val="nil"/>
            </w:tcBorders>
            <w:vAlign w:val="center"/>
          </w:tcPr>
          <w:p>
            <w:pPr>
              <w:widowControl/>
              <w:adjustRightInd w:val="0"/>
              <w:snapToGrid w:val="0"/>
              <w:spacing w:line="360" w:lineRule="exact"/>
              <w:jc w:val="both"/>
              <w:rPr>
                <w:rFonts w:hint="default" w:ascii="Times New Roman" w:hAnsi="Times New Roman" w:cs="Times New Roman"/>
                <w:color w:val="000000" w:themeColor="text1"/>
                <w:w w:val="99"/>
                <w:sz w:val="21"/>
                <w:szCs w:val="21"/>
                <w:highlight w:val="none"/>
                <w:lang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本项目施工时不设施工营地</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及</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料场，</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不设置取土场、弃土场、拌合站、施工便道。本项目管线施工</w:t>
            </w:r>
            <w: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t>直接将管线和筑路材料拉运到施工现场进行施工。</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管线施工</w:t>
            </w: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不打乱土层，先挖表土层（20 cm左右）单独堆放；然后挖心、底土层另外堆放。复原时先填心、底土，后平覆表土，以便尽快恢复土地原貌</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645" w:type="dxa"/>
            <w:tcBorders>
              <w:tl2br w:val="nil"/>
              <w:tr2bl w:val="nil"/>
            </w:tcBorders>
            <w:vAlign w:val="center"/>
          </w:tcPr>
          <w:p>
            <w:pPr>
              <w:adjustRightInd w:val="0"/>
              <w:snapToGrid w:val="0"/>
              <w:spacing w:line="360" w:lineRule="exact"/>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临时</w:t>
            </w:r>
          </w:p>
        </w:tc>
      </w:tr>
    </w:tbl>
    <w:p>
      <w:pPr>
        <w:pStyle w:val="7"/>
        <w:keepNext/>
        <w:keepLines/>
        <w:widowControl w:val="0"/>
        <w:autoSpaceDE/>
        <w:autoSpaceDN/>
        <w:spacing w:before="60" w:after="60" w:line="440" w:lineRule="exact"/>
        <w:ind w:left="0" w:firstLine="0"/>
        <w:jc w:val="both"/>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3.1.3工程方案</w:t>
      </w:r>
      <w:bookmarkStart w:id="39" w:name="_Toc70050172"/>
      <w:bookmarkStart w:id="40" w:name="_Toc67860125"/>
    </w:p>
    <w:bookmarkEnd w:id="39"/>
    <w:bookmarkEnd w:id="40"/>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3.1.3.1开发方案</w:t>
      </w:r>
    </w:p>
    <w:p>
      <w:pPr>
        <w:widowControl w:val="0"/>
        <w:autoSpaceDE w:val="0"/>
        <w:autoSpaceDN w:val="0"/>
        <w:spacing w:line="440" w:lineRule="exact"/>
        <w:ind w:firstLine="474" w:firstLineChars="200"/>
        <w:jc w:val="both"/>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（1）基建井及井位分布</w:t>
      </w:r>
    </w:p>
    <w:p>
      <w:pPr>
        <w:widowControl w:val="0"/>
        <w:autoSpaceDE w:val="0"/>
        <w:autoSpaceDN w:val="0"/>
        <w:spacing w:line="440" w:lineRule="exact"/>
        <w:ind w:firstLine="474" w:firstLineChars="200"/>
        <w:jc w:val="both"/>
        <w:rPr>
          <w:rFonts w:ascii="Times New Roman" w:hAnsi="Times New Roman" w:cs="Times New Roman" w:eastAsiaTheme="minorEastAsia"/>
          <w:bCs/>
          <w:color w:val="000000" w:themeColor="text1"/>
          <w:w w:val="99"/>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本项目深部调区驱油利用</w:t>
      </w:r>
      <w:r>
        <w:rPr>
          <w:rFonts w:hint="eastAsia" w:ascii="Times New Roman" w:hAnsi="Times New Roman" w:cs="Times New Roman"/>
          <w:bCs/>
          <w:snapToGrid w:val="0"/>
          <w:color w:val="000000" w:themeColor="text1"/>
          <w:w w:val="99"/>
          <w:sz w:val="24"/>
          <w:szCs w:val="24"/>
          <w:highlight w:val="none"/>
          <w:lang w:eastAsia="zh-CN"/>
          <w14:textFill>
            <w14:solidFill>
              <w14:schemeClr w14:val="tx1"/>
            </w14:solidFill>
          </w14:textFill>
        </w:rPr>
        <w:t>葡北油田三断块葡72-70井区现有30口油注入井（采出井21口，注入井9口），</w:t>
      </w:r>
      <w:r>
        <w:rPr>
          <w:rFonts w:ascii="Times New Roman" w:hAnsi="Times New Roman" w:cs="Times New Roman" w:eastAsiaTheme="minorEastAsia"/>
          <w:bCs/>
          <w:color w:val="000000" w:themeColor="text1"/>
          <w:w w:val="99"/>
          <w:highlight w:val="none"/>
          <w14:textFill>
            <w14:solidFill>
              <w14:schemeClr w14:val="tx1"/>
            </w14:solidFill>
          </w14:textFill>
        </w:rPr>
        <w:t>本项目</w:t>
      </w:r>
      <w:r>
        <w:rPr>
          <w:color w:val="000000" w:themeColor="text1"/>
          <w:w w:val="99"/>
          <w:sz w:val="24"/>
          <w:highlight w:val="none"/>
          <w14:textFill>
            <w14:solidFill>
              <w14:schemeClr w14:val="tx1"/>
            </w14:solidFill>
          </w14:textFill>
        </w:rPr>
        <w:t>井位部署表</w:t>
      </w:r>
      <w:r>
        <w:rPr>
          <w:rFonts w:ascii="Times New Roman" w:hAnsi="Times New Roman" w:cs="Times New Roman" w:eastAsiaTheme="minorEastAsia"/>
          <w:bCs/>
          <w:color w:val="000000" w:themeColor="text1"/>
          <w:w w:val="99"/>
          <w:highlight w:val="none"/>
          <w14:textFill>
            <w14:solidFill>
              <w14:schemeClr w14:val="tx1"/>
            </w14:solidFill>
          </w14:textFill>
        </w:rPr>
        <w:t>见表3.</w:t>
      </w:r>
      <w:r>
        <w:rPr>
          <w:rFonts w:hint="eastAsia" w:ascii="Times New Roman" w:hAnsi="Times New Roman" w:cs="Times New Roman" w:eastAsiaTheme="minorEastAsia"/>
          <w:bCs/>
          <w:color w:val="000000" w:themeColor="text1"/>
          <w:w w:val="99"/>
          <w:highlight w:val="none"/>
          <w:lang w:val="en-US" w:eastAsia="zh-CN"/>
          <w14:textFill>
            <w14:solidFill>
              <w14:schemeClr w14:val="tx1"/>
            </w14:solidFill>
          </w14:textFill>
        </w:rPr>
        <w:t>1</w:t>
      </w:r>
      <w:r>
        <w:rPr>
          <w:rFonts w:ascii="Times New Roman" w:hAnsi="Times New Roman" w:cs="Times New Roman" w:eastAsiaTheme="minorEastAsia"/>
          <w:bCs/>
          <w:color w:val="000000" w:themeColor="text1"/>
          <w:w w:val="99"/>
          <w:highlight w:val="none"/>
          <w14:textFill>
            <w14:solidFill>
              <w14:schemeClr w14:val="tx1"/>
            </w14:solidFill>
          </w14:textFill>
        </w:rPr>
        <w:t>-</w:t>
      </w:r>
      <w:r>
        <w:rPr>
          <w:rFonts w:hint="eastAsia" w:ascii="Times New Roman" w:hAnsi="Times New Roman" w:cs="Times New Roman" w:eastAsiaTheme="minorEastAsia"/>
          <w:bCs/>
          <w:color w:val="000000" w:themeColor="text1"/>
          <w:w w:val="99"/>
          <w:highlight w:val="none"/>
          <w:lang w:val="en-US" w:eastAsia="zh-CN"/>
          <w14:textFill>
            <w14:solidFill>
              <w14:schemeClr w14:val="tx1"/>
            </w14:solidFill>
          </w14:textFill>
        </w:rPr>
        <w:t>2</w:t>
      </w:r>
      <w:r>
        <w:rPr>
          <w:rFonts w:ascii="Times New Roman" w:hAnsi="Times New Roman" w:cs="Times New Roman" w:eastAsiaTheme="minorEastAsia"/>
          <w:bCs/>
          <w:color w:val="000000" w:themeColor="text1"/>
          <w:w w:val="99"/>
          <w:highlight w:val="none"/>
          <w14:textFill>
            <w14:solidFill>
              <w14:schemeClr w14:val="tx1"/>
            </w14:solidFill>
          </w14:textFill>
        </w:rPr>
        <w:t>。</w:t>
      </w:r>
      <w:r>
        <w:rPr>
          <w:rFonts w:hint="eastAsia" w:ascii="Times New Roman" w:hAnsi="Times New Roman" w:cs="Times New Roman" w:eastAsiaTheme="minorEastAsia"/>
          <w:bCs/>
          <w:color w:val="000000" w:themeColor="text1"/>
          <w:w w:val="99"/>
          <w:highlight w:val="none"/>
          <w:lang w:eastAsia="zh-CN"/>
          <w14:textFill>
            <w14:solidFill>
              <w14:schemeClr w14:val="tx1"/>
            </w14:solidFill>
          </w14:textFill>
        </w:rPr>
        <w:t>具体</w:t>
      </w:r>
      <w:r>
        <w:rPr>
          <w:rFonts w:ascii="Times New Roman" w:hAnsi="Times New Roman" w:cs="Times New Roman" w:eastAsiaTheme="minorEastAsia"/>
          <w:color w:val="000000" w:themeColor="text1"/>
          <w:w w:val="99"/>
          <w:kern w:val="21"/>
          <w:highlight w:val="none"/>
          <w14:textFill>
            <w14:solidFill>
              <w14:schemeClr w14:val="tx1"/>
            </w14:solidFill>
          </w14:textFill>
        </w:rPr>
        <w:t>井位</w:t>
      </w:r>
      <w:r>
        <w:rPr>
          <w:rFonts w:hint="eastAsia" w:ascii="Times New Roman" w:hAnsi="Times New Roman" w:cs="Times New Roman" w:eastAsiaTheme="minorEastAsia"/>
          <w:color w:val="000000" w:themeColor="text1"/>
          <w:w w:val="99"/>
          <w:kern w:val="21"/>
          <w:highlight w:val="none"/>
          <w:lang w:eastAsia="zh-CN"/>
          <w14:textFill>
            <w14:solidFill>
              <w14:schemeClr w14:val="tx1"/>
            </w14:solidFill>
          </w14:textFill>
        </w:rPr>
        <w:t>分布情况布</w:t>
      </w:r>
      <w:r>
        <w:rPr>
          <w:rFonts w:ascii="Times New Roman" w:hAnsi="Times New Roman" w:cs="Times New Roman" w:eastAsiaTheme="minorEastAsia"/>
          <w:color w:val="000000" w:themeColor="text1"/>
          <w:w w:val="99"/>
          <w:kern w:val="21"/>
          <w:highlight w:val="none"/>
          <w14:textFill>
            <w14:solidFill>
              <w14:schemeClr w14:val="tx1"/>
            </w14:solidFill>
          </w14:textFill>
        </w:rPr>
        <w:t>见图3.</w:t>
      </w:r>
      <w:r>
        <w:rPr>
          <w:rFonts w:hint="eastAsia" w:ascii="Times New Roman" w:hAnsi="Times New Roman" w:cs="Times New Roman" w:eastAsiaTheme="minorEastAsia"/>
          <w:color w:val="000000" w:themeColor="text1"/>
          <w:w w:val="99"/>
          <w:kern w:val="21"/>
          <w:highlight w:val="none"/>
          <w:lang w:val="en-US" w:eastAsia="zh-CN"/>
          <w14:textFill>
            <w14:solidFill>
              <w14:schemeClr w14:val="tx1"/>
            </w14:solidFill>
          </w14:textFill>
        </w:rPr>
        <w:t>1</w:t>
      </w:r>
      <w:r>
        <w:rPr>
          <w:rFonts w:ascii="Times New Roman" w:hAnsi="Times New Roman" w:cs="Times New Roman" w:eastAsiaTheme="minorEastAsia"/>
          <w:color w:val="000000" w:themeColor="text1"/>
          <w:w w:val="99"/>
          <w:kern w:val="21"/>
          <w:highlight w:val="none"/>
          <w14:textFill>
            <w14:solidFill>
              <w14:schemeClr w14:val="tx1"/>
            </w14:solidFill>
          </w14:textFill>
        </w:rPr>
        <w:t>-1。</w:t>
      </w:r>
    </w:p>
    <w:p>
      <w:pPr>
        <w:widowControl w:val="0"/>
        <w:autoSpaceDE w:val="0"/>
        <w:autoSpaceDN w:val="0"/>
        <w:spacing w:line="440" w:lineRule="exact"/>
        <w:ind w:firstLine="476" w:firstLineChars="200"/>
        <w:jc w:val="both"/>
        <w:rPr>
          <w:rFonts w:hint="default"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表</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3.</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1</w:t>
      </w:r>
      <w:r>
        <w:rPr>
          <w:rFonts w:hint="default"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2</w:t>
      </w:r>
      <w:r>
        <w:rPr>
          <w:rFonts w:hint="default"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        项目井位信息表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505"/>
        <w:gridCol w:w="1644"/>
        <w:gridCol w:w="1644"/>
        <w:gridCol w:w="1203"/>
        <w:gridCol w:w="1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eastAsia="宋体" w:cs="Times New Roman"/>
                <w:color w:val="000000" w:themeColor="text1"/>
                <w:w w:val="99"/>
                <w:sz w:val="21"/>
                <w:szCs w:val="21"/>
                <w:highlight w:val="none"/>
                <w:lang w:val="zh-CN" w:eastAsia="zh-CN"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序号</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平台/井号</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横坐标</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纵坐标</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井别</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bidi="ar"/>
                <w14:textFill>
                  <w14:solidFill>
                    <w14:schemeClr w14:val="tx1"/>
                  </w14:solidFill>
                </w14:textFill>
              </w:rPr>
              <w:t>占地类型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eastAsia="宋体" w:cs="Times New Roman"/>
                <w:color w:val="000000" w:themeColor="text1"/>
                <w:w w:val="99"/>
                <w:sz w:val="21"/>
                <w:szCs w:val="21"/>
                <w:highlight w:val="none"/>
                <w:lang w:val="zh-CN" w:eastAsia="zh-CN"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葡70-67</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21630788.9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5097835.8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eastAsia="宋体"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葡70-672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21630992.2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5097754.4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水泡井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3</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葡70-70</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21631549.0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5098311.0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4</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葡70-斜682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21630998.8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5097756.9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水泡井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5</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葡70-斜702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21631551.3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5098273.0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6</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葡70-斜712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21632000.3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5098205.9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7</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葡71-68</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21631195.7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5097741.9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8</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葡71-692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21631639.1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5097850.5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9</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葡71-70</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21631699.2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5098065.8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10</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葡71-72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21632193.0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5098353.0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11</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葡71-斜712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21631994.0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5098206.0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12</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葡72-69</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21631614.6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5097646.5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13</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葡72-斜682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21631401.6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5097675.8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14</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葡72-斜702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21632227.3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5097459.2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15</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葡73-69</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21631757.4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5097387.2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16</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葡73-702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21632220.2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5097459.7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17</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葡73-71</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21632280.2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5097703.7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18</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葡73-斜692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21632213.2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5097459.7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19</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葡69-斜692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21631032.7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5098455.3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20</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葡71-702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21631888.1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5098009.5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21</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葡69-斜682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21631025.8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5098454.7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采出井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22</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葡70-68</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21631026.0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5097988.0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注入井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23</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葡70-69</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21631297.9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5098147.2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注入井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24</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葡70-692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21631496.3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5098101.6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注入井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25</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葡71-682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21631400.9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5097682.0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注入井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26</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葡71-更69</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21631392.0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5097905.0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注入井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27</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葡71-更71</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21631922.0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5098203.0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注入井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28</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葡72-692</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21631816.4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5097596.1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注入井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29</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葡72-70</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21631865.0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5097800.0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注入井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exact"/>
          <w:tblHeader/>
          <w:jc w:val="center"/>
        </w:trPr>
        <w:tc>
          <w:tcPr>
            <w:tcW w:w="521" w:type="pct"/>
            <w:tcBorders>
              <w:left w:val="single" w:color="auto" w:sz="4" w:space="0"/>
              <w:right w:val="single" w:color="auto" w:sz="4" w:space="0"/>
            </w:tcBorders>
            <w:noWrap/>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default" w:ascii="Times New Roman" w:hAnsi="Times New Roman" w:cs="Times New Roman"/>
                <w:color w:val="000000" w:themeColor="text1"/>
                <w:w w:val="99"/>
                <w:sz w:val="21"/>
                <w:szCs w:val="21"/>
                <w:highlight w:val="none"/>
                <w:lang w:bidi="ar"/>
                <w14:textFill>
                  <w14:solidFill>
                    <w14:schemeClr w14:val="tx1"/>
                  </w14:solidFill>
                </w14:textFill>
              </w:rPr>
              <w:t>30</w:t>
            </w:r>
          </w:p>
        </w:tc>
        <w:tc>
          <w:tcPr>
            <w:tcW w:w="1348"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葡73-70</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21632023.6 </w:t>
            </w:r>
          </w:p>
        </w:tc>
        <w:tc>
          <w:tcPr>
            <w:tcW w:w="884"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 xml:space="preserve">5097546.8 </w:t>
            </w:r>
          </w:p>
        </w:tc>
        <w:tc>
          <w:tcPr>
            <w:tcW w:w="647" w:type="pct"/>
            <w:tcBorders>
              <w:left w:val="single" w:color="auto" w:sz="4" w:space="0"/>
              <w:right w:val="single" w:color="auto" w:sz="4" w:space="0"/>
            </w:tcBorders>
            <w:noWrap w:val="0"/>
            <w:vAlign w:val="center"/>
          </w:tcPr>
          <w:p>
            <w:pPr>
              <w:widowControl/>
              <w:adjustRightInd w:val="0"/>
              <w:snapToGrid w:val="0"/>
              <w:spacing w:line="240" w:lineRule="auto"/>
              <w:jc w:val="center"/>
              <w:rPr>
                <w:rFonts w:hint="default" w:ascii="Times New Roman" w:hAnsi="Times New Roman"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注入井</w:t>
            </w:r>
          </w:p>
        </w:tc>
        <w:tc>
          <w:tcPr>
            <w:tcW w:w="713" w:type="pct"/>
            <w:tcBorders>
              <w:left w:val="single" w:color="auto" w:sz="4" w:space="0"/>
              <w:right w:val="single" w:color="auto" w:sz="4" w:space="0"/>
            </w:tcBorders>
            <w:noWrap w:val="0"/>
            <w:vAlign w:val="top"/>
          </w:tcPr>
          <w:p>
            <w:pPr>
              <w:widowControl/>
              <w:adjustRightInd w:val="0"/>
              <w:snapToGrid w:val="0"/>
              <w:spacing w:line="240" w:lineRule="auto"/>
              <w:jc w:val="cente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
                <w14:textFill>
                  <w14:solidFill>
                    <w14:schemeClr w14:val="tx1"/>
                  </w14:solidFill>
                </w14:textFill>
              </w:rPr>
              <w:t>草地</w:t>
            </w:r>
          </w:p>
        </w:tc>
      </w:tr>
    </w:tbl>
    <w:p>
      <w:pPr>
        <w:keepNext w:val="0"/>
        <w:keepLines w:val="0"/>
        <w:pageBreakBefore w:val="0"/>
        <w:widowControl w:val="0"/>
        <w:kinsoku/>
        <w:wordWrap/>
        <w:overflowPunct/>
        <w:topLinePunct w:val="0"/>
        <w:autoSpaceDE w:val="0"/>
        <w:autoSpaceDN w:val="0"/>
        <w:bidi w:val="0"/>
        <w:adjustRightInd/>
        <w:snapToGrid/>
        <w:spacing w:line="240" w:lineRule="atLeast"/>
        <w:textAlignment w:val="auto"/>
        <w:rPr>
          <w:color w:val="000000" w:themeColor="text1"/>
          <w:highlight w:val="none"/>
          <w14:textFill>
            <w14:solidFill>
              <w14:schemeClr w14:val="tx1"/>
            </w14:solidFill>
          </w14:textFill>
        </w:rPr>
      </w:pPr>
      <w:bookmarkStart w:id="41" w:name="_Toc67860126"/>
      <w:bookmarkStart w:id="42" w:name="_Toc70050173"/>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92" w:type="dxa"/>
            <w:tcBorders>
              <w:tl2br w:val="nil"/>
              <w:tr2bl w:val="nil"/>
            </w:tcBorders>
            <w:vAlign w:val="top"/>
          </w:tcPr>
          <w:p>
            <w:pPr>
              <w:bidi w:val="0"/>
              <w:jc w:val="both"/>
              <w:rPr>
                <w:color w:val="000000" w:themeColor="text1"/>
                <w:highlight w:val="none"/>
                <w:vertAlign w:val="baseli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4856480</wp:posOffset>
                      </wp:positionH>
                      <wp:positionV relativeFrom="paragraph">
                        <wp:posOffset>4382770</wp:posOffset>
                      </wp:positionV>
                      <wp:extent cx="867410" cy="575945"/>
                      <wp:effectExtent l="6350" t="6350" r="21590" b="8255"/>
                      <wp:wrapNone/>
                      <wp:docPr id="99" name="矩形标注 20"/>
                      <wp:cNvGraphicFramePr/>
                      <a:graphic xmlns:a="http://schemas.openxmlformats.org/drawingml/2006/main">
                        <a:graphicData uri="http://schemas.microsoft.com/office/word/2010/wordprocessingShape">
                          <wps:wsp>
                            <wps:cNvSpPr/>
                            <wps:spPr>
                              <a:xfrm>
                                <a:off x="0" y="0"/>
                                <a:ext cx="867410" cy="575945"/>
                              </a:xfrm>
                              <a:prstGeom prst="wedgeRectCallout">
                                <a:avLst>
                                  <a:gd name="adj1" fmla="val -18374"/>
                                  <a:gd name="adj2" fmla="val 47562"/>
                                </a:avLst>
                              </a:prstGeom>
                              <a:solidFill>
                                <a:srgbClr val="FFFFFF"/>
                              </a:solidFill>
                              <a:ln w="12700" cap="flat" cmpd="sng" algn="ctr">
                                <a:solidFill>
                                  <a:srgbClr val="70AD47"/>
                                </a:solidFill>
                                <a:prstDash val="solid"/>
                                <a:miter lim="800000"/>
                              </a:ln>
                              <a:effectLst/>
                            </wps:spPr>
                            <wps:txbx>
                              <w:txbxContent>
                                <w:p>
                                  <w:pPr>
                                    <w:ind w:firstLine="360" w:firstLineChars="200"/>
                                    <w:jc w:val="left"/>
                                    <w:rPr>
                                      <w:rFonts w:ascii="Times New Roman" w:hAnsi="Times New Roman" w:cs="Times New Roman"/>
                                      <w:sz w:val="18"/>
                                      <w:szCs w:val="18"/>
                                    </w:rPr>
                                  </w:pPr>
                                  <w:r>
                                    <w:rPr>
                                      <w:rFonts w:ascii="Times New Roman" w:hAnsi="Times New Roman" w:cs="Times New Roman"/>
                                      <w:sz w:val="18"/>
                                      <w:szCs w:val="18"/>
                                    </w:rPr>
                                    <w:t>图例</w:t>
                                  </w:r>
                                </w:p>
                                <w:p>
                                  <w:pPr>
                                    <w:pStyle w:val="43"/>
                                    <w:ind w:firstLine="0"/>
                                    <w:rPr>
                                      <w:rFonts w:ascii="Times New Roman" w:hAnsi="Times New Roman" w:cs="Times New Roman"/>
                                      <w:sz w:val="18"/>
                                      <w:szCs w:val="18"/>
                                    </w:rPr>
                                  </w:pPr>
                                  <w:r>
                                    <w:rPr>
                                      <w:rFonts w:ascii="Times New Roman" w:hAnsi="Times New Roman" w:cs="Times New Roman"/>
                                      <w:sz w:val="18"/>
                                      <w:szCs w:val="18"/>
                                    </w:rPr>
                                    <w:drawing>
                                      <wp:inline distT="0" distB="0" distL="114300" distR="114300">
                                        <wp:extent cx="152400" cy="124460"/>
                                        <wp:effectExtent l="0" t="0" r="0" b="8890"/>
                                        <wp:docPr id="79" name="图片 79" descr="1625208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25208578(1)"/>
                                                <pic:cNvPicPr>
                                                  <a:picLocks noChangeAspect="1"/>
                                                </pic:cNvPicPr>
                                              </pic:nvPicPr>
                                              <pic:blipFill>
                                                <a:blip r:embed="rId11"/>
                                                <a:stretch>
                                                  <a:fillRect/>
                                                </a:stretch>
                                              </pic:blipFill>
                                              <pic:spPr>
                                                <a:xfrm>
                                                  <a:off x="0" y="0"/>
                                                  <a:ext cx="152400" cy="124460"/>
                                                </a:xfrm>
                                                <a:prstGeom prst="rect">
                                                  <a:avLst/>
                                                </a:prstGeom>
                                              </pic:spPr>
                                            </pic:pic>
                                          </a:graphicData>
                                        </a:graphic>
                                      </wp:inline>
                                    </w:drawing>
                                  </w:r>
                                  <w:r>
                                    <w:rPr>
                                      <w:rFonts w:ascii="Times New Roman" w:hAnsi="Times New Roman" w:cs="Times New Roman"/>
                                      <w:sz w:val="18"/>
                                      <w:szCs w:val="18"/>
                                    </w:rPr>
                                    <w:t xml:space="preserve"> </w:t>
                                  </w:r>
                                  <w:r>
                                    <w:rPr>
                                      <w:rFonts w:hint="eastAsia" w:ascii="Times New Roman" w:hAnsi="Times New Roman" w:cs="Times New Roman"/>
                                      <w:sz w:val="18"/>
                                      <w:szCs w:val="18"/>
                                      <w:lang w:val="en-US" w:eastAsia="zh-CN"/>
                                    </w:rPr>
                                    <w:t xml:space="preserve">  </w:t>
                                  </w:r>
                                  <w:r>
                                    <w:rPr>
                                      <w:rFonts w:ascii="Times New Roman" w:hAnsi="Times New Roman" w:cs="Times New Roman"/>
                                      <w:sz w:val="18"/>
                                      <w:szCs w:val="18"/>
                                    </w:rPr>
                                    <w:t>油井</w:t>
                                  </w:r>
                                </w:p>
                                <w:p>
                                  <w:pPr>
                                    <w:rPr>
                                      <w:rFonts w:hint="eastAsia" w:eastAsia="宋体"/>
                                      <w:sz w:val="18"/>
                                      <w:szCs w:val="18"/>
                                      <w:lang w:eastAsia="zh-CN"/>
                                    </w:rPr>
                                  </w:pPr>
                                  <w:r>
                                    <w:rPr>
                                      <w:rFonts w:hint="eastAsia"/>
                                      <w:lang w:val="en-US" w:eastAsia="zh-CN"/>
                                    </w:rPr>
                                    <w:drawing>
                                      <wp:inline distT="0" distB="0" distL="114300" distR="114300">
                                        <wp:extent cx="0" cy="0"/>
                                        <wp:effectExtent l="0" t="0" r="0" b="0"/>
                                        <wp:docPr id="86" name="图片 86" descr="1634794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34794605(1)"/>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eastAsia"/>
                                      <w:lang w:val="en-US" w:eastAsia="zh-CN"/>
                                    </w:rPr>
                                    <w:drawing>
                                      <wp:inline distT="0" distB="0" distL="114300" distR="114300">
                                        <wp:extent cx="80010" cy="140970"/>
                                        <wp:effectExtent l="0" t="0" r="15240" b="11430"/>
                                        <wp:docPr id="87" name="图片 87" descr="1634794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634794605(1)"/>
                                                <pic:cNvPicPr>
                                                  <a:picLocks noChangeAspect="1"/>
                                                </pic:cNvPicPr>
                                              </pic:nvPicPr>
                                              <pic:blipFill>
                                                <a:blip r:embed="rId12"/>
                                                <a:stretch>
                                                  <a:fillRect/>
                                                </a:stretch>
                                              </pic:blipFill>
                                              <pic:spPr>
                                                <a:xfrm>
                                                  <a:off x="0" y="0"/>
                                                  <a:ext cx="80010" cy="140970"/>
                                                </a:xfrm>
                                                <a:prstGeom prst="rect">
                                                  <a:avLst/>
                                                </a:prstGeom>
                                              </pic:spPr>
                                            </pic:pic>
                                          </a:graphicData>
                                        </a:graphic>
                                      </wp:inline>
                                    </w:drawing>
                                  </w:r>
                                  <w:r>
                                    <w:rPr>
                                      <w:rFonts w:hint="eastAsia"/>
                                      <w:lang w:val="en-US" w:eastAsia="zh-CN"/>
                                    </w:rPr>
                                    <w:t xml:space="preserve">  </w:t>
                                  </w:r>
                                  <w:r>
                                    <w:rPr>
                                      <w:rFonts w:hint="eastAsia"/>
                                      <w:sz w:val="18"/>
                                      <w:szCs w:val="18"/>
                                      <w:lang w:eastAsia="zh-CN"/>
                                    </w:rPr>
                                    <w:t>注入井</w:t>
                                  </w:r>
                                </w:p>
                                <w:p/>
                                <w:p>
                                  <w:pPr>
                                    <w:pStyle w:val="43"/>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20" o:spid="_x0000_s1026" o:spt="61" type="#_x0000_t61" style="position:absolute;left:0pt;margin-left:382.4pt;margin-top:345.1pt;height:45.35pt;width:68.3pt;z-index:251688960;v-text-anchor:middle;mso-width-relative:page;mso-height-relative:page;" fillcolor="#FFFFFF" filled="t" stroked="t" coordsize="21600,21600" o:gfxdata="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OaN4PYAAAACwEAAA8AAAAAAAAAAQAgAAAA&#10;IgAAAGRycy9kb3ducmV2LnhtbFBLAQIUABQAAAAIAIdO4kCy99QRtgIAAHIFAAAOAAAAAAAAAAEA&#10;IAAAACcBAABkcnMvZTJvRG9jLnhtbFBLBQYAAAAABgAGAFkBAABPBgAAAAA=&#10;" adj="6831,21073">
                      <v:fill on="t" focussize="0,0"/>
                      <v:stroke weight="1pt" color="#70AD47" miterlimit="8" joinstyle="miter"/>
                      <v:imagedata o:title=""/>
                      <o:lock v:ext="edit" aspectratio="f"/>
                      <v:textbox>
                        <w:txbxContent>
                          <w:p>
                            <w:pPr>
                              <w:ind w:firstLine="360" w:firstLineChars="200"/>
                              <w:jc w:val="left"/>
                              <w:rPr>
                                <w:rFonts w:ascii="Times New Roman" w:hAnsi="Times New Roman" w:cs="Times New Roman"/>
                                <w:sz w:val="18"/>
                                <w:szCs w:val="18"/>
                              </w:rPr>
                            </w:pPr>
                            <w:r>
                              <w:rPr>
                                <w:rFonts w:ascii="Times New Roman" w:hAnsi="Times New Roman" w:cs="Times New Roman"/>
                                <w:sz w:val="18"/>
                                <w:szCs w:val="18"/>
                              </w:rPr>
                              <w:t>图例</w:t>
                            </w:r>
                          </w:p>
                          <w:p>
                            <w:pPr>
                              <w:pStyle w:val="43"/>
                              <w:ind w:firstLine="0"/>
                              <w:rPr>
                                <w:rFonts w:ascii="Times New Roman" w:hAnsi="Times New Roman" w:cs="Times New Roman"/>
                                <w:sz w:val="18"/>
                                <w:szCs w:val="18"/>
                              </w:rPr>
                            </w:pPr>
                            <w:r>
                              <w:rPr>
                                <w:rFonts w:ascii="Times New Roman" w:hAnsi="Times New Roman" w:cs="Times New Roman"/>
                                <w:sz w:val="18"/>
                                <w:szCs w:val="18"/>
                              </w:rPr>
                              <w:drawing>
                                <wp:inline distT="0" distB="0" distL="114300" distR="114300">
                                  <wp:extent cx="152400" cy="124460"/>
                                  <wp:effectExtent l="0" t="0" r="0" b="8890"/>
                                  <wp:docPr id="79" name="图片 79" descr="1625208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25208578(1)"/>
                                          <pic:cNvPicPr>
                                            <a:picLocks noChangeAspect="1"/>
                                          </pic:cNvPicPr>
                                        </pic:nvPicPr>
                                        <pic:blipFill>
                                          <a:blip r:embed="rId11"/>
                                          <a:stretch>
                                            <a:fillRect/>
                                          </a:stretch>
                                        </pic:blipFill>
                                        <pic:spPr>
                                          <a:xfrm>
                                            <a:off x="0" y="0"/>
                                            <a:ext cx="152400" cy="124460"/>
                                          </a:xfrm>
                                          <a:prstGeom prst="rect">
                                            <a:avLst/>
                                          </a:prstGeom>
                                        </pic:spPr>
                                      </pic:pic>
                                    </a:graphicData>
                                  </a:graphic>
                                </wp:inline>
                              </w:drawing>
                            </w:r>
                            <w:r>
                              <w:rPr>
                                <w:rFonts w:ascii="Times New Roman" w:hAnsi="Times New Roman" w:cs="Times New Roman"/>
                                <w:sz w:val="18"/>
                                <w:szCs w:val="18"/>
                              </w:rPr>
                              <w:t xml:space="preserve"> </w:t>
                            </w:r>
                            <w:r>
                              <w:rPr>
                                <w:rFonts w:hint="eastAsia" w:ascii="Times New Roman" w:hAnsi="Times New Roman" w:cs="Times New Roman"/>
                                <w:sz w:val="18"/>
                                <w:szCs w:val="18"/>
                                <w:lang w:val="en-US" w:eastAsia="zh-CN"/>
                              </w:rPr>
                              <w:t xml:space="preserve">  </w:t>
                            </w:r>
                            <w:r>
                              <w:rPr>
                                <w:rFonts w:ascii="Times New Roman" w:hAnsi="Times New Roman" w:cs="Times New Roman"/>
                                <w:sz w:val="18"/>
                                <w:szCs w:val="18"/>
                              </w:rPr>
                              <w:t>油井</w:t>
                            </w:r>
                          </w:p>
                          <w:p>
                            <w:pPr>
                              <w:rPr>
                                <w:rFonts w:hint="eastAsia" w:eastAsia="宋体"/>
                                <w:sz w:val="18"/>
                                <w:szCs w:val="18"/>
                                <w:lang w:eastAsia="zh-CN"/>
                              </w:rPr>
                            </w:pPr>
                            <w:r>
                              <w:rPr>
                                <w:rFonts w:hint="eastAsia"/>
                                <w:lang w:val="en-US" w:eastAsia="zh-CN"/>
                              </w:rPr>
                              <w:drawing>
                                <wp:inline distT="0" distB="0" distL="114300" distR="114300">
                                  <wp:extent cx="0" cy="0"/>
                                  <wp:effectExtent l="0" t="0" r="0" b="0"/>
                                  <wp:docPr id="86" name="图片 86" descr="1634794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34794605(1)"/>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eastAsia"/>
                                <w:lang w:val="en-US" w:eastAsia="zh-CN"/>
                              </w:rPr>
                              <w:drawing>
                                <wp:inline distT="0" distB="0" distL="114300" distR="114300">
                                  <wp:extent cx="80010" cy="140970"/>
                                  <wp:effectExtent l="0" t="0" r="15240" b="11430"/>
                                  <wp:docPr id="87" name="图片 87" descr="1634794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634794605(1)"/>
                                          <pic:cNvPicPr>
                                            <a:picLocks noChangeAspect="1"/>
                                          </pic:cNvPicPr>
                                        </pic:nvPicPr>
                                        <pic:blipFill>
                                          <a:blip r:embed="rId12"/>
                                          <a:stretch>
                                            <a:fillRect/>
                                          </a:stretch>
                                        </pic:blipFill>
                                        <pic:spPr>
                                          <a:xfrm>
                                            <a:off x="0" y="0"/>
                                            <a:ext cx="80010" cy="140970"/>
                                          </a:xfrm>
                                          <a:prstGeom prst="rect">
                                            <a:avLst/>
                                          </a:prstGeom>
                                        </pic:spPr>
                                      </pic:pic>
                                    </a:graphicData>
                                  </a:graphic>
                                </wp:inline>
                              </w:drawing>
                            </w:r>
                            <w:r>
                              <w:rPr>
                                <w:rFonts w:hint="eastAsia"/>
                                <w:lang w:val="en-US" w:eastAsia="zh-CN"/>
                              </w:rPr>
                              <w:t xml:space="preserve">  </w:t>
                            </w:r>
                            <w:r>
                              <w:rPr>
                                <w:rFonts w:hint="eastAsia"/>
                                <w:sz w:val="18"/>
                                <w:szCs w:val="18"/>
                                <w:lang w:eastAsia="zh-CN"/>
                              </w:rPr>
                              <w:t>注入井</w:t>
                            </w:r>
                          </w:p>
                          <w:p/>
                          <w:p>
                            <w:pPr>
                              <w:pStyle w:val="43"/>
                            </w:pPr>
                          </w:p>
                          <w:p/>
                        </w:txbxContent>
                      </v:textbox>
                    </v:shape>
                  </w:pict>
                </mc:Fallback>
              </mc:AlternateContent>
            </w:r>
            <w:r>
              <w:rPr>
                <w:rFonts w:hint="eastAsia" w:ascii="Times New Roman" w:hAnsi="Times New Roman" w:cs="Times New Roman"/>
                <w:color w:val="000000" w:themeColor="text1"/>
                <w:w w:val="99"/>
                <w:sz w:val="24"/>
                <w:szCs w:val="24"/>
                <w:highlight w:val="none"/>
                <w:vertAlign w:val="baseline"/>
                <w:lang w:val="en-US" w:eastAsia="zh-CN"/>
                <w14:textFill>
                  <w14:solidFill>
                    <w14:schemeClr w14:val="tx1"/>
                  </w14:solidFill>
                </w14:textFill>
              </w:rPr>
              <w:t xml:space="preserve">     </w:t>
            </w:r>
            <w:r>
              <w:rPr>
                <w:rFonts w:hint="eastAsia" w:ascii="Times New Roman" w:hAnsi="Times New Roman" w:cs="Times New Roman"/>
                <w:color w:val="000000" w:themeColor="text1"/>
                <w:w w:val="99"/>
                <w:sz w:val="24"/>
                <w:szCs w:val="24"/>
                <w:highlight w:val="none"/>
                <w:vertAlign w:val="baseline"/>
                <w:lang w:eastAsia="zh-CN"/>
                <w14:textFill>
                  <w14:solidFill>
                    <w14:schemeClr w14:val="tx1"/>
                  </w14:solidFill>
                </w14:textFill>
              </w:rPr>
              <w:drawing>
                <wp:inline distT="0" distB="0" distL="114300" distR="114300">
                  <wp:extent cx="5531485" cy="4953000"/>
                  <wp:effectExtent l="0" t="0" r="12065" b="0"/>
                  <wp:docPr id="51" name="图片 5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23"/>
                          <pic:cNvPicPr>
                            <a:picLocks noChangeAspect="1"/>
                          </pic:cNvPicPr>
                        </pic:nvPicPr>
                        <pic:blipFill>
                          <a:blip r:embed="rId13"/>
                          <a:stretch>
                            <a:fillRect/>
                          </a:stretch>
                        </pic:blipFill>
                        <pic:spPr>
                          <a:xfrm>
                            <a:off x="0" y="0"/>
                            <a:ext cx="5531485" cy="4953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92" w:type="dxa"/>
            <w:tcBorders>
              <w:tl2br w:val="nil"/>
              <w:tr2bl w:val="nil"/>
            </w:tcBorders>
            <w:vAlign w:val="top"/>
          </w:tcPr>
          <w:p>
            <w:pPr>
              <w:bidi w:val="0"/>
              <w:jc w:val="center"/>
              <w:rPr>
                <w:rFonts w:hint="default" w:eastAsiaTheme="minorEastAsia"/>
                <w:color w:val="000000" w:themeColor="text1"/>
                <w:highlight w:val="none"/>
                <w:vertAlign w:val="baseline"/>
                <w:lang w:val="en-US" w:eastAsia="zh-CN"/>
                <w14:textFill>
                  <w14:solidFill>
                    <w14:schemeClr w14:val="tx1"/>
                  </w14:solidFill>
                </w14:textFill>
              </w:rPr>
            </w:pP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图</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 </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3.</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1</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-1</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        </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井位</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分布图</w:t>
            </w:r>
          </w:p>
        </w:tc>
      </w:tr>
    </w:tbl>
    <w:p>
      <w:pPr>
        <w:spacing w:line="460" w:lineRule="exact"/>
        <w:ind w:firstLine="474" w:firstLineChars="200"/>
        <w:jc w:val="both"/>
        <w:rPr>
          <w:rFonts w:hint="eastAsia" w:ascii="Times New Roman" w:hAnsi="Times New Roman" w:cs="Times New Roman"/>
          <w:bCs/>
          <w:snapToGrid w:val="0"/>
          <w:color w:val="000000" w:themeColor="text1"/>
          <w:w w:val="99"/>
          <w:sz w:val="24"/>
          <w:szCs w:val="24"/>
          <w:highlight w:val="none"/>
          <w:lang w:val="en-US" w:eastAsia="zh-CN"/>
          <w14:textFill>
            <w14:solidFill>
              <w14:schemeClr w14:val="tx1"/>
            </w14:solidFill>
          </w14:textFill>
        </w:rPr>
      </w:pPr>
      <w:r>
        <w:rPr>
          <w:rFonts w:hint="eastAsia" w:ascii="Times New Roman" w:hAnsi="Times New Roman" w:cs="Times New Roman"/>
          <w:bCs/>
          <w:snapToGrid w:val="0"/>
          <w:color w:val="000000" w:themeColor="text1"/>
          <w:w w:val="99"/>
          <w:sz w:val="24"/>
          <w:szCs w:val="24"/>
          <w:highlight w:val="none"/>
          <w:lang w:val="en-US" w:eastAsia="zh-CN"/>
          <w14:textFill>
            <w14:solidFill>
              <w14:schemeClr w14:val="tx1"/>
            </w14:solidFill>
          </w14:textFill>
        </w:rPr>
        <w:t>（2）开发指标预测</w:t>
      </w:r>
      <w:bookmarkEnd w:id="41"/>
      <w:bookmarkEnd w:id="42"/>
    </w:p>
    <w:p>
      <w:pPr>
        <w:spacing w:line="460" w:lineRule="exact"/>
        <w:ind w:firstLine="474" w:firstLineChars="200"/>
        <w:jc w:val="both"/>
        <w:rPr>
          <w:rFonts w:hint="eastAsia"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本项目深部调区驱油利用</w:t>
      </w:r>
      <w:r>
        <w:rPr>
          <w:rFonts w:hint="eastAsia" w:ascii="Times New Roman" w:hAnsi="Times New Roman" w:cs="Times New Roman"/>
          <w:bCs/>
          <w:snapToGrid w:val="0"/>
          <w:color w:val="000000" w:themeColor="text1"/>
          <w:w w:val="99"/>
          <w:sz w:val="24"/>
          <w:szCs w:val="24"/>
          <w:highlight w:val="none"/>
          <w:lang w:eastAsia="zh-CN"/>
          <w14:textFill>
            <w14:solidFill>
              <w14:schemeClr w14:val="tx1"/>
            </w14:solidFill>
          </w14:textFill>
        </w:rPr>
        <w:t>葡北油田三断块葡72-70井区现有30口油注入井（采出井21口，注入井9口），原油管道集输、处理系统依托已建工程</w:t>
      </w:r>
      <w:r>
        <w:rPr>
          <w:rFonts w:hint="eastAsia" w:ascii="Times New Roman" w:hAnsi="Times New Roman" w:cs="Times New Roman"/>
          <w:color w:val="000000" w:themeColor="text1"/>
          <w:w w:val="99"/>
          <w:sz w:val="24"/>
          <w:szCs w:val="24"/>
          <w:highlight w:val="none"/>
          <w14:textFill>
            <w14:solidFill>
              <w14:schemeClr w14:val="tx1"/>
            </w14:solidFill>
          </w14:textFill>
        </w:rPr>
        <w:t>，建成产能1.7</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w w:val="99"/>
          <w:sz w:val="24"/>
          <w:szCs w:val="24"/>
          <w:highlight w:val="none"/>
          <w14:textFill>
            <w14:solidFill>
              <w14:schemeClr w14:val="tx1"/>
            </w14:solidFill>
          </w14:textFill>
        </w:rPr>
        <w:t>×10</w:t>
      </w:r>
      <w:r>
        <w:rPr>
          <w:rFonts w:hint="eastAsia" w:ascii="Times New Roman" w:hAnsi="Times New Roman" w:cs="Times New Roman"/>
          <w:color w:val="000000" w:themeColor="text1"/>
          <w:w w:val="99"/>
          <w:sz w:val="24"/>
          <w:szCs w:val="24"/>
          <w:highlight w:val="none"/>
          <w:vertAlign w:val="superscript"/>
          <w14:textFill>
            <w14:solidFill>
              <w14:schemeClr w14:val="tx1"/>
            </w14:solidFill>
          </w14:textFill>
        </w:rPr>
        <w:t>4</w:t>
      </w:r>
      <w:r>
        <w:rPr>
          <w:rFonts w:hint="eastAsia" w:ascii="Times New Roman" w:hAnsi="Times New Roman" w:cs="Times New Roman"/>
          <w:color w:val="000000" w:themeColor="text1"/>
          <w:w w:val="99"/>
          <w:sz w:val="24"/>
          <w:szCs w:val="24"/>
          <w:highlight w:val="none"/>
          <w14:textFill>
            <w14:solidFill>
              <w14:schemeClr w14:val="tx1"/>
            </w14:solidFill>
          </w14:textFill>
        </w:rPr>
        <w:t>t/a，开发指标预测详见表</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3.1</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w w:val="99"/>
          <w:sz w:val="24"/>
          <w:szCs w:val="24"/>
          <w:highlight w:val="none"/>
          <w14:textFill>
            <w14:solidFill>
              <w14:schemeClr w14:val="tx1"/>
            </w14:solidFill>
          </w14:textFill>
        </w:rPr>
        <w:t>、表</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3.1</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4、表3.1-5</w:t>
      </w:r>
      <w:r>
        <w:rPr>
          <w:rFonts w:hint="eastAsia" w:ascii="Times New Roman" w:hAnsi="Times New Roman" w:cs="Times New Roman"/>
          <w:color w:val="000000" w:themeColor="text1"/>
          <w:w w:val="99"/>
          <w:sz w:val="24"/>
          <w:szCs w:val="24"/>
          <w:highlight w:val="none"/>
          <w14:textFill>
            <w14:solidFill>
              <w14:schemeClr w14:val="tx1"/>
            </w14:solidFill>
          </w14:textFill>
        </w:rPr>
        <w:t>，原油物性表见表3</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6，</w:t>
      </w:r>
      <w:r>
        <w:rPr>
          <w:rFonts w:ascii="Times New Roman" w:hAnsi="Times New Roman" w:cs="Times New Roman"/>
          <w:color w:val="000000" w:themeColor="text1"/>
          <w:w w:val="99"/>
          <w:sz w:val="24"/>
          <w:szCs w:val="24"/>
          <w:highlight w:val="none"/>
          <w:lang w:val="en-US" w:bidi="ar-SA"/>
          <w14:textFill>
            <w14:solidFill>
              <w14:schemeClr w14:val="tx1"/>
            </w14:solidFill>
          </w14:textFill>
        </w:rPr>
        <w:t>采出水理化性质指标见表3.</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1</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7</w:t>
      </w:r>
      <w:r>
        <w:rPr>
          <w:rFonts w:hint="eastAsia" w:ascii="Times New Roman" w:hAnsi="Times New Roman" w:cs="Times New Roman"/>
          <w:color w:val="000000" w:themeColor="text1"/>
          <w:w w:val="99"/>
          <w:sz w:val="24"/>
          <w:szCs w:val="24"/>
          <w:highlight w:val="none"/>
          <w14:textFill>
            <w14:solidFill>
              <w14:schemeClr w14:val="tx1"/>
            </w14:solidFill>
          </w14:textFill>
        </w:rPr>
        <w:t>。</w:t>
      </w:r>
    </w:p>
    <w:p>
      <w:pPr>
        <w:widowControl w:val="0"/>
        <w:autoSpaceDE w:val="0"/>
        <w:autoSpaceDN w:val="0"/>
        <w:spacing w:line="440" w:lineRule="exact"/>
        <w:ind w:firstLine="476" w:firstLineChars="200"/>
        <w:jc w:val="both"/>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表</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 </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3.</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1</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3      </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 xml:space="preserve"> </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 </w:t>
      </w:r>
      <w:r>
        <w:rPr>
          <w:rFonts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本工程开发指标预测</w:t>
      </w:r>
      <w:r>
        <w:rPr>
          <w:rFonts w:hint="eastAsia"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油井</w:t>
      </w:r>
      <w:r>
        <w:rPr>
          <w:rFonts w:hint="eastAsia"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w:t>
      </w:r>
    </w:p>
    <w:tbl>
      <w:tblPr>
        <w:tblStyle w:val="32"/>
        <w:tblW w:w="921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0" w:type="dxa"/>
          <w:bottom w:w="15" w:type="dxa"/>
          <w:right w:w="0" w:type="dxa"/>
        </w:tblCellMar>
      </w:tblPr>
      <w:tblGrid>
        <w:gridCol w:w="2171"/>
        <w:gridCol w:w="704"/>
        <w:gridCol w:w="704"/>
        <w:gridCol w:w="704"/>
        <w:gridCol w:w="704"/>
        <w:gridCol w:w="704"/>
        <w:gridCol w:w="704"/>
        <w:gridCol w:w="704"/>
        <w:gridCol w:w="704"/>
        <w:gridCol w:w="704"/>
        <w:gridCol w:w="7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0" w:type="dxa"/>
            <w:bottom w:w="15" w:type="dxa"/>
            <w:right w:w="0" w:type="dxa"/>
          </w:tblCellMar>
        </w:tblPrEx>
        <w:trPr>
          <w:trHeight w:val="274" w:hRule="atLeast"/>
          <w:jc w:val="center"/>
        </w:trPr>
        <w:tc>
          <w:tcPr>
            <w:tcW w:w="2171" w:type="dxa"/>
            <w:tcBorders>
              <w:top w:val="single" w:color="000000" w:sz="4" w:space="0"/>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全区调驱</w:t>
            </w:r>
          </w:p>
        </w:tc>
        <w:tc>
          <w:tcPr>
            <w:tcW w:w="704"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2022</w:t>
            </w:r>
          </w:p>
        </w:tc>
        <w:tc>
          <w:tcPr>
            <w:tcW w:w="704"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2023</w:t>
            </w:r>
          </w:p>
        </w:tc>
        <w:tc>
          <w:tcPr>
            <w:tcW w:w="704"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2024</w:t>
            </w:r>
          </w:p>
        </w:tc>
        <w:tc>
          <w:tcPr>
            <w:tcW w:w="704"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2025</w:t>
            </w:r>
          </w:p>
        </w:tc>
        <w:tc>
          <w:tcPr>
            <w:tcW w:w="704"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2026</w:t>
            </w:r>
          </w:p>
        </w:tc>
        <w:tc>
          <w:tcPr>
            <w:tcW w:w="704"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2027</w:t>
            </w:r>
          </w:p>
        </w:tc>
        <w:tc>
          <w:tcPr>
            <w:tcW w:w="704"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2028</w:t>
            </w:r>
          </w:p>
        </w:tc>
        <w:tc>
          <w:tcPr>
            <w:tcW w:w="704"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2029</w:t>
            </w:r>
          </w:p>
        </w:tc>
        <w:tc>
          <w:tcPr>
            <w:tcW w:w="704"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2030</w:t>
            </w:r>
          </w:p>
        </w:tc>
        <w:tc>
          <w:tcPr>
            <w:tcW w:w="709" w:type="dxa"/>
            <w:tcBorders>
              <w:top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0" w:type="dxa"/>
            <w:bottom w:w="15" w:type="dxa"/>
            <w:right w:w="0" w:type="dxa"/>
          </w:tblCellMar>
        </w:tblPrEx>
        <w:trPr>
          <w:trHeight w:val="90" w:hRule="atLeast"/>
          <w:jc w:val="center"/>
        </w:trPr>
        <w:tc>
          <w:tcPr>
            <w:tcW w:w="2171" w:type="dxa"/>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油井(口)</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w:t>
            </w:r>
          </w:p>
        </w:tc>
        <w:tc>
          <w:tcPr>
            <w:tcW w:w="709"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0" w:type="dxa"/>
            <w:bottom w:w="15" w:type="dxa"/>
            <w:right w:w="0" w:type="dxa"/>
          </w:tblCellMar>
        </w:tblPrEx>
        <w:trPr>
          <w:trHeight w:val="361" w:hRule="atLeast"/>
          <w:jc w:val="center"/>
        </w:trPr>
        <w:tc>
          <w:tcPr>
            <w:tcW w:w="2171" w:type="dxa"/>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单井产油量(t/d)</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1.32</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2.24</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2.47</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2.21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1.78</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1.5</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1.22</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1.01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0.77</w:t>
            </w:r>
          </w:p>
        </w:tc>
        <w:tc>
          <w:tcPr>
            <w:tcW w:w="709"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0.63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0" w:type="dxa"/>
            <w:bottom w:w="15" w:type="dxa"/>
            <w:right w:w="0" w:type="dxa"/>
          </w:tblCellMar>
        </w:tblPrEx>
        <w:trPr>
          <w:trHeight w:val="361" w:hRule="atLeast"/>
          <w:jc w:val="center"/>
        </w:trPr>
        <w:tc>
          <w:tcPr>
            <w:tcW w:w="2171" w:type="dxa"/>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单井产液量(t/d)</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 xml:space="preserve">30.38 </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 xml:space="preserve">29.49 </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 xml:space="preserve">28.50 </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 xml:space="preserve">28.21 </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 xml:space="preserve">27.94 </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 xml:space="preserve">28.48 </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 xml:space="preserve">29.00 </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 xml:space="preserve">29.49 </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 xml:space="preserve">29.49 </w:t>
            </w:r>
          </w:p>
        </w:tc>
        <w:tc>
          <w:tcPr>
            <w:tcW w:w="709"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 xml:space="preserve">29.49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0" w:type="dxa"/>
            <w:bottom w:w="15" w:type="dxa"/>
            <w:right w:w="0" w:type="dxa"/>
          </w:tblCellMar>
        </w:tblPrEx>
        <w:trPr>
          <w:trHeight w:val="376" w:hRule="atLeast"/>
          <w:jc w:val="center"/>
        </w:trPr>
        <w:tc>
          <w:tcPr>
            <w:tcW w:w="2171" w:type="dxa"/>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年产油(10</w:t>
            </w:r>
            <w:r>
              <w:rPr>
                <w:rFonts w:hint="eastAsia"/>
                <w:color w:val="000000" w:themeColor="text1"/>
                <w:w w:val="99"/>
                <w:sz w:val="21"/>
                <w:szCs w:val="21"/>
                <w:highlight w:val="none"/>
                <w:vertAlign w:val="superscript"/>
                <w:lang w:val="en-US" w:bidi="ar-SA"/>
                <w14:textFill>
                  <w14:solidFill>
                    <w14:schemeClr w14:val="tx1"/>
                  </w14:solidFill>
                </w14:textFill>
              </w:rPr>
              <w:t>4</w:t>
            </w:r>
            <w:r>
              <w:rPr>
                <w:rFonts w:hint="eastAsia"/>
                <w:color w:val="000000" w:themeColor="text1"/>
                <w:w w:val="99"/>
                <w:sz w:val="21"/>
                <w:szCs w:val="21"/>
                <w:highlight w:val="none"/>
                <w:lang w:val="en-US" w:bidi="ar-SA"/>
                <w14:textFill>
                  <w14:solidFill>
                    <w14:schemeClr w14:val="tx1"/>
                  </w14:solidFill>
                </w14:textFill>
              </w:rPr>
              <w:t>t)</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0.91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1.55</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1.71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1.53</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1.23</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1.04</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0.85</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0.7</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0.53</w:t>
            </w:r>
          </w:p>
        </w:tc>
        <w:tc>
          <w:tcPr>
            <w:tcW w:w="709"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0.43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0" w:type="dxa"/>
            <w:bottom w:w="15" w:type="dxa"/>
            <w:right w:w="0" w:type="dxa"/>
          </w:tblCellMar>
        </w:tblPrEx>
        <w:trPr>
          <w:trHeight w:val="379" w:hRule="atLeast"/>
          <w:jc w:val="center"/>
        </w:trPr>
        <w:tc>
          <w:tcPr>
            <w:tcW w:w="2171" w:type="dxa"/>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年产液(10</w:t>
            </w:r>
            <w:r>
              <w:rPr>
                <w:rFonts w:hint="eastAsia"/>
                <w:color w:val="000000" w:themeColor="text1"/>
                <w:w w:val="99"/>
                <w:sz w:val="21"/>
                <w:szCs w:val="21"/>
                <w:highlight w:val="none"/>
                <w:vertAlign w:val="superscript"/>
                <w:lang w:val="en-US" w:bidi="ar-SA"/>
                <w14:textFill>
                  <w14:solidFill>
                    <w14:schemeClr w14:val="tx1"/>
                  </w14:solidFill>
                </w14:textFill>
              </w:rPr>
              <w:t>4</w:t>
            </w:r>
            <w:r>
              <w:rPr>
                <w:rFonts w:hint="eastAsia"/>
                <w:color w:val="000000" w:themeColor="text1"/>
                <w:w w:val="99"/>
                <w:sz w:val="21"/>
                <w:szCs w:val="21"/>
                <w:highlight w:val="none"/>
                <w:lang w:val="en-US" w:bidi="ar-SA"/>
                <w14:textFill>
                  <w14:solidFill>
                    <w14:schemeClr w14:val="tx1"/>
                  </w14:solidFill>
                </w14:textFill>
              </w:rPr>
              <w:t>t)</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21.05</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20.44</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19.75</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19.55</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19.36</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19.74</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20.1</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20.44</w:t>
            </w:r>
          </w:p>
        </w:tc>
        <w:tc>
          <w:tcPr>
            <w:tcW w:w="704"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20.44</w:t>
            </w:r>
          </w:p>
        </w:tc>
        <w:tc>
          <w:tcPr>
            <w:tcW w:w="709" w:type="dxa"/>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20.44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0" w:type="dxa"/>
            <w:bottom w:w="15" w:type="dxa"/>
            <w:right w:w="0" w:type="dxa"/>
          </w:tblCellMar>
        </w:tblPrEx>
        <w:trPr>
          <w:trHeight w:val="377" w:hRule="atLeast"/>
          <w:jc w:val="center"/>
        </w:trPr>
        <w:tc>
          <w:tcPr>
            <w:tcW w:w="2171" w:type="dxa"/>
            <w:tcBorders>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年均含水(%)</w:t>
            </w:r>
          </w:p>
        </w:tc>
        <w:tc>
          <w:tcPr>
            <w:tcW w:w="704"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95.67</w:t>
            </w:r>
          </w:p>
        </w:tc>
        <w:tc>
          <w:tcPr>
            <w:tcW w:w="704"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92.41</w:t>
            </w:r>
          </w:p>
        </w:tc>
        <w:tc>
          <w:tcPr>
            <w:tcW w:w="704"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91.35</w:t>
            </w:r>
          </w:p>
        </w:tc>
        <w:tc>
          <w:tcPr>
            <w:tcW w:w="704"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92.18</w:t>
            </w:r>
          </w:p>
        </w:tc>
        <w:tc>
          <w:tcPr>
            <w:tcW w:w="704"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93.64</w:t>
            </w:r>
          </w:p>
        </w:tc>
        <w:tc>
          <w:tcPr>
            <w:tcW w:w="704"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94.73</w:t>
            </w:r>
          </w:p>
        </w:tc>
        <w:tc>
          <w:tcPr>
            <w:tcW w:w="704"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95.78</w:t>
            </w:r>
          </w:p>
        </w:tc>
        <w:tc>
          <w:tcPr>
            <w:tcW w:w="704"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96.58</w:t>
            </w:r>
          </w:p>
        </w:tc>
        <w:tc>
          <w:tcPr>
            <w:tcW w:w="704"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97.4</w:t>
            </w:r>
          </w:p>
        </w:tc>
        <w:tc>
          <w:tcPr>
            <w:tcW w:w="709" w:type="dxa"/>
            <w:tcBorders>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olor w:val="000000" w:themeColor="text1"/>
                <w:w w:val="99"/>
                <w:sz w:val="21"/>
                <w:szCs w:val="21"/>
                <w:highlight w:val="none"/>
                <w:lang w:val="en-US" w:bidi="ar-SA"/>
                <w14:textFill>
                  <w14:solidFill>
                    <w14:schemeClr w14:val="tx1"/>
                  </w14:solidFill>
                </w14:textFill>
              </w:rPr>
            </w:pPr>
            <w:r>
              <w:rPr>
                <w:rFonts w:hint="eastAsia"/>
                <w:color w:val="000000" w:themeColor="text1"/>
                <w:w w:val="99"/>
                <w:sz w:val="21"/>
                <w:szCs w:val="21"/>
                <w:highlight w:val="none"/>
                <w:lang w:val="en-US" w:bidi="ar-SA"/>
                <w14:textFill>
                  <w14:solidFill>
                    <w14:schemeClr w14:val="tx1"/>
                  </w14:solidFill>
                </w14:textFill>
              </w:rPr>
              <w:t>97.88</w:t>
            </w:r>
          </w:p>
        </w:tc>
      </w:tr>
    </w:tbl>
    <w:p>
      <w:pPr>
        <w:widowControl w:val="0"/>
        <w:autoSpaceDE w:val="0"/>
        <w:autoSpaceDN w:val="0"/>
        <w:spacing w:line="440" w:lineRule="exact"/>
        <w:ind w:firstLine="476" w:firstLineChars="200"/>
        <w:jc w:val="both"/>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pPr>
    </w:p>
    <w:p>
      <w:pPr>
        <w:widowControl/>
        <w:autoSpaceDE/>
        <w:autoSpaceDN/>
        <w:spacing w:line="500" w:lineRule="exact"/>
        <w:ind w:firstLine="476" w:firstLineChars="200"/>
        <w:jc w:val="both"/>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 xml:space="preserve">表3.1-4        </w:t>
      </w:r>
      <w:r>
        <w:rPr>
          <w:rFonts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本工程</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开发指标预测表（注入井）</w:t>
      </w:r>
    </w:p>
    <w:tbl>
      <w:tblPr>
        <w:tblStyle w:val="32"/>
        <w:tblW w:w="92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33"/>
        <w:gridCol w:w="677"/>
        <w:gridCol w:w="677"/>
        <w:gridCol w:w="677"/>
        <w:gridCol w:w="677"/>
        <w:gridCol w:w="677"/>
        <w:gridCol w:w="677"/>
        <w:gridCol w:w="677"/>
        <w:gridCol w:w="677"/>
        <w:gridCol w:w="677"/>
        <w:gridCol w:w="6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43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时间（年）</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2022</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2023</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2024</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2025</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2026</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2027</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2028</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2029</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2030</w:t>
            </w:r>
          </w:p>
        </w:tc>
        <w:tc>
          <w:tcPr>
            <w:tcW w:w="67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243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注入井</w:t>
            </w: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（口）</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67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243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平均单井注水量</w:t>
            </w: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w w:val="99"/>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/d）</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67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243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总注水量</w:t>
            </w: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w w:val="99"/>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/d）</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630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630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630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630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630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630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630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630</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630</w:t>
            </w:r>
          </w:p>
        </w:tc>
        <w:tc>
          <w:tcPr>
            <w:tcW w:w="67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243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注水压力（MPa）</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67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67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r>
    </w:tbl>
    <w:p>
      <w:pPr>
        <w:widowControl w:val="0"/>
        <w:autoSpaceDE w:val="0"/>
        <w:autoSpaceDN w:val="0"/>
        <w:spacing w:line="440" w:lineRule="exact"/>
        <w:ind w:firstLine="476" w:firstLineChars="200"/>
        <w:jc w:val="both"/>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表</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 </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3</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.1</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5        </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调驱</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注入系统参数</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预测表</w:t>
      </w:r>
    </w:p>
    <w:tbl>
      <w:tblPr>
        <w:tblStyle w:val="32"/>
        <w:tblW w:w="92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31"/>
        <w:gridCol w:w="1021"/>
        <w:gridCol w:w="1270"/>
        <w:gridCol w:w="1021"/>
        <w:gridCol w:w="1773"/>
        <w:gridCol w:w="1518"/>
        <w:gridCol w:w="16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3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注入阶段</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注入时间</w:t>
            </w:r>
          </w:p>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（时间）</w:t>
            </w:r>
          </w:p>
        </w:tc>
        <w:tc>
          <w:tcPr>
            <w:tcW w:w="1270"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单井注入量</w:t>
            </w:r>
          </w:p>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（m</w:t>
            </w:r>
            <w:r>
              <w:rPr>
                <w:rFonts w:hint="eastAsia" w:ascii="Times New Roman" w:hAnsi="Times New Roman" w:cs="Times New Roman"/>
                <w:color w:val="000000" w:themeColor="text1"/>
                <w:w w:val="99"/>
                <w:sz w:val="21"/>
                <w:szCs w:val="21"/>
                <w:highlight w:val="none"/>
                <w:vertAlign w:val="superscript"/>
                <w:lang w:val="en-US" w:eastAsia="zh-CN" w:bidi="ar-SA"/>
                <w14:textFill>
                  <w14:solidFill>
                    <w14:schemeClr w14:val="tx1"/>
                  </w14:solidFill>
                </w14:textFill>
              </w:rPr>
              <w:t>3</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/d）</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注入压力</w:t>
            </w:r>
          </w:p>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（MPa）</w:t>
            </w:r>
          </w:p>
        </w:tc>
        <w:tc>
          <w:tcPr>
            <w:tcW w:w="177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聚合物注入浓度</w:t>
            </w:r>
          </w:p>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（mg/L）</w:t>
            </w:r>
          </w:p>
        </w:tc>
        <w:tc>
          <w:tcPr>
            <w:tcW w:w="1518"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交联剂注入浓度</w:t>
            </w:r>
          </w:p>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（mg/L）</w:t>
            </w:r>
          </w:p>
        </w:tc>
        <w:tc>
          <w:tcPr>
            <w:tcW w:w="160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稳定剂注入浓度</w:t>
            </w:r>
          </w:p>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3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空白水驱</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186天</w:t>
            </w:r>
          </w:p>
        </w:tc>
        <w:tc>
          <w:tcPr>
            <w:tcW w:w="1270"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177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无</w:t>
            </w:r>
          </w:p>
        </w:tc>
        <w:tc>
          <w:tcPr>
            <w:tcW w:w="1518"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无</w:t>
            </w:r>
          </w:p>
        </w:tc>
        <w:tc>
          <w:tcPr>
            <w:tcW w:w="160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3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前置段塞</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69天</w:t>
            </w:r>
          </w:p>
        </w:tc>
        <w:tc>
          <w:tcPr>
            <w:tcW w:w="1270"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177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800</w:t>
            </w:r>
          </w:p>
        </w:tc>
        <w:tc>
          <w:tcPr>
            <w:tcW w:w="1518"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1800</w:t>
            </w:r>
          </w:p>
        </w:tc>
        <w:tc>
          <w:tcPr>
            <w:tcW w:w="160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3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主段塞</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1216天</w:t>
            </w:r>
          </w:p>
        </w:tc>
        <w:tc>
          <w:tcPr>
            <w:tcW w:w="1270"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177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700</w:t>
            </w:r>
          </w:p>
        </w:tc>
        <w:tc>
          <w:tcPr>
            <w:tcW w:w="1518"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1600</w:t>
            </w:r>
          </w:p>
        </w:tc>
        <w:tc>
          <w:tcPr>
            <w:tcW w:w="160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3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后置段塞</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69天</w:t>
            </w:r>
          </w:p>
        </w:tc>
        <w:tc>
          <w:tcPr>
            <w:tcW w:w="1270"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177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800</w:t>
            </w:r>
          </w:p>
        </w:tc>
        <w:tc>
          <w:tcPr>
            <w:tcW w:w="1518"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1800</w:t>
            </w:r>
          </w:p>
        </w:tc>
        <w:tc>
          <w:tcPr>
            <w:tcW w:w="160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3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顶替液</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30天</w:t>
            </w:r>
          </w:p>
        </w:tc>
        <w:tc>
          <w:tcPr>
            <w:tcW w:w="1270"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177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800</w:t>
            </w:r>
          </w:p>
        </w:tc>
        <w:tc>
          <w:tcPr>
            <w:tcW w:w="1518"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无　</w:t>
            </w:r>
          </w:p>
        </w:tc>
        <w:tc>
          <w:tcPr>
            <w:tcW w:w="160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无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3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后续水驱</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1270"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70</w:t>
            </w:r>
          </w:p>
        </w:tc>
        <w:tc>
          <w:tcPr>
            <w:tcW w:w="10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177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无</w:t>
            </w:r>
          </w:p>
        </w:tc>
        <w:tc>
          <w:tcPr>
            <w:tcW w:w="1518"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无</w:t>
            </w:r>
          </w:p>
        </w:tc>
        <w:tc>
          <w:tcPr>
            <w:tcW w:w="160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无</w:t>
            </w:r>
          </w:p>
        </w:tc>
      </w:tr>
    </w:tbl>
    <w:p>
      <w:pPr>
        <w:widowControl w:val="0"/>
        <w:autoSpaceDE w:val="0"/>
        <w:autoSpaceDN w:val="0"/>
        <w:spacing w:line="440" w:lineRule="exact"/>
        <w:ind w:firstLine="476" w:firstLineChars="200"/>
        <w:jc w:val="both"/>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表</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 </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3.</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1</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6</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 xml:space="preserve">        采出原油物性表</w:t>
      </w:r>
    </w:p>
    <w:tbl>
      <w:tblPr>
        <w:tblStyle w:val="3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37"/>
        <w:gridCol w:w="1515"/>
        <w:gridCol w:w="1232"/>
        <w:gridCol w:w="1054"/>
        <w:gridCol w:w="1208"/>
        <w:gridCol w:w="1193"/>
        <w:gridCol w:w="14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trPr>
        <w:tc>
          <w:tcPr>
            <w:tcW w:w="153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层位</w:t>
            </w:r>
          </w:p>
        </w:tc>
        <w:tc>
          <w:tcPr>
            <w:tcW w:w="15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密度（g/cm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23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粘度（mPa.s）</w:t>
            </w:r>
          </w:p>
        </w:tc>
        <w:tc>
          <w:tcPr>
            <w:tcW w:w="105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凝固点</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20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含蜡（%）</w:t>
            </w:r>
          </w:p>
        </w:tc>
        <w:tc>
          <w:tcPr>
            <w:tcW w:w="1193"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胶质（%）</w:t>
            </w:r>
          </w:p>
        </w:tc>
        <w:tc>
          <w:tcPr>
            <w:tcW w:w="147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油气比（m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 w:hRule="atLeast"/>
        </w:trPr>
        <w:tc>
          <w:tcPr>
            <w:tcW w:w="153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葡萄花油层</w:t>
            </w:r>
          </w:p>
        </w:tc>
        <w:tc>
          <w:tcPr>
            <w:tcW w:w="15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0.8</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w:t>
            </w:r>
          </w:p>
        </w:tc>
        <w:tc>
          <w:tcPr>
            <w:tcW w:w="123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10.97</w:t>
            </w:r>
          </w:p>
        </w:tc>
        <w:tc>
          <w:tcPr>
            <w:tcW w:w="105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25</w:t>
            </w:r>
          </w:p>
        </w:tc>
        <w:tc>
          <w:tcPr>
            <w:tcW w:w="120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25.36</w:t>
            </w:r>
          </w:p>
        </w:tc>
        <w:tc>
          <w:tcPr>
            <w:tcW w:w="1193"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6.8</w:t>
            </w:r>
          </w:p>
        </w:tc>
        <w:tc>
          <w:tcPr>
            <w:tcW w:w="147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45</w:t>
            </w:r>
          </w:p>
        </w:tc>
      </w:tr>
    </w:tbl>
    <w:p>
      <w:pPr>
        <w:widowControl w:val="0"/>
        <w:autoSpaceDE w:val="0"/>
        <w:autoSpaceDN w:val="0"/>
        <w:spacing w:line="440" w:lineRule="exact"/>
        <w:ind w:firstLine="476" w:firstLineChars="200"/>
        <w:jc w:val="both"/>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表</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 xml:space="preserve"> </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3.</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1</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w:t>
      </w:r>
      <w:r>
        <w:rPr>
          <w:rFonts w:hint="eastAsia" w:ascii="Times New Roman" w:hAnsi="Times New Roman" w:cs="Times New Roman" w:eastAsiaTheme="minorEastAsia"/>
          <w:b/>
          <w:color w:val="000000" w:themeColor="text1"/>
          <w:w w:val="99"/>
          <w:kern w:val="21"/>
          <w:sz w:val="24"/>
          <w:szCs w:val="24"/>
          <w:highlight w:val="none"/>
          <w:lang w:val="en-US" w:eastAsia="zh-CN" w:bidi="ar-SA"/>
          <w14:textFill>
            <w14:solidFill>
              <w14:schemeClr w14:val="tx1"/>
            </w14:solidFill>
          </w14:textFill>
        </w:rPr>
        <w:t>7</w:t>
      </w:r>
      <w:r>
        <w:rPr>
          <w:rFonts w:ascii="Times New Roman" w:hAnsi="Times New Roman" w:cs="Times New Roman" w:eastAsiaTheme="minorEastAsia"/>
          <w:b/>
          <w:color w:val="000000" w:themeColor="text1"/>
          <w:w w:val="99"/>
          <w:kern w:val="21"/>
          <w:sz w:val="24"/>
          <w:szCs w:val="24"/>
          <w:highlight w:val="none"/>
          <w:lang w:val="en-US" w:bidi="ar-SA"/>
          <w14:textFill>
            <w14:solidFill>
              <w14:schemeClr w14:val="tx1"/>
            </w14:solidFill>
          </w14:textFill>
        </w:rPr>
        <w:t xml:space="preserve">        产出水理化性质表</w:t>
      </w:r>
    </w:p>
    <w:tbl>
      <w:tblPr>
        <w:tblStyle w:val="3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70"/>
        <w:gridCol w:w="2436"/>
        <w:gridCol w:w="2247"/>
        <w:gridCol w:w="26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7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油层</w:t>
            </w:r>
          </w:p>
        </w:tc>
        <w:tc>
          <w:tcPr>
            <w:tcW w:w="2436"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总矿化度（mg/L）</w:t>
            </w:r>
          </w:p>
        </w:tc>
        <w:tc>
          <w:tcPr>
            <w:tcW w:w="2247"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氯离子Cl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（mg/L）</w:t>
            </w:r>
          </w:p>
        </w:tc>
        <w:tc>
          <w:tcPr>
            <w:tcW w:w="2683"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70"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葡萄花油层</w:t>
            </w:r>
          </w:p>
        </w:tc>
        <w:tc>
          <w:tcPr>
            <w:tcW w:w="2436"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8230.2 </w:t>
            </w:r>
          </w:p>
        </w:tc>
        <w:tc>
          <w:tcPr>
            <w:tcW w:w="224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2600.7 </w:t>
            </w:r>
          </w:p>
        </w:tc>
        <w:tc>
          <w:tcPr>
            <w:tcW w:w="2683"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w:t>
            </w:r>
          </w:p>
        </w:tc>
      </w:tr>
    </w:tbl>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2采油工程方案</w:t>
      </w:r>
    </w:p>
    <w:p>
      <w:pPr>
        <w:keepNext w:val="0"/>
        <w:keepLines w:val="0"/>
        <w:pageBreakBefore w:val="0"/>
        <w:widowControl w:val="0"/>
        <w:kinsoku/>
        <w:wordWrap/>
        <w:overflowPunct/>
        <w:topLinePunct w:val="0"/>
        <w:autoSpaceDE w:val="0"/>
        <w:autoSpaceDN w:val="0"/>
        <w:bidi w:val="0"/>
        <w:adjustRightInd/>
        <w:snapToGrid w:val="0"/>
        <w:spacing w:line="440" w:lineRule="exact"/>
        <w:ind w:firstLine="474" w:firstLineChars="200"/>
        <w:textAlignment w:val="auto"/>
        <w:rPr>
          <w:rFonts w:hint="default"/>
          <w:bCs/>
          <w:color w:val="000000" w:themeColor="text1"/>
          <w:w w:val="99"/>
          <w:sz w:val="24"/>
          <w:highlight w:val="none"/>
          <w:lang w:val="en-US"/>
          <w14:textFill>
            <w14:solidFill>
              <w14:schemeClr w14:val="tx1"/>
            </w14:solidFill>
          </w14:textFill>
        </w:rPr>
      </w:pPr>
      <w:r>
        <w:rPr>
          <w:rFonts w:hint="eastAsia"/>
          <w:bCs/>
          <w:color w:val="000000" w:themeColor="text1"/>
          <w:w w:val="99"/>
          <w:sz w:val="24"/>
          <w:highlight w:val="none"/>
          <w:lang w:val="en-US" w:eastAsia="zh-CN"/>
          <w14:textFill>
            <w14:solidFill>
              <w14:schemeClr w14:val="tx1"/>
            </w14:solidFill>
          </w14:textFill>
        </w:rPr>
        <w:t>（1）完井方式</w:t>
      </w:r>
    </w:p>
    <w:p>
      <w:pPr>
        <w:keepNext w:val="0"/>
        <w:keepLines w:val="0"/>
        <w:pageBreakBefore w:val="0"/>
        <w:widowControl w:val="0"/>
        <w:kinsoku/>
        <w:wordWrap/>
        <w:overflowPunct/>
        <w:topLinePunct w:val="0"/>
        <w:autoSpaceDE w:val="0"/>
        <w:autoSpaceDN w:val="0"/>
        <w:bidi w:val="0"/>
        <w:adjustRightInd/>
        <w:snapToGrid w:val="0"/>
        <w:spacing w:line="440" w:lineRule="exact"/>
        <w:ind w:firstLine="474" w:firstLineChars="200"/>
        <w:textAlignment w:val="auto"/>
        <w:rPr>
          <w:bCs/>
          <w:color w:val="000000" w:themeColor="text1"/>
          <w:w w:val="99"/>
          <w:sz w:val="24"/>
          <w:highlight w:val="none"/>
          <w14:textFill>
            <w14:solidFill>
              <w14:schemeClr w14:val="tx1"/>
            </w14:solidFill>
          </w14:textFill>
        </w:rPr>
      </w:pPr>
      <w:r>
        <w:rPr>
          <w:bCs/>
          <w:color w:val="000000" w:themeColor="text1"/>
          <w:w w:val="99"/>
          <w:sz w:val="24"/>
          <w:highlight w:val="none"/>
          <w14:textFill>
            <w14:solidFill>
              <w14:schemeClr w14:val="tx1"/>
            </w14:solidFill>
          </w14:textFill>
        </w:rPr>
        <w:t>根据油藏工程方案，</w:t>
      </w:r>
      <w:r>
        <w:rPr>
          <w:rFonts w:hint="eastAsia"/>
          <w:bCs/>
          <w:color w:val="000000" w:themeColor="text1"/>
          <w:w w:val="99"/>
          <w:sz w:val="24"/>
          <w:highlight w:val="none"/>
          <w14:textFill>
            <w14:solidFill>
              <w14:schemeClr w14:val="tx1"/>
            </w14:solidFill>
          </w14:textFill>
        </w:rPr>
        <w:t>本工程利用老井</w:t>
      </w:r>
      <w:r>
        <w:rPr>
          <w:bCs/>
          <w:color w:val="000000" w:themeColor="text1"/>
          <w:w w:val="99"/>
          <w:sz w:val="24"/>
          <w:highlight w:val="none"/>
          <w14:textFill>
            <w14:solidFill>
              <w14:schemeClr w14:val="tx1"/>
            </w14:solidFill>
          </w14:textFill>
        </w:rPr>
        <w:t>21口</w:t>
      </w:r>
      <w:r>
        <w:rPr>
          <w:rFonts w:hint="eastAsia"/>
          <w:bCs/>
          <w:color w:val="000000" w:themeColor="text1"/>
          <w:w w:val="99"/>
          <w:sz w:val="24"/>
          <w:highlight w:val="none"/>
          <w14:textFill>
            <w14:solidFill>
              <w14:schemeClr w14:val="tx1"/>
            </w14:solidFill>
          </w14:textFill>
        </w:rPr>
        <w:t>，</w:t>
      </w:r>
      <w:r>
        <w:rPr>
          <w:bCs/>
          <w:color w:val="000000" w:themeColor="text1"/>
          <w:w w:val="99"/>
          <w:sz w:val="24"/>
          <w:highlight w:val="none"/>
          <w14:textFill>
            <w14:solidFill>
              <w14:schemeClr w14:val="tx1"/>
            </w14:solidFill>
          </w14:textFill>
        </w:rPr>
        <w:t>油井采出液采用“</w:t>
      </w:r>
      <w:r>
        <w:rPr>
          <w:rFonts w:ascii="Times New Roman" w:hAnsi="Times New Roman" w:cs="Times New Roman"/>
          <w:color w:val="000000" w:themeColor="text1"/>
          <w:w w:val="99"/>
          <w:sz w:val="24"/>
          <w:szCs w:val="24"/>
          <w:highlight w:val="none"/>
          <w:lang w:val="zh-CN" w:bidi="ar-SA"/>
          <w14:textFill>
            <w14:solidFill>
              <w14:schemeClr w14:val="tx1"/>
            </w14:solidFill>
          </w14:textFill>
        </w:rPr>
        <w:t>单管环状掺水</w:t>
      </w:r>
      <w:r>
        <w:rPr>
          <w:bCs/>
          <w:color w:val="000000" w:themeColor="text1"/>
          <w:w w:val="99"/>
          <w:sz w:val="24"/>
          <w:highlight w:val="none"/>
          <w14:textFill>
            <w14:solidFill>
              <w14:schemeClr w14:val="tx1"/>
            </w14:solidFill>
          </w14:textFill>
        </w:rPr>
        <w:t>”集输</w:t>
      </w:r>
      <w:r>
        <w:rPr>
          <w:rFonts w:hint="eastAsia"/>
          <w:bCs/>
          <w:color w:val="000000" w:themeColor="text1"/>
          <w:w w:val="99"/>
          <w:sz w:val="24"/>
          <w:highlight w:val="none"/>
          <w14:textFill>
            <w14:solidFill>
              <w14:schemeClr w14:val="tx1"/>
            </w14:solidFill>
          </w14:textFill>
        </w:rPr>
        <w:t>工艺</w:t>
      </w:r>
      <w:r>
        <w:rPr>
          <w:bCs/>
          <w:color w:val="000000" w:themeColor="text1"/>
          <w:w w:val="99"/>
          <w:sz w:val="24"/>
          <w:highlight w:val="none"/>
          <w14:textFill>
            <w14:solidFill>
              <w14:schemeClr w14:val="tx1"/>
            </w14:solidFill>
          </w14:textFill>
        </w:rPr>
        <w:t>，油井集油</w:t>
      </w: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4口井</w:t>
      </w:r>
      <w:r>
        <w:rPr>
          <w:rFonts w:hint="default" w:ascii="Times New Roman" w:hAnsi="Times New Roman" w:cs="Times New Roman"/>
          <w:bCs/>
          <w:color w:val="000000" w:themeColor="text1"/>
          <w:w w:val="99"/>
          <w:sz w:val="24"/>
          <w:highlight w:val="none"/>
          <w14:textFill>
            <w14:solidFill>
              <w14:schemeClr w14:val="tx1"/>
            </w14:solidFill>
          </w14:textFill>
        </w:rPr>
        <w:t>归</w:t>
      </w:r>
      <w:r>
        <w:rPr>
          <w:rFonts w:hint="eastAsia" w:ascii="Times New Roman" w:hAnsi="Times New Roman" w:cs="Times New Roman"/>
          <w:bCs/>
          <w:color w:val="000000" w:themeColor="text1"/>
          <w:w w:val="99"/>
          <w:sz w:val="24"/>
          <w:highlight w:val="none"/>
          <w:lang w:eastAsia="zh-CN"/>
          <w14:textFill>
            <w14:solidFill>
              <w14:schemeClr w14:val="tx1"/>
            </w14:solidFill>
          </w14:textFill>
        </w:rPr>
        <w:t>葡北</w:t>
      </w: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901</w:t>
      </w:r>
      <w:r>
        <w:rPr>
          <w:rFonts w:hint="default" w:ascii="Times New Roman" w:hAnsi="Times New Roman" w:cs="Times New Roman"/>
          <w:bCs/>
          <w:color w:val="000000" w:themeColor="text1"/>
          <w:w w:val="99"/>
          <w:sz w:val="24"/>
          <w:highlight w:val="none"/>
          <w14:textFill>
            <w14:solidFill>
              <w14:schemeClr w14:val="tx1"/>
            </w14:solidFill>
          </w14:textFill>
        </w:rPr>
        <w:t>计量间，</w:t>
      </w: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1口归属葡北10号3计量间，16口归属葡北10#4计量间</w:t>
      </w:r>
      <w:r>
        <w:rPr>
          <w:rFonts w:hint="eastAsia"/>
          <w:bCs/>
          <w:color w:val="000000" w:themeColor="text1"/>
          <w:w w:val="99"/>
          <w:sz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葡北9#转油站、葡北10#转油站</w:t>
      </w:r>
      <w:r>
        <w:rPr>
          <w:bCs/>
          <w:color w:val="000000" w:themeColor="text1"/>
          <w:w w:val="99"/>
          <w:sz w:val="24"/>
          <w:highlight w:val="none"/>
          <w14:textFill>
            <w14:solidFill>
              <w14:schemeClr w14:val="tx1"/>
            </w14:solidFill>
          </w14:textFill>
        </w:rPr>
        <w:t>。采出液处理依托</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葡二联</w:t>
      </w:r>
      <w:r>
        <w:rPr>
          <w:rFonts w:ascii="Times New Roman" w:hAnsi="Times New Roman" w:cs="Times New Roman"/>
          <w:color w:val="000000" w:themeColor="text1"/>
          <w:w w:val="99"/>
          <w:sz w:val="24"/>
          <w:szCs w:val="24"/>
          <w:highlight w:val="none"/>
          <w:lang w:val="en-US" w:bidi="ar-SA"/>
          <w14:textFill>
            <w14:solidFill>
              <w14:schemeClr w14:val="tx1"/>
            </w14:solidFill>
          </w14:textFill>
        </w:rPr>
        <w:t>脱水站</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和葡二联</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污水处理站</w:t>
      </w:r>
      <w:r>
        <w:rPr>
          <w:bCs/>
          <w:color w:val="000000" w:themeColor="text1"/>
          <w:w w:val="99"/>
          <w:sz w:val="24"/>
          <w:highlight w:val="none"/>
          <w14:textFill>
            <w14:solidFill>
              <w14:schemeClr w14:val="tx1"/>
            </w14:solidFill>
          </w14:textFill>
        </w:rPr>
        <w:t>。建</w:t>
      </w:r>
      <w:r>
        <w:rPr>
          <w:rFonts w:hint="eastAsia"/>
          <w:bCs/>
          <w:color w:val="000000" w:themeColor="text1"/>
          <w:w w:val="99"/>
          <w:sz w:val="24"/>
          <w:highlight w:val="none"/>
          <w14:textFill>
            <w14:solidFill>
              <w14:schemeClr w14:val="tx1"/>
            </w14:solidFill>
          </w14:textFill>
        </w:rPr>
        <w:t>成</w:t>
      </w:r>
      <w:r>
        <w:rPr>
          <w:bCs/>
          <w:color w:val="000000" w:themeColor="text1"/>
          <w:w w:val="99"/>
          <w:sz w:val="24"/>
          <w:highlight w:val="none"/>
          <w14:textFill>
            <w14:solidFill>
              <w14:schemeClr w14:val="tx1"/>
            </w14:solidFill>
          </w14:textFill>
        </w:rPr>
        <w:t>产能</w:t>
      </w:r>
      <w:r>
        <w:rPr>
          <w:rFonts w:hint="eastAsia"/>
          <w:bCs/>
          <w:color w:val="000000" w:themeColor="text1"/>
          <w:w w:val="99"/>
          <w:sz w:val="24"/>
          <w:highlight w:val="none"/>
          <w14:textFill>
            <w14:solidFill>
              <w14:schemeClr w14:val="tx1"/>
            </w14:solidFill>
          </w14:textFill>
        </w:rPr>
        <w:t>为1.7</w:t>
      </w:r>
      <w:r>
        <w:rPr>
          <w:rFonts w:hint="eastAsia"/>
          <w:bCs/>
          <w:color w:val="000000" w:themeColor="text1"/>
          <w:w w:val="99"/>
          <w:sz w:val="24"/>
          <w:highlight w:val="none"/>
          <w:lang w:val="en-US" w:eastAsia="zh-CN"/>
          <w14:textFill>
            <w14:solidFill>
              <w14:schemeClr w14:val="tx1"/>
            </w14:solidFill>
          </w14:textFill>
        </w:rPr>
        <w:t>1</w:t>
      </w:r>
      <w:r>
        <w:rPr>
          <w:bCs/>
          <w:color w:val="000000" w:themeColor="text1"/>
          <w:w w:val="99"/>
          <w:sz w:val="24"/>
          <w:highlight w:val="none"/>
          <w14:textFill>
            <w14:solidFill>
              <w14:schemeClr w14:val="tx1"/>
            </w14:solidFill>
          </w14:textFill>
        </w:rPr>
        <w:t>×10</w:t>
      </w:r>
      <w:r>
        <w:rPr>
          <w:bCs/>
          <w:color w:val="000000" w:themeColor="text1"/>
          <w:w w:val="99"/>
          <w:sz w:val="24"/>
          <w:highlight w:val="none"/>
          <w:vertAlign w:val="superscript"/>
          <w14:textFill>
            <w14:solidFill>
              <w14:schemeClr w14:val="tx1"/>
            </w14:solidFill>
          </w14:textFill>
        </w:rPr>
        <w:t>4</w:t>
      </w:r>
      <w:r>
        <w:rPr>
          <w:bCs/>
          <w:color w:val="000000" w:themeColor="text1"/>
          <w:w w:val="99"/>
          <w:sz w:val="24"/>
          <w:highlight w:val="none"/>
          <w14:textFill>
            <w14:solidFill>
              <w14:schemeClr w14:val="tx1"/>
            </w14:solidFill>
          </w14:textFill>
        </w:rPr>
        <w:t>t/a。</w:t>
      </w:r>
    </w:p>
    <w:p>
      <w:pPr>
        <w:keepNext w:val="0"/>
        <w:keepLines w:val="0"/>
        <w:pageBreakBefore w:val="0"/>
        <w:widowControl w:val="0"/>
        <w:kinsoku/>
        <w:wordWrap/>
        <w:overflowPunct/>
        <w:topLinePunct w:val="0"/>
        <w:autoSpaceDE w:val="0"/>
        <w:autoSpaceDN w:val="0"/>
        <w:bidi w:val="0"/>
        <w:adjustRightInd/>
        <w:snapToGrid w:val="0"/>
        <w:spacing w:line="440" w:lineRule="exact"/>
        <w:ind w:firstLine="474" w:firstLineChars="200"/>
        <w:textAlignment w:val="auto"/>
        <w:rPr>
          <w:rFonts w:hint="default" w:ascii="Times New Roman" w:hAnsi="Times New Roman" w:cs="Times New Roman"/>
          <w:bCs/>
          <w:color w:val="000000" w:themeColor="text1"/>
          <w:w w:val="99"/>
          <w:sz w:val="24"/>
          <w:highlight w:val="none"/>
          <w:lang w:val="en-US" w:eastAsia="zh-CN"/>
          <w14:textFill>
            <w14:solidFill>
              <w14:schemeClr w14:val="tx1"/>
            </w14:solidFill>
          </w14:textFill>
        </w:rPr>
      </w:pP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（2）采油方式</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textAlignment w:val="auto"/>
        <w:rPr>
          <w:rFonts w:hint="eastAsia"/>
          <w:bCs/>
          <w:color w:val="000000" w:themeColor="text1"/>
          <w:w w:val="99"/>
          <w:sz w:val="24"/>
          <w:highlight w:val="none"/>
          <w:lang w:eastAsia="zh-CN"/>
          <w14:textFill>
            <w14:solidFill>
              <w14:schemeClr w14:val="tx1"/>
            </w14:solidFill>
          </w14:textFill>
        </w:rPr>
      </w:pPr>
      <w:r>
        <w:rPr>
          <w:bCs/>
          <w:color w:val="000000" w:themeColor="text1"/>
          <w:w w:val="99"/>
          <w:sz w:val="24"/>
          <w:highlight w:val="none"/>
          <w14:textFill>
            <w14:solidFill>
              <w14:schemeClr w14:val="tx1"/>
            </w14:solidFill>
          </w14:textFill>
        </w:rPr>
        <w:t>本次产能</w:t>
      </w:r>
      <w:r>
        <w:rPr>
          <w:rFonts w:hint="eastAsia"/>
          <w:bCs/>
          <w:color w:val="000000" w:themeColor="text1"/>
          <w:w w:val="99"/>
          <w:sz w:val="24"/>
          <w:highlight w:val="none"/>
          <w14:textFill>
            <w14:solidFill>
              <w14:schemeClr w14:val="tx1"/>
            </w14:solidFill>
          </w14:textFill>
        </w:rPr>
        <w:t>利用</w:t>
      </w:r>
      <w:r>
        <w:rPr>
          <w:bCs/>
          <w:color w:val="000000" w:themeColor="text1"/>
          <w:w w:val="99"/>
          <w:sz w:val="24"/>
          <w:highlight w:val="none"/>
          <w14:textFill>
            <w14:solidFill>
              <w14:schemeClr w14:val="tx1"/>
            </w14:solidFill>
          </w14:textFill>
        </w:rPr>
        <w:t>油井采用抽油机采油方式</w:t>
      </w:r>
      <w:r>
        <w:rPr>
          <w:rFonts w:hint="eastAsia"/>
          <w:bCs/>
          <w:color w:val="000000" w:themeColor="text1"/>
          <w:w w:val="99"/>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440" w:lineRule="exact"/>
        <w:ind w:firstLine="474" w:firstLineChars="200"/>
        <w:textAlignment w:val="auto"/>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pP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（3）油井清防蜡方式</w:t>
      </w:r>
    </w:p>
    <w:p>
      <w:pPr>
        <w:keepNext w:val="0"/>
        <w:keepLines w:val="0"/>
        <w:pageBreakBefore w:val="0"/>
        <w:widowControl w:val="0"/>
        <w:kinsoku/>
        <w:wordWrap/>
        <w:overflowPunct/>
        <w:topLinePunct w:val="0"/>
        <w:autoSpaceDE w:val="0"/>
        <w:autoSpaceDN w:val="0"/>
        <w:bidi w:val="0"/>
        <w:adjustRightInd/>
        <w:snapToGrid w:val="0"/>
        <w:spacing w:line="440" w:lineRule="exact"/>
        <w:ind w:firstLine="474" w:firstLineChars="200"/>
        <w:textAlignment w:val="auto"/>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采用热洗车高温热洗方式进行清防蜡，平均热洗周期为156天。</w:t>
      </w:r>
    </w:p>
    <w:bookmarkEnd w:id="33"/>
    <w:p>
      <w:pPr>
        <w:bidi w:val="0"/>
        <w:rPr>
          <w:rFonts w:hint="default"/>
          <w:color w:val="000000" w:themeColor="text1"/>
          <w:highlight w:val="none"/>
          <w:lang w:val="en-US"/>
          <w14:textFill>
            <w14:solidFill>
              <w14:schemeClr w14:val="tx1"/>
            </w14:solidFill>
          </w14:textFill>
        </w:rPr>
      </w:pPr>
      <w:bookmarkStart w:id="43" w:name="_bookmark22"/>
      <w:bookmarkEnd w:id="43"/>
      <w:bookmarkStart w:id="44" w:name="_Toc32354"/>
    </w:p>
    <w:p>
      <w:pPr>
        <w:tabs>
          <w:tab w:val="left" w:pos="751"/>
        </w:tabs>
        <w:spacing w:before="120" w:after="120" w:line="440" w:lineRule="exact"/>
        <w:jc w:val="both"/>
        <w:outlineLvl w:val="1"/>
        <w:rPr>
          <w:rFonts w:hint="default" w:ascii="Times New Roman" w:hAnsi="Times New Roman" w:eastAsia="宋体" w:cs="Times New Roman"/>
          <w:b/>
          <w:bCs/>
          <w:color w:val="000000" w:themeColor="text1"/>
          <w:w w:val="99"/>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 xml:space="preserve">3.2 </w:t>
      </w:r>
      <w:r>
        <w:rPr>
          <w:rFonts w:hint="default" w:ascii="Times New Roman" w:hAnsi="Times New Roman" w:eastAsia="宋体" w:cs="Times New Roman"/>
          <w:b/>
          <w:bCs/>
          <w:color w:val="000000" w:themeColor="text1"/>
          <w:w w:val="99"/>
          <w:sz w:val="28"/>
          <w:szCs w:val="28"/>
          <w:highlight w:val="none"/>
          <w:lang w:val="en-US" w:eastAsia="zh-CN"/>
          <w14:textFill>
            <w14:solidFill>
              <w14:schemeClr w14:val="tx1"/>
            </w14:solidFill>
          </w14:textFill>
        </w:rPr>
        <w:t>现有区块情况</w:t>
      </w:r>
      <w:bookmarkEnd w:id="44"/>
    </w:p>
    <w:p>
      <w:pPr>
        <w:pStyle w:val="7"/>
        <w:keepNext/>
        <w:keepLines/>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3.2.1 </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现有区块开发情况</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pP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本项目</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葡72-70井区位于葡北</w:t>
      </w: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油田</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三断块，</w:t>
      </w:r>
      <w:r>
        <w:rPr>
          <w:rFonts w:hint="eastAsia"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该</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区块</w:t>
      </w:r>
      <w:r>
        <w:rPr>
          <w:rFonts w:hint="eastAsia"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于1979年投入开发，动用含油面积</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387</w:t>
      </w:r>
      <w:r>
        <w:rPr>
          <w:rFonts w:hint="eastAsia"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.73km</w:t>
      </w:r>
      <w:r>
        <w:rPr>
          <w:rFonts w:hint="eastAsia" w:ascii="Times New Roman" w:hAnsi="Times New Roman" w:eastAsia="宋体" w:cs="Times New Roman"/>
          <w:color w:val="000000" w:themeColor="text1"/>
          <w:w w:val="99"/>
          <w:sz w:val="24"/>
          <w:szCs w:val="24"/>
          <w:highlight w:val="none"/>
          <w:vertAlign w:val="superscript"/>
          <w:lang w:val="zh-CN" w:eastAsia="zh-CN" w:bidi="zh-CN"/>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，地质储量12220.98×10</w:t>
      </w:r>
      <w:r>
        <w:rPr>
          <w:rFonts w:hint="eastAsia" w:ascii="Times New Roman" w:hAnsi="Times New Roman" w:eastAsia="宋体" w:cs="Times New Roman"/>
          <w:color w:val="000000" w:themeColor="text1"/>
          <w:w w:val="99"/>
          <w:sz w:val="24"/>
          <w:szCs w:val="24"/>
          <w:highlight w:val="none"/>
          <w:vertAlign w:val="superscript"/>
          <w:lang w:val="zh-CN" w:eastAsia="zh-CN" w:bidi="zh-CN"/>
          <w14:textFill>
            <w14:solidFill>
              <w14:schemeClr w14:val="tx1"/>
            </w14:solidFill>
          </w14:textFill>
        </w:rPr>
        <w:t>4</w:t>
      </w:r>
      <w:r>
        <w:rPr>
          <w:rFonts w:hint="eastAsia"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t。</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2013年开展了大庆葡北油田三断块二次开发深部调驱试验。截至2017年5月，全区日产液646.3t，日产油66.3t，综合含水89.75%，日增油42.9t，含水下降5.07个百分点。。</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本项目</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井区含油面积</w:t>
      </w:r>
      <w:r>
        <w:rPr>
          <w:rFonts w:hint="default" w:ascii="Times New Roman" w:hAnsi="Times New Roman" w:cs="Times New Roman"/>
          <w:color w:val="000000" w:themeColor="text1"/>
          <w:sz w:val="24"/>
          <w:szCs w:val="24"/>
          <w:highlight w:val="none"/>
          <w14:textFill>
            <w14:solidFill>
              <w14:schemeClr w14:val="tx1"/>
            </w14:solidFill>
          </w14:textFill>
        </w:rPr>
        <w:t>0.96km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动用地质储量102.35×10</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经过基础井网开采、一次均匀加密调整、二次非均匀加密调整，截至2020年12月，井区总井数30口，其中，采出井21口，</w:t>
      </w:r>
      <w:r>
        <w:rPr>
          <w:rFonts w:hint="eastAsia" w:ascii="Times New Roman" w:hAnsi="Times New Roman" w:cs="Times New Roman"/>
          <w:color w:val="000000" w:themeColor="text1"/>
          <w:w w:val="99"/>
          <w:sz w:val="24"/>
          <w:szCs w:val="24"/>
          <w:highlight w:val="none"/>
          <w:lang w:val="zh-CN" w:eastAsia="zh-CN" w:bidi="zh-CN"/>
          <w14:textFill>
            <w14:solidFill>
              <w14:schemeClr w14:val="tx1"/>
            </w14:solidFill>
          </w14:textFill>
        </w:rPr>
        <w:t>注入井</w:t>
      </w:r>
      <w:r>
        <w:rPr>
          <w:rFonts w:hint="default"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t>9口，综合含水95.54%，已进入特高含水期开发阶段。</w:t>
      </w:r>
    </w:p>
    <w:p>
      <w:pPr>
        <w:pStyle w:val="7"/>
        <w:keepNext/>
        <w:keepLines/>
        <w:widowControl w:val="0"/>
        <w:autoSpaceDE/>
        <w:autoSpaceDN/>
        <w:spacing w:before="60" w:after="60" w:line="440" w:lineRule="exact"/>
        <w:ind w:left="0" w:firstLine="0"/>
        <w:jc w:val="both"/>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3.2.2 </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现有区块</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环保</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验收</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情况</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bCs/>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30</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口</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油注入井</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分属</w:t>
      </w:r>
      <w:r>
        <w:rPr>
          <w:rFonts w:ascii="Times New Roman" w:hAnsi="Times New Roman" w:cs="Times New Roman"/>
          <w:color w:val="000000" w:themeColor="text1"/>
          <w:w w:val="99"/>
          <w:sz w:val="24"/>
          <w:szCs w:val="24"/>
          <w:highlight w:val="none"/>
          <w:lang w:val="en-US"/>
          <w14:textFill>
            <w14:solidFill>
              <w14:schemeClr w14:val="tx1"/>
            </w14:solidFill>
          </w14:textFill>
        </w:rPr>
        <w:t>于采油七厂二矿，</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30</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口井</w:t>
      </w:r>
      <w:r>
        <w:rPr>
          <w:rFonts w:ascii="Times New Roman" w:hAnsi="Times New Roman" w:cs="Times New Roman"/>
          <w:color w:val="000000" w:themeColor="text1"/>
          <w:w w:val="99"/>
          <w:sz w:val="24"/>
          <w:szCs w:val="24"/>
          <w:highlight w:val="none"/>
          <w:lang w:val="en-US"/>
          <w14:textFill>
            <w14:solidFill>
              <w14:schemeClr w14:val="tx1"/>
            </w14:solidFill>
          </w14:textFill>
        </w:rPr>
        <w:t>投产时间</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在</w:t>
      </w:r>
      <w:r>
        <w:rPr>
          <w:rFonts w:ascii="Times New Roman" w:hAnsi="Times New Roman" w:cs="Times New Roman"/>
          <w:color w:val="000000" w:themeColor="text1"/>
          <w:w w:val="99"/>
          <w:sz w:val="24"/>
          <w:szCs w:val="24"/>
          <w:highlight w:val="none"/>
          <w:lang w:val="en-US"/>
          <w14:textFill>
            <w14:solidFill>
              <w14:schemeClr w14:val="tx1"/>
            </w14:solidFill>
          </w14:textFill>
        </w:rPr>
        <w:t>上世纪</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60年代</w:t>
      </w:r>
      <w:r>
        <w:rPr>
          <w:rFonts w:ascii="Times New Roman" w:hAnsi="Times New Roman" w:cs="Times New Roman"/>
          <w:color w:val="000000" w:themeColor="text1"/>
          <w:w w:val="99"/>
          <w:sz w:val="24"/>
          <w:szCs w:val="24"/>
          <w:highlight w:val="none"/>
          <w:lang w:val="en-US"/>
          <w14:textFill>
            <w14:solidFill>
              <w14:schemeClr w14:val="tx1"/>
            </w14:solidFill>
          </w14:textFill>
        </w:rPr>
        <w:t>至</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90年代</w:t>
      </w:r>
      <w:r>
        <w:rPr>
          <w:rFonts w:ascii="Times New Roman" w:hAnsi="Times New Roman" w:cs="Times New Roman"/>
          <w:color w:val="000000" w:themeColor="text1"/>
          <w:w w:val="99"/>
          <w:sz w:val="24"/>
          <w:szCs w:val="24"/>
          <w:highlight w:val="none"/>
          <w:lang w:val="en-US"/>
          <w14:textFill>
            <w14:solidFill>
              <w14:schemeClr w14:val="tx1"/>
            </w14:solidFill>
          </w14:textFill>
        </w:rPr>
        <w:t>之间，</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由于投产时间</w:t>
      </w:r>
      <w:r>
        <w:rPr>
          <w:rFonts w:ascii="Times New Roman" w:hAnsi="Times New Roman" w:cs="Times New Roman"/>
          <w:color w:val="000000" w:themeColor="text1"/>
          <w:w w:val="99"/>
          <w:sz w:val="24"/>
          <w:szCs w:val="24"/>
          <w:highlight w:val="none"/>
          <w:lang w:val="en-US"/>
          <w14:textFill>
            <w14:solidFill>
              <w14:schemeClr w14:val="tx1"/>
            </w14:solidFill>
          </w14:textFill>
        </w:rPr>
        <w:t>较早，未</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开展</w:t>
      </w:r>
      <w:r>
        <w:rPr>
          <w:rFonts w:ascii="Times New Roman" w:hAnsi="Times New Roman" w:cs="Times New Roman"/>
          <w:color w:val="000000" w:themeColor="text1"/>
          <w:w w:val="99"/>
          <w:sz w:val="24"/>
          <w:szCs w:val="24"/>
          <w:highlight w:val="none"/>
          <w:lang w:val="en-US"/>
          <w14:textFill>
            <w14:solidFill>
              <w14:schemeClr w14:val="tx1"/>
            </w14:solidFill>
          </w14:textFill>
        </w:rPr>
        <w:t>环境影响评价</w:t>
      </w:r>
      <w:r>
        <w:rPr>
          <w:rFonts w:ascii="Times New Roman" w:hAnsi="Times New Roman" w:cs="Times New Roman"/>
          <w:bCs/>
          <w:color w:val="000000" w:themeColor="text1"/>
          <w:w w:val="99"/>
          <w:sz w:val="24"/>
          <w:szCs w:val="24"/>
          <w:highlight w:val="none"/>
          <w:lang w:val="en-US"/>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本项目现有区块的环评及验收情况见表3.2-1。</w:t>
      </w:r>
    </w:p>
    <w:p>
      <w:pPr>
        <w:widowControl w:val="0"/>
        <w:spacing w:line="500" w:lineRule="exact"/>
        <w:ind w:firstLine="436" w:firstLineChars="200"/>
        <w:jc w:val="both"/>
        <w:rPr>
          <w:rFonts w:ascii="Times New Roman" w:hAnsi="Times New Roman" w:cs="Times New Roman"/>
          <w:b/>
          <w:bCs/>
          <w:color w:val="000000" w:themeColor="text1"/>
          <w:w w:val="99"/>
          <w:highlight w:val="none"/>
          <w14:textFill>
            <w14:solidFill>
              <w14:schemeClr w14:val="tx1"/>
            </w14:solidFill>
          </w14:textFill>
        </w:rPr>
      </w:pPr>
      <w:r>
        <w:rPr>
          <w:rFonts w:ascii="Times New Roman" w:hAnsi="Times New Roman" w:cs="Times New Roman"/>
          <w:b/>
          <w:bCs/>
          <w:color w:val="000000" w:themeColor="text1"/>
          <w:w w:val="99"/>
          <w:highlight w:val="none"/>
          <w14:textFill>
            <w14:solidFill>
              <w14:schemeClr w14:val="tx1"/>
            </w14:solidFill>
          </w14:textFill>
        </w:rPr>
        <w:t>表3.</w:t>
      </w:r>
      <w:r>
        <w:rPr>
          <w:rFonts w:hint="eastAsia" w:ascii="Times New Roman" w:hAnsi="Times New Roman" w:cs="Times New Roman"/>
          <w:b/>
          <w:bCs/>
          <w:color w:val="000000" w:themeColor="text1"/>
          <w:w w:val="99"/>
          <w:highlight w:val="none"/>
          <w:lang w:val="en-US" w:eastAsia="zh-CN"/>
          <w14:textFill>
            <w14:solidFill>
              <w14:schemeClr w14:val="tx1"/>
            </w14:solidFill>
          </w14:textFill>
        </w:rPr>
        <w:t>2</w:t>
      </w:r>
      <w:r>
        <w:rPr>
          <w:rFonts w:ascii="Times New Roman" w:hAnsi="Times New Roman" w:cs="Times New Roman"/>
          <w:b/>
          <w:bCs/>
          <w:color w:val="000000" w:themeColor="text1"/>
          <w:w w:val="99"/>
          <w:highlight w:val="none"/>
          <w14:textFill>
            <w14:solidFill>
              <w14:schemeClr w14:val="tx1"/>
            </w14:solidFill>
          </w14:textFill>
        </w:rPr>
        <w:t>-</w:t>
      </w:r>
      <w:r>
        <w:rPr>
          <w:rFonts w:hint="eastAsia" w:ascii="Times New Roman" w:hAnsi="Times New Roman" w:cs="Times New Roman"/>
          <w:b/>
          <w:bCs/>
          <w:color w:val="000000" w:themeColor="text1"/>
          <w:w w:val="99"/>
          <w:highlight w:val="none"/>
          <w:lang w:val="en-US" w:eastAsia="zh-CN"/>
          <w14:textFill>
            <w14:solidFill>
              <w14:schemeClr w14:val="tx1"/>
            </w14:solidFill>
          </w14:textFill>
        </w:rPr>
        <w:t>1</w:t>
      </w:r>
      <w:r>
        <w:rPr>
          <w:rFonts w:ascii="Times New Roman" w:hAnsi="Times New Roman" w:cs="Times New Roman"/>
          <w:b/>
          <w:bCs/>
          <w:color w:val="000000" w:themeColor="text1"/>
          <w:w w:val="99"/>
          <w:highlight w:val="none"/>
          <w14:textFill>
            <w14:solidFill>
              <w14:schemeClr w14:val="tx1"/>
            </w14:solidFill>
          </w14:textFill>
        </w:rPr>
        <w:t xml:space="preserve">        区块内现有工程环评及验收情况表</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824"/>
        <w:gridCol w:w="2265"/>
        <w:gridCol w:w="22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序号</w:t>
            </w:r>
          </w:p>
        </w:tc>
        <w:tc>
          <w:tcPr>
            <w:tcW w:w="3824" w:type="dxa"/>
            <w:tcBorders>
              <w:top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区块内现有</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工程</w:t>
            </w:r>
            <w:r>
              <w:rPr>
                <w:rFonts w:ascii="Times New Roman" w:hAnsi="Times New Roman" w:cs="Times New Roman"/>
                <w:color w:val="000000" w:themeColor="text1"/>
                <w:w w:val="99"/>
                <w:sz w:val="21"/>
                <w:szCs w:val="21"/>
                <w:highlight w:val="none"/>
                <w14:textFill>
                  <w14:solidFill>
                    <w14:schemeClr w14:val="tx1"/>
                  </w14:solidFill>
                </w14:textFill>
              </w:rPr>
              <w:t>项目名称</w:t>
            </w:r>
          </w:p>
        </w:tc>
        <w:tc>
          <w:tcPr>
            <w:tcW w:w="2265" w:type="dxa"/>
            <w:tcBorders>
              <w:top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环评批复</w:t>
            </w:r>
          </w:p>
        </w:tc>
        <w:tc>
          <w:tcPr>
            <w:tcW w:w="2265" w:type="dxa"/>
            <w:tcBorders>
              <w:top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04"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1</w:t>
            </w:r>
          </w:p>
        </w:tc>
        <w:tc>
          <w:tcPr>
            <w:tcW w:w="3824"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葡北油田三断块深部调驱扩大应用现场试验产能建设工程</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226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zh-CN"/>
                <w14:textFill>
                  <w14:solidFill>
                    <w14:schemeClr w14:val="tx1"/>
                  </w14:solidFill>
                </w14:textFill>
              </w:rPr>
              <w:t>庆环审</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201</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8</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20</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号，</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201</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8</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年</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2</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月1日</w:t>
            </w:r>
          </w:p>
        </w:tc>
        <w:tc>
          <w:tcPr>
            <w:tcW w:w="226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完成</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自主验收</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20</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19</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年</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11</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月</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30</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04" w:type="dxa"/>
            <w:tcBorders>
              <w:left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zh-CN"/>
                <w14:textFill>
                  <w14:solidFill>
                    <w14:schemeClr w14:val="tx1"/>
                  </w14:solidFill>
                </w14:textFill>
              </w:rPr>
              <w:t>2</w:t>
            </w:r>
          </w:p>
        </w:tc>
        <w:tc>
          <w:tcPr>
            <w:tcW w:w="3824"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eastAsia"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《葡北</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油田三、四断块葡67-64</w:t>
            </w: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、70-52井区</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深部调驱</w:t>
            </w: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产能建设地面工程环境影响报告表》</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2019</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年</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5</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月</w:t>
            </w:r>
          </w:p>
        </w:tc>
        <w:tc>
          <w:tcPr>
            <w:tcW w:w="2265"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庆环审〔</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2019</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109</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号，</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2019</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年</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6</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月1</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日</w:t>
            </w:r>
          </w:p>
        </w:tc>
        <w:tc>
          <w:tcPr>
            <w:tcW w:w="2265" w:type="dxa"/>
            <w:tcBorders>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完成</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自主验收</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2021</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年</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3</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月</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9</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日</w:t>
            </w:r>
          </w:p>
        </w:tc>
      </w:tr>
    </w:tbl>
    <w:p>
      <w:pPr>
        <w:pStyle w:val="2"/>
        <w:keepNext w:val="0"/>
        <w:keepLines w:val="0"/>
        <w:pageBreakBefore w:val="0"/>
        <w:widowControl w:val="0"/>
        <w:tabs>
          <w:tab w:val="left" w:pos="4154"/>
          <w:tab w:val="center" w:pos="8305"/>
          <w:tab w:val="clear" w:pos="3480"/>
        </w:tabs>
        <w:kinsoku/>
        <w:wordWrap/>
        <w:overflowPunct/>
        <w:topLinePunct w:val="0"/>
        <w:autoSpaceDE w:val="0"/>
        <w:autoSpaceDN w:val="0"/>
        <w:bidi w:val="0"/>
        <w:adjustRightInd/>
        <w:snapToGrid/>
        <w:spacing w:before="60" w:beforeLines="0" w:after="60" w:line="440" w:lineRule="exact"/>
        <w:jc w:val="both"/>
        <w:textAlignment w:val="auto"/>
        <w:outlineLvl w:val="2"/>
        <w:rPr>
          <w:rFonts w:hint="eastAsia" w:ascii="Times New Roman" w:hAnsi="Times New Roman" w:cs="Times New Roman" w:eastAsiaTheme="minorEastAsia"/>
          <w:b/>
          <w:bCs/>
          <w:color w:val="000000" w:themeColor="text1"/>
          <w:w w:val="99"/>
          <w:kern w:val="2"/>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w w:val="99"/>
          <w:kern w:val="2"/>
          <w:sz w:val="24"/>
          <w:szCs w:val="24"/>
          <w:highlight w:val="none"/>
          <w:lang w:val="en-US" w:eastAsia="zh-CN" w:bidi="ar-SA"/>
          <w14:textFill>
            <w14:solidFill>
              <w14:schemeClr w14:val="tx1"/>
            </w14:solidFill>
          </w14:textFill>
        </w:rPr>
        <w:t>3.2.3 现有区块开发环保措施和效果回顾调查</w:t>
      </w:r>
    </w:p>
    <w:p>
      <w:pPr>
        <w:spacing w:line="440" w:lineRule="exact"/>
        <w:ind w:firstLine="480"/>
        <w:rPr>
          <w:color w:val="000000" w:themeColor="text1"/>
          <w:w w:val="99"/>
          <w:sz w:val="24"/>
          <w:highlight w:val="none"/>
          <w14:textFill>
            <w14:solidFill>
              <w14:schemeClr w14:val="tx1"/>
            </w14:solidFill>
          </w14:textFill>
        </w:rPr>
      </w:pPr>
      <w:r>
        <w:rPr>
          <w:rFonts w:hint="eastAsia"/>
          <w:color w:val="000000" w:themeColor="text1"/>
          <w:w w:val="99"/>
          <w:sz w:val="24"/>
          <w:highlight w:val="none"/>
          <w14:textFill>
            <w14:solidFill>
              <w14:schemeClr w14:val="tx1"/>
            </w14:solidFill>
          </w14:textFill>
        </w:rPr>
        <w:t>通过</w:t>
      </w:r>
      <w:r>
        <w:rPr>
          <w:color w:val="000000" w:themeColor="text1"/>
          <w:w w:val="99"/>
          <w:sz w:val="24"/>
          <w:highlight w:val="none"/>
          <w14:textFill>
            <w14:solidFill>
              <w14:schemeClr w14:val="tx1"/>
            </w14:solidFill>
          </w14:textFill>
        </w:rPr>
        <w:t>对本项目区块现场调查、现状监测以及查阅</w:t>
      </w:r>
      <w:r>
        <w:rPr>
          <w:bCs/>
          <w:color w:val="000000" w:themeColor="text1"/>
          <w:w w:val="99"/>
          <w:sz w:val="24"/>
          <w:highlight w:val="none"/>
          <w:lang w:val="en-US"/>
          <w14:textFill>
            <w14:solidFill>
              <w14:schemeClr w14:val="tx1"/>
            </w14:solidFill>
          </w14:textFill>
        </w:rPr>
        <w:t>《</w:t>
      </w:r>
      <w:r>
        <w:rPr>
          <w:rFonts w:hint="eastAsia"/>
          <w:bCs/>
          <w:color w:val="000000" w:themeColor="text1"/>
          <w:w w:val="99"/>
          <w:sz w:val="24"/>
          <w:highlight w:val="none"/>
          <w:lang w:val="en-US"/>
          <w14:textFill>
            <w14:solidFill>
              <w14:schemeClr w14:val="tx1"/>
            </w14:solidFill>
          </w14:textFill>
        </w:rPr>
        <w:t>葡北</w:t>
      </w:r>
      <w:r>
        <w:rPr>
          <w:bCs/>
          <w:color w:val="000000" w:themeColor="text1"/>
          <w:w w:val="99"/>
          <w:sz w:val="24"/>
          <w:highlight w:val="none"/>
          <w:lang w:val="en-US"/>
          <w14:textFill>
            <w14:solidFill>
              <w14:schemeClr w14:val="tx1"/>
            </w14:solidFill>
          </w14:textFill>
        </w:rPr>
        <w:t>油田三、四断块葡</w:t>
      </w:r>
      <w:r>
        <w:rPr>
          <w:rFonts w:ascii="Times New Roman" w:hAnsi="Times New Roman" w:cs="Times New Roman"/>
          <w:bCs/>
          <w:color w:val="000000" w:themeColor="text1"/>
          <w:w w:val="99"/>
          <w:sz w:val="24"/>
          <w:highlight w:val="none"/>
          <w:lang w:val="en-US"/>
          <w14:textFill>
            <w14:solidFill>
              <w14:schemeClr w14:val="tx1"/>
            </w14:solidFill>
          </w14:textFill>
        </w:rPr>
        <w:t>67-64、70-52井</w:t>
      </w:r>
      <w:r>
        <w:rPr>
          <w:rFonts w:hint="eastAsia"/>
          <w:bCs/>
          <w:color w:val="000000" w:themeColor="text1"/>
          <w:w w:val="99"/>
          <w:sz w:val="24"/>
          <w:highlight w:val="none"/>
          <w:lang w:val="en-US"/>
          <w14:textFill>
            <w14:solidFill>
              <w14:schemeClr w14:val="tx1"/>
            </w14:solidFill>
          </w14:textFill>
        </w:rPr>
        <w:t>区</w:t>
      </w:r>
      <w:r>
        <w:rPr>
          <w:bCs/>
          <w:color w:val="000000" w:themeColor="text1"/>
          <w:w w:val="99"/>
          <w:sz w:val="24"/>
          <w:highlight w:val="none"/>
          <w:lang w:val="en-US"/>
          <w14:textFill>
            <w14:solidFill>
              <w14:schemeClr w14:val="tx1"/>
            </w14:solidFill>
          </w14:textFill>
        </w:rPr>
        <w:t>深部调驱</w:t>
      </w:r>
      <w:r>
        <w:rPr>
          <w:rFonts w:hint="eastAsia"/>
          <w:bCs/>
          <w:color w:val="000000" w:themeColor="text1"/>
          <w:w w:val="99"/>
          <w:sz w:val="24"/>
          <w:highlight w:val="none"/>
          <w:lang w:val="en-US"/>
          <w14:textFill>
            <w14:solidFill>
              <w14:schemeClr w14:val="tx1"/>
            </w14:solidFill>
          </w14:textFill>
        </w:rPr>
        <w:t>产能建设地面工程竣工环境保护</w:t>
      </w:r>
      <w:r>
        <w:rPr>
          <w:bCs/>
          <w:color w:val="000000" w:themeColor="text1"/>
          <w:w w:val="99"/>
          <w:sz w:val="24"/>
          <w:highlight w:val="none"/>
          <w:lang w:val="en-US"/>
          <w14:textFill>
            <w14:solidFill>
              <w14:schemeClr w14:val="tx1"/>
            </w14:solidFill>
          </w14:textFill>
        </w:rPr>
        <w:t>验收调查</w:t>
      </w:r>
      <w:r>
        <w:rPr>
          <w:rFonts w:hint="eastAsia"/>
          <w:bCs/>
          <w:color w:val="000000" w:themeColor="text1"/>
          <w:w w:val="99"/>
          <w:sz w:val="24"/>
          <w:highlight w:val="none"/>
          <w:lang w:val="en-US"/>
          <w14:textFill>
            <w14:solidFill>
              <w14:schemeClr w14:val="tx1"/>
            </w14:solidFill>
          </w14:textFill>
        </w:rPr>
        <w:t>表</w:t>
      </w:r>
      <w:r>
        <w:rPr>
          <w:bCs/>
          <w:color w:val="000000" w:themeColor="text1"/>
          <w:w w:val="99"/>
          <w:sz w:val="24"/>
          <w:highlight w:val="none"/>
          <w:lang w:val="en-US"/>
          <w14:textFill>
            <w14:solidFill>
              <w14:schemeClr w14:val="tx1"/>
            </w14:solidFill>
          </w14:textFill>
        </w:rPr>
        <w:t>》</w:t>
      </w:r>
      <w:r>
        <w:rPr>
          <w:rFonts w:hint="eastAsia"/>
          <w:bCs/>
          <w:color w:val="000000" w:themeColor="text1"/>
          <w:w w:val="99"/>
          <w:sz w:val="24"/>
          <w:highlight w:val="none"/>
          <w:lang w:val="en-US" w:eastAsia="zh-CN"/>
          <w14:textFill>
            <w14:solidFill>
              <w14:schemeClr w14:val="tx1"/>
            </w14:solidFill>
          </w14:textFill>
        </w:rPr>
        <w:t>、</w:t>
      </w:r>
      <w:r>
        <w:rPr>
          <w:bCs/>
          <w:color w:val="000000" w:themeColor="text1"/>
          <w:w w:val="99"/>
          <w:sz w:val="24"/>
          <w:highlight w:val="none"/>
          <w:lang w:val="en-US"/>
          <w14:textFill>
            <w14:solidFill>
              <w14:schemeClr w14:val="tx1"/>
            </w14:solidFill>
          </w14:textFill>
        </w:rPr>
        <w:t>《</w:t>
      </w:r>
      <w:r>
        <w:rPr>
          <w:rFonts w:hint="default"/>
          <w:bCs/>
          <w:color w:val="000000" w:themeColor="text1"/>
          <w:w w:val="99"/>
          <w:sz w:val="24"/>
          <w:highlight w:val="none"/>
          <w:lang w:val="en-US" w:eastAsia="zh-CN"/>
          <w14:textFill>
            <w14:solidFill>
              <w14:schemeClr w14:val="tx1"/>
            </w14:solidFill>
          </w14:textFill>
        </w:rPr>
        <w:t>葡北油田三断块深部调驱扩大应用现场试验产能建设工程</w:t>
      </w:r>
      <w:r>
        <w:rPr>
          <w:rFonts w:hint="eastAsia"/>
          <w:bCs/>
          <w:color w:val="000000" w:themeColor="text1"/>
          <w:w w:val="99"/>
          <w:sz w:val="24"/>
          <w:highlight w:val="none"/>
          <w:lang w:val="en-US"/>
          <w14:textFill>
            <w14:solidFill>
              <w14:schemeClr w14:val="tx1"/>
            </w14:solidFill>
          </w14:textFill>
        </w:rPr>
        <w:t>竣工环境保护验收调查表</w:t>
      </w:r>
      <w:r>
        <w:rPr>
          <w:bCs/>
          <w:color w:val="000000" w:themeColor="text1"/>
          <w:w w:val="99"/>
          <w:sz w:val="24"/>
          <w:highlight w:val="none"/>
          <w:lang w:val="en-US"/>
          <w14:textFill>
            <w14:solidFill>
              <w14:schemeClr w14:val="tx1"/>
            </w14:solidFill>
          </w14:textFill>
        </w:rPr>
        <w:t>》</w:t>
      </w:r>
      <w:r>
        <w:rPr>
          <w:color w:val="000000" w:themeColor="text1"/>
          <w:w w:val="99"/>
          <w:sz w:val="24"/>
          <w:highlight w:val="none"/>
          <w14:textFill>
            <w14:solidFill>
              <w14:schemeClr w14:val="tx1"/>
            </w14:solidFill>
          </w14:textFill>
        </w:rPr>
        <w:t>可知：</w:t>
      </w:r>
    </w:p>
    <w:p>
      <w:pPr>
        <w:adjustRightInd w:val="0"/>
        <w:spacing w:line="440" w:lineRule="exact"/>
        <w:ind w:firstLine="480"/>
        <w:rPr>
          <w:rFonts w:ascii="Times New Roman" w:hAnsi="Times New Roman" w:cs="Times New Roman"/>
          <w:bCs/>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sz w:val="24"/>
          <w:szCs w:val="24"/>
          <w:highlight w:val="none"/>
          <w14:textFill>
            <w14:solidFill>
              <w14:schemeClr w14:val="tx1"/>
            </w14:solidFill>
          </w14:textFill>
        </w:rPr>
        <w:t>（1）废气污染防治措施调查结论</w:t>
      </w:r>
    </w:p>
    <w:p>
      <w:pPr>
        <w:spacing w:line="440" w:lineRule="exact"/>
        <w:jc w:val="both"/>
        <w:rPr>
          <w:rFonts w:ascii="Times New Roman" w:hAnsi="Times New Roman" w:cs="Times New Roman"/>
          <w:color w:val="000000" w:themeColor="text1"/>
          <w:w w:val="99"/>
          <w:sz w:val="24"/>
          <w:highlight w:val="none"/>
          <w14:textFill>
            <w14:solidFill>
              <w14:schemeClr w14:val="tx1"/>
            </w14:solidFill>
          </w14:textFill>
        </w:rPr>
      </w:pPr>
      <w:r>
        <w:rPr>
          <w:rFonts w:ascii="Times New Roman" w:hAnsi="Times New Roman" w:cs="Times New Roman"/>
          <w:color w:val="000000" w:themeColor="text1"/>
          <w:w w:val="99"/>
          <w:highlight w:val="none"/>
          <w14:textFill>
            <w14:solidFill>
              <w14:schemeClr w14:val="tx1"/>
            </w14:solidFill>
          </w14:textFill>
        </w:rPr>
        <w:t xml:space="preserve">  </w:t>
      </w:r>
      <w:r>
        <w:rPr>
          <w:rFonts w:ascii="Times New Roman" w:hAnsi="Times New Roman" w:cs="Times New Roman"/>
          <w:color w:val="000000" w:themeColor="text1"/>
          <w:w w:val="99"/>
          <w:sz w:val="24"/>
          <w:highlight w:val="none"/>
          <w14:textFill>
            <w14:solidFill>
              <w14:schemeClr w14:val="tx1"/>
            </w14:solidFill>
          </w14:textFill>
        </w:rPr>
        <w:t xml:space="preserve">      油田生产采用</w:t>
      </w:r>
      <w:r>
        <w:rPr>
          <w:rFonts w:hint="eastAsia" w:ascii="Times New Roman" w:hAnsi="Times New Roman" w:cs="Times New Roman"/>
          <w:color w:val="000000" w:themeColor="text1"/>
          <w:w w:val="99"/>
          <w:sz w:val="24"/>
          <w:highlight w:val="none"/>
          <w14:textFill>
            <w14:solidFill>
              <w14:schemeClr w14:val="tx1"/>
            </w14:solidFill>
          </w14:textFill>
        </w:rPr>
        <w:t>管道密闭</w:t>
      </w:r>
      <w:r>
        <w:rPr>
          <w:rFonts w:ascii="Times New Roman" w:hAnsi="Times New Roman" w:cs="Times New Roman"/>
          <w:color w:val="000000" w:themeColor="text1"/>
          <w:w w:val="99"/>
          <w:sz w:val="24"/>
          <w:highlight w:val="none"/>
          <w14:textFill>
            <w14:solidFill>
              <w14:schemeClr w14:val="tx1"/>
            </w14:solidFill>
          </w14:textFill>
        </w:rPr>
        <w:t>集输工艺，井口全部密闭，设备阀门进行密封、防腐</w:t>
      </w:r>
      <w:r>
        <w:rPr>
          <w:rFonts w:hint="eastAsia" w:ascii="Times New Roman" w:hAnsi="Times New Roman" w:cs="Times New Roman"/>
          <w:color w:val="000000" w:themeColor="text1"/>
          <w:w w:val="99"/>
          <w:sz w:val="24"/>
          <w:highlight w:val="none"/>
          <w14:textFill>
            <w14:solidFill>
              <w14:schemeClr w14:val="tx1"/>
            </w14:solidFill>
          </w14:textFill>
        </w:rPr>
        <w:t>处理</w:t>
      </w:r>
      <w:r>
        <w:rPr>
          <w:rFonts w:ascii="Times New Roman" w:hAnsi="Times New Roman" w:cs="Times New Roman"/>
          <w:color w:val="000000" w:themeColor="text1"/>
          <w:w w:val="99"/>
          <w:sz w:val="24"/>
          <w:highlight w:val="none"/>
          <w14:textFill>
            <w14:solidFill>
              <w14:schemeClr w14:val="tx1"/>
            </w14:solidFill>
          </w14:textFill>
        </w:rPr>
        <w:t>，确保了特征污染物非甲烷总烃挥发量将至最低；定期对设备和管道进行</w:t>
      </w:r>
      <w:r>
        <w:rPr>
          <w:rFonts w:hint="eastAsia" w:ascii="Times New Roman" w:hAnsi="Times New Roman" w:cs="Times New Roman"/>
          <w:color w:val="000000" w:themeColor="text1"/>
          <w:w w:val="99"/>
          <w:sz w:val="24"/>
          <w:highlight w:val="none"/>
          <w14:textFill>
            <w14:solidFill>
              <w14:schemeClr w14:val="tx1"/>
            </w14:solidFill>
          </w14:textFill>
        </w:rPr>
        <w:t>检查</w:t>
      </w:r>
      <w:r>
        <w:rPr>
          <w:rFonts w:ascii="Times New Roman" w:hAnsi="Times New Roman" w:cs="Times New Roman"/>
          <w:color w:val="000000" w:themeColor="text1"/>
          <w:w w:val="99"/>
          <w:sz w:val="24"/>
          <w:highlight w:val="none"/>
          <w14:textFill>
            <w14:solidFill>
              <w14:schemeClr w14:val="tx1"/>
            </w14:solidFill>
          </w14:textFill>
        </w:rPr>
        <w:t>和</w:t>
      </w:r>
      <w:r>
        <w:rPr>
          <w:rFonts w:hint="eastAsia" w:ascii="Times New Roman" w:hAnsi="Times New Roman" w:cs="Times New Roman"/>
          <w:color w:val="000000" w:themeColor="text1"/>
          <w:w w:val="99"/>
          <w:sz w:val="24"/>
          <w:highlight w:val="none"/>
          <w14:textFill>
            <w14:solidFill>
              <w14:schemeClr w14:val="tx1"/>
            </w14:solidFill>
          </w14:textFill>
        </w:rPr>
        <w:t>维护</w:t>
      </w:r>
      <w:r>
        <w:rPr>
          <w:rFonts w:ascii="Times New Roman" w:hAnsi="Times New Roman" w:cs="Times New Roman"/>
          <w:color w:val="000000" w:themeColor="text1"/>
          <w:w w:val="99"/>
          <w:sz w:val="24"/>
          <w:highlight w:val="none"/>
          <w14:textFill>
            <w14:solidFill>
              <w14:schemeClr w14:val="tx1"/>
            </w14:solidFill>
          </w14:textFill>
        </w:rPr>
        <w:t>，</w:t>
      </w:r>
      <w:r>
        <w:rPr>
          <w:rFonts w:hint="eastAsia" w:ascii="Times New Roman" w:hAnsi="Times New Roman" w:cs="Times New Roman"/>
          <w:color w:val="000000" w:themeColor="text1"/>
          <w:w w:val="99"/>
          <w:sz w:val="24"/>
          <w:highlight w:val="none"/>
          <w14:textFill>
            <w14:solidFill>
              <w14:schemeClr w14:val="tx1"/>
            </w14:solidFill>
          </w14:textFill>
        </w:rPr>
        <w:t>依托</w:t>
      </w:r>
      <w:r>
        <w:rPr>
          <w:rFonts w:ascii="Times New Roman" w:hAnsi="Times New Roman" w:cs="Times New Roman"/>
          <w:color w:val="000000" w:themeColor="text1"/>
          <w:w w:val="99"/>
          <w:sz w:val="24"/>
          <w:highlight w:val="none"/>
          <w14:textFill>
            <w14:solidFill>
              <w14:schemeClr w14:val="tx1"/>
            </w14:solidFill>
          </w14:textFill>
        </w:rPr>
        <w:t>场站采用了清洁能源</w:t>
      </w:r>
      <w:r>
        <w:rPr>
          <w:rFonts w:hint="eastAsia" w:ascii="Times New Roman" w:hAnsi="Times New Roman" w:cs="Times New Roman"/>
          <w:color w:val="000000" w:themeColor="text1"/>
          <w:w w:val="99"/>
          <w:sz w:val="24"/>
          <w:highlight w:val="none"/>
          <w14:textFill>
            <w14:solidFill>
              <w14:schemeClr w14:val="tx1"/>
            </w14:solidFill>
          </w14:textFill>
        </w:rPr>
        <w:t>（天然气）</w:t>
      </w:r>
      <w:r>
        <w:rPr>
          <w:rFonts w:ascii="Times New Roman" w:hAnsi="Times New Roman" w:cs="Times New Roman"/>
          <w:color w:val="000000" w:themeColor="text1"/>
          <w:w w:val="99"/>
          <w:sz w:val="24"/>
          <w:highlight w:val="none"/>
          <w14:textFill>
            <w14:solidFill>
              <w14:schemeClr w14:val="tx1"/>
            </w14:solidFill>
          </w14:textFill>
        </w:rPr>
        <w:t>作为燃料。井场、场站无组织排放的非甲烷总烃满足《大气污染物综合排放标准》 (GB16397-1996)中表 2 无组织排放限值要求；</w:t>
      </w:r>
      <w:r>
        <w:rPr>
          <w:rFonts w:hint="eastAsia" w:ascii="Times New Roman" w:hAnsi="Times New Roman" w:cs="Times New Roman"/>
          <w:color w:val="000000" w:themeColor="text1"/>
          <w:w w:val="99"/>
          <w:sz w:val="24"/>
          <w:highlight w:val="none"/>
          <w14:textFill>
            <w14:solidFill>
              <w14:schemeClr w14:val="tx1"/>
            </w14:solidFill>
          </w14:textFill>
        </w:rPr>
        <w:t>区块内</w:t>
      </w:r>
      <w:r>
        <w:rPr>
          <w:rFonts w:hint="eastAsia" w:ascii="Times New Roman" w:hAnsi="Times New Roman" w:cs="Times New Roman"/>
          <w:color w:val="000000" w:themeColor="text1"/>
          <w:w w:val="99"/>
          <w:sz w:val="24"/>
          <w:highlight w:val="none"/>
          <w:lang w:eastAsia="zh-CN"/>
          <w14:textFill>
            <w14:solidFill>
              <w14:schemeClr w14:val="tx1"/>
            </w14:solidFill>
          </w14:textFill>
        </w:rPr>
        <w:t>葡北9#转油站</w:t>
      </w:r>
      <w:r>
        <w:rPr>
          <w:rFonts w:hint="eastAsia" w:ascii="Times New Roman" w:hAnsi="Times New Roman" w:cs="Times New Roman"/>
          <w:color w:val="000000" w:themeColor="text1"/>
          <w:w w:val="99"/>
          <w:sz w:val="24"/>
          <w:highlight w:val="none"/>
          <w:lang w:val="en-US" w:eastAsia="zh-CN"/>
          <w14:textFill>
            <w14:solidFill>
              <w14:schemeClr w14:val="tx1"/>
            </w14:solidFill>
          </w14:textFill>
        </w:rPr>
        <w:t>、</w:t>
      </w:r>
      <w:r>
        <w:rPr>
          <w:rFonts w:hint="eastAsia" w:ascii="Times New Roman" w:hAnsi="Times New Roman" w:cs="Times New Roman"/>
          <w:color w:val="000000" w:themeColor="text1"/>
          <w:w w:val="99"/>
          <w:sz w:val="24"/>
          <w:highlight w:val="none"/>
          <w:lang w:eastAsia="zh-CN"/>
          <w14:textFill>
            <w14:solidFill>
              <w14:schemeClr w14:val="tx1"/>
            </w14:solidFill>
          </w14:textFill>
        </w:rPr>
        <w:t>葡北10#转油站</w:t>
      </w:r>
      <w:r>
        <w:rPr>
          <w:rFonts w:ascii="Times New Roman" w:hAnsi="Times New Roman" w:cs="Times New Roman"/>
          <w:color w:val="000000" w:themeColor="text1"/>
          <w:w w:val="99"/>
          <w:sz w:val="24"/>
          <w:highlight w:val="none"/>
          <w14:textFill>
            <w14:solidFill>
              <w14:schemeClr w14:val="tx1"/>
            </w14:solidFill>
          </w14:textFill>
        </w:rPr>
        <w:t>加热炉均使用油田伴生气作燃料，排放的废气污染物</w:t>
      </w:r>
      <w:r>
        <w:rPr>
          <w:rFonts w:hint="eastAsia" w:ascii="Times New Roman" w:hAnsi="Times New Roman" w:cs="Times New Roman"/>
          <w:color w:val="000000" w:themeColor="text1"/>
          <w:w w:val="99"/>
          <w:sz w:val="24"/>
          <w:highlight w:val="none"/>
          <w14:textFill>
            <w14:solidFill>
              <w14:schemeClr w14:val="tx1"/>
            </w14:solidFill>
          </w14:textFill>
        </w:rPr>
        <w:t>满足</w:t>
      </w:r>
      <w:r>
        <w:rPr>
          <w:rFonts w:ascii="Times New Roman" w:hAnsi="Times New Roman" w:cs="Times New Roman"/>
          <w:color w:val="000000" w:themeColor="text1"/>
          <w:w w:val="99"/>
          <w:sz w:val="24"/>
          <w:highlight w:val="none"/>
          <w14:textFill>
            <w14:solidFill>
              <w14:schemeClr w14:val="tx1"/>
            </w14:solidFill>
          </w14:textFill>
        </w:rPr>
        <w:t>《锅炉大气污染物排放标准》（GB13271-2014）在用燃气锅炉标准</w:t>
      </w:r>
      <w:r>
        <w:rPr>
          <w:rFonts w:hint="eastAsia" w:ascii="Times New Roman" w:hAnsi="Times New Roman" w:cs="Times New Roman"/>
          <w:color w:val="000000" w:themeColor="text1"/>
          <w:w w:val="99"/>
          <w:sz w:val="24"/>
          <w:highlight w:val="none"/>
          <w14:textFill>
            <w14:solidFill>
              <w14:schemeClr w14:val="tx1"/>
            </w14:solidFill>
          </w14:textFill>
        </w:rPr>
        <w:t>。</w:t>
      </w:r>
    </w:p>
    <w:p>
      <w:pPr>
        <w:adjustRightInd w:val="0"/>
        <w:spacing w:line="440" w:lineRule="exact"/>
        <w:ind w:left="110" w:leftChars="50" w:firstLine="355" w:firstLineChars="150"/>
        <w:rPr>
          <w:rFonts w:ascii="Times New Roman" w:hAnsi="Times New Roman" w:cs="Times New Roman"/>
          <w:bCs/>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sz w:val="24"/>
          <w:szCs w:val="24"/>
          <w:highlight w:val="none"/>
          <w14:textFill>
            <w14:solidFill>
              <w14:schemeClr w14:val="tx1"/>
            </w14:solidFill>
          </w14:textFill>
        </w:rPr>
        <w:t>（2）废水污染防治措施调查结论</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74" w:firstLineChars="200"/>
        <w:jc w:val="both"/>
        <w:textAlignment w:val="auto"/>
        <w:rPr>
          <w:rFonts w:ascii="Times New Roman" w:hAnsi="Times New Roman" w:cs="Times New Roman"/>
          <w:bCs/>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sz w:val="24"/>
          <w:szCs w:val="24"/>
          <w:highlight w:val="none"/>
          <w14:textFill>
            <w14:solidFill>
              <w14:schemeClr w14:val="tx1"/>
            </w14:solidFill>
          </w14:textFill>
        </w:rPr>
        <w:t>根据</w:t>
      </w:r>
      <w:r>
        <w:rPr>
          <w:bCs/>
          <w:color w:val="000000" w:themeColor="text1"/>
          <w:w w:val="99"/>
          <w:sz w:val="24"/>
          <w:highlight w:val="none"/>
          <w:lang w:val="en-US"/>
          <w14:textFill>
            <w14:solidFill>
              <w14:schemeClr w14:val="tx1"/>
            </w14:solidFill>
          </w14:textFill>
        </w:rPr>
        <w:t>《</w:t>
      </w:r>
      <w:r>
        <w:rPr>
          <w:rFonts w:hint="default"/>
          <w:bCs/>
          <w:color w:val="000000" w:themeColor="text1"/>
          <w:w w:val="99"/>
          <w:sz w:val="24"/>
          <w:highlight w:val="none"/>
          <w:lang w:val="en-US" w:eastAsia="zh-CN"/>
          <w14:textFill>
            <w14:solidFill>
              <w14:schemeClr w14:val="tx1"/>
            </w14:solidFill>
          </w14:textFill>
        </w:rPr>
        <w:t>葡北油田三断块深部调驱扩大应用现场试验产能建设工程</w:t>
      </w:r>
      <w:r>
        <w:rPr>
          <w:rFonts w:hint="eastAsia"/>
          <w:bCs/>
          <w:color w:val="000000" w:themeColor="text1"/>
          <w:w w:val="99"/>
          <w:sz w:val="24"/>
          <w:highlight w:val="none"/>
          <w:lang w:val="en-US"/>
          <w14:textFill>
            <w14:solidFill>
              <w14:schemeClr w14:val="tx1"/>
            </w14:solidFill>
          </w14:textFill>
        </w:rPr>
        <w:t>竣工环境保护</w:t>
      </w:r>
      <w:r>
        <w:rPr>
          <w:bCs/>
          <w:color w:val="000000" w:themeColor="text1"/>
          <w:w w:val="99"/>
          <w:sz w:val="24"/>
          <w:highlight w:val="none"/>
          <w:lang w:val="en-US"/>
          <w14:textFill>
            <w14:solidFill>
              <w14:schemeClr w14:val="tx1"/>
            </w14:solidFill>
          </w14:textFill>
        </w:rPr>
        <w:t>验收调查</w:t>
      </w:r>
      <w:r>
        <w:rPr>
          <w:rFonts w:hint="eastAsia"/>
          <w:bCs/>
          <w:color w:val="000000" w:themeColor="text1"/>
          <w:w w:val="99"/>
          <w:sz w:val="24"/>
          <w:highlight w:val="none"/>
          <w:lang w:val="en-US"/>
          <w14:textFill>
            <w14:solidFill>
              <w14:schemeClr w14:val="tx1"/>
            </w14:solidFill>
          </w14:textFill>
        </w:rPr>
        <w:t>表</w:t>
      </w:r>
      <w:r>
        <w:rPr>
          <w:bCs/>
          <w:color w:val="000000" w:themeColor="text1"/>
          <w:w w:val="99"/>
          <w:sz w:val="24"/>
          <w:highlight w:val="none"/>
          <w:lang w:val="en-US"/>
          <w14:textFill>
            <w14:solidFill>
              <w14:schemeClr w14:val="tx1"/>
            </w14:solidFill>
          </w14:textFill>
        </w:rPr>
        <w:t>》</w:t>
      </w:r>
      <w:r>
        <w:rPr>
          <w:rFonts w:hint="eastAsia"/>
          <w:bCs/>
          <w:color w:val="000000" w:themeColor="text1"/>
          <w:w w:val="99"/>
          <w:sz w:val="24"/>
          <w:highlight w:val="none"/>
          <w:lang w:val="en-US" w:eastAsia="zh-CN"/>
          <w14:textFill>
            <w14:solidFill>
              <w14:schemeClr w14:val="tx1"/>
            </w14:solidFill>
          </w14:textFill>
        </w:rPr>
        <w:t>监测报告</w:t>
      </w:r>
      <w:r>
        <w:rPr>
          <w:rFonts w:hint="default" w:ascii="Times New Roman" w:hAnsi="Times New Roman" w:cs="Times New Roman"/>
          <w:bCs/>
          <w:color w:val="000000" w:themeColor="text1"/>
          <w:w w:val="99"/>
          <w:sz w:val="24"/>
          <w:highlight w:val="none"/>
          <w:lang w:val="en-US" w:eastAsia="zh-CN"/>
          <w14:textFill>
            <w14:solidFill>
              <w14:schemeClr w14:val="tx1"/>
            </w14:solidFill>
          </w14:textFill>
        </w:rPr>
        <w:t>（大庆中环环境检测评价有限公司，2019年 11月7日—2019年11月8日）</w:t>
      </w:r>
      <w:r>
        <w:rPr>
          <w:rFonts w:hint="default" w:ascii="Times New Roman" w:hAnsi="Times New Roman" w:cs="Times New Roman"/>
          <w:bCs/>
          <w:color w:val="000000" w:themeColor="text1"/>
          <w:w w:val="99"/>
          <w:sz w:val="24"/>
          <w:szCs w:val="24"/>
          <w:highlight w:val="none"/>
          <w14:textFill>
            <w14:solidFill>
              <w14:schemeClr w14:val="tx1"/>
            </w14:solidFill>
          </w14:textFill>
        </w:rPr>
        <w:t>，葡</w:t>
      </w:r>
      <w:r>
        <w:rPr>
          <w:rFonts w:hint="default" w:ascii="Times New Roman" w:hAnsi="Times New Roman" w:cs="Times New Roman"/>
          <w:bCs/>
          <w:color w:val="000000" w:themeColor="text1"/>
          <w:w w:val="99"/>
          <w:sz w:val="24"/>
          <w:szCs w:val="24"/>
          <w:highlight w:val="none"/>
          <w:lang w:eastAsia="zh-CN"/>
          <w14:textFill>
            <w14:solidFill>
              <w14:schemeClr w14:val="tx1"/>
            </w14:solidFill>
          </w14:textFill>
        </w:rPr>
        <w:t>二</w:t>
      </w:r>
      <w:r>
        <w:rPr>
          <w:rFonts w:hint="default" w:ascii="Times New Roman" w:hAnsi="Times New Roman" w:cs="Times New Roman"/>
          <w:bCs/>
          <w:color w:val="000000" w:themeColor="text1"/>
          <w:w w:val="99"/>
          <w:sz w:val="24"/>
          <w:szCs w:val="24"/>
          <w:highlight w:val="none"/>
          <w14:textFill>
            <w14:solidFill>
              <w14:schemeClr w14:val="tx1"/>
            </w14:solidFill>
          </w14:textFill>
        </w:rPr>
        <w:t>联含油</w:t>
      </w:r>
      <w:r>
        <w:rPr>
          <w:rFonts w:hint="eastAsia" w:ascii="Times New Roman" w:hAnsi="Times New Roman" w:cs="Times New Roman"/>
          <w:bCs/>
          <w:color w:val="000000" w:themeColor="text1"/>
          <w:w w:val="99"/>
          <w:sz w:val="24"/>
          <w:szCs w:val="24"/>
          <w:highlight w:val="none"/>
          <w:lang w:eastAsia="zh-CN"/>
          <w14:textFill>
            <w14:solidFill>
              <w14:schemeClr w14:val="tx1"/>
            </w14:solidFill>
          </w14:textFill>
        </w:rPr>
        <w:t>污水</w:t>
      </w:r>
      <w:r>
        <w:rPr>
          <w:rFonts w:hint="eastAsia" w:ascii="Times New Roman" w:hAnsi="Times New Roman" w:cs="Times New Roman"/>
          <w:bCs/>
          <w:color w:val="000000" w:themeColor="text1"/>
          <w:w w:val="99"/>
          <w:sz w:val="24"/>
          <w:szCs w:val="24"/>
          <w:highlight w:val="none"/>
          <w14:textFill>
            <w14:solidFill>
              <w14:schemeClr w14:val="tx1"/>
            </w14:solidFill>
          </w14:textFill>
        </w:rPr>
        <w:t>处理</w:t>
      </w:r>
      <w:r>
        <w:rPr>
          <w:rFonts w:hint="eastAsia" w:ascii="Times New Roman" w:hAnsi="Times New Roman" w:cs="Times New Roman"/>
          <w:bCs/>
          <w:color w:val="000000" w:themeColor="text1"/>
          <w:w w:val="99"/>
          <w:sz w:val="24"/>
          <w:szCs w:val="24"/>
          <w:highlight w:val="none"/>
          <w:lang w:eastAsia="zh-CN"/>
          <w14:textFill>
            <w14:solidFill>
              <w14:schemeClr w14:val="tx1"/>
            </w14:solidFill>
          </w14:textFill>
        </w:rPr>
        <w:t>站处理</w:t>
      </w:r>
      <w:r>
        <w:rPr>
          <w:rFonts w:hint="eastAsia" w:ascii="Times New Roman" w:hAnsi="Times New Roman" w:cs="Times New Roman"/>
          <w:bCs/>
          <w:color w:val="000000" w:themeColor="text1"/>
          <w:w w:val="99"/>
          <w:sz w:val="24"/>
          <w:szCs w:val="24"/>
          <w:highlight w:val="none"/>
          <w14:textFill>
            <w14:solidFill>
              <w14:schemeClr w14:val="tx1"/>
            </w14:solidFill>
          </w14:textFill>
        </w:rPr>
        <w:t>后</w:t>
      </w:r>
      <w:r>
        <w:rPr>
          <w:rFonts w:ascii="Times New Roman" w:hAnsi="Times New Roman" w:cs="Times New Roman"/>
          <w:bCs/>
          <w:color w:val="000000" w:themeColor="text1"/>
          <w:w w:val="99"/>
          <w:sz w:val="24"/>
          <w:szCs w:val="24"/>
          <w:highlight w:val="none"/>
          <w14:textFill>
            <w14:solidFill>
              <w14:schemeClr w14:val="tx1"/>
            </w14:solidFill>
          </w14:textFill>
        </w:rPr>
        <w:t>水质</w:t>
      </w:r>
      <w:r>
        <w:rPr>
          <w:rFonts w:hint="eastAsia" w:ascii="Times New Roman" w:hAnsi="Times New Roman" w:cs="Times New Roman"/>
          <w:bCs/>
          <w:color w:val="000000" w:themeColor="text1"/>
          <w:w w:val="99"/>
          <w:sz w:val="24"/>
          <w:szCs w:val="24"/>
          <w:highlight w:val="none"/>
          <w:lang w:eastAsia="zh-CN"/>
          <w14:textFill>
            <w14:solidFill>
              <w14:schemeClr w14:val="tx1"/>
            </w14:solidFill>
          </w14:textFill>
        </w:rPr>
        <w:t>含油量为</w:t>
      </w:r>
      <w:r>
        <w:rPr>
          <w:rFonts w:hint="eastAsia" w:ascii="Times New Roman" w:hAnsi="Times New Roman" w:cs="Times New Roman"/>
          <w:bCs/>
          <w:color w:val="000000" w:themeColor="text1"/>
          <w:w w:val="99"/>
          <w:sz w:val="24"/>
          <w:szCs w:val="24"/>
          <w:highlight w:val="none"/>
          <w:lang w:val="en-US" w:eastAsia="zh-CN"/>
          <w14:textFill>
            <w14:solidFill>
              <w14:schemeClr w14:val="tx1"/>
            </w14:solidFill>
          </w14:textFill>
        </w:rPr>
        <w:t>2.85mg/~4.05mg/L、悬浮固体含量为2mg/~3mg/L，均</w:t>
      </w:r>
      <w:r>
        <w:rPr>
          <w:rFonts w:ascii="Times New Roman" w:hAnsi="Times New Roman" w:cs="Times New Roman"/>
          <w:bCs/>
          <w:color w:val="000000" w:themeColor="text1"/>
          <w:w w:val="99"/>
          <w:sz w:val="24"/>
          <w:szCs w:val="24"/>
          <w:highlight w:val="none"/>
          <w14:textFill>
            <w14:solidFill>
              <w14:schemeClr w14:val="tx1"/>
            </w14:solidFill>
          </w14:textFill>
        </w:rPr>
        <w:t>可以满足《大庆油田地面工程建设设计规定》（Q/SYDQ0639-2015）中的</w:t>
      </w:r>
      <w:r>
        <w:rPr>
          <w:rFonts w:hint="eastAsia" w:ascii="Times New Roman" w:hAnsi="Times New Roman" w:cs="Times New Roman"/>
          <w:bCs/>
          <w:color w:val="000000" w:themeColor="text1"/>
          <w:w w:val="99"/>
          <w:sz w:val="24"/>
          <w:szCs w:val="24"/>
          <w:highlight w:val="none"/>
          <w14:textFill>
            <w14:solidFill>
              <w14:schemeClr w14:val="tx1"/>
            </w14:solidFill>
          </w14:textFill>
        </w:rPr>
        <w:t>标准</w:t>
      </w:r>
      <w:r>
        <w:rPr>
          <w:rFonts w:ascii="Times New Roman" w:hAnsi="Times New Roman" w:cs="Times New Roman"/>
          <w:bCs/>
          <w:color w:val="000000" w:themeColor="text1"/>
          <w:w w:val="99"/>
          <w:sz w:val="24"/>
          <w:szCs w:val="24"/>
          <w:highlight w:val="none"/>
          <w14:textFill>
            <w14:solidFill>
              <w14:schemeClr w14:val="tx1"/>
            </w14:solidFill>
          </w14:textFill>
        </w:rPr>
        <w:t>要求。</w:t>
      </w:r>
    </w:p>
    <w:p>
      <w:pPr>
        <w:adjustRightInd w:val="0"/>
        <w:spacing w:line="440" w:lineRule="exact"/>
        <w:rPr>
          <w:rFonts w:ascii="Times New Roman" w:hAnsi="Times New Roman" w:cs="Times New Roman"/>
          <w:bCs/>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sz w:val="24"/>
          <w:szCs w:val="24"/>
          <w:highlight w:val="none"/>
          <w14:textFill>
            <w14:solidFill>
              <w14:schemeClr w14:val="tx1"/>
            </w14:solidFill>
          </w14:textFill>
        </w:rPr>
        <w:t xml:space="preserve">        （3）噪声污染防治措施调查结论</w:t>
      </w:r>
    </w:p>
    <w:p>
      <w:pPr>
        <w:spacing w:line="440" w:lineRule="exact"/>
        <w:ind w:firstLine="474" w:firstLineChars="200"/>
        <w:rPr>
          <w:rFonts w:ascii="Times New Roman" w:hAnsi="Times New Roman" w:cs="Times New Roman"/>
          <w:bCs/>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sz w:val="24"/>
          <w:szCs w:val="24"/>
          <w:highlight w:val="none"/>
          <w14:textFill>
            <w14:solidFill>
              <w14:schemeClr w14:val="tx1"/>
            </w14:solidFill>
          </w14:textFill>
        </w:rPr>
        <w:t>在开发建设过程中，尽可能地选用了低噪声设备，并对噪声较大的设备统一布置在室内，并加装了隔声门窗，</w:t>
      </w:r>
      <w:r>
        <w:rPr>
          <w:rFonts w:hint="eastAsia" w:ascii="Times New Roman" w:hAnsi="Times New Roman" w:cs="Times New Roman"/>
          <w:bCs/>
          <w:color w:val="000000" w:themeColor="text1"/>
          <w:w w:val="99"/>
          <w:sz w:val="24"/>
          <w:szCs w:val="24"/>
          <w:highlight w:val="none"/>
          <w14:textFill>
            <w14:solidFill>
              <w14:schemeClr w14:val="tx1"/>
            </w14:solidFill>
          </w14:textFill>
        </w:rPr>
        <w:t>对设备</w:t>
      </w:r>
      <w:r>
        <w:rPr>
          <w:rFonts w:ascii="Times New Roman" w:hAnsi="Times New Roman" w:cs="Times New Roman"/>
          <w:bCs/>
          <w:color w:val="000000" w:themeColor="text1"/>
          <w:w w:val="99"/>
          <w:sz w:val="24"/>
          <w:szCs w:val="24"/>
          <w:highlight w:val="none"/>
          <w14:textFill>
            <w14:solidFill>
              <w14:schemeClr w14:val="tx1"/>
            </w14:solidFill>
          </w14:textFill>
        </w:rPr>
        <w:t>进行维护保养，保证设备保持在最佳运行状态，降低噪声源</w:t>
      </w:r>
      <w:r>
        <w:rPr>
          <w:rFonts w:hint="eastAsia" w:ascii="Times New Roman" w:hAnsi="Times New Roman" w:cs="Times New Roman"/>
          <w:bCs/>
          <w:color w:val="000000" w:themeColor="text1"/>
          <w:w w:val="99"/>
          <w:sz w:val="24"/>
          <w:szCs w:val="24"/>
          <w:highlight w:val="none"/>
          <w14:textFill>
            <w14:solidFill>
              <w14:schemeClr w14:val="tx1"/>
            </w14:solidFill>
          </w14:textFill>
        </w:rPr>
        <w:t>强度</w:t>
      </w:r>
      <w:r>
        <w:rPr>
          <w:rFonts w:ascii="Times New Roman" w:hAnsi="Times New Roman" w:cs="Times New Roman"/>
          <w:bCs/>
          <w:color w:val="000000" w:themeColor="text1"/>
          <w:w w:val="99"/>
          <w:sz w:val="24"/>
          <w:szCs w:val="24"/>
          <w:highlight w:val="none"/>
          <w14:textFill>
            <w14:solidFill>
              <w14:schemeClr w14:val="tx1"/>
            </w14:solidFill>
          </w14:textFill>
        </w:rPr>
        <w:t>，噪声对外界影响较小。</w:t>
      </w:r>
      <w:r>
        <w:rPr>
          <w:rFonts w:hint="eastAsia" w:ascii="Times New Roman" w:hAnsi="Times New Roman" w:cs="Times New Roman"/>
          <w:bCs/>
          <w:color w:val="000000" w:themeColor="text1"/>
          <w:w w:val="99"/>
          <w:sz w:val="24"/>
          <w:szCs w:val="24"/>
          <w:highlight w:val="none"/>
          <w14:textFill>
            <w14:solidFill>
              <w14:schemeClr w14:val="tx1"/>
            </w14:solidFill>
          </w14:textFill>
        </w:rPr>
        <w:t>根据</w:t>
      </w:r>
      <w:r>
        <w:rPr>
          <w:bCs/>
          <w:color w:val="000000" w:themeColor="text1"/>
          <w:w w:val="99"/>
          <w:sz w:val="24"/>
          <w:highlight w:val="none"/>
          <w:lang w:val="en-US"/>
          <w14:textFill>
            <w14:solidFill>
              <w14:schemeClr w14:val="tx1"/>
            </w14:solidFill>
          </w14:textFill>
        </w:rPr>
        <w:t>《</w:t>
      </w:r>
      <w:r>
        <w:rPr>
          <w:rFonts w:hint="default"/>
          <w:bCs/>
          <w:color w:val="000000" w:themeColor="text1"/>
          <w:w w:val="99"/>
          <w:sz w:val="24"/>
          <w:highlight w:val="none"/>
          <w:lang w:val="en-US" w:eastAsia="zh-CN"/>
          <w14:textFill>
            <w14:solidFill>
              <w14:schemeClr w14:val="tx1"/>
            </w14:solidFill>
          </w14:textFill>
        </w:rPr>
        <w:t>葡北油田三断块深部调驱扩大应用现场试验产能建设工程</w:t>
      </w:r>
      <w:r>
        <w:rPr>
          <w:rFonts w:hint="eastAsia"/>
          <w:bCs/>
          <w:color w:val="000000" w:themeColor="text1"/>
          <w:w w:val="99"/>
          <w:sz w:val="24"/>
          <w:highlight w:val="none"/>
          <w:lang w:val="en-US"/>
          <w14:textFill>
            <w14:solidFill>
              <w14:schemeClr w14:val="tx1"/>
            </w14:solidFill>
          </w14:textFill>
        </w:rPr>
        <w:t>竣工环境保护验收调查表</w:t>
      </w:r>
      <w:r>
        <w:rPr>
          <w:bCs/>
          <w:color w:val="000000" w:themeColor="text1"/>
          <w:w w:val="99"/>
          <w:sz w:val="24"/>
          <w:highlight w:val="none"/>
          <w:lang w:val="en-US"/>
          <w14:textFill>
            <w14:solidFill>
              <w14:schemeClr w14:val="tx1"/>
            </w14:solidFill>
          </w14:textFill>
        </w:rPr>
        <w:t>》</w:t>
      </w:r>
      <w:r>
        <w:rPr>
          <w:rFonts w:hint="eastAsia"/>
          <w:bCs/>
          <w:color w:val="000000" w:themeColor="text1"/>
          <w:w w:val="99"/>
          <w:sz w:val="24"/>
          <w:highlight w:val="none"/>
          <w:lang w:val="en-US" w:eastAsia="zh-CN"/>
          <w14:textFill>
            <w14:solidFill>
              <w14:schemeClr w14:val="tx1"/>
            </w14:solidFill>
          </w14:textFill>
        </w:rPr>
        <w:t>监测报告</w:t>
      </w:r>
      <w:r>
        <w:rPr>
          <w:rFonts w:hint="default" w:ascii="Times New Roman" w:hAnsi="Times New Roman" w:cs="Times New Roman"/>
          <w:bCs/>
          <w:color w:val="000000" w:themeColor="text1"/>
          <w:w w:val="99"/>
          <w:sz w:val="24"/>
          <w:highlight w:val="none"/>
          <w:lang w:val="en-US" w:eastAsia="zh-CN"/>
          <w14:textFill>
            <w14:solidFill>
              <w14:schemeClr w14:val="tx1"/>
            </w14:solidFill>
          </w14:textFill>
        </w:rPr>
        <w:t>（大庆中环环境检测评价有限公司，2019年 11月7日—2019年11月8日）</w:t>
      </w: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ascii="Times New Roman" w:hAnsi="Times New Roman" w:cs="Times New Roman"/>
          <w:bCs/>
          <w:color w:val="000000" w:themeColor="text1"/>
          <w:w w:val="99"/>
          <w:sz w:val="24"/>
          <w:szCs w:val="20"/>
          <w:highlight w:val="none"/>
          <w:lang w:val="en-US" w:eastAsia="zh-CN"/>
          <w14:textFill>
            <w14:solidFill>
              <w14:schemeClr w14:val="tx1"/>
            </w14:solidFill>
          </w14:textFill>
        </w:rPr>
        <w:t xml:space="preserve">葡北油田三断块深部调驱扩大应用现场试 </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验产能建设工程监测报告</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中监测</w:t>
      </w:r>
      <w:r>
        <w:rPr>
          <w:rFonts w:ascii="Times New Roman" w:hAnsi="Times New Roman" w:cs="Times New Roman"/>
          <w:bCs/>
          <w:color w:val="000000" w:themeColor="text1"/>
          <w:w w:val="99"/>
          <w:sz w:val="24"/>
          <w:szCs w:val="20"/>
          <w:highlight w:val="none"/>
          <w:lang w:val="en-US"/>
          <w14:textFill>
            <w14:solidFill>
              <w14:schemeClr w14:val="tx1"/>
            </w14:solidFill>
          </w14:textFill>
        </w:rPr>
        <w:t>数据</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大庆中环评价检测有限公司</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监测时间</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20</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19</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年</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11</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月</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7</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8</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hint="eastAsia" w:ascii="Times New Roman" w:hAnsi="Times New Roman" w:cs="Times New Roman"/>
          <w:bCs/>
          <w:color w:val="000000" w:themeColor="text1"/>
          <w:w w:val="99"/>
          <w:sz w:val="24"/>
          <w:szCs w:val="24"/>
          <w:highlight w:val="none"/>
          <w:lang w:val="en-US" w:eastAsia="zh-CN"/>
          <w14:textFill>
            <w14:solidFill>
              <w14:schemeClr w14:val="tx1"/>
            </w14:solidFill>
          </w14:textFill>
        </w:rPr>
        <w:t>《</w:t>
      </w:r>
      <w:r>
        <w:rPr>
          <w:rFonts w:hint="eastAsia" w:ascii="宋体" w:hAnsi="宋体" w:cs="宋体"/>
          <w:color w:val="000000" w:themeColor="text1"/>
          <w:spacing w:val="0"/>
          <w:w w:val="99"/>
          <w:kern w:val="21"/>
          <w:sz w:val="24"/>
          <w:szCs w:val="24"/>
          <w:highlight w:val="none"/>
          <w:lang w:eastAsia="zh-CN"/>
          <w14:textFill>
            <w14:solidFill>
              <w14:schemeClr w14:val="tx1"/>
            </w14:solidFill>
          </w14:textFill>
        </w:rPr>
        <w:t>第七采油厂葡萄花含油污泥处理站污油处理工程</w:t>
      </w:r>
      <w:r>
        <w:rPr>
          <w:rFonts w:hint="eastAsia" w:cs="宋体"/>
          <w:color w:val="000000" w:themeColor="text1"/>
          <w:spacing w:val="0"/>
          <w:w w:val="99"/>
          <w:kern w:val="21"/>
          <w:sz w:val="24"/>
          <w:szCs w:val="24"/>
          <w:highlight w:val="none"/>
          <w:lang w:eastAsia="zh-CN"/>
          <w14:textFill>
            <w14:solidFill>
              <w14:schemeClr w14:val="tx1"/>
            </w14:solidFill>
          </w14:textFill>
        </w:rPr>
        <w:t>监测报告</w:t>
      </w:r>
      <w:r>
        <w:rPr>
          <w:rFonts w:hint="eastAsia" w:ascii="Times New Roman" w:hAnsi="Times New Roman" w:cs="Times New Roman"/>
          <w:bCs/>
          <w:color w:val="000000" w:themeColor="text1"/>
          <w:w w:val="99"/>
          <w:sz w:val="24"/>
          <w:szCs w:val="24"/>
          <w:highlight w:val="none"/>
          <w:lang w:val="en-US" w:eastAsia="zh-CN"/>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大庆中环评价检测有限公司</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监测时间</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20</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20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年</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11月19</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20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hint="eastAsia" w:ascii="Times New Roman" w:hAnsi="Times New Roman" w:cs="Times New Roman"/>
          <w:bCs/>
          <w:color w:val="000000" w:themeColor="text1"/>
          <w:w w:val="99"/>
          <w:sz w:val="24"/>
          <w:szCs w:val="24"/>
          <w:highlight w:val="none"/>
          <w:lang w:eastAsia="zh-CN"/>
          <w14:textFill>
            <w14:solidFill>
              <w14:schemeClr w14:val="tx1"/>
            </w14:solidFill>
          </w14:textFill>
        </w:rPr>
        <w:t>葡北9#转油站、葡北</w:t>
      </w:r>
      <w:r>
        <w:rPr>
          <w:rFonts w:hint="eastAsia" w:ascii="Times New Roman" w:hAnsi="Times New Roman" w:cs="Times New Roman"/>
          <w:bCs/>
          <w:color w:val="000000" w:themeColor="text1"/>
          <w:w w:val="99"/>
          <w:sz w:val="24"/>
          <w:szCs w:val="24"/>
          <w:highlight w:val="none"/>
          <w:lang w:val="en-US" w:eastAsia="zh-CN"/>
          <w14:textFill>
            <w14:solidFill>
              <w14:schemeClr w14:val="tx1"/>
            </w14:solidFill>
          </w14:textFill>
        </w:rPr>
        <w:t>10#转油站、葡萄花含油污泥处理站</w:t>
      </w:r>
      <w:r>
        <w:rPr>
          <w:rFonts w:ascii="Times New Roman" w:hAnsi="Times New Roman" w:cs="Times New Roman"/>
          <w:bCs/>
          <w:color w:val="000000" w:themeColor="text1"/>
          <w:w w:val="99"/>
          <w:sz w:val="24"/>
          <w:szCs w:val="24"/>
          <w:highlight w:val="none"/>
          <w14:textFill>
            <w14:solidFill>
              <w14:schemeClr w14:val="tx1"/>
            </w14:solidFill>
          </w14:textFill>
        </w:rPr>
        <w:t>和葡</w:t>
      </w:r>
      <w:r>
        <w:rPr>
          <w:rFonts w:hint="eastAsia" w:ascii="Times New Roman" w:hAnsi="Times New Roman" w:cs="Times New Roman"/>
          <w:bCs/>
          <w:color w:val="000000" w:themeColor="text1"/>
          <w:w w:val="99"/>
          <w:sz w:val="24"/>
          <w:szCs w:val="24"/>
          <w:highlight w:val="none"/>
          <w:lang w:eastAsia="zh-CN"/>
          <w14:textFill>
            <w14:solidFill>
              <w14:schemeClr w14:val="tx1"/>
            </w14:solidFill>
          </w14:textFill>
        </w:rPr>
        <w:t>二联合站</w:t>
      </w:r>
      <w:r>
        <w:rPr>
          <w:rFonts w:ascii="Times New Roman" w:hAnsi="Times New Roman" w:cs="Times New Roman"/>
          <w:bCs/>
          <w:color w:val="000000" w:themeColor="text1"/>
          <w:w w:val="99"/>
          <w:sz w:val="24"/>
          <w:szCs w:val="24"/>
          <w:highlight w:val="none"/>
          <w14:textFill>
            <w14:solidFill>
              <w14:schemeClr w14:val="tx1"/>
            </w14:solidFill>
          </w14:textFill>
        </w:rPr>
        <w:t>厂界噪声均可满足《工业企业厂界环境噪声排放标准》（GB12348-2008）2类标准，落实了环评及批复中的噪声污染防治措施，对区域声环境影响不大。</w:t>
      </w:r>
    </w:p>
    <w:p>
      <w:pPr>
        <w:adjustRightInd w:val="0"/>
        <w:spacing w:line="440" w:lineRule="exact"/>
        <w:ind w:firstLine="355" w:firstLineChars="150"/>
        <w:rPr>
          <w:rFonts w:ascii="Times New Roman" w:hAnsi="Times New Roman" w:cs="Times New Roman"/>
          <w:bCs/>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sz w:val="24"/>
          <w:szCs w:val="24"/>
          <w:highlight w:val="none"/>
          <w14:textFill>
            <w14:solidFill>
              <w14:schemeClr w14:val="tx1"/>
            </w14:solidFill>
          </w14:textFill>
        </w:rPr>
        <w:t>（4）固体废物污染防治措施调查结论</w:t>
      </w:r>
    </w:p>
    <w:p>
      <w:pPr>
        <w:spacing w:line="440" w:lineRule="exact"/>
        <w:ind w:firstLine="474" w:firstLineChars="200"/>
        <w:rPr>
          <w:rFonts w:ascii="Times New Roman" w:hAnsi="Times New Roman" w:cs="Times New Roman"/>
          <w:bCs/>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sz w:val="24"/>
          <w:szCs w:val="24"/>
          <w:highlight w:val="none"/>
          <w14:textFill>
            <w14:solidFill>
              <w14:schemeClr w14:val="tx1"/>
            </w14:solidFill>
          </w14:textFill>
        </w:rPr>
        <w:t>区块开发产生的固体废物废钻井泥浆、落地油和油泥油砂等，区块废钻井泥浆全部进行集中固化，根据</w:t>
      </w:r>
      <w:r>
        <w:rPr>
          <w:bCs/>
          <w:color w:val="000000" w:themeColor="text1"/>
          <w:w w:val="99"/>
          <w:sz w:val="24"/>
          <w:highlight w:val="none"/>
          <w:lang w:val="en-US"/>
          <w14:textFill>
            <w14:solidFill>
              <w14:schemeClr w14:val="tx1"/>
            </w14:solidFill>
          </w14:textFill>
        </w:rPr>
        <w:t>《</w:t>
      </w:r>
      <w:r>
        <w:rPr>
          <w:rFonts w:hint="eastAsia"/>
          <w:bCs/>
          <w:color w:val="000000" w:themeColor="text1"/>
          <w:w w:val="99"/>
          <w:sz w:val="24"/>
          <w:highlight w:val="none"/>
          <w:lang w:val="en-US"/>
          <w14:textFill>
            <w14:solidFill>
              <w14:schemeClr w14:val="tx1"/>
            </w14:solidFill>
          </w14:textFill>
        </w:rPr>
        <w:t>葡北</w:t>
      </w:r>
      <w:r>
        <w:rPr>
          <w:bCs/>
          <w:color w:val="000000" w:themeColor="text1"/>
          <w:w w:val="99"/>
          <w:sz w:val="24"/>
          <w:highlight w:val="none"/>
          <w:lang w:val="en-US"/>
          <w14:textFill>
            <w14:solidFill>
              <w14:schemeClr w14:val="tx1"/>
            </w14:solidFill>
          </w14:textFill>
        </w:rPr>
        <w:t>油田三、四断块葡</w:t>
      </w:r>
      <w:r>
        <w:rPr>
          <w:rFonts w:ascii="Times New Roman" w:hAnsi="Times New Roman" w:cs="Times New Roman"/>
          <w:bCs/>
          <w:color w:val="000000" w:themeColor="text1"/>
          <w:w w:val="99"/>
          <w:sz w:val="24"/>
          <w:highlight w:val="none"/>
          <w:lang w:val="en-US"/>
          <w14:textFill>
            <w14:solidFill>
              <w14:schemeClr w14:val="tx1"/>
            </w14:solidFill>
          </w14:textFill>
        </w:rPr>
        <w:t>67-64、70-52井</w:t>
      </w:r>
      <w:r>
        <w:rPr>
          <w:rFonts w:hint="eastAsia"/>
          <w:bCs/>
          <w:color w:val="000000" w:themeColor="text1"/>
          <w:w w:val="99"/>
          <w:sz w:val="24"/>
          <w:highlight w:val="none"/>
          <w:lang w:val="en-US"/>
          <w14:textFill>
            <w14:solidFill>
              <w14:schemeClr w14:val="tx1"/>
            </w14:solidFill>
          </w14:textFill>
        </w:rPr>
        <w:t>区</w:t>
      </w:r>
      <w:r>
        <w:rPr>
          <w:bCs/>
          <w:color w:val="000000" w:themeColor="text1"/>
          <w:w w:val="99"/>
          <w:sz w:val="24"/>
          <w:highlight w:val="none"/>
          <w:lang w:val="en-US"/>
          <w14:textFill>
            <w14:solidFill>
              <w14:schemeClr w14:val="tx1"/>
            </w14:solidFill>
          </w14:textFill>
        </w:rPr>
        <w:t>深部调驱</w:t>
      </w:r>
      <w:r>
        <w:rPr>
          <w:rFonts w:hint="eastAsia"/>
          <w:bCs/>
          <w:color w:val="000000" w:themeColor="text1"/>
          <w:w w:val="99"/>
          <w:sz w:val="24"/>
          <w:highlight w:val="none"/>
          <w:lang w:val="en-US"/>
          <w14:textFill>
            <w14:solidFill>
              <w14:schemeClr w14:val="tx1"/>
            </w14:solidFill>
          </w14:textFill>
        </w:rPr>
        <w:t>产能建设地面工程竣工环境保护</w:t>
      </w:r>
      <w:r>
        <w:rPr>
          <w:bCs/>
          <w:color w:val="000000" w:themeColor="text1"/>
          <w:w w:val="99"/>
          <w:sz w:val="24"/>
          <w:highlight w:val="none"/>
          <w:lang w:val="en-US"/>
          <w14:textFill>
            <w14:solidFill>
              <w14:schemeClr w14:val="tx1"/>
            </w14:solidFill>
          </w14:textFill>
        </w:rPr>
        <w:t>验收调查</w:t>
      </w:r>
      <w:r>
        <w:rPr>
          <w:rFonts w:hint="eastAsia"/>
          <w:bCs/>
          <w:color w:val="000000" w:themeColor="text1"/>
          <w:w w:val="99"/>
          <w:sz w:val="24"/>
          <w:highlight w:val="none"/>
          <w:lang w:val="en-US"/>
          <w14:textFill>
            <w14:solidFill>
              <w14:schemeClr w14:val="tx1"/>
            </w14:solidFill>
          </w14:textFill>
        </w:rPr>
        <w:t>表</w:t>
      </w:r>
      <w:r>
        <w:rPr>
          <w:bCs/>
          <w:color w:val="000000" w:themeColor="text1"/>
          <w:w w:val="99"/>
          <w:sz w:val="24"/>
          <w:highlight w:val="none"/>
          <w:lang w:val="en-US"/>
          <w14:textFill>
            <w14:solidFill>
              <w14:schemeClr w14:val="tx1"/>
            </w14:solidFill>
          </w14:textFill>
        </w:rPr>
        <w:t>》</w:t>
      </w:r>
      <w:r>
        <w:rPr>
          <w:rFonts w:ascii="Times New Roman" w:hAnsi="Times New Roman" w:cs="Times New Roman"/>
          <w:bCs/>
          <w:color w:val="000000" w:themeColor="text1"/>
          <w:w w:val="99"/>
          <w:sz w:val="24"/>
          <w:szCs w:val="24"/>
          <w:highlight w:val="none"/>
          <w14:textFill>
            <w14:solidFill>
              <w14:schemeClr w14:val="tx1"/>
            </w14:solidFill>
          </w14:textFill>
        </w:rPr>
        <w:t>对泥浆集中固化点取样分析</w:t>
      </w:r>
      <w:r>
        <w:rPr>
          <w:rFonts w:hint="eastAsia" w:ascii="Times New Roman" w:hAnsi="Times New Roman" w:cs="Times New Roman"/>
          <w:bCs/>
          <w:color w:val="000000" w:themeColor="text1"/>
          <w:w w:val="99"/>
          <w:sz w:val="24"/>
          <w:szCs w:val="24"/>
          <w:highlight w:val="none"/>
          <w14:textFill>
            <w14:solidFill>
              <w14:schemeClr w14:val="tx1"/>
            </w14:solidFill>
          </w14:textFill>
        </w:rPr>
        <w:t>结果</w:t>
      </w:r>
      <w:r>
        <w:rPr>
          <w:rFonts w:ascii="Times New Roman" w:hAnsi="Times New Roman" w:cs="Times New Roman"/>
          <w:bCs/>
          <w:color w:val="000000" w:themeColor="text1"/>
          <w:w w:val="99"/>
          <w:sz w:val="24"/>
          <w:szCs w:val="24"/>
          <w:highlight w:val="none"/>
          <w14:textFill>
            <w14:solidFill>
              <w14:schemeClr w14:val="tx1"/>
            </w14:solidFill>
          </w14:textFill>
        </w:rPr>
        <w:t>可知，泥浆固化质量符合《废弃钻井液处理规范》（DB23/T693-2000）废弃钻井液处理技术指标要求。生产过程中生产的油泥、油砂统一送</w:t>
      </w:r>
      <w:r>
        <w:rPr>
          <w:rFonts w:hint="eastAsia" w:ascii="Times New Roman" w:hAnsi="Times New Roman" w:cs="Times New Roman"/>
          <w:bCs/>
          <w:color w:val="000000" w:themeColor="text1"/>
          <w:w w:val="99"/>
          <w:sz w:val="24"/>
          <w:szCs w:val="24"/>
          <w:highlight w:val="none"/>
          <w14:textFill>
            <w14:solidFill>
              <w14:schemeClr w14:val="tx1"/>
            </w14:solidFill>
          </w14:textFill>
        </w:rPr>
        <w:t>葡萄花</w:t>
      </w:r>
      <w:r>
        <w:rPr>
          <w:rFonts w:ascii="Times New Roman" w:hAnsi="Times New Roman" w:cs="Times New Roman"/>
          <w:bCs/>
          <w:color w:val="000000" w:themeColor="text1"/>
          <w:w w:val="99"/>
          <w:sz w:val="24"/>
          <w:szCs w:val="24"/>
          <w:highlight w:val="none"/>
          <w14:textFill>
            <w14:solidFill>
              <w14:schemeClr w14:val="tx1"/>
            </w14:solidFill>
          </w14:textFill>
        </w:rPr>
        <w:t>含油污泥处理站进行无害化处理，处理后污泥满足《油田含油污泥综合利用污染控制标准》（ DB23/T1413-2010）中垫井场、通井路污染控制指标要求（即石油类≤20000mg/kg干污泥）用于垫井场、铺路，固体废物的污染防治措施符合环评文件及其批复的要求。</w:t>
      </w:r>
    </w:p>
    <w:p>
      <w:pPr>
        <w:adjustRightInd w:val="0"/>
        <w:spacing w:line="440" w:lineRule="exact"/>
        <w:ind w:firstLine="474" w:firstLineChars="200"/>
        <w:rPr>
          <w:rFonts w:ascii="Times New Roman" w:hAnsi="Times New Roman" w:cs="Times New Roman"/>
          <w:bCs/>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sz w:val="24"/>
          <w:szCs w:val="24"/>
          <w:highlight w:val="none"/>
          <w14:textFill>
            <w14:solidFill>
              <w14:schemeClr w14:val="tx1"/>
            </w14:solidFill>
          </w14:textFill>
        </w:rPr>
        <w:t>（5）生态影响调查结论</w:t>
      </w:r>
    </w:p>
    <w:p>
      <w:pPr>
        <w:adjustRightInd w:val="0"/>
        <w:spacing w:line="440" w:lineRule="exact"/>
        <w:ind w:firstLine="474" w:firstLineChars="200"/>
        <w:rPr>
          <w:rFonts w:ascii="Times New Roman" w:hAnsi="Times New Roman" w:cs="Times New Roman"/>
          <w:bCs/>
          <w:color w:val="000000" w:themeColor="text1"/>
          <w:w w:val="99"/>
          <w:sz w:val="24"/>
          <w:szCs w:val="24"/>
          <w:highlight w:val="none"/>
          <w14:textFill>
            <w14:solidFill>
              <w14:schemeClr w14:val="tx1"/>
            </w14:solidFill>
          </w14:textFill>
        </w:rPr>
      </w:pPr>
      <w:r>
        <w:rPr>
          <w:rFonts w:hint="eastAsia" w:ascii="Times New Roman" w:hAnsi="Times New Roman" w:cs="Times New Roman"/>
          <w:bCs/>
          <w:color w:val="000000" w:themeColor="text1"/>
          <w:w w:val="99"/>
          <w:sz w:val="24"/>
          <w:szCs w:val="24"/>
          <w:highlight w:val="none"/>
          <w:lang w:eastAsia="zh-CN"/>
          <w14:textFill>
            <w14:solidFill>
              <w14:schemeClr w14:val="tx1"/>
            </w14:solidFill>
          </w14:textFill>
        </w:rPr>
        <w:t>本项目</w:t>
      </w:r>
      <w:r>
        <w:rPr>
          <w:rFonts w:ascii="Times New Roman" w:hAnsi="Times New Roman" w:cs="Times New Roman"/>
          <w:bCs/>
          <w:color w:val="000000" w:themeColor="text1"/>
          <w:w w:val="99"/>
          <w:sz w:val="24"/>
          <w:szCs w:val="24"/>
          <w:highlight w:val="none"/>
          <w14:textFill>
            <w14:solidFill>
              <w14:schemeClr w14:val="tx1"/>
            </w14:solidFill>
          </w14:textFill>
        </w:rPr>
        <w:t>按照</w:t>
      </w:r>
      <w:r>
        <w:rPr>
          <w:rFonts w:hint="eastAsia" w:ascii="Times New Roman" w:hAnsi="Times New Roman" w:cs="Times New Roman"/>
          <w:bCs/>
          <w:color w:val="000000" w:themeColor="text1"/>
          <w:w w:val="99"/>
          <w:sz w:val="24"/>
          <w:szCs w:val="24"/>
          <w:highlight w:val="none"/>
          <w14:textFill>
            <w14:solidFill>
              <w14:schemeClr w14:val="tx1"/>
            </w14:solidFill>
          </w14:textFill>
        </w:rPr>
        <w:t>相关</w:t>
      </w:r>
      <w:r>
        <w:rPr>
          <w:rFonts w:ascii="Times New Roman" w:hAnsi="Times New Roman" w:cs="Times New Roman"/>
          <w:bCs/>
          <w:color w:val="000000" w:themeColor="text1"/>
          <w:w w:val="99"/>
          <w:sz w:val="24"/>
          <w:szCs w:val="24"/>
          <w:highlight w:val="none"/>
          <w14:textFill>
            <w14:solidFill>
              <w14:schemeClr w14:val="tx1"/>
            </w14:solidFill>
          </w14:textFill>
        </w:rPr>
        <w:t>要求采取了一系列生态保护和恢复措施，没有改变项目区的生态系统结构与功能，项目区的生态组分及生物多样性未受影响，生态格局变化不大；本项目除了占地</w:t>
      </w:r>
      <w:r>
        <w:rPr>
          <w:rFonts w:hint="eastAsia" w:ascii="Times New Roman" w:hAnsi="Times New Roman" w:cs="Times New Roman"/>
          <w:bCs/>
          <w:color w:val="000000" w:themeColor="text1"/>
          <w:w w:val="99"/>
          <w:sz w:val="24"/>
          <w:szCs w:val="24"/>
          <w:highlight w:val="none"/>
          <w14:textFill>
            <w14:solidFill>
              <w14:schemeClr w14:val="tx1"/>
            </w14:solidFill>
          </w14:textFill>
        </w:rPr>
        <w:t>影响生物量</w:t>
      </w:r>
      <w:r>
        <w:rPr>
          <w:rFonts w:ascii="Times New Roman" w:hAnsi="Times New Roman" w:cs="Times New Roman"/>
          <w:bCs/>
          <w:color w:val="000000" w:themeColor="text1"/>
          <w:w w:val="99"/>
          <w:sz w:val="24"/>
          <w:szCs w:val="24"/>
          <w:highlight w:val="none"/>
          <w14:textFill>
            <w14:solidFill>
              <w14:schemeClr w14:val="tx1"/>
            </w14:solidFill>
          </w14:textFill>
        </w:rPr>
        <w:t>外，对生态的影响较小。</w:t>
      </w:r>
    </w:p>
    <w:p>
      <w:pPr>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根据现场调查，项目</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区块</w:t>
      </w:r>
      <w:r>
        <w:rPr>
          <w:rFonts w:ascii="Times New Roman" w:hAnsi="Times New Roman" w:cs="Times New Roman"/>
          <w:color w:val="000000" w:themeColor="text1"/>
          <w:w w:val="99"/>
          <w:sz w:val="24"/>
          <w:szCs w:val="24"/>
          <w:highlight w:val="none"/>
          <w:lang w:val="en-US"/>
          <w14:textFill>
            <w14:solidFill>
              <w14:schemeClr w14:val="tx1"/>
            </w14:solidFill>
          </w14:textFill>
        </w:rPr>
        <w:t>内井场和场站进行了规范化管理，</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井场和</w:t>
      </w:r>
      <w:r>
        <w:rPr>
          <w:rFonts w:ascii="Times New Roman" w:hAnsi="Times New Roman" w:cs="Times New Roman"/>
          <w:color w:val="000000" w:themeColor="text1"/>
          <w:w w:val="99"/>
          <w:sz w:val="24"/>
          <w:szCs w:val="24"/>
          <w:highlight w:val="none"/>
          <w:lang w:val="en-US"/>
          <w14:textFill>
            <w14:solidFill>
              <w14:schemeClr w14:val="tx1"/>
            </w14:solidFill>
          </w14:textFill>
        </w:rPr>
        <w:t>场站运行过程中</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挥发</w:t>
      </w:r>
      <w:r>
        <w:rPr>
          <w:rFonts w:ascii="Times New Roman" w:hAnsi="Times New Roman" w:cs="Times New Roman"/>
          <w:color w:val="000000" w:themeColor="text1"/>
          <w:w w:val="99"/>
          <w:sz w:val="24"/>
          <w:szCs w:val="24"/>
          <w:highlight w:val="none"/>
          <w:lang w:val="en-US"/>
          <w14:textFill>
            <w14:solidFill>
              <w14:schemeClr w14:val="tx1"/>
            </w14:solidFill>
          </w14:textFill>
        </w:rPr>
        <w:t>的非甲烷总烃、</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采油废水、设备噪声和含油污泥</w:t>
      </w:r>
      <w:r>
        <w:rPr>
          <w:rFonts w:ascii="Times New Roman" w:hAnsi="Times New Roman" w:cs="Times New Roman"/>
          <w:color w:val="000000" w:themeColor="text1"/>
          <w:w w:val="99"/>
          <w:sz w:val="24"/>
          <w:szCs w:val="24"/>
          <w:highlight w:val="none"/>
          <w:lang w:val="en-US"/>
          <w14:textFill>
            <w14:solidFill>
              <w14:schemeClr w14:val="tx1"/>
            </w14:solidFill>
          </w14:textFill>
        </w:rPr>
        <w:t>等</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固体废物均</w:t>
      </w:r>
      <w:r>
        <w:rPr>
          <w:rFonts w:ascii="Times New Roman" w:hAnsi="Times New Roman" w:cs="Times New Roman"/>
          <w:color w:val="000000" w:themeColor="text1"/>
          <w:w w:val="99"/>
          <w:sz w:val="24"/>
          <w:szCs w:val="24"/>
          <w:highlight w:val="none"/>
          <w:lang w:val="en-US"/>
          <w14:textFill>
            <w14:solidFill>
              <w14:schemeClr w14:val="tx1"/>
            </w14:solidFill>
          </w14:textFill>
        </w:rPr>
        <w:t>按</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要求</w:t>
      </w:r>
      <w:r>
        <w:rPr>
          <w:rFonts w:ascii="Times New Roman" w:hAnsi="Times New Roman" w:cs="Times New Roman"/>
          <w:color w:val="000000" w:themeColor="text1"/>
          <w:w w:val="99"/>
          <w:sz w:val="24"/>
          <w:szCs w:val="24"/>
          <w:highlight w:val="none"/>
          <w:lang w:val="en-US"/>
          <w14:textFill>
            <w14:solidFill>
              <w14:schemeClr w14:val="tx1"/>
            </w14:solidFill>
          </w14:textFill>
        </w:rPr>
        <w:t>得到了合理处置，</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满足</w:t>
      </w:r>
      <w:r>
        <w:rPr>
          <w:rFonts w:ascii="Times New Roman" w:hAnsi="Times New Roman" w:cs="Times New Roman"/>
          <w:color w:val="000000" w:themeColor="text1"/>
          <w:w w:val="99"/>
          <w:sz w:val="24"/>
          <w:szCs w:val="24"/>
          <w:highlight w:val="none"/>
          <w:lang w:val="en-US"/>
          <w14:textFill>
            <w14:solidFill>
              <w14:schemeClr w14:val="tx1"/>
            </w14:solidFill>
          </w14:textFill>
        </w:rPr>
        <w:t>达标</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排放</w:t>
      </w:r>
      <w:r>
        <w:rPr>
          <w:rFonts w:ascii="Times New Roman" w:hAnsi="Times New Roman" w:cs="Times New Roman"/>
          <w:color w:val="000000" w:themeColor="text1"/>
          <w:w w:val="99"/>
          <w:sz w:val="24"/>
          <w:szCs w:val="24"/>
          <w:highlight w:val="none"/>
          <w:lang w:val="en-US"/>
          <w14:textFill>
            <w14:solidFill>
              <w14:schemeClr w14:val="tx1"/>
            </w14:solidFill>
          </w14:textFill>
        </w:rPr>
        <w:t>要求，</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井场及</w:t>
      </w:r>
      <w:r>
        <w:rPr>
          <w:rFonts w:ascii="Times New Roman" w:hAnsi="Times New Roman" w:cs="Times New Roman"/>
          <w:color w:val="000000" w:themeColor="text1"/>
          <w:w w:val="99"/>
          <w:sz w:val="24"/>
          <w:szCs w:val="24"/>
          <w:highlight w:val="none"/>
          <w:lang w:val="en-US"/>
          <w14:textFill>
            <w14:solidFill>
              <w14:schemeClr w14:val="tx1"/>
            </w14:solidFill>
          </w14:textFill>
        </w:rPr>
        <w:t>管线、道路沿线周边占地生态恢复良好，</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区块内</w:t>
      </w:r>
      <w:r>
        <w:rPr>
          <w:rFonts w:ascii="Times New Roman" w:hAnsi="Times New Roman" w:cs="Times New Roman"/>
          <w:color w:val="000000" w:themeColor="text1"/>
          <w:w w:val="99"/>
          <w:sz w:val="24"/>
          <w:szCs w:val="24"/>
          <w:highlight w:val="none"/>
          <w:lang w:val="en-US"/>
          <w14:textFill>
            <w14:solidFill>
              <w14:schemeClr w14:val="tx1"/>
            </w14:solidFill>
          </w14:textFill>
        </w:rPr>
        <w:t>已采取的各项环保措施有效，油田的开发对区域</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环境</w:t>
      </w:r>
      <w:r>
        <w:rPr>
          <w:rFonts w:ascii="Times New Roman" w:hAnsi="Times New Roman" w:cs="Times New Roman"/>
          <w:color w:val="000000" w:themeColor="text1"/>
          <w:w w:val="99"/>
          <w:sz w:val="24"/>
          <w:szCs w:val="24"/>
          <w:highlight w:val="none"/>
          <w:lang w:val="en-US"/>
          <w14:textFill>
            <w14:solidFill>
              <w14:schemeClr w14:val="tx1"/>
            </w14:solidFill>
          </w14:textFill>
        </w:rPr>
        <w:t>和生态系统没有造成明显影响。</w:t>
      </w:r>
    </w:p>
    <w:p>
      <w:pPr>
        <w:pStyle w:val="2"/>
        <w:keepNext w:val="0"/>
        <w:keepLines w:val="0"/>
        <w:pageBreakBefore w:val="0"/>
        <w:widowControl w:val="0"/>
        <w:tabs>
          <w:tab w:val="left" w:pos="4154"/>
          <w:tab w:val="center" w:pos="8305"/>
          <w:tab w:val="clear" w:pos="3480"/>
        </w:tabs>
        <w:kinsoku/>
        <w:wordWrap/>
        <w:overflowPunct/>
        <w:topLinePunct w:val="0"/>
        <w:autoSpaceDE w:val="0"/>
        <w:autoSpaceDN w:val="0"/>
        <w:bidi w:val="0"/>
        <w:adjustRightInd/>
        <w:snapToGrid/>
        <w:spacing w:beforeLines="0" w:line="440" w:lineRule="exact"/>
        <w:jc w:val="both"/>
        <w:textAlignment w:val="auto"/>
        <w:outlineLvl w:val="2"/>
        <w:rPr>
          <w:rFonts w:hint="eastAsia" w:ascii="Times New Roman" w:hAnsi="Times New Roman" w:cs="Times New Roman" w:eastAsiaTheme="minorEastAsia"/>
          <w:b/>
          <w:bCs/>
          <w:color w:val="000000" w:themeColor="text1"/>
          <w:w w:val="99"/>
          <w:kern w:val="2"/>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w w:val="99"/>
          <w:kern w:val="2"/>
          <w:sz w:val="24"/>
          <w:szCs w:val="24"/>
          <w:highlight w:val="none"/>
          <w:lang w:val="en-US" w:eastAsia="zh-CN" w:bidi="ar-SA"/>
          <w14:textFill>
            <w14:solidFill>
              <w14:schemeClr w14:val="tx1"/>
            </w14:solidFill>
          </w14:textFill>
        </w:rPr>
        <w:t>3.2.4现有区块环境问题</w:t>
      </w:r>
    </w:p>
    <w:p>
      <w:pPr>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w:t>
      </w:r>
      <w:r>
        <w:rPr>
          <w:rFonts w:ascii="Times New Roman" w:hAnsi="Times New Roman" w:cs="Times New Roman"/>
          <w:color w:val="000000" w:themeColor="text1"/>
          <w:w w:val="99"/>
          <w:sz w:val="24"/>
          <w:szCs w:val="24"/>
          <w:highlight w:val="none"/>
          <w:lang w:val="en-US"/>
          <w14:textFill>
            <w14:solidFill>
              <w14:schemeClr w14:val="tx1"/>
            </w14:solidFill>
          </w14:textFill>
        </w:rPr>
        <w:t>井场位于耕地和草地中，项目区域地面系统建有较为完善的油、气、水、电、路等工程。本项目所在区域内生态环境为草地及</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耕地</w:t>
      </w:r>
      <w:r>
        <w:rPr>
          <w:rFonts w:ascii="Times New Roman" w:hAnsi="Times New Roman" w:cs="Times New Roman"/>
          <w:color w:val="000000" w:themeColor="text1"/>
          <w:w w:val="99"/>
          <w:sz w:val="24"/>
          <w:szCs w:val="24"/>
          <w:highlight w:val="none"/>
          <w:lang w:val="en-US"/>
          <w14:textFill>
            <w14:solidFill>
              <w14:schemeClr w14:val="tx1"/>
            </w14:solidFill>
          </w14:textFill>
        </w:rPr>
        <w:t>生态系统，为保护区域生态环境，采油</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七</w:t>
      </w:r>
      <w:r>
        <w:rPr>
          <w:rFonts w:ascii="Times New Roman" w:hAnsi="Times New Roman" w:cs="Times New Roman"/>
          <w:color w:val="000000" w:themeColor="text1"/>
          <w:w w:val="99"/>
          <w:sz w:val="24"/>
          <w:szCs w:val="24"/>
          <w:highlight w:val="none"/>
          <w:lang w:val="en-US"/>
          <w14:textFill>
            <w14:solidFill>
              <w14:schemeClr w14:val="tx1"/>
            </w14:solidFill>
          </w14:textFill>
        </w:rPr>
        <w:t>厂在</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油田开发</w:t>
      </w:r>
      <w:r>
        <w:rPr>
          <w:rFonts w:ascii="Times New Roman" w:hAnsi="Times New Roman" w:cs="Times New Roman"/>
          <w:color w:val="000000" w:themeColor="text1"/>
          <w:w w:val="99"/>
          <w:sz w:val="24"/>
          <w:szCs w:val="24"/>
          <w:highlight w:val="none"/>
          <w:lang w:val="en-US"/>
          <w14:textFill>
            <w14:solidFill>
              <w14:schemeClr w14:val="tx1"/>
            </w14:solidFill>
          </w14:textFill>
        </w:rPr>
        <w:t>时采取了一系列的生态保护措施保护区域草地生态系统，例如尽可能增加丛式井比例，严格控制井场的临时及永久占地，井场钻井施工结束后及时进行生态恢复，通过采取了相应生态保护措施后，油田的开发对区域草地生态系统没有造成明显影响。</w:t>
      </w:r>
    </w:p>
    <w:p>
      <w:pPr>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从现场调查情况看，井场</w:t>
      </w:r>
      <w:r>
        <w:rPr>
          <w:rFonts w:ascii="Times New Roman" w:hAnsi="Times New Roman" w:cs="Times New Roman"/>
          <w:color w:val="000000" w:themeColor="text1"/>
          <w:w w:val="99"/>
          <w:sz w:val="24"/>
          <w:szCs w:val="24"/>
          <w:highlight w:val="none"/>
          <w:lang w:val="en-US"/>
          <w14:textFill>
            <w14:solidFill>
              <w14:schemeClr w14:val="tx1"/>
            </w14:solidFill>
          </w14:textFill>
        </w:rPr>
        <w:t>周边</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为</w:t>
      </w:r>
      <w:r>
        <w:rPr>
          <w:rFonts w:ascii="Times New Roman" w:hAnsi="Times New Roman" w:cs="Times New Roman"/>
          <w:color w:val="000000" w:themeColor="text1"/>
          <w:w w:val="99"/>
          <w:sz w:val="24"/>
          <w:szCs w:val="24"/>
          <w:highlight w:val="none"/>
          <w:lang w:val="en-US"/>
          <w14:textFill>
            <w14:solidFill>
              <w14:schemeClr w14:val="tx1"/>
            </w14:solidFill>
          </w14:textFill>
        </w:rPr>
        <w:t>耕种</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和</w:t>
      </w:r>
      <w:r>
        <w:rPr>
          <w:rFonts w:ascii="Times New Roman" w:hAnsi="Times New Roman" w:cs="Times New Roman"/>
          <w:color w:val="000000" w:themeColor="text1"/>
          <w:w w:val="99"/>
          <w:sz w:val="24"/>
          <w:szCs w:val="24"/>
          <w:highlight w:val="none"/>
          <w:lang w:val="en-US"/>
          <w14:textFill>
            <w14:solidFill>
              <w14:schemeClr w14:val="tx1"/>
            </w14:solidFill>
          </w14:textFill>
        </w:rPr>
        <w:t>植被自然生长状态，</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周边草地</w:t>
      </w:r>
      <w:r>
        <w:rPr>
          <w:rFonts w:ascii="Times New Roman" w:hAnsi="Times New Roman" w:cs="Times New Roman"/>
          <w:color w:val="000000" w:themeColor="text1"/>
          <w:w w:val="99"/>
          <w:sz w:val="24"/>
          <w:szCs w:val="24"/>
          <w:highlight w:val="none"/>
          <w:lang w:val="en-US"/>
          <w14:textFill>
            <w14:solidFill>
              <w14:schemeClr w14:val="tx1"/>
            </w14:solidFill>
          </w14:textFill>
        </w:rPr>
        <w:t>植被恢复良好，井场不存在落地油等情况</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，目前未发现存在环境问题。</w:t>
      </w:r>
    </w:p>
    <w:p>
      <w:pPr>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本项目井</w:t>
      </w:r>
      <w:r>
        <w:rPr>
          <w:rFonts w:ascii="Times New Roman" w:hAnsi="Times New Roman" w:cs="Times New Roman"/>
          <w:color w:val="000000" w:themeColor="text1"/>
          <w:w w:val="99"/>
          <w:sz w:val="24"/>
          <w:szCs w:val="24"/>
          <w:highlight w:val="none"/>
          <w:lang w:val="en-US"/>
          <w14:textFill>
            <w14:solidFill>
              <w14:schemeClr w14:val="tx1"/>
            </w14:solidFill>
          </w14:textFill>
        </w:rPr>
        <w:t>所在区块内油井</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进入现有集输系统，油井</w:t>
      </w:r>
      <w:r>
        <w:rPr>
          <w:rFonts w:ascii="Times New Roman" w:hAnsi="Times New Roman" w:cs="Times New Roman"/>
          <w:color w:val="000000" w:themeColor="text1"/>
          <w:w w:val="99"/>
          <w:sz w:val="24"/>
          <w:szCs w:val="24"/>
          <w:highlight w:val="none"/>
          <w:lang w:val="en-US"/>
          <w14:textFill>
            <w14:solidFill>
              <w14:schemeClr w14:val="tx1"/>
            </w14:solidFill>
          </w14:textFill>
        </w:rPr>
        <w:t>作业废水经作业罐车收集拉运至</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葡</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二</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联污水站</w:t>
      </w:r>
      <w:r>
        <w:rPr>
          <w:rFonts w:ascii="Times New Roman" w:hAnsi="Times New Roman" w:cs="Times New Roman"/>
          <w:color w:val="000000" w:themeColor="text1"/>
          <w:w w:val="99"/>
          <w:sz w:val="24"/>
          <w:szCs w:val="24"/>
          <w:highlight w:val="none"/>
          <w:lang w:val="en-US"/>
          <w14:textFill>
            <w14:solidFill>
              <w14:schemeClr w14:val="tx1"/>
            </w14:solidFill>
          </w14:textFill>
        </w:rPr>
        <w:t>等场站处理，处理达标后回注地下</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油层</w:t>
      </w:r>
      <w:r>
        <w:rPr>
          <w:rFonts w:ascii="Times New Roman" w:hAnsi="Times New Roman" w:cs="Times New Roman"/>
          <w:color w:val="000000" w:themeColor="text1"/>
          <w:w w:val="99"/>
          <w:sz w:val="24"/>
          <w:szCs w:val="24"/>
          <w:highlight w:val="none"/>
          <w:lang w:val="en-US"/>
          <w14:textFill>
            <w14:solidFill>
              <w14:schemeClr w14:val="tx1"/>
            </w14:solidFill>
          </w14:textFill>
        </w:rPr>
        <w:t>，通过本次工程对周边村屯地下水环境现状调查，</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区块</w:t>
      </w:r>
      <w:r>
        <w:rPr>
          <w:rFonts w:ascii="Times New Roman" w:hAnsi="Times New Roman" w:cs="Times New Roman"/>
          <w:color w:val="000000" w:themeColor="text1"/>
          <w:w w:val="99"/>
          <w:sz w:val="24"/>
          <w:szCs w:val="24"/>
          <w:highlight w:val="none"/>
          <w:lang w:val="en-US"/>
          <w14:textFill>
            <w14:solidFill>
              <w14:schemeClr w14:val="tx1"/>
            </w14:solidFill>
          </w14:textFill>
        </w:rPr>
        <w:t>内未发</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现</w:t>
      </w:r>
      <w:r>
        <w:rPr>
          <w:rFonts w:ascii="Times New Roman" w:hAnsi="Times New Roman" w:cs="Times New Roman"/>
          <w:color w:val="000000" w:themeColor="text1"/>
          <w:w w:val="99"/>
          <w:sz w:val="24"/>
          <w:szCs w:val="24"/>
          <w:highlight w:val="none"/>
          <w:lang w:val="en-US"/>
          <w14:textFill>
            <w14:solidFill>
              <w14:schemeClr w14:val="tx1"/>
            </w14:solidFill>
          </w14:textFill>
        </w:rPr>
        <w:t>回注</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污水</w:t>
      </w:r>
      <w:r>
        <w:rPr>
          <w:rFonts w:ascii="Times New Roman" w:hAnsi="Times New Roman" w:cs="Times New Roman"/>
          <w:color w:val="000000" w:themeColor="text1"/>
          <w:w w:val="99"/>
          <w:sz w:val="24"/>
          <w:szCs w:val="24"/>
          <w:highlight w:val="none"/>
          <w:lang w:val="en-US"/>
          <w14:textFill>
            <w14:solidFill>
              <w14:schemeClr w14:val="tx1"/>
            </w14:solidFill>
          </w14:textFill>
        </w:rPr>
        <w:t>影响地下水环境现状问题。</w:t>
      </w:r>
    </w:p>
    <w:p>
      <w:pPr>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现有工程严格实施 HSE 环境管理体系，第七采油厂逐级落实岗位责任制；各工区小队或场站设专职环保员一名，相应采油工区队长及场站站长为 HSE管理体系的第一负责人，对单位日常生产过程中的相关环境工作进行管理。目前所采取的各项环保措施是有效的，项目区域不存在原有污染问题。项目区域</w:t>
      </w:r>
      <w:r>
        <w:rPr>
          <w:rFonts w:ascii="Times New Roman" w:hAnsi="Times New Roman" w:cs="Times New Roman"/>
          <w:color w:val="000000" w:themeColor="text1"/>
          <w:w w:val="99"/>
          <w:sz w:val="24"/>
          <w:szCs w:val="24"/>
          <w:highlight w:val="none"/>
          <w:lang w:val="en-US"/>
          <w14:textFill>
            <w14:solidFill>
              <w14:schemeClr w14:val="tx1"/>
            </w14:solidFill>
          </w14:textFill>
        </w:rPr>
        <w:t>集输系统关系及井网布置</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图见</w:t>
      </w:r>
      <w:r>
        <w:rPr>
          <w:rFonts w:ascii="Times New Roman" w:hAnsi="Times New Roman" w:cs="Times New Roman"/>
          <w:color w:val="000000" w:themeColor="text1"/>
          <w:w w:val="99"/>
          <w:sz w:val="24"/>
          <w:szCs w:val="24"/>
          <w:highlight w:val="none"/>
          <w:lang w:val="en-US"/>
          <w14:textFill>
            <w14:solidFill>
              <w14:schemeClr w14:val="tx1"/>
            </w14:solidFill>
          </w14:textFill>
        </w:rPr>
        <w:t>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18</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tbl>
      <w:tblPr>
        <w:tblStyle w:val="32"/>
        <w:tblW w:w="8919" w:type="dxa"/>
        <w:jc w:val="center"/>
        <w:tblLayout w:type="fixed"/>
        <w:tblCellMar>
          <w:top w:w="0" w:type="dxa"/>
          <w:left w:w="108" w:type="dxa"/>
          <w:bottom w:w="0" w:type="dxa"/>
          <w:right w:w="108" w:type="dxa"/>
        </w:tblCellMar>
      </w:tblPr>
      <w:tblGrid>
        <w:gridCol w:w="4459"/>
        <w:gridCol w:w="4460"/>
      </w:tblGrid>
      <w:tr>
        <w:tblPrEx>
          <w:tblCellMar>
            <w:top w:w="0" w:type="dxa"/>
            <w:left w:w="108" w:type="dxa"/>
            <w:bottom w:w="0" w:type="dxa"/>
            <w:right w:w="108" w:type="dxa"/>
          </w:tblCellMar>
        </w:tblPrEx>
        <w:trPr>
          <w:trHeight w:val="3245" w:hRule="atLeast"/>
          <w:jc w:val="center"/>
        </w:trPr>
        <w:tc>
          <w:tcPr>
            <w:tcW w:w="4459" w:type="dxa"/>
            <w:vAlign w:val="center"/>
          </w:tcPr>
          <w:p>
            <w:pPr>
              <w:adjustRightInd w:val="0"/>
              <w:snapToGrid w:val="0"/>
              <w:jc w:val="both"/>
              <w:rPr>
                <w:rFonts w:hint="eastAsia" w:ascii="Times New Roman" w:hAnsi="Times New Roman" w:eastAsia="宋体" w:cs="Times New Roman"/>
                <w:color w:val="000000" w:themeColor="text1"/>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Cs w:val="24"/>
                <w:highlight w:val="none"/>
                <w:lang w:eastAsia="zh-CN"/>
                <w14:textFill>
                  <w14:solidFill>
                    <w14:schemeClr w14:val="tx1"/>
                  </w14:solidFill>
                </w14:textFill>
              </w:rPr>
              <w:drawing>
                <wp:inline distT="0" distB="0" distL="114300" distR="114300">
                  <wp:extent cx="2684780" cy="3580130"/>
                  <wp:effectExtent l="0" t="0" r="1270" b="1270"/>
                  <wp:docPr id="58" name="图片 58" descr="葡71-72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葡71-72井"/>
                          <pic:cNvPicPr>
                            <a:picLocks noChangeAspect="1"/>
                          </pic:cNvPicPr>
                        </pic:nvPicPr>
                        <pic:blipFill>
                          <a:blip r:embed="rId14"/>
                          <a:stretch>
                            <a:fillRect/>
                          </a:stretch>
                        </pic:blipFill>
                        <pic:spPr>
                          <a:xfrm>
                            <a:off x="0" y="0"/>
                            <a:ext cx="2684780" cy="3580130"/>
                          </a:xfrm>
                          <a:prstGeom prst="rect">
                            <a:avLst/>
                          </a:prstGeom>
                        </pic:spPr>
                      </pic:pic>
                    </a:graphicData>
                  </a:graphic>
                </wp:inline>
              </w:drawing>
            </w:r>
          </w:p>
        </w:tc>
        <w:tc>
          <w:tcPr>
            <w:tcW w:w="4460" w:type="dxa"/>
            <w:vAlign w:val="center"/>
          </w:tcPr>
          <w:p>
            <w:pPr>
              <w:adjustRightInd w:val="0"/>
              <w:snapToGrid w:val="0"/>
              <w:jc w:val="both"/>
              <w:rPr>
                <w:rFonts w:hint="eastAsia" w:ascii="Times New Roman" w:hAnsi="Times New Roman" w:eastAsia="宋体" w:cs="Times New Roman"/>
                <w:color w:val="000000" w:themeColor="text1"/>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Cs w:val="24"/>
                <w:highlight w:val="none"/>
                <w:lang w:eastAsia="zh-CN"/>
                <w14:textFill>
                  <w14:solidFill>
                    <w14:schemeClr w14:val="tx1"/>
                  </w14:solidFill>
                </w14:textFill>
              </w:rPr>
              <w:drawing>
                <wp:inline distT="0" distB="0" distL="114300" distR="114300">
                  <wp:extent cx="2684780" cy="3580130"/>
                  <wp:effectExtent l="0" t="0" r="1270" b="1270"/>
                  <wp:docPr id="59" name="图片 59" descr="葡70-67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葡70-67井"/>
                          <pic:cNvPicPr>
                            <a:picLocks noChangeAspect="1"/>
                          </pic:cNvPicPr>
                        </pic:nvPicPr>
                        <pic:blipFill>
                          <a:blip r:embed="rId15"/>
                          <a:stretch>
                            <a:fillRect/>
                          </a:stretch>
                        </pic:blipFill>
                        <pic:spPr>
                          <a:xfrm>
                            <a:off x="0" y="0"/>
                            <a:ext cx="2684780" cy="3580130"/>
                          </a:xfrm>
                          <a:prstGeom prst="rect">
                            <a:avLst/>
                          </a:prstGeom>
                        </pic:spPr>
                      </pic:pic>
                    </a:graphicData>
                  </a:graphic>
                </wp:inline>
              </w:drawing>
            </w:r>
          </w:p>
        </w:tc>
      </w:tr>
      <w:tr>
        <w:tblPrEx>
          <w:tblCellMar>
            <w:top w:w="0" w:type="dxa"/>
            <w:left w:w="108" w:type="dxa"/>
            <w:bottom w:w="0" w:type="dxa"/>
            <w:right w:w="108" w:type="dxa"/>
          </w:tblCellMar>
        </w:tblPrEx>
        <w:trPr>
          <w:trHeight w:val="311" w:hRule="atLeast"/>
          <w:jc w:val="center"/>
        </w:trPr>
        <w:tc>
          <w:tcPr>
            <w:tcW w:w="4459" w:type="dxa"/>
            <w:vAlign w:val="center"/>
          </w:tcPr>
          <w:p>
            <w:pPr>
              <w:adjustRightInd w:val="0"/>
              <w:snapToGrid w:val="0"/>
              <w:jc w:val="center"/>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葡7</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72</w:t>
            </w:r>
            <w:r>
              <w:rPr>
                <w:rFonts w:hint="eastAsia" w:ascii="Times New Roman" w:hAnsi="Times New Roman" w:cs="Times New Roman"/>
                <w:color w:val="000000" w:themeColor="text1"/>
                <w:w w:val="99"/>
                <w:sz w:val="24"/>
                <w:szCs w:val="24"/>
                <w:highlight w:val="none"/>
                <w14:textFill>
                  <w14:solidFill>
                    <w14:schemeClr w14:val="tx1"/>
                  </w14:solidFill>
                </w14:textFill>
              </w:rPr>
              <w:t>井场</w:t>
            </w:r>
            <w:r>
              <w:rPr>
                <w:rFonts w:ascii="Times New Roman" w:hAnsi="Times New Roman" w:cs="Times New Roman"/>
                <w:color w:val="000000" w:themeColor="text1"/>
                <w:w w:val="99"/>
                <w:sz w:val="24"/>
                <w:szCs w:val="24"/>
                <w:highlight w:val="none"/>
                <w14:textFill>
                  <w14:solidFill>
                    <w14:schemeClr w14:val="tx1"/>
                  </w14:solidFill>
                </w14:textFill>
              </w:rPr>
              <w:t>现状</w:t>
            </w:r>
          </w:p>
        </w:tc>
        <w:tc>
          <w:tcPr>
            <w:tcW w:w="4460" w:type="dxa"/>
            <w:vAlign w:val="center"/>
          </w:tcPr>
          <w:p>
            <w:pPr>
              <w:adjustRightInd w:val="0"/>
              <w:snapToGrid w:val="0"/>
              <w:jc w:val="center"/>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葡</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70</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67</w:t>
            </w:r>
            <w:r>
              <w:rPr>
                <w:rFonts w:hint="eastAsia" w:ascii="Times New Roman" w:hAnsi="Times New Roman" w:cs="Times New Roman"/>
                <w:color w:val="000000" w:themeColor="text1"/>
                <w:w w:val="99"/>
                <w:sz w:val="24"/>
                <w:szCs w:val="24"/>
                <w:highlight w:val="none"/>
                <w14:textFill>
                  <w14:solidFill>
                    <w14:schemeClr w14:val="tx1"/>
                  </w14:solidFill>
                </w14:textFill>
              </w:rPr>
              <w:t>井场</w:t>
            </w:r>
            <w:r>
              <w:rPr>
                <w:rFonts w:ascii="Times New Roman" w:hAnsi="Times New Roman" w:cs="Times New Roman"/>
                <w:color w:val="000000" w:themeColor="text1"/>
                <w:w w:val="99"/>
                <w:sz w:val="24"/>
                <w:szCs w:val="24"/>
                <w:highlight w:val="none"/>
                <w14:textFill>
                  <w14:solidFill>
                    <w14:schemeClr w14:val="tx1"/>
                  </w14:solidFill>
                </w14:textFill>
              </w:rPr>
              <w:t>现状</w:t>
            </w:r>
          </w:p>
        </w:tc>
      </w:tr>
      <w:tr>
        <w:tblPrEx>
          <w:tblCellMar>
            <w:top w:w="0" w:type="dxa"/>
            <w:left w:w="108" w:type="dxa"/>
            <w:bottom w:w="0" w:type="dxa"/>
            <w:right w:w="108" w:type="dxa"/>
          </w:tblCellMar>
        </w:tblPrEx>
        <w:trPr>
          <w:trHeight w:val="311" w:hRule="atLeast"/>
          <w:jc w:val="center"/>
        </w:trPr>
        <w:tc>
          <w:tcPr>
            <w:tcW w:w="4459" w:type="dxa"/>
            <w:vAlign w:val="center"/>
          </w:tcPr>
          <w:p>
            <w:pPr>
              <w:adjustRightInd w:val="0"/>
              <w:snapToGrid w:val="0"/>
              <w:jc w:val="cente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drawing>
                <wp:inline distT="0" distB="0" distL="114300" distR="114300">
                  <wp:extent cx="2684780" cy="3580130"/>
                  <wp:effectExtent l="0" t="0" r="1270" b="1270"/>
                  <wp:docPr id="65" name="图片 65" descr="葡70-70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葡70-70井"/>
                          <pic:cNvPicPr>
                            <a:picLocks noChangeAspect="1"/>
                          </pic:cNvPicPr>
                        </pic:nvPicPr>
                        <pic:blipFill>
                          <a:blip r:embed="rId16"/>
                          <a:stretch>
                            <a:fillRect/>
                          </a:stretch>
                        </pic:blipFill>
                        <pic:spPr>
                          <a:xfrm>
                            <a:off x="0" y="0"/>
                            <a:ext cx="2684780" cy="3580130"/>
                          </a:xfrm>
                          <a:prstGeom prst="rect">
                            <a:avLst/>
                          </a:prstGeom>
                        </pic:spPr>
                      </pic:pic>
                    </a:graphicData>
                  </a:graphic>
                </wp:inline>
              </w:drawing>
            </w:r>
          </w:p>
        </w:tc>
        <w:tc>
          <w:tcPr>
            <w:tcW w:w="4460" w:type="dxa"/>
            <w:vAlign w:val="center"/>
          </w:tcPr>
          <w:p>
            <w:pPr>
              <w:adjustRightInd w:val="0"/>
              <w:snapToGrid w:val="0"/>
              <w:jc w:val="cente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drawing>
                <wp:inline distT="0" distB="0" distL="114300" distR="114300">
                  <wp:extent cx="2684780" cy="3580130"/>
                  <wp:effectExtent l="0" t="0" r="1270" b="1270"/>
                  <wp:docPr id="66" name="图片 66" descr="葡70-斜702井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葡70-斜702井场"/>
                          <pic:cNvPicPr>
                            <a:picLocks noChangeAspect="1"/>
                          </pic:cNvPicPr>
                        </pic:nvPicPr>
                        <pic:blipFill>
                          <a:blip r:embed="rId17"/>
                          <a:stretch>
                            <a:fillRect/>
                          </a:stretch>
                        </pic:blipFill>
                        <pic:spPr>
                          <a:xfrm>
                            <a:off x="0" y="0"/>
                            <a:ext cx="2684780" cy="3580130"/>
                          </a:xfrm>
                          <a:prstGeom prst="rect">
                            <a:avLst/>
                          </a:prstGeom>
                        </pic:spPr>
                      </pic:pic>
                    </a:graphicData>
                  </a:graphic>
                </wp:inline>
              </w:drawing>
            </w:r>
          </w:p>
        </w:tc>
      </w:tr>
      <w:tr>
        <w:tblPrEx>
          <w:tblCellMar>
            <w:top w:w="0" w:type="dxa"/>
            <w:left w:w="108" w:type="dxa"/>
            <w:bottom w:w="0" w:type="dxa"/>
            <w:right w:w="108" w:type="dxa"/>
          </w:tblCellMar>
        </w:tblPrEx>
        <w:trPr>
          <w:trHeight w:val="311" w:hRule="atLeast"/>
          <w:jc w:val="center"/>
        </w:trPr>
        <w:tc>
          <w:tcPr>
            <w:tcW w:w="4459" w:type="dxa"/>
            <w:vAlign w:val="center"/>
          </w:tcPr>
          <w:p>
            <w:pPr>
              <w:adjustRightInd w:val="0"/>
              <w:snapToGrid w:val="0"/>
              <w:jc w:val="center"/>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葡</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70</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70</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井</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场现状</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 xml:space="preserve">            </w:t>
            </w:r>
          </w:p>
        </w:tc>
        <w:tc>
          <w:tcPr>
            <w:tcW w:w="4460" w:type="dxa"/>
            <w:vAlign w:val="center"/>
          </w:tcPr>
          <w:p>
            <w:pPr>
              <w:adjustRightInd w:val="0"/>
              <w:snapToGrid w:val="0"/>
              <w:jc w:val="center"/>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葡</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70</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斜702</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井场</w:t>
            </w:r>
            <w:r>
              <w:rPr>
                <w:rFonts w:ascii="Times New Roman" w:hAnsi="Times New Roman" w:cs="Times New Roman"/>
                <w:color w:val="000000" w:themeColor="text1"/>
                <w:w w:val="99"/>
                <w:sz w:val="24"/>
                <w:szCs w:val="24"/>
                <w:highlight w:val="none"/>
                <w:lang w:val="en-US" w:bidi="ar-SA"/>
                <w14:textFill>
                  <w14:solidFill>
                    <w14:schemeClr w14:val="tx1"/>
                  </w14:solidFill>
                </w14:textFill>
              </w:rPr>
              <w:t>现状</w:t>
            </w:r>
          </w:p>
        </w:tc>
      </w:tr>
      <w:tr>
        <w:tblPrEx>
          <w:tblCellMar>
            <w:top w:w="0" w:type="dxa"/>
            <w:left w:w="108" w:type="dxa"/>
            <w:bottom w:w="0" w:type="dxa"/>
            <w:right w:w="108" w:type="dxa"/>
          </w:tblCellMar>
        </w:tblPrEx>
        <w:trPr>
          <w:trHeight w:val="311" w:hRule="atLeast"/>
          <w:jc w:val="center"/>
        </w:trPr>
        <w:tc>
          <w:tcPr>
            <w:tcW w:w="4459" w:type="dxa"/>
            <w:vAlign w:val="center"/>
          </w:tcPr>
          <w:p>
            <w:pPr>
              <w:adjustRightInd w:val="0"/>
              <w:snapToGrid w:val="0"/>
              <w:jc w:val="center"/>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drawing>
                <wp:inline distT="0" distB="0" distL="114300" distR="114300">
                  <wp:extent cx="2684780" cy="3580130"/>
                  <wp:effectExtent l="0" t="0" r="1270" b="1270"/>
                  <wp:docPr id="67" name="图片 67" descr="葡73-71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葡73-71井"/>
                          <pic:cNvPicPr>
                            <a:picLocks noChangeAspect="1"/>
                          </pic:cNvPicPr>
                        </pic:nvPicPr>
                        <pic:blipFill>
                          <a:blip r:embed="rId18"/>
                          <a:stretch>
                            <a:fillRect/>
                          </a:stretch>
                        </pic:blipFill>
                        <pic:spPr>
                          <a:xfrm>
                            <a:off x="0" y="0"/>
                            <a:ext cx="2684780" cy="3580130"/>
                          </a:xfrm>
                          <a:prstGeom prst="rect">
                            <a:avLst/>
                          </a:prstGeom>
                        </pic:spPr>
                      </pic:pic>
                    </a:graphicData>
                  </a:graphic>
                </wp:inline>
              </w:drawing>
            </w:r>
          </w:p>
        </w:tc>
        <w:tc>
          <w:tcPr>
            <w:tcW w:w="4460" w:type="dxa"/>
            <w:vAlign w:val="center"/>
          </w:tcPr>
          <w:p>
            <w:pPr>
              <w:adjustRightInd w:val="0"/>
              <w:snapToGrid w:val="0"/>
              <w:jc w:val="center"/>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drawing>
                <wp:inline distT="0" distB="0" distL="114300" distR="114300">
                  <wp:extent cx="2684780" cy="3580130"/>
                  <wp:effectExtent l="0" t="0" r="1270" b="1270"/>
                  <wp:docPr id="69" name="图片 69" descr="99d383ce3b84a850ddb26c0fbded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99d383ce3b84a850ddb26c0fbded386"/>
                          <pic:cNvPicPr>
                            <a:picLocks noChangeAspect="1"/>
                          </pic:cNvPicPr>
                        </pic:nvPicPr>
                        <pic:blipFill>
                          <a:blip r:embed="rId19"/>
                          <a:stretch>
                            <a:fillRect/>
                          </a:stretch>
                        </pic:blipFill>
                        <pic:spPr>
                          <a:xfrm>
                            <a:off x="0" y="0"/>
                            <a:ext cx="2684780" cy="3580130"/>
                          </a:xfrm>
                          <a:prstGeom prst="rect">
                            <a:avLst/>
                          </a:prstGeom>
                        </pic:spPr>
                      </pic:pic>
                    </a:graphicData>
                  </a:graphic>
                </wp:inline>
              </w:drawing>
            </w:r>
          </w:p>
        </w:tc>
      </w:tr>
      <w:tr>
        <w:tblPrEx>
          <w:tblCellMar>
            <w:top w:w="0" w:type="dxa"/>
            <w:left w:w="108" w:type="dxa"/>
            <w:bottom w:w="0" w:type="dxa"/>
            <w:right w:w="108" w:type="dxa"/>
          </w:tblCellMar>
        </w:tblPrEx>
        <w:trPr>
          <w:trHeight w:val="311" w:hRule="atLeast"/>
          <w:jc w:val="center"/>
        </w:trPr>
        <w:tc>
          <w:tcPr>
            <w:tcW w:w="4459" w:type="dxa"/>
            <w:vAlign w:val="center"/>
          </w:tcPr>
          <w:p>
            <w:pPr>
              <w:adjustRightInd w:val="0"/>
              <w:snapToGrid w:val="0"/>
              <w:jc w:val="center"/>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葡77-71</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井场</w:t>
            </w:r>
            <w:r>
              <w:rPr>
                <w:rFonts w:ascii="Times New Roman" w:hAnsi="Times New Roman" w:cs="Times New Roman"/>
                <w:color w:val="000000" w:themeColor="text1"/>
                <w:w w:val="99"/>
                <w:sz w:val="24"/>
                <w:szCs w:val="24"/>
                <w:highlight w:val="none"/>
                <w:lang w:val="en-US" w:bidi="ar-SA"/>
                <w14:textFill>
                  <w14:solidFill>
                    <w14:schemeClr w14:val="tx1"/>
                  </w14:solidFill>
                </w14:textFill>
              </w:rPr>
              <w:t>现状</w:t>
            </w:r>
          </w:p>
        </w:tc>
        <w:tc>
          <w:tcPr>
            <w:tcW w:w="4460" w:type="dxa"/>
            <w:vAlign w:val="center"/>
          </w:tcPr>
          <w:p>
            <w:pPr>
              <w:adjustRightInd w:val="0"/>
              <w:snapToGrid w:val="0"/>
              <w:jc w:val="center"/>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葡69-斜692</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井场</w:t>
            </w:r>
            <w:r>
              <w:rPr>
                <w:rFonts w:ascii="Times New Roman" w:hAnsi="Times New Roman" w:cs="Times New Roman"/>
                <w:color w:val="000000" w:themeColor="text1"/>
                <w:w w:val="99"/>
                <w:sz w:val="24"/>
                <w:szCs w:val="24"/>
                <w:highlight w:val="none"/>
                <w:lang w:val="en-US" w:bidi="ar-SA"/>
                <w14:textFill>
                  <w14:solidFill>
                    <w14:schemeClr w14:val="tx1"/>
                  </w14:solidFill>
                </w14:textFill>
              </w:rPr>
              <w:t>现状</w:t>
            </w:r>
          </w:p>
        </w:tc>
      </w:tr>
    </w:tbl>
    <w:p>
      <w:pPr>
        <w:tabs>
          <w:tab w:val="left" w:pos="751"/>
        </w:tabs>
        <w:spacing w:before="120" w:after="120" w:line="440" w:lineRule="exact"/>
        <w:jc w:val="both"/>
        <w:outlineLvl w:val="1"/>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pPr>
      <w:bookmarkStart w:id="45" w:name="_Toc2918"/>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3.3 依托工程分析</w:t>
      </w:r>
      <w:bookmarkEnd w:id="45"/>
    </w:p>
    <w:p>
      <w:pPr>
        <w:pStyle w:val="45"/>
        <w:tabs>
          <w:tab w:val="left" w:pos="930"/>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3.3.1 依托工程能力核实</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本次产能依托场站详见表3.3-1</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p>
    <w:p>
      <w:pPr>
        <w:spacing w:line="440" w:lineRule="exact"/>
        <w:ind w:firstLine="476" w:firstLineChars="200"/>
        <w:jc w:val="both"/>
        <w:rPr>
          <w:rFonts w:ascii="Times New Roman" w:hAnsi="Times New Roman" w:cs="Times New Roman"/>
          <w:b/>
          <w:bCs w:val="0"/>
          <w:color w:val="000000" w:themeColor="text1"/>
          <w:w w:val="99"/>
          <w:sz w:val="24"/>
          <w:szCs w:val="20"/>
          <w:highlight w:val="none"/>
          <w:lang w:val="en-US"/>
          <w14:textFill>
            <w14:solidFill>
              <w14:schemeClr w14:val="tx1"/>
            </w14:solidFill>
          </w14:textFill>
        </w:rPr>
      </w:pPr>
    </w:p>
    <w:p>
      <w:pPr>
        <w:spacing w:line="440" w:lineRule="exact"/>
        <w:ind w:firstLine="476" w:firstLineChars="200"/>
        <w:jc w:val="both"/>
        <w:rPr>
          <w:rFonts w:ascii="Times New Roman" w:hAnsi="Times New Roman" w:cs="Times New Roman"/>
          <w:b/>
          <w:bCs w:val="0"/>
          <w:color w:val="000000" w:themeColor="text1"/>
          <w:w w:val="99"/>
          <w:sz w:val="24"/>
          <w:szCs w:val="20"/>
          <w:highlight w:val="none"/>
          <w:lang w:val="en-US"/>
          <w14:textFill>
            <w14:solidFill>
              <w14:schemeClr w14:val="tx1"/>
            </w14:solidFill>
          </w14:textFill>
        </w:rPr>
      </w:pPr>
      <w:r>
        <w:rPr>
          <w:rFonts w:ascii="Times New Roman" w:hAnsi="Times New Roman" w:cs="Times New Roman"/>
          <w:b/>
          <w:bCs w:val="0"/>
          <w:color w:val="000000" w:themeColor="text1"/>
          <w:w w:val="99"/>
          <w:sz w:val="24"/>
          <w:szCs w:val="20"/>
          <w:highlight w:val="none"/>
          <w:lang w:val="en-US"/>
          <w14:textFill>
            <w14:solidFill>
              <w14:schemeClr w14:val="tx1"/>
            </w14:solidFill>
          </w14:textFill>
        </w:rPr>
        <w:t>表3.3-1</w:t>
      </w:r>
      <w:r>
        <w:rPr>
          <w:rFonts w:hint="eastAsia" w:ascii="Times New Roman" w:hAnsi="Times New Roman" w:cs="Times New Roman"/>
          <w:b/>
          <w:bCs w:val="0"/>
          <w:color w:val="000000" w:themeColor="text1"/>
          <w:w w:val="99"/>
          <w:sz w:val="24"/>
          <w:szCs w:val="20"/>
          <w:highlight w:val="none"/>
          <w:lang w:val="en-US" w:eastAsia="zh-CN"/>
          <w14:textFill>
            <w14:solidFill>
              <w14:schemeClr w14:val="tx1"/>
            </w14:solidFill>
          </w14:textFill>
        </w:rPr>
        <w:t xml:space="preserve">    </w:t>
      </w:r>
      <w:r>
        <w:rPr>
          <w:rFonts w:hint="eastAsia" w:ascii="Times New Roman" w:hAnsi="Times New Roman" w:cs="Times New Roman"/>
          <w:b/>
          <w:bCs w:val="0"/>
          <w:color w:val="000000" w:themeColor="text1"/>
          <w:w w:val="99"/>
          <w:sz w:val="24"/>
          <w:szCs w:val="20"/>
          <w:highlight w:val="none"/>
          <w:lang w:val="en-US"/>
          <w14:textFill>
            <w14:solidFill>
              <w14:schemeClr w14:val="tx1"/>
            </w14:solidFill>
          </w14:textFill>
        </w:rPr>
        <w:t xml:space="preserve">    </w:t>
      </w:r>
      <w:r>
        <w:rPr>
          <w:rFonts w:ascii="Times New Roman" w:hAnsi="Times New Roman" w:cs="Times New Roman"/>
          <w:b/>
          <w:bCs w:val="0"/>
          <w:color w:val="000000" w:themeColor="text1"/>
          <w:w w:val="99"/>
          <w:sz w:val="24"/>
          <w:szCs w:val="20"/>
          <w:highlight w:val="none"/>
          <w:lang w:val="en-US"/>
          <w14:textFill>
            <w14:solidFill>
              <w14:schemeClr w14:val="tx1"/>
            </w14:solidFill>
          </w14:textFill>
        </w:rPr>
        <w:t>本项目依托工程场站信息</w:t>
      </w:r>
    </w:p>
    <w:tbl>
      <w:tblPr>
        <w:tblStyle w:val="3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100"/>
        <w:gridCol w:w="1559"/>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5"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bookmarkStart w:id="46" w:name="_Toc31465"/>
            <w:bookmarkStart w:id="47" w:name="_Toc13351"/>
            <w:bookmarkStart w:id="48" w:name="_Toc23145"/>
            <w:r>
              <w:rPr>
                <w:rFonts w:ascii="Times New Roman" w:hAnsi="Times New Roman" w:cs="Times New Roman"/>
                <w:color w:val="000000" w:themeColor="text1"/>
                <w:w w:val="99"/>
                <w:sz w:val="21"/>
                <w:szCs w:val="21"/>
                <w:highlight w:val="none"/>
                <w14:textFill>
                  <w14:solidFill>
                    <w14:schemeClr w14:val="tx1"/>
                  </w14:solidFill>
                </w14:textFill>
              </w:rPr>
              <w:t>序号</w:t>
            </w:r>
            <w:bookmarkEnd w:id="46"/>
            <w:bookmarkEnd w:id="47"/>
            <w:bookmarkEnd w:id="48"/>
          </w:p>
        </w:tc>
        <w:tc>
          <w:tcPr>
            <w:tcW w:w="2100"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bookmarkStart w:id="49" w:name="_Toc24307"/>
            <w:bookmarkStart w:id="50" w:name="_Toc26640"/>
            <w:bookmarkStart w:id="51" w:name="_Toc13996"/>
            <w:r>
              <w:rPr>
                <w:rFonts w:ascii="Times New Roman" w:hAnsi="Times New Roman" w:cs="Times New Roman"/>
                <w:color w:val="000000" w:themeColor="text1"/>
                <w:w w:val="99"/>
                <w:sz w:val="21"/>
                <w:szCs w:val="21"/>
                <w:highlight w:val="none"/>
                <w14:textFill>
                  <w14:solidFill>
                    <w14:schemeClr w14:val="tx1"/>
                  </w14:solidFill>
                </w14:textFill>
              </w:rPr>
              <w:t>分类</w:t>
            </w:r>
            <w:bookmarkEnd w:id="49"/>
            <w:bookmarkEnd w:id="50"/>
            <w:bookmarkEnd w:id="51"/>
          </w:p>
        </w:tc>
        <w:tc>
          <w:tcPr>
            <w:tcW w:w="1559"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bookmarkStart w:id="52" w:name="_Toc18412"/>
            <w:bookmarkStart w:id="53" w:name="_Toc30432"/>
            <w:bookmarkStart w:id="54" w:name="_Toc29845"/>
            <w:r>
              <w:rPr>
                <w:rFonts w:ascii="Times New Roman" w:hAnsi="Times New Roman" w:cs="Times New Roman"/>
                <w:color w:val="000000" w:themeColor="text1"/>
                <w:w w:val="99"/>
                <w:sz w:val="21"/>
                <w:szCs w:val="21"/>
                <w:highlight w:val="none"/>
                <w14:textFill>
                  <w14:solidFill>
                    <w14:schemeClr w14:val="tx1"/>
                  </w14:solidFill>
                </w14:textFill>
              </w:rPr>
              <w:t>数量（座）</w:t>
            </w:r>
            <w:bookmarkEnd w:id="52"/>
            <w:bookmarkEnd w:id="53"/>
            <w:bookmarkEnd w:id="54"/>
          </w:p>
        </w:tc>
        <w:tc>
          <w:tcPr>
            <w:tcW w:w="4644"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bookmarkStart w:id="55" w:name="_Toc4834"/>
            <w:bookmarkStart w:id="56" w:name="_Toc29737"/>
            <w:bookmarkStart w:id="57" w:name="_Toc7253"/>
            <w:r>
              <w:rPr>
                <w:rFonts w:ascii="Times New Roman" w:hAnsi="Times New Roman" w:cs="Times New Roman"/>
                <w:color w:val="000000" w:themeColor="text1"/>
                <w:w w:val="99"/>
                <w:sz w:val="21"/>
                <w:szCs w:val="21"/>
                <w:highlight w:val="none"/>
                <w14:textFill>
                  <w14:solidFill>
                    <w14:schemeClr w14:val="tx1"/>
                  </w14:solidFill>
                </w14:textFill>
              </w:rPr>
              <w:t>名称</w:t>
            </w:r>
            <w:bookmarkEnd w:id="55"/>
            <w:bookmarkEnd w:id="5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5"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bookmarkStart w:id="58" w:name="_Toc22482"/>
            <w:bookmarkStart w:id="59" w:name="_Toc27916"/>
            <w:bookmarkStart w:id="60" w:name="_Toc17166"/>
            <w:r>
              <w:rPr>
                <w:rFonts w:ascii="Times New Roman" w:hAnsi="Times New Roman" w:cs="Times New Roman"/>
                <w:color w:val="000000" w:themeColor="text1"/>
                <w:w w:val="99"/>
                <w:sz w:val="21"/>
                <w:szCs w:val="21"/>
                <w:highlight w:val="none"/>
                <w14:textFill>
                  <w14:solidFill>
                    <w14:schemeClr w14:val="tx1"/>
                  </w14:solidFill>
                </w14:textFill>
              </w:rPr>
              <w:t>1</w:t>
            </w:r>
            <w:bookmarkEnd w:id="58"/>
            <w:bookmarkEnd w:id="59"/>
            <w:bookmarkEnd w:id="60"/>
          </w:p>
        </w:tc>
        <w:tc>
          <w:tcPr>
            <w:tcW w:w="2100"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bookmarkStart w:id="61" w:name="_Toc1868"/>
            <w:bookmarkStart w:id="62" w:name="_Toc32036"/>
            <w:bookmarkStart w:id="63" w:name="_Toc16591"/>
            <w:r>
              <w:rPr>
                <w:rFonts w:ascii="Times New Roman" w:hAnsi="Times New Roman" w:cs="Times New Roman"/>
                <w:color w:val="000000" w:themeColor="text1"/>
                <w:w w:val="99"/>
                <w:sz w:val="21"/>
                <w:szCs w:val="21"/>
                <w:highlight w:val="none"/>
                <w14:textFill>
                  <w14:solidFill>
                    <w14:schemeClr w14:val="tx1"/>
                  </w14:solidFill>
                </w14:textFill>
              </w:rPr>
              <w:t>转油站</w:t>
            </w:r>
            <w:bookmarkEnd w:id="61"/>
            <w:bookmarkEnd w:id="62"/>
            <w:bookmarkEnd w:id="63"/>
          </w:p>
        </w:tc>
        <w:tc>
          <w:tcPr>
            <w:tcW w:w="1559" w:type="dxa"/>
            <w:tcBorders>
              <w:tl2br w:val="nil"/>
              <w:tr2bl w:val="nil"/>
            </w:tcBorders>
            <w:vAlign w:val="center"/>
          </w:tcPr>
          <w:p>
            <w:pPr>
              <w:jc w:val="cente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2</w:t>
            </w:r>
          </w:p>
        </w:tc>
        <w:tc>
          <w:tcPr>
            <w:tcW w:w="4644" w:type="dxa"/>
            <w:tcBorders>
              <w:tl2br w:val="nil"/>
              <w:tr2bl w:val="nil"/>
            </w:tcBorders>
            <w:vAlign w:val="center"/>
          </w:tcPr>
          <w:p>
            <w:pPr>
              <w:jc w:val="cente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pPr>
            <w:r>
              <w:rPr>
                <w:rFonts w:hint="eastAsia" w:ascii="Times New Roman" w:hAnsi="Times New Roman" w:cs="Times New Roman"/>
                <w:bCs/>
                <w:color w:val="000000" w:themeColor="text1"/>
                <w:w w:val="99"/>
                <w:sz w:val="21"/>
                <w:szCs w:val="21"/>
                <w:highlight w:val="none"/>
                <w:lang w:val="en-US" w:eastAsia="zh-CN"/>
                <w14:textFill>
                  <w14:solidFill>
                    <w14:schemeClr w14:val="tx1"/>
                  </w14:solidFill>
                </w14:textFill>
              </w:rPr>
              <w:t>葡北9#转油站</w:t>
            </w: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w:t>
            </w:r>
            <w:r>
              <w:rPr>
                <w:rFonts w:hint="eastAsia" w:ascii="Times New Roman" w:hAnsi="Times New Roman" w:cs="Times New Roman"/>
                <w:bCs/>
                <w:color w:val="000000" w:themeColor="text1"/>
                <w:w w:val="99"/>
                <w:sz w:val="21"/>
                <w:szCs w:val="21"/>
                <w:highlight w:val="none"/>
                <w:lang w:val="en-US" w:eastAsia="zh-CN"/>
                <w14:textFill>
                  <w14:solidFill>
                    <w14:schemeClr w14:val="tx1"/>
                  </w14:solidFill>
                </w14:textFill>
              </w:rPr>
              <w:t>葡北10#转油站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5"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w:t>
            </w:r>
          </w:p>
        </w:tc>
        <w:tc>
          <w:tcPr>
            <w:tcW w:w="2100"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脱水站</w:t>
            </w:r>
          </w:p>
        </w:tc>
        <w:tc>
          <w:tcPr>
            <w:tcW w:w="1559"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3</w:t>
            </w:r>
          </w:p>
        </w:tc>
        <w:tc>
          <w:tcPr>
            <w:tcW w:w="4644"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葡二联脱水站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5"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3</w:t>
            </w:r>
          </w:p>
        </w:tc>
        <w:tc>
          <w:tcPr>
            <w:tcW w:w="2100"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bookmarkStart w:id="64" w:name="_Toc6404"/>
            <w:bookmarkStart w:id="65" w:name="_Toc13781"/>
            <w:bookmarkStart w:id="66" w:name="_Toc26137"/>
            <w:r>
              <w:rPr>
                <w:rFonts w:ascii="Times New Roman" w:hAnsi="Times New Roman" w:cs="Times New Roman"/>
                <w:color w:val="000000" w:themeColor="text1"/>
                <w:w w:val="99"/>
                <w:sz w:val="21"/>
                <w:szCs w:val="21"/>
                <w:highlight w:val="none"/>
                <w14:textFill>
                  <w14:solidFill>
                    <w14:schemeClr w14:val="tx1"/>
                  </w14:solidFill>
                </w14:textFill>
              </w:rPr>
              <w:t>污水处理站</w:t>
            </w:r>
            <w:bookmarkEnd w:id="64"/>
            <w:bookmarkEnd w:id="65"/>
            <w:bookmarkEnd w:id="66"/>
          </w:p>
        </w:tc>
        <w:tc>
          <w:tcPr>
            <w:tcW w:w="1559"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3</w:t>
            </w:r>
          </w:p>
        </w:tc>
        <w:tc>
          <w:tcPr>
            <w:tcW w:w="4644" w:type="dxa"/>
            <w:tcBorders>
              <w:tl2br w:val="nil"/>
              <w:tr2bl w:val="nil"/>
            </w:tcBorders>
            <w:vAlign w:val="center"/>
          </w:tcPr>
          <w:p>
            <w:pPr>
              <w:jc w:val="cente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pPr>
            <w:r>
              <w:rPr>
                <w:rFonts w:hint="eastAsia" w:ascii="Times New Roman" w:hAnsi="Times New Roman" w:cs="Times New Roman"/>
                <w:bCs/>
                <w:color w:val="000000" w:themeColor="text1"/>
                <w:w w:val="99"/>
                <w:sz w:val="21"/>
                <w:szCs w:val="21"/>
                <w:highlight w:val="none"/>
                <w:lang w:val="en-US" w:eastAsia="zh-CN"/>
                <w14:textFill>
                  <w14:solidFill>
                    <w14:schemeClr w14:val="tx1"/>
                  </w14:solidFill>
                </w14:textFill>
              </w:rPr>
              <w:t>葡二联含油污水处理站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5"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4</w:t>
            </w:r>
          </w:p>
        </w:tc>
        <w:tc>
          <w:tcPr>
            <w:tcW w:w="2100"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bookmarkStart w:id="67" w:name="_Toc11040"/>
            <w:bookmarkStart w:id="68" w:name="_Toc3510"/>
            <w:bookmarkStart w:id="69" w:name="_Toc28104"/>
            <w:r>
              <w:rPr>
                <w:rFonts w:ascii="Times New Roman" w:hAnsi="Times New Roman" w:cs="Times New Roman"/>
                <w:color w:val="000000" w:themeColor="text1"/>
                <w:w w:val="99"/>
                <w:sz w:val="21"/>
                <w:szCs w:val="21"/>
                <w:highlight w:val="none"/>
                <w14:textFill>
                  <w14:solidFill>
                    <w14:schemeClr w14:val="tx1"/>
                  </w14:solidFill>
                </w14:textFill>
              </w:rPr>
              <w:t>含油污泥处理站</w:t>
            </w:r>
            <w:bookmarkEnd w:id="67"/>
            <w:bookmarkEnd w:id="68"/>
            <w:bookmarkEnd w:id="69"/>
          </w:p>
        </w:tc>
        <w:tc>
          <w:tcPr>
            <w:tcW w:w="1559"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bookmarkStart w:id="70" w:name="_Toc3614"/>
            <w:bookmarkStart w:id="71" w:name="_Toc28938"/>
            <w:bookmarkStart w:id="72" w:name="_Toc4980"/>
            <w:r>
              <w:rPr>
                <w:rFonts w:ascii="Times New Roman" w:hAnsi="Times New Roman" w:cs="Times New Roman"/>
                <w:color w:val="000000" w:themeColor="text1"/>
                <w:w w:val="99"/>
                <w:sz w:val="21"/>
                <w:szCs w:val="21"/>
                <w:highlight w:val="none"/>
                <w14:textFill>
                  <w14:solidFill>
                    <w14:schemeClr w14:val="tx1"/>
                  </w14:solidFill>
                </w14:textFill>
              </w:rPr>
              <w:t>1</w:t>
            </w:r>
            <w:bookmarkEnd w:id="70"/>
            <w:bookmarkEnd w:id="71"/>
            <w:bookmarkEnd w:id="72"/>
          </w:p>
        </w:tc>
        <w:tc>
          <w:tcPr>
            <w:tcW w:w="4644"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bookmarkStart w:id="73" w:name="_Toc24034"/>
            <w:bookmarkStart w:id="74" w:name="_Toc3793"/>
            <w:bookmarkStart w:id="75" w:name="_Toc13720"/>
            <w:r>
              <w:rPr>
                <w:rFonts w:hint="eastAsia" w:ascii="Times New Roman" w:hAnsi="Times New Roman" w:cs="Times New Roman"/>
                <w:color w:val="000000" w:themeColor="text1"/>
                <w:w w:val="99"/>
                <w:sz w:val="21"/>
                <w:szCs w:val="21"/>
                <w:highlight w:val="none"/>
                <w14:textFill>
                  <w14:solidFill>
                    <w14:schemeClr w14:val="tx1"/>
                  </w14:solidFill>
                </w14:textFill>
              </w:rPr>
              <w:t>葡萄花</w:t>
            </w:r>
            <w:r>
              <w:rPr>
                <w:rFonts w:ascii="Times New Roman" w:hAnsi="Times New Roman" w:cs="Times New Roman"/>
                <w:color w:val="000000" w:themeColor="text1"/>
                <w:w w:val="99"/>
                <w:sz w:val="21"/>
                <w:szCs w:val="21"/>
                <w:highlight w:val="none"/>
                <w14:textFill>
                  <w14:solidFill>
                    <w14:schemeClr w14:val="tx1"/>
                  </w14:solidFill>
                </w14:textFill>
              </w:rPr>
              <w:t>含油污泥处理站</w:t>
            </w:r>
            <w:bookmarkEnd w:id="73"/>
            <w:bookmarkEnd w:id="74"/>
            <w:bookmarkEnd w:id="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5" w:type="dxa"/>
            <w:tcBorders>
              <w:tl2br w:val="nil"/>
              <w:tr2bl w:val="nil"/>
            </w:tcBorders>
            <w:vAlign w:val="center"/>
          </w:tcPr>
          <w:p>
            <w:pPr>
              <w:jc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5</w:t>
            </w:r>
          </w:p>
        </w:tc>
        <w:tc>
          <w:tcPr>
            <w:tcW w:w="2100" w:type="dxa"/>
            <w:tcBorders>
              <w:tl2br w:val="nil"/>
              <w:tr2bl w:val="nil"/>
            </w:tcBorders>
            <w:vAlign w:val="center"/>
          </w:tcPr>
          <w:p>
            <w:pPr>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lang w:val="en-US"/>
                <w14:textFill>
                  <w14:solidFill>
                    <w14:schemeClr w14:val="tx1"/>
                  </w14:solidFill>
                </w14:textFill>
              </w:rPr>
              <w:t>工业固废填埋场</w:t>
            </w:r>
          </w:p>
        </w:tc>
        <w:tc>
          <w:tcPr>
            <w:tcW w:w="1559" w:type="dxa"/>
            <w:tcBorders>
              <w:tl2br w:val="nil"/>
              <w:tr2bl w:val="nil"/>
            </w:tcBorders>
            <w:vAlign w:val="center"/>
          </w:tcPr>
          <w:p>
            <w:pPr>
              <w:jc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1</w:t>
            </w:r>
          </w:p>
        </w:tc>
        <w:tc>
          <w:tcPr>
            <w:tcW w:w="4644" w:type="dxa"/>
            <w:tcBorders>
              <w:tl2br w:val="nil"/>
              <w:tr2bl w:val="nil"/>
            </w:tcBorders>
            <w:vAlign w:val="center"/>
          </w:tcPr>
          <w:p>
            <w:pPr>
              <w:jc w:val="center"/>
              <w:rPr>
                <w:rFonts w:hint="eastAsia"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14:textFill>
                  <w14:solidFill>
                    <w14:schemeClr w14:val="tx1"/>
                  </w14:solidFill>
                </w14:textFill>
              </w:rPr>
              <w:t>第七采油厂</w:t>
            </w:r>
            <w:r>
              <w:rPr>
                <w:rFonts w:ascii="Times New Roman" w:hAnsi="Times New Roman" w:cs="Times New Roman"/>
                <w:color w:val="000000" w:themeColor="text1"/>
                <w:w w:val="99"/>
                <w:sz w:val="21"/>
                <w:szCs w:val="21"/>
                <w:highlight w:val="none"/>
                <w:lang w:val="en-US"/>
                <w14:textFill>
                  <w14:solidFill>
                    <w14:schemeClr w14:val="tx1"/>
                  </w14:solidFill>
                </w14:textFill>
              </w:rPr>
              <w:t>工业固废填埋场</w:t>
            </w:r>
          </w:p>
        </w:tc>
      </w:tr>
    </w:tbl>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3.3.1.1</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葡北9</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#转油站</w:t>
      </w:r>
    </w:p>
    <w:p>
      <w:pPr>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葡北</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9#</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转油站于</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2010年建成投产</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，采用“</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四</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合一”处理工艺，含水油输至葡</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二</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联合站。目前该站辖集油间</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6</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座、油井</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126</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口。葡北</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9#</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转油站</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目前</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正常运行。</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该站</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现有</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4</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台</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“四合一”装置，功率均为1.8MW，</w:t>
      </w:r>
      <w:r>
        <w:rPr>
          <w:rFonts w:hint="default" w:ascii="Times New Roman" w:hAnsi="Times New Roman" w:cs="Times New Roman"/>
          <w:color w:val="000000" w:themeColor="text1"/>
          <w:w w:val="99"/>
          <w:sz w:val="24"/>
          <w:highlight w:val="none"/>
          <w14:textFill>
            <w14:solidFill>
              <w14:schemeClr w14:val="tx1"/>
            </w14:solidFill>
          </w14:textFill>
        </w:rPr>
        <w:t>规格均为φ4×</w:t>
      </w:r>
      <w:r>
        <w:rPr>
          <w:rFonts w:hint="default" w:ascii="Times New Roman" w:hAnsi="Times New Roman" w:cs="Times New Roman"/>
          <w:color w:val="000000" w:themeColor="text1"/>
          <w:w w:val="99"/>
          <w:sz w:val="24"/>
          <w:highlight w:val="none"/>
          <w:lang w:val="en-US" w:eastAsia="zh-CN"/>
          <w14:textFill>
            <w14:solidFill>
              <w14:schemeClr w14:val="tx1"/>
            </w14:solidFill>
          </w14:textFill>
        </w:rPr>
        <w:t>16</w:t>
      </w:r>
      <w:r>
        <w:rPr>
          <w:rFonts w:hint="default" w:ascii="Times New Roman" w:hAnsi="Times New Roman" w:cs="Times New Roman"/>
          <w:color w:val="000000" w:themeColor="text1"/>
          <w:w w:val="99"/>
          <w:sz w:val="24"/>
          <w:highlight w:val="none"/>
          <w14:textFill>
            <w14:solidFill>
              <w14:schemeClr w14:val="tx1"/>
            </w14:solidFill>
          </w14:textFill>
        </w:rPr>
        <w:t>m</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该站</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“四合一”设计</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处理能力为6</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0</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00t/d，</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实际处理能力为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5522</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t/d，负荷率为9</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2.0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本项目实施后来液114</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t/d</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保持不变，</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负荷</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不变</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可以满足本次产能建设需要</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。站内</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工艺流程见图</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3.3-1。</w:t>
      </w:r>
    </w:p>
    <w:p>
      <w:pPr>
        <w:jc w:val="center"/>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cs="Times New Roman" w:hAnsiTheme="minorEastAsia" w:eastAsiaTheme="minorEastAsia"/>
          <w:b w:val="0"/>
          <w:color w:val="000000" w:themeColor="text1"/>
          <w:spacing w:val="0"/>
          <w:sz w:val="24"/>
          <w:szCs w:val="24"/>
          <w:highlight w:val="none"/>
          <w14:textFill>
            <w14:solidFill>
              <w14:schemeClr w14:val="tx1"/>
            </w14:solidFill>
          </w14:textFill>
        </w:rPr>
        <w:drawing>
          <wp:inline distT="0" distB="0" distL="0" distR="0">
            <wp:extent cx="5609590" cy="1531620"/>
            <wp:effectExtent l="0" t="0" r="10160" b="11430"/>
            <wp:docPr id="1682" name="图片 28" descr="C:\Users\ADMINI~1\AppData\Local\Temp\16100826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图片 28" descr="C:\Users\ADMINI~1\AppData\Local\Temp\1610082696(1).png"/>
                    <pic:cNvPicPr>
                      <a:picLocks noChangeAspect="1" noChangeArrowheads="1"/>
                    </pic:cNvPicPr>
                  </pic:nvPicPr>
                  <pic:blipFill>
                    <a:blip r:embed="rId20" cstate="email"/>
                    <a:srcRect/>
                    <a:stretch>
                      <a:fillRect/>
                    </a:stretch>
                  </pic:blipFill>
                  <pic:spPr>
                    <a:xfrm>
                      <a:off x="0" y="0"/>
                      <a:ext cx="5624289" cy="1535859"/>
                    </a:xfrm>
                    <a:prstGeom prst="rect">
                      <a:avLst/>
                    </a:prstGeom>
                    <a:noFill/>
                    <a:ln w="9525">
                      <a:noFill/>
                      <a:miter lim="800000"/>
                      <a:headEnd/>
                      <a:tailEnd/>
                    </a:ln>
                  </pic:spPr>
                </pic:pic>
              </a:graphicData>
            </a:graphic>
          </wp:inline>
        </w:drawing>
      </w:r>
    </w:p>
    <w:p>
      <w:pPr>
        <w:spacing w:line="440" w:lineRule="exact"/>
        <w:jc w:val="cente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图3.3-1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转油站</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工艺流程图</w:t>
      </w:r>
    </w:p>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3.3.1.</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2葡北</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10</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转油站</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葡北</w:t>
      </w:r>
      <w:r>
        <w:rPr>
          <w:rFonts w:ascii="Times New Roman" w:hAnsi="Times New Roman" w:cs="Times New Roman"/>
          <w:bCs/>
          <w:color w:val="000000" w:themeColor="text1"/>
          <w:w w:val="99"/>
          <w:sz w:val="24"/>
          <w:szCs w:val="20"/>
          <w:highlight w:val="none"/>
          <w:lang w:val="en-US"/>
          <w14:textFill>
            <w14:solidFill>
              <w14:schemeClr w14:val="tx1"/>
            </w14:solidFill>
          </w14:textFill>
        </w:rPr>
        <w:t>10</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转油站建于1980年，目前辖油井177口，计量</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间</w:t>
      </w:r>
      <w:r>
        <w:rPr>
          <w:rFonts w:ascii="Times New Roman" w:hAnsi="Times New Roman" w:cs="Times New Roman"/>
          <w:bCs/>
          <w:color w:val="000000" w:themeColor="text1"/>
          <w:w w:val="99"/>
          <w:sz w:val="24"/>
          <w:szCs w:val="20"/>
          <w:highlight w:val="none"/>
          <w:lang w:val="en-US"/>
          <w14:textFill>
            <w14:solidFill>
              <w14:schemeClr w14:val="tx1"/>
            </w14:solidFill>
          </w14:textFill>
        </w:rPr>
        <w:t>7座。</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该站</w:t>
      </w:r>
      <w:r>
        <w:rPr>
          <w:rFonts w:ascii="Times New Roman" w:hAnsi="Times New Roman" w:cs="Times New Roman"/>
          <w:bCs/>
          <w:color w:val="000000" w:themeColor="text1"/>
          <w:w w:val="99"/>
          <w:sz w:val="24"/>
          <w:szCs w:val="20"/>
          <w:highlight w:val="none"/>
          <w:lang w:val="en-US"/>
          <w14:textFill>
            <w14:solidFill>
              <w14:schemeClr w14:val="tx1"/>
            </w14:solidFill>
          </w14:textFill>
        </w:rPr>
        <w:t>现有加热装置4</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台</w:t>
      </w:r>
      <w:r>
        <w:rPr>
          <w:rFonts w:ascii="Times New Roman" w:hAnsi="Times New Roman" w:cs="Times New Roman"/>
          <w:bCs/>
          <w:color w:val="000000" w:themeColor="text1"/>
          <w:w w:val="99"/>
          <w:sz w:val="24"/>
          <w:szCs w:val="20"/>
          <w:highlight w:val="none"/>
          <w:lang w:val="en-US"/>
          <w14:textFill>
            <w14:solidFill>
              <w14:schemeClr w14:val="tx1"/>
            </w14:solidFill>
          </w14:textFill>
        </w:rPr>
        <w:t>，其中</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2台2.5MW</w:t>
      </w:r>
      <w:r>
        <w:rPr>
          <w:rFonts w:ascii="Times New Roman" w:hAnsi="Times New Roman" w:cs="Times New Roman"/>
          <w:bCs/>
          <w:color w:val="000000" w:themeColor="text1"/>
          <w:w w:val="99"/>
          <w:sz w:val="24"/>
          <w:szCs w:val="20"/>
          <w:highlight w:val="none"/>
          <w:lang w:val="en-US"/>
          <w14:textFill>
            <w14:solidFill>
              <w14:schemeClr w14:val="tx1"/>
            </w14:solidFill>
          </w14:textFill>
        </w:rPr>
        <w:t>掺水热洗炉</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、1台</w:t>
      </w:r>
      <w:r>
        <w:rPr>
          <w:rFonts w:ascii="Times New Roman" w:hAnsi="Times New Roman" w:cs="Times New Roman"/>
          <w:bCs/>
          <w:color w:val="000000" w:themeColor="text1"/>
          <w:w w:val="99"/>
          <w:sz w:val="24"/>
          <w:szCs w:val="20"/>
          <w:highlight w:val="none"/>
          <w:lang w:val="en-US"/>
          <w14:textFill>
            <w14:solidFill>
              <w14:schemeClr w14:val="tx1"/>
            </w14:solidFill>
          </w14:textFill>
        </w:rPr>
        <w:t>1.5</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MW采暖炉、1台</w:t>
      </w:r>
      <w:r>
        <w:rPr>
          <w:rFonts w:ascii="Times New Roman" w:hAnsi="Times New Roman" w:cs="Times New Roman"/>
          <w:bCs/>
          <w:color w:val="000000" w:themeColor="text1"/>
          <w:w w:val="99"/>
          <w:sz w:val="24"/>
          <w:szCs w:val="20"/>
          <w:highlight w:val="none"/>
          <w:lang w:val="en-US"/>
          <w14:textFill>
            <w14:solidFill>
              <w14:schemeClr w14:val="tx1"/>
            </w14:solidFill>
          </w14:textFill>
        </w:rPr>
        <w:t>3</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MW加热炉</w:t>
      </w:r>
      <w:r>
        <w:rPr>
          <w:rFonts w:ascii="Times New Roman" w:hAnsi="Times New Roman" w:cs="Times New Roman"/>
          <w:bCs/>
          <w:color w:val="000000" w:themeColor="text1"/>
          <w:w w:val="99"/>
          <w:sz w:val="24"/>
          <w:szCs w:val="20"/>
          <w:highlight w:val="none"/>
          <w:lang w:val="en-US"/>
          <w14:textFill>
            <w14:solidFill>
              <w14:schemeClr w14:val="tx1"/>
            </w14:solidFill>
          </w14:textFill>
        </w:rPr>
        <w:t>，含水油经升压泵输至</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葡二联</w:t>
      </w:r>
      <w:r>
        <w:rPr>
          <w:rFonts w:ascii="Times New Roman" w:hAnsi="Times New Roman" w:cs="Times New Roman"/>
          <w:bCs/>
          <w:color w:val="000000" w:themeColor="text1"/>
          <w:w w:val="99"/>
          <w:sz w:val="24"/>
          <w:szCs w:val="20"/>
          <w:highlight w:val="none"/>
          <w:lang w:val="en-US"/>
          <w14:textFill>
            <w14:solidFill>
              <w14:schemeClr w14:val="tx1"/>
            </w14:solidFill>
          </w14:textFill>
        </w:rPr>
        <w:t>脱水站进行脱水处理。</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站内</w:t>
      </w:r>
      <w:r>
        <w:rPr>
          <w:rFonts w:ascii="Times New Roman" w:hAnsi="Times New Roman" w:cs="Times New Roman"/>
          <w:bCs/>
          <w:color w:val="000000" w:themeColor="text1"/>
          <w:w w:val="99"/>
          <w:sz w:val="24"/>
          <w:szCs w:val="20"/>
          <w:highlight w:val="none"/>
          <w:lang w:val="en-US"/>
          <w14:textFill>
            <w14:solidFill>
              <w14:schemeClr w14:val="tx1"/>
            </w14:solidFill>
          </w14:textFill>
        </w:rPr>
        <w:t>采用“</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三</w:t>
      </w:r>
      <w:r>
        <w:rPr>
          <w:rFonts w:ascii="Times New Roman" w:hAnsi="Times New Roman" w:cs="Times New Roman"/>
          <w:bCs/>
          <w:color w:val="000000" w:themeColor="text1"/>
          <w:w w:val="99"/>
          <w:sz w:val="24"/>
          <w:szCs w:val="20"/>
          <w:highlight w:val="none"/>
          <w:lang w:val="en-US"/>
          <w14:textFill>
            <w14:solidFill>
              <w14:schemeClr w14:val="tx1"/>
            </w14:solidFill>
          </w14:textFill>
        </w:rPr>
        <w:t>合一”处理工艺，三合一设计处理能力为7100t/d，</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实际处理能力为639</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4</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t/d，负荷率为9</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0.06</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本项目实施后来液</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4</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84.5</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t/d，接入后处理量为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6874</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t/d，</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负荷</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不变</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可以满足本次产能建设需要</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站内</w:t>
      </w:r>
      <w:r>
        <w:rPr>
          <w:rFonts w:ascii="Times New Roman" w:hAnsi="Times New Roman" w:cs="Times New Roman"/>
          <w:bCs/>
          <w:color w:val="000000" w:themeColor="text1"/>
          <w:w w:val="99"/>
          <w:sz w:val="24"/>
          <w:szCs w:val="20"/>
          <w:highlight w:val="none"/>
          <w:lang w:val="en-US"/>
          <w14:textFill>
            <w14:solidFill>
              <w14:schemeClr w14:val="tx1"/>
            </w14:solidFill>
          </w14:textFill>
        </w:rPr>
        <w:t>工艺流程见图</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3.3-</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2</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p>
    <w:p>
      <w:pPr>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bidi="ar-SA"/>
          <w14:textFill>
            <w14:solidFill>
              <w14:schemeClr w14:val="tx1"/>
            </w14:solidFill>
          </w14:textFill>
        </w:rPr>
        <w:drawing>
          <wp:inline distT="0" distB="0" distL="0" distR="0">
            <wp:extent cx="5715000" cy="27336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15000" cy="2733675"/>
                    </a:xfrm>
                    <a:prstGeom prst="rect">
                      <a:avLst/>
                    </a:prstGeom>
                  </pic:spPr>
                </pic:pic>
              </a:graphicData>
            </a:graphic>
          </wp:inline>
        </w:drawing>
      </w:r>
    </w:p>
    <w:p>
      <w:pPr>
        <w:spacing w:line="440" w:lineRule="exact"/>
        <w:jc w:val="center"/>
        <w:rPr>
          <w:rFonts w:ascii="Times New Roman" w:hAnsi="Times New Roman" w:eastAsia="黑体" w:cs="Times New Roman"/>
          <w:b/>
          <w:bCs w:val="0"/>
          <w:color w:val="000000" w:themeColor="text1"/>
          <w:spacing w:val="-1"/>
          <w:w w:val="99"/>
          <w:sz w:val="24"/>
          <w:szCs w:val="24"/>
          <w:highlight w:val="none"/>
          <w:lang w:val="en-US"/>
          <w14:textFill>
            <w14:solidFill>
              <w14:schemeClr w14:val="tx1"/>
            </w14:solidFill>
          </w14:textFill>
        </w:rPr>
      </w:pPr>
      <w:r>
        <w:rPr>
          <w:rFonts w:ascii="Times New Roman" w:hAnsi="Times New Roman" w:cs="Times New Roman"/>
          <w:b/>
          <w:bCs w:val="0"/>
          <w:color w:val="000000" w:themeColor="text1"/>
          <w:w w:val="99"/>
          <w:sz w:val="24"/>
          <w:szCs w:val="20"/>
          <w:highlight w:val="none"/>
          <w:lang w:val="en-US"/>
          <w14:textFill>
            <w14:solidFill>
              <w14:schemeClr w14:val="tx1"/>
            </w14:solidFill>
          </w14:textFill>
        </w:rPr>
        <w:t>图3.3-</w:t>
      </w:r>
      <w:r>
        <w:rPr>
          <w:rFonts w:hint="eastAsia" w:ascii="Times New Roman" w:hAnsi="Times New Roman" w:cs="Times New Roman"/>
          <w:b/>
          <w:bCs w:val="0"/>
          <w:color w:val="000000" w:themeColor="text1"/>
          <w:w w:val="99"/>
          <w:sz w:val="24"/>
          <w:szCs w:val="20"/>
          <w:highlight w:val="none"/>
          <w:lang w:val="en-US" w:eastAsia="zh-CN"/>
          <w14:textFill>
            <w14:solidFill>
              <w14:schemeClr w14:val="tx1"/>
            </w14:solidFill>
          </w14:textFill>
        </w:rPr>
        <w:t xml:space="preserve">2    </w:t>
      </w:r>
      <w:r>
        <w:rPr>
          <w:rFonts w:hint="eastAsia" w:ascii="Times New Roman" w:hAnsi="Times New Roman" w:cs="Times New Roman"/>
          <w:b/>
          <w:bCs w:val="0"/>
          <w:color w:val="000000" w:themeColor="text1"/>
          <w:w w:val="99"/>
          <w:sz w:val="24"/>
          <w:szCs w:val="20"/>
          <w:highlight w:val="none"/>
          <w:lang w:val="en-US"/>
          <w14:textFill>
            <w14:solidFill>
              <w14:schemeClr w14:val="tx1"/>
            </w14:solidFill>
          </w14:textFill>
        </w:rPr>
        <w:t xml:space="preserve">    </w:t>
      </w:r>
      <w:r>
        <w:rPr>
          <w:rFonts w:ascii="Times New Roman" w:hAnsi="Times New Roman" w:cs="Times New Roman"/>
          <w:b/>
          <w:bCs w:val="0"/>
          <w:color w:val="000000" w:themeColor="text1"/>
          <w:w w:val="99"/>
          <w:sz w:val="24"/>
          <w:szCs w:val="20"/>
          <w:highlight w:val="none"/>
          <w:lang w:val="en-US"/>
          <w14:textFill>
            <w14:solidFill>
              <w14:schemeClr w14:val="tx1"/>
            </w14:solidFill>
          </w14:textFill>
        </w:rPr>
        <w:t>转油站工艺流程图</w:t>
      </w:r>
    </w:p>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3.3.1.</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葡二联</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联脱水站</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葡二联合站始建于1980年4月，经过多次扩改建，相继建成脱水转油、地下水深度处理、注水、含油污水处理、变电等部分。含水油在脱水站经电脱水器进行脱水处理，处理后的净化油外输至葡一联，含油污水输至含油污水深度处理站处理后回注，所产伴生气用于自耗或外输。</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站内</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工艺流程见图</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3.3-</w:t>
      </w:r>
      <w:r>
        <w:rPr>
          <w:rFonts w:hint="eastAsia" w:ascii="Times New Roman" w:hAnsi="Times New Roman" w:cs="Times New Roman"/>
          <w:bCs/>
          <w:color w:val="000000" w:themeColor="text1"/>
          <w:w w:val="99"/>
          <w:kern w:val="2"/>
          <w:sz w:val="24"/>
          <w:szCs w:val="24"/>
          <w:highlight w:val="none"/>
          <w:lang w:val="en-US" w:eastAsia="zh-CN" w:bidi="ar-SA"/>
          <w14:textFill>
            <w14:solidFill>
              <w14:schemeClr w14:val="tx1"/>
            </w14:solidFill>
          </w14:textFill>
        </w:rPr>
        <w:t>3</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葡二联脱水站设计处理能力30000t/d，实际处理能力为22350t/d，负荷率为74.5%，葡二联脱水站承接葡北10转油站、</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葡</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9</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转油站</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、太</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南2转油站</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和太南</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5转油站来液，</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本项目实施后不新增产液量与原有产液量不发生变化，</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可以满足本次产能建设需要</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3.3-</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2</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葡二联脱水站内主要设备及其负荷情况</w:t>
      </w:r>
    </w:p>
    <w:tbl>
      <w:tblPr>
        <w:tblStyle w:val="3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356"/>
        <w:gridCol w:w="1900"/>
        <w:gridCol w:w="679"/>
        <w:gridCol w:w="805"/>
        <w:gridCol w:w="875"/>
        <w:gridCol w:w="986"/>
        <w:gridCol w:w="681"/>
        <w:gridCol w:w="18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Merge w:val="restar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设备名称</w:t>
            </w:r>
          </w:p>
        </w:tc>
        <w:tc>
          <w:tcPr>
            <w:tcW w:w="1044" w:type="pct"/>
            <w:vMerge w:val="restar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规格型号</w:t>
            </w:r>
          </w:p>
        </w:tc>
        <w:tc>
          <w:tcPr>
            <w:tcW w:w="374" w:type="pct"/>
            <w:vMerge w:val="restar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数量</w:t>
            </w:r>
          </w:p>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（台）</w:t>
            </w:r>
          </w:p>
        </w:tc>
        <w:tc>
          <w:tcPr>
            <w:tcW w:w="925" w:type="pct"/>
            <w:gridSpan w:val="2"/>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设计能力</w:t>
            </w:r>
          </w:p>
        </w:tc>
        <w:tc>
          <w:tcPr>
            <w:tcW w:w="543" w:type="pct"/>
            <w:vMerge w:val="restar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次高</w:t>
            </w:r>
          </w:p>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负荷</w:t>
            </w:r>
          </w:p>
        </w:tc>
        <w:tc>
          <w:tcPr>
            <w:tcW w:w="375" w:type="pct"/>
            <w:vMerge w:val="restar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负荷率</w:t>
            </w:r>
          </w:p>
        </w:tc>
        <w:tc>
          <w:tcPr>
            <w:tcW w:w="990" w:type="pct"/>
            <w:vMerge w:val="restar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44"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374"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单台</w:t>
            </w:r>
          </w:p>
        </w:tc>
        <w:tc>
          <w:tcPr>
            <w:tcW w:w="482"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合计</w:t>
            </w:r>
          </w:p>
        </w:tc>
        <w:tc>
          <w:tcPr>
            <w:tcW w:w="543"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375"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90"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游离水脱除器</w:t>
            </w:r>
          </w:p>
        </w:tc>
        <w:tc>
          <w:tcPr>
            <w:tcW w:w="104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Φ3.6×16</w:t>
            </w:r>
          </w:p>
        </w:tc>
        <w:tc>
          <w:tcPr>
            <w:tcW w:w="37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w:t>
            </w:r>
          </w:p>
        </w:tc>
        <w:tc>
          <w:tcPr>
            <w:tcW w:w="4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10000t/d</w:t>
            </w:r>
          </w:p>
        </w:tc>
        <w:tc>
          <w:tcPr>
            <w:tcW w:w="482"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40000t/d</w:t>
            </w:r>
          </w:p>
        </w:tc>
        <w:tc>
          <w:tcPr>
            <w:tcW w:w="5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2235</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t/d</w:t>
            </w:r>
          </w:p>
        </w:tc>
        <w:tc>
          <w:tcPr>
            <w:tcW w:w="375"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74.5%</w:t>
            </w:r>
          </w:p>
        </w:tc>
        <w:tc>
          <w:tcPr>
            <w:tcW w:w="990"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当1台检修时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电脱水器</w:t>
            </w:r>
          </w:p>
        </w:tc>
        <w:tc>
          <w:tcPr>
            <w:tcW w:w="104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Φ4×16</w:t>
            </w:r>
          </w:p>
        </w:tc>
        <w:tc>
          <w:tcPr>
            <w:tcW w:w="37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4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2150t/d</w:t>
            </w:r>
          </w:p>
        </w:tc>
        <w:tc>
          <w:tcPr>
            <w:tcW w:w="482"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6450t/d</w:t>
            </w:r>
          </w:p>
        </w:tc>
        <w:tc>
          <w:tcPr>
            <w:tcW w:w="5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1038/d</w:t>
            </w:r>
          </w:p>
        </w:tc>
        <w:tc>
          <w:tcPr>
            <w:tcW w:w="375"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24.1%</w:t>
            </w:r>
          </w:p>
        </w:tc>
        <w:tc>
          <w:tcPr>
            <w:tcW w:w="990"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当1台检修时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脱水炉</w:t>
            </w:r>
          </w:p>
        </w:tc>
        <w:tc>
          <w:tcPr>
            <w:tcW w:w="104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1.5MW</w:t>
            </w:r>
          </w:p>
        </w:tc>
        <w:tc>
          <w:tcPr>
            <w:tcW w:w="37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4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1.5MW</w:t>
            </w:r>
          </w:p>
        </w:tc>
        <w:tc>
          <w:tcPr>
            <w:tcW w:w="482"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3.0MW</w:t>
            </w:r>
          </w:p>
        </w:tc>
        <w:tc>
          <w:tcPr>
            <w:tcW w:w="5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0.75MW</w:t>
            </w:r>
          </w:p>
        </w:tc>
        <w:tc>
          <w:tcPr>
            <w:tcW w:w="375"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49.7%</w:t>
            </w:r>
          </w:p>
        </w:tc>
        <w:tc>
          <w:tcPr>
            <w:tcW w:w="990"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低负荷1台检修时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外输泵</w:t>
            </w:r>
          </w:p>
        </w:tc>
        <w:tc>
          <w:tcPr>
            <w:tcW w:w="104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Q=155m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/h,H=232m</w:t>
            </w:r>
          </w:p>
        </w:tc>
        <w:tc>
          <w:tcPr>
            <w:tcW w:w="37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4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155m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t>
            </w:r>
          </w:p>
        </w:tc>
        <w:tc>
          <w:tcPr>
            <w:tcW w:w="482"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310m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t>
            </w:r>
          </w:p>
        </w:tc>
        <w:tc>
          <w:tcPr>
            <w:tcW w:w="5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50.9m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t>
            </w:r>
          </w:p>
        </w:tc>
        <w:tc>
          <w:tcPr>
            <w:tcW w:w="375"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32.8％</w:t>
            </w:r>
          </w:p>
        </w:tc>
        <w:tc>
          <w:tcPr>
            <w:tcW w:w="990"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运1备2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Merge w:val="restar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污水泵</w:t>
            </w:r>
          </w:p>
        </w:tc>
        <w:tc>
          <w:tcPr>
            <w:tcW w:w="104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Q=350m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/h,H=45m</w:t>
            </w:r>
          </w:p>
        </w:tc>
        <w:tc>
          <w:tcPr>
            <w:tcW w:w="37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4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350m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t>
            </w:r>
          </w:p>
        </w:tc>
        <w:tc>
          <w:tcPr>
            <w:tcW w:w="482" w:type="pct"/>
            <w:vMerge w:val="restart"/>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1100m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t>
            </w:r>
          </w:p>
        </w:tc>
        <w:tc>
          <w:tcPr>
            <w:tcW w:w="543" w:type="pct"/>
            <w:vMerge w:val="restar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919m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t>
            </w:r>
          </w:p>
        </w:tc>
        <w:tc>
          <w:tcPr>
            <w:tcW w:w="375" w:type="pct"/>
            <w:vMerge w:val="restar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83.5%</w:t>
            </w:r>
          </w:p>
        </w:tc>
        <w:tc>
          <w:tcPr>
            <w:tcW w:w="990" w:type="pct"/>
            <w:vMerge w:val="restar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运3备3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4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Q=480m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/h,H=65m</w:t>
            </w:r>
          </w:p>
        </w:tc>
        <w:tc>
          <w:tcPr>
            <w:tcW w:w="37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4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480m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t>
            </w:r>
          </w:p>
        </w:tc>
        <w:tc>
          <w:tcPr>
            <w:tcW w:w="482"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543"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375"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90"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4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Q=280m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/h,H=100m</w:t>
            </w:r>
          </w:p>
        </w:tc>
        <w:tc>
          <w:tcPr>
            <w:tcW w:w="37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4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280m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t>
            </w:r>
          </w:p>
        </w:tc>
        <w:tc>
          <w:tcPr>
            <w:tcW w:w="482"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543"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375"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90" w:type="pct"/>
            <w:vMerge w:val="continue"/>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污水沉降罐</w:t>
            </w:r>
          </w:p>
        </w:tc>
        <w:tc>
          <w:tcPr>
            <w:tcW w:w="104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2000m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p>
        </w:tc>
        <w:tc>
          <w:tcPr>
            <w:tcW w:w="37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925" w:type="pct"/>
            <w:gridSpan w:val="2"/>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2000m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p>
        </w:tc>
        <w:tc>
          <w:tcPr>
            <w:tcW w:w="5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22059m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p>
        </w:tc>
        <w:tc>
          <w:tcPr>
            <w:tcW w:w="1365" w:type="pct"/>
            <w:gridSpan w:val="2"/>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次高年沉降时间1.9h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45"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含水油事故罐</w:t>
            </w:r>
          </w:p>
        </w:tc>
        <w:tc>
          <w:tcPr>
            <w:tcW w:w="104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5000m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p>
        </w:tc>
        <w:tc>
          <w:tcPr>
            <w:tcW w:w="374"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925" w:type="pct"/>
            <w:gridSpan w:val="2"/>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5000m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p>
        </w:tc>
        <w:tc>
          <w:tcPr>
            <w:tcW w:w="543" w:type="pct"/>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22354m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/d</w:t>
            </w:r>
          </w:p>
        </w:tc>
        <w:tc>
          <w:tcPr>
            <w:tcW w:w="1365" w:type="pct"/>
            <w:gridSpan w:val="2"/>
            <w:vAlign w:val="center"/>
          </w:tcPr>
          <w:p>
            <w:pPr>
              <w:widowControl/>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次高年储存时间4.5h</w:t>
            </w:r>
          </w:p>
        </w:tc>
      </w:tr>
    </w:tbl>
    <w:p>
      <w:pPr>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经核实，</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本项目实施</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以后，葡二联脱水站各类设施均可以满足需求。</w:t>
      </w:r>
    </w:p>
    <w:p>
      <w:pPr>
        <w:spacing w:line="440" w:lineRule="exact"/>
        <w:jc w:val="both"/>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3.3.1.13含油污水</w:t>
      </w:r>
      <w:r>
        <w:rPr>
          <w:rFonts w:hint="default" w:ascii="Times New Roman" w:hAnsi="Times New Roman" w:eastAsia="宋体" w:cs="Times New Roman"/>
          <w:b/>
          <w:bCs/>
          <w:color w:val="000000" w:themeColor="text1"/>
          <w:spacing w:val="-1"/>
          <w:w w:val="99"/>
          <w:sz w:val="24"/>
          <w:szCs w:val="24"/>
          <w:highlight w:val="none"/>
          <w:lang w:val="en-US" w:eastAsia="zh-CN"/>
          <w14:textFill>
            <w14:solidFill>
              <w14:schemeClr w14:val="tx1"/>
            </w14:solidFill>
          </w14:textFill>
        </w:rPr>
        <w:t>处理站</w:t>
      </w:r>
    </w:p>
    <w:p>
      <w:pPr>
        <w:spacing w:line="440" w:lineRule="exact"/>
        <w:ind w:firstLine="472"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eastAsia="黑体" w:cs="Times New Roman"/>
          <w:b/>
          <w:bCs/>
          <w:color w:val="000000" w:themeColor="text1"/>
          <w:spacing w:val="-1"/>
          <w:w w:val="99"/>
          <w:sz w:val="24"/>
          <w:szCs w:val="24"/>
          <w:highlight w:val="none"/>
          <w:lang w:val="en-US"/>
          <w14:textFill>
            <w14:solidFill>
              <w14:schemeClr w14:val="tx1"/>
            </w14:solidFill>
          </w14:textFill>
        </w:rPr>
        <w:t xml:space="preserve"> </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本项目含油污水依托</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葡二联含油污水处理站该站建于1997年，该站采用</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二级沉降石英砂过滤+二段压力式过滤</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污水处理工艺，设计能力为</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×10</w:t>
      </w:r>
      <w:r>
        <w:rPr>
          <w:rFonts w:hint="eastAsia"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4</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/d，</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实际处理量为18000m</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/d，当前负荷90%，</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接入本项目最大污水量</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546.6</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m</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/d，负荷率为9</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2.7</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%，可以满足本项目要求</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，污水处理后</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满足</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《大庆油田地面工程建设设计规定》（Q/SYDQ0639-2015）限值要求：“含油量≤10mg/L、悬浮固体含量≤5mg/L、粒径中值≤2μm”</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标准后</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回注油层</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3.3.1.</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含油污泥处理站</w:t>
      </w:r>
    </w:p>
    <w:p>
      <w:pPr>
        <w:spacing w:line="500" w:lineRule="exact"/>
        <w:ind w:firstLine="474" w:firstLineChars="200"/>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葡萄花含油污泥处理站于 2012年建设，环评文件通过大庆市环境保护局审批（庆环建字〔2012〕196号），2014年通过竣工环境保护设施验收庆环验字〔2014〕第33号。</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本工程产生的含油污泥送第七采油厂葡萄花油田含油污泥回收处理站进行处理，该站于2013年10月建成，采用了含油污泥调质-离心处理技术工艺，设计规模为5m</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/h（年运行150天，每天24小时，年最大处理量18000m</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），目前实际处理量为12600m</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/a，剩余处理量为5400m</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/a，本工程污泥处理量为</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1.213t/a</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，处理能力满足需求。污泥处理设计达到的指标为处理后污泥中含油量≤2%</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最终污泥含水率≤40%</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处理后的含油污泥符合《油田含油污泥综合利用污染控制标准》（DB23/T1413-2010）中控制指标要求</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，用于采油七厂回填井场或修建通井路。污泥站处理工艺见图</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3.3-3</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jc w:val="center"/>
        <w:rPr>
          <w:color w:val="000000" w:themeColor="text1"/>
          <w:highlight w:val="none"/>
          <w14:textFill>
            <w14:solidFill>
              <w14:schemeClr w14:val="tx1"/>
            </w14:solidFill>
          </w14:textFill>
        </w:rPr>
      </w:pPr>
      <w:r>
        <w:rPr>
          <w:color w:val="000000" w:themeColor="text1"/>
          <w:w w:val="99"/>
          <w:highlight w:val="none"/>
          <w:lang w:val="en-US" w:bidi="ar-SA"/>
          <w14:textFill>
            <w14:solidFill>
              <w14:schemeClr w14:val="tx1"/>
            </w14:solidFill>
          </w14:textFill>
        </w:rPr>
        <w:drawing>
          <wp:inline distT="0" distB="0" distL="0" distR="0">
            <wp:extent cx="5486400" cy="2886075"/>
            <wp:effectExtent l="0" t="0" r="0" b="9525"/>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86400" cy="2886075"/>
                    </a:xfrm>
                    <a:prstGeom prst="rect">
                      <a:avLst/>
                    </a:prstGeom>
                    <a:noFill/>
                    <a:ln>
                      <a:noFill/>
                    </a:ln>
                  </pic:spPr>
                </pic:pic>
              </a:graphicData>
            </a:graphic>
          </wp:inline>
        </w:drawing>
      </w:r>
    </w:p>
    <w:p>
      <w:pPr>
        <w:jc w:val="center"/>
        <w:rPr>
          <w:rFonts w:ascii="Times New Roman" w:hAnsi="Times New Roman" w:cs="Times New Roman"/>
          <w:b/>
          <w:bCs w:val="0"/>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val="0"/>
          <w:color w:val="000000" w:themeColor="text1"/>
          <w:w w:val="99"/>
          <w:kern w:val="2"/>
          <w:sz w:val="24"/>
          <w:szCs w:val="24"/>
          <w:highlight w:val="none"/>
          <w:lang w:val="en-US" w:bidi="ar-SA"/>
          <w14:textFill>
            <w14:solidFill>
              <w14:schemeClr w14:val="tx1"/>
            </w14:solidFill>
          </w14:textFill>
        </w:rPr>
        <w:t xml:space="preserve">图3.3-3 </w:t>
      </w:r>
      <w:r>
        <w:rPr>
          <w:rFonts w:hint="eastAsia" w:ascii="Times New Roman" w:hAnsi="Times New Roman" w:cs="Times New Roman"/>
          <w:b/>
          <w:bCs w:val="0"/>
          <w:color w:val="000000" w:themeColor="text1"/>
          <w:w w:val="99"/>
          <w:kern w:val="2"/>
          <w:sz w:val="24"/>
          <w:szCs w:val="24"/>
          <w:highlight w:val="none"/>
          <w:lang w:val="en-US" w:eastAsia="zh-CN" w:bidi="ar-SA"/>
          <w14:textFill>
            <w14:solidFill>
              <w14:schemeClr w14:val="tx1"/>
            </w14:solidFill>
          </w14:textFill>
        </w:rPr>
        <w:t xml:space="preserve">      </w:t>
      </w:r>
      <w:r>
        <w:rPr>
          <w:rFonts w:ascii="Times New Roman" w:hAnsi="Times New Roman" w:cs="Times New Roman"/>
          <w:b/>
          <w:bCs w:val="0"/>
          <w:color w:val="000000" w:themeColor="text1"/>
          <w:w w:val="99"/>
          <w:kern w:val="2"/>
          <w:sz w:val="24"/>
          <w:szCs w:val="24"/>
          <w:highlight w:val="none"/>
          <w:lang w:val="en-US" w:bidi="ar-SA"/>
          <w14:textFill>
            <w14:solidFill>
              <w14:schemeClr w14:val="tx1"/>
            </w14:solidFill>
          </w14:textFill>
        </w:rPr>
        <w:t xml:space="preserve">  葡萄花含油污泥处理站工艺流程图</w:t>
      </w:r>
    </w:p>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3.3.1.</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5工业固废填埋场</w:t>
      </w:r>
    </w:p>
    <w:p>
      <w:pPr>
        <w:pStyle w:val="40"/>
        <w:keepNext w:val="0"/>
        <w:keepLines w:val="0"/>
        <w:pageBreakBefore w:val="0"/>
        <w:widowControl w:val="0"/>
        <w:kinsoku/>
        <w:wordWrap/>
        <w:overflowPunct/>
        <w:topLinePunct w:val="0"/>
        <w:autoSpaceDE w:val="0"/>
        <w:autoSpaceDN w:val="0"/>
        <w:bidi w:val="0"/>
        <w:adjustRightInd w:val="0"/>
        <w:snapToGrid/>
        <w:spacing w:beforeLines="0" w:afterLines="0" w:line="440" w:lineRule="exact"/>
        <w:ind w:firstLine="474" w:firstLineChars="200"/>
        <w:jc w:val="both"/>
        <w:textAlignment w:val="auto"/>
        <w:rPr>
          <w:color w:val="000000" w:themeColor="text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w w:val="99"/>
          <w:sz w:val="24"/>
          <w:szCs w:val="20"/>
          <w:highlight w:val="none"/>
          <w:lang w:val="en-US" w:eastAsia="zh-CN" w:bidi="zh-CN"/>
          <w14:textFill>
            <w14:solidFill>
              <w14:schemeClr w14:val="tx1"/>
            </w14:solidFill>
          </w14:textFill>
        </w:rPr>
        <w:t>第七采油厂工业固废填埋场位于大同区采油七厂东北9km一处盐碱地内，于 2013 年通过环保验收（验收文号为庆环验[2013]12号），总容量为 14000m</w:t>
      </w:r>
      <w:r>
        <w:rPr>
          <w:rFonts w:hint="default" w:ascii="Times New Roman" w:hAnsi="Times New Roman" w:eastAsia="宋体" w:cs="Times New Roman"/>
          <w:b w:val="0"/>
          <w:bCs w:val="0"/>
          <w:color w:val="000000" w:themeColor="text1"/>
          <w:w w:val="99"/>
          <w:sz w:val="24"/>
          <w:szCs w:val="20"/>
          <w:highlight w:val="none"/>
          <w:vertAlign w:val="superscript"/>
          <w:lang w:val="en-US" w:eastAsia="zh-CN" w:bidi="zh-CN"/>
          <w14:textFill>
            <w14:solidFill>
              <w14:schemeClr w14:val="tx1"/>
            </w14:solidFill>
          </w14:textFill>
        </w:rPr>
        <w:t>3</w:t>
      </w:r>
      <w:r>
        <w:rPr>
          <w:rFonts w:hint="default" w:ascii="Times New Roman" w:hAnsi="Times New Roman" w:eastAsia="宋体" w:cs="Times New Roman"/>
          <w:b w:val="0"/>
          <w:bCs w:val="0"/>
          <w:color w:val="000000" w:themeColor="text1"/>
          <w:w w:val="99"/>
          <w:sz w:val="24"/>
          <w:szCs w:val="20"/>
          <w:highlight w:val="none"/>
          <w:lang w:val="en-US" w:eastAsia="zh-CN" w:bidi="zh-CN"/>
          <w14:textFill>
            <w14:solidFill>
              <w14:schemeClr w14:val="tx1"/>
            </w14:solidFill>
          </w14:textFill>
        </w:rPr>
        <w:t>，设计年处理能力为 581.2m</w:t>
      </w:r>
      <w:r>
        <w:rPr>
          <w:rFonts w:hint="default" w:ascii="Times New Roman" w:hAnsi="Times New Roman" w:eastAsia="宋体" w:cs="Times New Roman"/>
          <w:b w:val="0"/>
          <w:bCs w:val="0"/>
          <w:color w:val="000000" w:themeColor="text1"/>
          <w:w w:val="99"/>
          <w:sz w:val="24"/>
          <w:szCs w:val="20"/>
          <w:highlight w:val="none"/>
          <w:vertAlign w:val="superscript"/>
          <w:lang w:val="en-US" w:eastAsia="zh-CN" w:bidi="zh-CN"/>
          <w14:textFill>
            <w14:solidFill>
              <w14:schemeClr w14:val="tx1"/>
            </w14:solidFill>
          </w14:textFill>
        </w:rPr>
        <w:t>3</w:t>
      </w:r>
      <w:r>
        <w:rPr>
          <w:rFonts w:hint="default" w:ascii="Times New Roman" w:hAnsi="Times New Roman" w:eastAsia="宋体" w:cs="Times New Roman"/>
          <w:b w:val="0"/>
          <w:bCs w:val="0"/>
          <w:color w:val="000000" w:themeColor="text1"/>
          <w:w w:val="99"/>
          <w:sz w:val="24"/>
          <w:szCs w:val="20"/>
          <w:highlight w:val="none"/>
          <w:lang w:val="en-US" w:eastAsia="zh-CN" w:bidi="zh-CN"/>
          <w14:textFill>
            <w14:solidFill>
              <w14:schemeClr w14:val="tx1"/>
            </w14:solidFill>
          </w14:textFill>
        </w:rPr>
        <w:t>，目前填埋总量约为9100m</w:t>
      </w:r>
      <w:r>
        <w:rPr>
          <w:rFonts w:hint="default" w:ascii="Times New Roman" w:hAnsi="Times New Roman" w:eastAsia="宋体" w:cs="Times New Roman"/>
          <w:b w:val="0"/>
          <w:bCs w:val="0"/>
          <w:color w:val="000000" w:themeColor="text1"/>
          <w:w w:val="99"/>
          <w:sz w:val="24"/>
          <w:szCs w:val="20"/>
          <w:highlight w:val="none"/>
          <w:vertAlign w:val="superscript"/>
          <w:lang w:val="en-US" w:eastAsia="zh-CN" w:bidi="zh-CN"/>
          <w14:textFill>
            <w14:solidFill>
              <w14:schemeClr w14:val="tx1"/>
            </w14:solidFill>
          </w14:textFill>
        </w:rPr>
        <w:t>3</w:t>
      </w:r>
      <w:r>
        <w:rPr>
          <w:rFonts w:hint="default" w:ascii="Times New Roman" w:hAnsi="Times New Roman" w:eastAsia="宋体" w:cs="Times New Roman"/>
          <w:b w:val="0"/>
          <w:bCs w:val="0"/>
          <w:color w:val="000000" w:themeColor="text1"/>
          <w:w w:val="99"/>
          <w:sz w:val="24"/>
          <w:szCs w:val="20"/>
          <w:highlight w:val="none"/>
          <w:lang w:val="en-US" w:eastAsia="zh-CN" w:bidi="zh-CN"/>
          <w14:textFill>
            <w14:solidFill>
              <w14:schemeClr w14:val="tx1"/>
            </w14:solidFill>
          </w14:textFill>
        </w:rPr>
        <w:t>，剩余填埋量约为4900m</w:t>
      </w:r>
      <w:r>
        <w:rPr>
          <w:rFonts w:hint="default" w:ascii="Times New Roman" w:hAnsi="Times New Roman" w:eastAsia="宋体" w:cs="Times New Roman"/>
          <w:b w:val="0"/>
          <w:bCs w:val="0"/>
          <w:color w:val="000000" w:themeColor="text1"/>
          <w:w w:val="99"/>
          <w:sz w:val="24"/>
          <w:szCs w:val="20"/>
          <w:highlight w:val="none"/>
          <w:vertAlign w:val="superscript"/>
          <w:lang w:val="en-US" w:eastAsia="zh-CN" w:bidi="zh-CN"/>
          <w14:textFill>
            <w14:solidFill>
              <w14:schemeClr w14:val="tx1"/>
            </w14:solidFill>
          </w14:textFill>
        </w:rPr>
        <w:t>3</w:t>
      </w:r>
      <w:r>
        <w:rPr>
          <w:rFonts w:hint="default" w:ascii="Times New Roman" w:hAnsi="Times New Roman" w:eastAsia="宋体" w:cs="Times New Roman"/>
          <w:b w:val="0"/>
          <w:bCs w:val="0"/>
          <w:color w:val="000000" w:themeColor="text1"/>
          <w:w w:val="99"/>
          <w:sz w:val="24"/>
          <w:szCs w:val="20"/>
          <w:highlight w:val="none"/>
          <w:lang w:val="en-US" w:eastAsia="zh-CN" w:bidi="zh-CN"/>
          <w14:textFill>
            <w14:solidFill>
              <w14:schemeClr w14:val="tx1"/>
            </w14:solidFill>
          </w14:textFill>
        </w:rPr>
        <w:t>，本项目产生废弃防渗布和一般包装袋共计0.06t，填埋场剩余容量能够容纳本项目产生的固体废物，本项目依托可行。</w:t>
      </w:r>
    </w:p>
    <w:p>
      <w:pPr>
        <w:pStyle w:val="45"/>
        <w:tabs>
          <w:tab w:val="left" w:pos="930"/>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3.3.2 依托工程环境影响评价及竣工验收情况</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本项目依托场站环保手续详见表3.3-</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3</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p>
    <w:p>
      <w:pPr>
        <w:spacing w:line="440" w:lineRule="exact"/>
        <w:ind w:firstLine="476" w:firstLineChars="200"/>
        <w:jc w:val="both"/>
        <w:rPr>
          <w:rFonts w:hint="default" w:ascii="Times New Roman" w:hAnsi="Times New Roman" w:cs="Times New Roman"/>
          <w:b/>
          <w:bCs w:val="0"/>
          <w:color w:val="000000" w:themeColor="text1"/>
          <w:w w:val="99"/>
          <w:sz w:val="24"/>
          <w:szCs w:val="20"/>
          <w:highlight w:val="none"/>
          <w:lang w:val="en-US"/>
          <w14:textFill>
            <w14:solidFill>
              <w14:schemeClr w14:val="tx1"/>
            </w14:solidFill>
          </w14:textFill>
        </w:rPr>
      </w:pPr>
      <w:r>
        <w:rPr>
          <w:rFonts w:hint="default" w:ascii="Times New Roman" w:hAnsi="Times New Roman" w:cs="Times New Roman"/>
          <w:b/>
          <w:bCs w:val="0"/>
          <w:color w:val="000000" w:themeColor="text1"/>
          <w:w w:val="99"/>
          <w:sz w:val="24"/>
          <w:szCs w:val="20"/>
          <w:highlight w:val="none"/>
          <w:lang w:val="en-US"/>
          <w14:textFill>
            <w14:solidFill>
              <w14:schemeClr w14:val="tx1"/>
            </w14:solidFill>
          </w14:textFill>
        </w:rPr>
        <w:t>表3.3-</w:t>
      </w:r>
      <w:r>
        <w:rPr>
          <w:rFonts w:hint="eastAsia" w:ascii="Times New Roman" w:hAnsi="Times New Roman" w:cs="Times New Roman"/>
          <w:b/>
          <w:bCs w:val="0"/>
          <w:color w:val="000000" w:themeColor="text1"/>
          <w:w w:val="99"/>
          <w:sz w:val="24"/>
          <w:szCs w:val="20"/>
          <w:highlight w:val="none"/>
          <w:lang w:val="en-US" w:eastAsia="zh-CN"/>
          <w14:textFill>
            <w14:solidFill>
              <w14:schemeClr w14:val="tx1"/>
            </w14:solidFill>
          </w14:textFill>
        </w:rPr>
        <w:t>3</w:t>
      </w:r>
      <w:r>
        <w:rPr>
          <w:rFonts w:hint="default" w:ascii="Times New Roman" w:hAnsi="Times New Roman" w:cs="Times New Roman"/>
          <w:b/>
          <w:bCs w:val="0"/>
          <w:color w:val="000000" w:themeColor="text1"/>
          <w:w w:val="99"/>
          <w:sz w:val="24"/>
          <w:szCs w:val="20"/>
          <w:highlight w:val="none"/>
          <w:lang w:val="en-US"/>
          <w14:textFill>
            <w14:solidFill>
              <w14:schemeClr w14:val="tx1"/>
            </w14:solidFill>
          </w14:textFill>
        </w:rPr>
        <w:t xml:space="preserve">        本项目依托场站环保验收手续</w:t>
      </w:r>
    </w:p>
    <w:tbl>
      <w:tblPr>
        <w:tblStyle w:val="3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533"/>
        <w:gridCol w:w="3405"/>
        <w:gridCol w:w="1822"/>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bookmarkStart w:id="76" w:name="_Toc2107"/>
            <w:bookmarkStart w:id="77" w:name="_Toc19752"/>
            <w:bookmarkStart w:id="78" w:name="_Toc260"/>
            <w:r>
              <w:rPr>
                <w:rFonts w:ascii="Times New Roman" w:hAnsi="Times New Roman" w:cs="Times New Roman" w:eastAsiaTheme="minorEastAsia"/>
                <w:color w:val="000000" w:themeColor="text1"/>
                <w:w w:val="99"/>
                <w:sz w:val="21"/>
                <w:szCs w:val="21"/>
                <w:highlight w:val="none"/>
                <w14:textFill>
                  <w14:solidFill>
                    <w14:schemeClr w14:val="tx1"/>
                  </w14:solidFill>
                </w14:textFill>
              </w:rPr>
              <w:t>序号</w:t>
            </w:r>
            <w:bookmarkEnd w:id="76"/>
            <w:bookmarkEnd w:id="77"/>
            <w:bookmarkEnd w:id="78"/>
          </w:p>
        </w:tc>
        <w:tc>
          <w:tcPr>
            <w:tcW w:w="1533"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bookmarkStart w:id="79" w:name="_Toc9665"/>
            <w:bookmarkStart w:id="80" w:name="_Toc26249"/>
            <w:bookmarkStart w:id="81" w:name="_Toc26506"/>
            <w:r>
              <w:rPr>
                <w:rFonts w:ascii="Times New Roman" w:hAnsi="Times New Roman" w:cs="Times New Roman" w:eastAsiaTheme="minorEastAsia"/>
                <w:color w:val="000000" w:themeColor="text1"/>
                <w:w w:val="99"/>
                <w:sz w:val="21"/>
                <w:szCs w:val="21"/>
                <w:highlight w:val="none"/>
                <w14:textFill>
                  <w14:solidFill>
                    <w14:schemeClr w14:val="tx1"/>
                  </w14:solidFill>
                </w14:textFill>
              </w:rPr>
              <w:t>名称</w:t>
            </w:r>
            <w:bookmarkEnd w:id="79"/>
            <w:bookmarkEnd w:id="80"/>
            <w:bookmarkEnd w:id="81"/>
          </w:p>
        </w:tc>
        <w:tc>
          <w:tcPr>
            <w:tcW w:w="3405"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bookmarkStart w:id="82" w:name="_Toc18713"/>
            <w:bookmarkStart w:id="83" w:name="_Toc13811"/>
            <w:bookmarkStart w:id="84" w:name="_Toc24152"/>
            <w:r>
              <w:rPr>
                <w:rFonts w:ascii="Times New Roman" w:hAnsi="Times New Roman" w:cs="Times New Roman" w:eastAsiaTheme="minorEastAsia"/>
                <w:color w:val="000000" w:themeColor="text1"/>
                <w:w w:val="99"/>
                <w:sz w:val="21"/>
                <w:szCs w:val="21"/>
                <w:highlight w:val="none"/>
                <w14:textFill>
                  <w14:solidFill>
                    <w14:schemeClr w14:val="tx1"/>
                  </w14:solidFill>
                </w14:textFill>
              </w:rPr>
              <w:t>环评文件名称</w:t>
            </w:r>
            <w:bookmarkEnd w:id="82"/>
            <w:bookmarkEnd w:id="83"/>
            <w:bookmarkEnd w:id="84"/>
          </w:p>
        </w:tc>
        <w:tc>
          <w:tcPr>
            <w:tcW w:w="1822"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bookmarkStart w:id="85" w:name="_Toc4650"/>
            <w:bookmarkStart w:id="86" w:name="_Toc13786"/>
            <w:bookmarkStart w:id="87" w:name="_Toc20036"/>
            <w:r>
              <w:rPr>
                <w:rFonts w:ascii="Times New Roman" w:hAnsi="Times New Roman" w:cs="Times New Roman" w:eastAsiaTheme="minorEastAsia"/>
                <w:color w:val="000000" w:themeColor="text1"/>
                <w:w w:val="99"/>
                <w:sz w:val="21"/>
                <w:szCs w:val="21"/>
                <w:highlight w:val="none"/>
                <w14:textFill>
                  <w14:solidFill>
                    <w14:schemeClr w14:val="tx1"/>
                  </w14:solidFill>
                </w14:textFill>
              </w:rPr>
              <w:t>文号</w:t>
            </w:r>
            <w:bookmarkEnd w:id="85"/>
            <w:bookmarkEnd w:id="86"/>
            <w:bookmarkEnd w:id="87"/>
          </w:p>
        </w:tc>
        <w:tc>
          <w:tcPr>
            <w:tcW w:w="1778"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bookmarkStart w:id="88" w:name="_Toc18222"/>
            <w:bookmarkStart w:id="89" w:name="_Toc4264"/>
            <w:bookmarkStart w:id="90" w:name="_Toc16852"/>
            <w:r>
              <w:rPr>
                <w:rFonts w:ascii="Times New Roman" w:hAnsi="Times New Roman" w:cs="Times New Roman" w:eastAsiaTheme="minorEastAsia"/>
                <w:color w:val="000000" w:themeColor="text1"/>
                <w:w w:val="99"/>
                <w:sz w:val="21"/>
                <w:szCs w:val="21"/>
                <w:highlight w:val="none"/>
                <w14:textFill>
                  <w14:solidFill>
                    <w14:schemeClr w14:val="tx1"/>
                  </w14:solidFill>
                </w14:textFill>
              </w:rPr>
              <w:t>验收情况</w:t>
            </w:r>
            <w:bookmarkEnd w:id="88"/>
            <w:bookmarkEnd w:id="89"/>
            <w:bookmarkEnd w:id="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bookmarkStart w:id="91" w:name="_Toc27838"/>
            <w:bookmarkStart w:id="92" w:name="_Toc29009"/>
            <w:bookmarkStart w:id="93" w:name="_Toc15061"/>
            <w:r>
              <w:rPr>
                <w:rFonts w:ascii="Times New Roman" w:hAnsi="Times New Roman" w:cs="Times New Roman" w:eastAsiaTheme="minorEastAsia"/>
                <w:color w:val="000000" w:themeColor="text1"/>
                <w:w w:val="99"/>
                <w:sz w:val="21"/>
                <w:szCs w:val="21"/>
                <w:highlight w:val="none"/>
                <w14:textFill>
                  <w14:solidFill>
                    <w14:schemeClr w14:val="tx1"/>
                  </w14:solidFill>
                </w14:textFill>
              </w:rPr>
              <w:t>1</w:t>
            </w:r>
            <w:bookmarkEnd w:id="91"/>
            <w:bookmarkEnd w:id="92"/>
            <w:bookmarkEnd w:id="93"/>
          </w:p>
        </w:tc>
        <w:tc>
          <w:tcPr>
            <w:tcW w:w="1533"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葡北</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9</w:t>
            </w:r>
            <w:r>
              <w:rPr>
                <w:rFonts w:ascii="Times New Roman" w:hAnsi="Times New Roman" w:cs="Times New Roman"/>
                <w:color w:val="000000" w:themeColor="text1"/>
                <w:w w:val="99"/>
                <w:sz w:val="21"/>
                <w:szCs w:val="21"/>
                <w:highlight w:val="none"/>
                <w14:textFill>
                  <w14:solidFill>
                    <w14:schemeClr w14:val="tx1"/>
                  </w14:solidFill>
                </w14:textFill>
              </w:rPr>
              <w:t>#转</w:t>
            </w:r>
          </w:p>
        </w:tc>
        <w:tc>
          <w:tcPr>
            <w:tcW w:w="34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葡北油田三断块深部调驱扩大应用现场试验产能建设工程</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182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zh-CN"/>
                <w14:textFill>
                  <w14:solidFill>
                    <w14:schemeClr w14:val="tx1"/>
                  </w14:solidFill>
                </w14:textFill>
              </w:rPr>
              <w:t>庆环审</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201</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8</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20</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号，</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201</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8</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年</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2</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月1日</w:t>
            </w:r>
          </w:p>
        </w:tc>
        <w:tc>
          <w:tcPr>
            <w:tcW w:w="177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完成</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自主验收</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w:t>
            </w:r>
            <w:r>
              <w:rPr>
                <w:rFonts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20</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19</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年</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11</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月</w:t>
            </w:r>
            <w:r>
              <w:rPr>
                <w:rFonts w:hint="eastAsia" w:ascii="Times New Roman" w:hAnsi="Times New Roman" w:cs="Times New Roman" w:eastAsiaTheme="minorEastAsia"/>
                <w:bCs/>
                <w:color w:val="000000" w:themeColor="text1"/>
                <w:w w:val="99"/>
                <w:sz w:val="21"/>
                <w:szCs w:val="21"/>
                <w:highlight w:val="none"/>
                <w:lang w:val="en-US" w:eastAsia="zh-CN"/>
                <w14:textFill>
                  <w14:solidFill>
                    <w14:schemeClr w14:val="tx1"/>
                  </w14:solidFill>
                </w14:textFill>
              </w:rPr>
              <w:t>30</w:t>
            </w:r>
            <w:r>
              <w:rPr>
                <w:rFonts w:hint="eastAsia" w:ascii="Times New Roman" w:hAnsi="Times New Roman" w:cs="Times New Roman" w:eastAsiaTheme="minorEastAsia"/>
                <w:bCs/>
                <w:color w:val="000000" w:themeColor="text1"/>
                <w:w w:val="99"/>
                <w:sz w:val="21"/>
                <w:szCs w:val="21"/>
                <w:highlight w:val="none"/>
                <w:lang w:val="en-US"/>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bookmarkStart w:id="94" w:name="_Toc29082"/>
            <w:bookmarkStart w:id="95" w:name="_Toc25805"/>
            <w:bookmarkStart w:id="96" w:name="_Toc4442"/>
            <w:r>
              <w:rPr>
                <w:rFonts w:ascii="Times New Roman" w:hAnsi="Times New Roman" w:cs="Times New Roman" w:eastAsiaTheme="minorEastAsia"/>
                <w:color w:val="000000" w:themeColor="text1"/>
                <w:w w:val="99"/>
                <w:sz w:val="21"/>
                <w:szCs w:val="21"/>
                <w:highlight w:val="none"/>
                <w14:textFill>
                  <w14:solidFill>
                    <w14:schemeClr w14:val="tx1"/>
                  </w14:solidFill>
                </w14:textFill>
              </w:rPr>
              <w:t>2</w:t>
            </w:r>
            <w:bookmarkEnd w:id="94"/>
            <w:bookmarkEnd w:id="95"/>
            <w:bookmarkEnd w:id="96"/>
          </w:p>
        </w:tc>
        <w:tc>
          <w:tcPr>
            <w:tcW w:w="1533"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葡二联</w:t>
            </w:r>
            <w:r>
              <w:rPr>
                <w:rFonts w:ascii="Times New Roman" w:hAnsi="Times New Roman" w:cs="Times New Roman"/>
                <w:bCs/>
                <w:color w:val="000000" w:themeColor="text1"/>
                <w:w w:val="99"/>
                <w:sz w:val="21"/>
                <w:szCs w:val="21"/>
                <w:highlight w:val="none"/>
                <w14:textFill>
                  <w14:solidFill>
                    <w14:schemeClr w14:val="tx1"/>
                  </w14:solidFill>
                </w14:textFill>
              </w:rPr>
              <w:t>合站</w:t>
            </w:r>
          </w:p>
        </w:tc>
        <w:tc>
          <w:tcPr>
            <w:tcW w:w="3405" w:type="dxa"/>
            <w:tcBorders>
              <w:tl2br w:val="nil"/>
              <w:tr2bl w:val="nil"/>
            </w:tcBorders>
            <w:vAlign w:val="center"/>
          </w:tcPr>
          <w:p>
            <w:pPr>
              <w:jc w:val="center"/>
              <w:rPr>
                <w:rFonts w:hint="default"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葡萄花油田及周边区块站库改造工程</w:t>
            </w:r>
          </w:p>
        </w:tc>
        <w:tc>
          <w:tcPr>
            <w:tcW w:w="1822" w:type="dxa"/>
            <w:tcBorders>
              <w:tl2br w:val="nil"/>
              <w:tr2bl w:val="nil"/>
            </w:tcBorders>
            <w:vAlign w:val="center"/>
          </w:tcPr>
          <w:p>
            <w:pPr>
              <w:jc w:val="center"/>
              <w:rPr>
                <w:rFonts w:hint="default"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同环建字〔2019〕1号</w:t>
            </w:r>
          </w:p>
        </w:tc>
        <w:tc>
          <w:tcPr>
            <w:tcW w:w="1778"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bCs/>
                <w:color w:val="000000" w:themeColor="text1"/>
                <w:w w:val="99"/>
                <w:sz w:val="21"/>
                <w:szCs w:val="21"/>
                <w:highlight w:val="none"/>
                <w14:textFill>
                  <w14:solidFill>
                    <w14:schemeClr w14:val="tx1"/>
                  </w14:solidFill>
                </w14:textFill>
              </w:rPr>
              <w:t>2019年12月16日通过自主验收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bookmarkStart w:id="97" w:name="_Toc18976"/>
            <w:bookmarkStart w:id="98" w:name="_Toc20500"/>
            <w:bookmarkStart w:id="99" w:name="_Toc8294"/>
            <w:r>
              <w:rPr>
                <w:rFonts w:ascii="Times New Roman" w:hAnsi="Times New Roman" w:cs="Times New Roman" w:eastAsiaTheme="minorEastAsia"/>
                <w:color w:val="000000" w:themeColor="text1"/>
                <w:w w:val="99"/>
                <w:sz w:val="21"/>
                <w:szCs w:val="21"/>
                <w:highlight w:val="none"/>
                <w14:textFill>
                  <w14:solidFill>
                    <w14:schemeClr w14:val="tx1"/>
                  </w14:solidFill>
                </w14:textFill>
              </w:rPr>
              <w:t>3</w:t>
            </w:r>
            <w:bookmarkEnd w:id="97"/>
            <w:bookmarkEnd w:id="98"/>
            <w:bookmarkEnd w:id="99"/>
          </w:p>
        </w:tc>
        <w:tc>
          <w:tcPr>
            <w:tcW w:w="1533"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葡北10#转</w:t>
            </w:r>
          </w:p>
        </w:tc>
        <w:tc>
          <w:tcPr>
            <w:tcW w:w="3405"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葡萄花油田及周边区块站库改造工程</w:t>
            </w:r>
          </w:p>
        </w:tc>
        <w:tc>
          <w:tcPr>
            <w:tcW w:w="1822"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同环建字〔2019〕1号</w:t>
            </w:r>
          </w:p>
        </w:tc>
        <w:tc>
          <w:tcPr>
            <w:tcW w:w="1778"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bCs/>
                <w:color w:val="000000" w:themeColor="text1"/>
                <w:w w:val="99"/>
                <w:sz w:val="21"/>
                <w:szCs w:val="21"/>
                <w:highlight w:val="none"/>
                <w14:textFill>
                  <w14:solidFill>
                    <w14:schemeClr w14:val="tx1"/>
                  </w14:solidFill>
                </w14:textFill>
              </w:rPr>
              <w:t>2019年12月16日通过自主验收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bookmarkStart w:id="100" w:name="_Toc31434"/>
            <w:bookmarkStart w:id="101" w:name="_Toc31040"/>
            <w:bookmarkStart w:id="102" w:name="_Toc5941"/>
            <w:r>
              <w:rPr>
                <w:rFonts w:ascii="Times New Roman" w:hAnsi="Times New Roman" w:cs="Times New Roman" w:eastAsiaTheme="minorEastAsia"/>
                <w:color w:val="000000" w:themeColor="text1"/>
                <w:w w:val="99"/>
                <w:sz w:val="21"/>
                <w:szCs w:val="21"/>
                <w:highlight w:val="none"/>
                <w14:textFill>
                  <w14:solidFill>
                    <w14:schemeClr w14:val="tx1"/>
                  </w14:solidFill>
                </w14:textFill>
              </w:rPr>
              <w:t>4</w:t>
            </w:r>
            <w:bookmarkEnd w:id="100"/>
            <w:bookmarkEnd w:id="101"/>
            <w:bookmarkEnd w:id="102"/>
          </w:p>
        </w:tc>
        <w:tc>
          <w:tcPr>
            <w:tcW w:w="1533"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采油七厂葡萄花含油污泥处理站</w:t>
            </w:r>
          </w:p>
        </w:tc>
        <w:tc>
          <w:tcPr>
            <w:tcW w:w="3405"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葡北油田二断块井网二次加密调整区块产能工程</w:t>
            </w:r>
          </w:p>
        </w:tc>
        <w:tc>
          <w:tcPr>
            <w:tcW w:w="1822"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lang w:val="en-US"/>
                <w14:textFill>
                  <w14:solidFill>
                    <w14:schemeClr w14:val="tx1"/>
                  </w14:solidFill>
                </w14:textFill>
              </w:rPr>
              <w:t>庆环建字[2012]31号</w:t>
            </w:r>
          </w:p>
        </w:tc>
        <w:tc>
          <w:tcPr>
            <w:tcW w:w="1778"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color w:val="000000" w:themeColor="text1"/>
                <w:w w:val="99"/>
                <w:sz w:val="21"/>
                <w:szCs w:val="21"/>
                <w:highlight w:val="none"/>
                <w:lang w:val="en-US"/>
                <w14:textFill>
                  <w14:solidFill>
                    <w14:schemeClr w14:val="tx1"/>
                  </w14:solidFill>
                </w14:textFill>
              </w:rPr>
              <w:t>已通过验收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tcBorders>
              <w:tl2br w:val="nil"/>
              <w:tr2bl w:val="nil"/>
            </w:tcBorders>
            <w:vAlign w:val="center"/>
          </w:tcPr>
          <w:p>
            <w:pPr>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bookmarkStart w:id="103" w:name="_Toc22030"/>
            <w:bookmarkStart w:id="104" w:name="_Toc3779"/>
            <w:bookmarkStart w:id="105" w:name="_Toc14557"/>
            <w:r>
              <w:rPr>
                <w:rFonts w:ascii="Times New Roman" w:hAnsi="Times New Roman" w:cs="Times New Roman" w:eastAsiaTheme="minorEastAsia"/>
                <w:color w:val="000000" w:themeColor="text1"/>
                <w:w w:val="99"/>
                <w:sz w:val="21"/>
                <w:szCs w:val="21"/>
                <w:highlight w:val="none"/>
                <w14:textFill>
                  <w14:solidFill>
                    <w14:schemeClr w14:val="tx1"/>
                  </w14:solidFill>
                </w14:textFill>
              </w:rPr>
              <w:t>5</w:t>
            </w:r>
            <w:bookmarkEnd w:id="103"/>
            <w:bookmarkEnd w:id="104"/>
            <w:bookmarkEnd w:id="105"/>
          </w:p>
        </w:tc>
        <w:tc>
          <w:tcPr>
            <w:tcW w:w="1533" w:type="dxa"/>
            <w:tcBorders>
              <w:tl2br w:val="nil"/>
              <w:tr2bl w:val="nil"/>
            </w:tcBorders>
            <w:vAlign w:val="center"/>
          </w:tcPr>
          <w:p>
            <w:pPr>
              <w:jc w:val="center"/>
              <w:rPr>
                <w:rFonts w:ascii="Times New Roman" w:hAnsi="Times New Roman" w:eastAsia="宋体" w:cs="Times New Roman"/>
                <w:color w:val="000000" w:themeColor="text1"/>
                <w:w w:val="99"/>
                <w:kern w:val="2"/>
                <w:sz w:val="21"/>
                <w:szCs w:val="21"/>
                <w:highlight w:val="none"/>
                <w:lang w:val="zh-CN" w:eastAsia="zh-CN" w:bidi="zh-CN"/>
                <w14:textFill>
                  <w14:solidFill>
                    <w14:schemeClr w14:val="tx1"/>
                  </w14:solidFill>
                </w14:textFill>
              </w:rPr>
            </w:pPr>
            <w:r>
              <w:rPr>
                <w:rFonts w:ascii="Times New Roman" w:hAnsi="Times New Roman" w:cs="Times New Roman"/>
                <w:iCs/>
                <w:color w:val="000000" w:themeColor="text1"/>
                <w:w w:val="99"/>
                <w:kern w:val="2"/>
                <w:sz w:val="21"/>
                <w:szCs w:val="21"/>
                <w:highlight w:val="none"/>
                <w14:textFill>
                  <w14:solidFill>
                    <w14:schemeClr w14:val="tx1"/>
                  </w14:solidFill>
                </w14:textFill>
              </w:rPr>
              <w:t>第</w:t>
            </w:r>
            <w:r>
              <w:rPr>
                <w:rFonts w:hint="eastAsia" w:ascii="Times New Roman" w:hAnsi="Times New Roman" w:cs="Times New Roman"/>
                <w:iCs/>
                <w:color w:val="000000" w:themeColor="text1"/>
                <w:w w:val="99"/>
                <w:kern w:val="2"/>
                <w:sz w:val="21"/>
                <w:szCs w:val="21"/>
                <w:highlight w:val="none"/>
                <w14:textFill>
                  <w14:solidFill>
                    <w14:schemeClr w14:val="tx1"/>
                  </w14:solidFill>
                </w14:textFill>
              </w:rPr>
              <w:t>七</w:t>
            </w:r>
            <w:r>
              <w:rPr>
                <w:rFonts w:ascii="Times New Roman" w:hAnsi="Times New Roman" w:cs="Times New Roman"/>
                <w:iCs/>
                <w:color w:val="000000" w:themeColor="text1"/>
                <w:w w:val="99"/>
                <w:kern w:val="2"/>
                <w:sz w:val="21"/>
                <w:szCs w:val="21"/>
                <w:highlight w:val="none"/>
                <w14:textFill>
                  <w14:solidFill>
                    <w14:schemeClr w14:val="tx1"/>
                  </w14:solidFill>
                </w14:textFill>
              </w:rPr>
              <w:t>采油厂工业固废填埋场</w:t>
            </w:r>
          </w:p>
        </w:tc>
        <w:tc>
          <w:tcPr>
            <w:tcW w:w="3405" w:type="dxa"/>
            <w:tcBorders>
              <w:tl2br w:val="nil"/>
              <w:tr2bl w:val="nil"/>
            </w:tcBorders>
            <w:vAlign w:val="center"/>
          </w:tcPr>
          <w:p>
            <w:pPr>
              <w:jc w:val="center"/>
              <w:rPr>
                <w:rFonts w:ascii="Times New Roman" w:hAnsi="Times New Roman" w:eastAsia="宋体" w:cs="Times New Roman"/>
                <w:bCs/>
                <w:color w:val="000000" w:themeColor="text1"/>
                <w:w w:val="99"/>
                <w:kern w:val="2"/>
                <w:sz w:val="21"/>
                <w:szCs w:val="21"/>
                <w:highlight w:val="none"/>
                <w:lang w:val="zh-CN" w:eastAsia="zh-CN" w:bidi="zh-CN"/>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14:textFill>
                  <w14:solidFill>
                    <w14:schemeClr w14:val="tx1"/>
                  </w14:solidFill>
                </w14:textFill>
              </w:rPr>
              <w:t>工业固废处置工程</w:t>
            </w:r>
          </w:p>
        </w:tc>
        <w:tc>
          <w:tcPr>
            <w:tcW w:w="1822" w:type="dxa"/>
            <w:tcBorders>
              <w:tl2br w:val="nil"/>
              <w:tr2bl w:val="nil"/>
            </w:tcBorders>
            <w:vAlign w:val="center"/>
          </w:tcPr>
          <w:p>
            <w:pPr>
              <w:jc w:val="center"/>
              <w:rPr>
                <w:rFonts w:ascii="Times New Roman" w:hAnsi="Times New Roman" w:eastAsia="宋体" w:cs="Times New Roman"/>
                <w:bCs/>
                <w:color w:val="000000" w:themeColor="text1"/>
                <w:w w:val="99"/>
                <w:kern w:val="2"/>
                <w:sz w:val="21"/>
                <w:szCs w:val="21"/>
                <w:highlight w:val="none"/>
                <w:lang w:val="zh-CN" w:eastAsia="zh-CN" w:bidi="zh-CN"/>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14:textFill>
                  <w14:solidFill>
                    <w14:schemeClr w14:val="tx1"/>
                  </w14:solidFill>
                </w14:textFill>
              </w:rPr>
              <w:t>庆环建字</w:t>
            </w:r>
            <w:r>
              <w:rPr>
                <w:rFonts w:ascii="Times New Roman" w:hAnsi="Times New Roman" w:cs="Times New Roman"/>
                <w:bCs/>
                <w:color w:val="000000" w:themeColor="text1"/>
                <w:w w:val="99"/>
                <w:kern w:val="2"/>
                <w:sz w:val="21"/>
                <w:szCs w:val="21"/>
                <w:highlight w:val="none"/>
                <w14:textFill>
                  <w14:solidFill>
                    <w14:schemeClr w14:val="tx1"/>
                  </w14:solidFill>
                </w14:textFill>
              </w:rPr>
              <w:t>〔2009〕23号</w:t>
            </w:r>
          </w:p>
        </w:tc>
        <w:tc>
          <w:tcPr>
            <w:tcW w:w="1778" w:type="dxa"/>
            <w:tcBorders>
              <w:tl2br w:val="nil"/>
              <w:tr2bl w:val="nil"/>
            </w:tcBorders>
            <w:vAlign w:val="center"/>
          </w:tcPr>
          <w:p>
            <w:pPr>
              <w:jc w:val="center"/>
              <w:rPr>
                <w:rFonts w:ascii="Times New Roman" w:hAnsi="Times New Roman" w:eastAsia="宋体" w:cs="Times New Roman"/>
                <w:bCs/>
                <w:color w:val="000000" w:themeColor="text1"/>
                <w:w w:val="99"/>
                <w:kern w:val="2"/>
                <w:sz w:val="21"/>
                <w:szCs w:val="21"/>
                <w:highlight w:val="none"/>
                <w:lang w:val="zh-CN" w:eastAsia="zh-CN" w:bidi="zh-CN"/>
                <w14:textFill>
                  <w14:solidFill>
                    <w14:schemeClr w14:val="tx1"/>
                  </w14:solidFill>
                </w14:textFill>
              </w:rPr>
            </w:pPr>
            <w:r>
              <w:rPr>
                <w:rFonts w:ascii="Times New Roman" w:hAnsi="Times New Roman" w:cs="Times New Roman"/>
                <w:bCs/>
                <w:color w:val="000000" w:themeColor="text1"/>
                <w:w w:val="99"/>
                <w:kern w:val="2"/>
                <w:sz w:val="21"/>
                <w:szCs w:val="21"/>
                <w:highlight w:val="none"/>
                <w14:textFill>
                  <w14:solidFill>
                    <w14:schemeClr w14:val="tx1"/>
                  </w14:solidFill>
                </w14:textFill>
              </w:rPr>
              <w:t>庆环验〔2013〕12号</w:t>
            </w:r>
          </w:p>
        </w:tc>
      </w:tr>
    </w:tbl>
    <w:p>
      <w:pPr>
        <w:pStyle w:val="45"/>
        <w:tabs>
          <w:tab w:val="left" w:pos="930"/>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3.3.3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依托</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工程污染物排放情况</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建设项目涉及场站包括</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葡北</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9</w:t>
      </w:r>
      <w:r>
        <w:rPr>
          <w:rFonts w:ascii="Times New Roman" w:hAnsi="Times New Roman" w:cs="Times New Roman"/>
          <w:bCs/>
          <w:color w:val="000000" w:themeColor="text1"/>
          <w:w w:val="99"/>
          <w:sz w:val="24"/>
          <w:szCs w:val="20"/>
          <w:highlight w:val="none"/>
          <w:lang w:val="en-US"/>
          <w14:textFill>
            <w14:solidFill>
              <w14:schemeClr w14:val="tx1"/>
            </w14:solidFill>
          </w14:textFill>
        </w:rPr>
        <w:t>#转油站</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葡北</w:t>
      </w:r>
      <w:r>
        <w:rPr>
          <w:rFonts w:ascii="Times New Roman" w:hAnsi="Times New Roman" w:cs="Times New Roman"/>
          <w:bCs/>
          <w:color w:val="000000" w:themeColor="text1"/>
          <w:w w:val="99"/>
          <w:sz w:val="24"/>
          <w:szCs w:val="20"/>
          <w:highlight w:val="none"/>
          <w:lang w:val="en-US"/>
          <w14:textFill>
            <w14:solidFill>
              <w14:schemeClr w14:val="tx1"/>
            </w14:solidFill>
          </w14:textFill>
        </w:rPr>
        <w:t>10#转油站</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葡二联含油污水</w:t>
      </w:r>
      <w:r>
        <w:rPr>
          <w:rFonts w:ascii="Times New Roman" w:hAnsi="Times New Roman" w:cs="Times New Roman"/>
          <w:bCs/>
          <w:color w:val="000000" w:themeColor="text1"/>
          <w:w w:val="99"/>
          <w:sz w:val="24"/>
          <w:szCs w:val="20"/>
          <w:highlight w:val="none"/>
          <w:lang w:val="en-US"/>
          <w14:textFill>
            <w14:solidFill>
              <w14:schemeClr w14:val="tx1"/>
            </w14:solidFill>
          </w14:textFill>
        </w:rPr>
        <w:t>站</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葡萄花含油污泥处理站</w:t>
      </w:r>
      <w:r>
        <w:rPr>
          <w:rFonts w:ascii="Times New Roman" w:hAnsi="Times New Roman" w:cs="Times New Roman"/>
          <w:bCs/>
          <w:color w:val="000000" w:themeColor="text1"/>
          <w:w w:val="99"/>
          <w:sz w:val="24"/>
          <w:szCs w:val="20"/>
          <w:highlight w:val="none"/>
          <w:lang w:val="en-US"/>
          <w14:textFill>
            <w14:solidFill>
              <w14:schemeClr w14:val="tx1"/>
            </w14:solidFill>
          </w14:textFill>
        </w:rPr>
        <w:t>，现有工程产生的污染物主要为加热炉燃烧烟气、无组织排放的非甲烷总烃、采油废水、含油污泥、生活污水和生活垃圾等。</w:t>
      </w:r>
    </w:p>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3.3.3.1 废气</w:t>
      </w:r>
    </w:p>
    <w:p>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color w:val="000000" w:themeColor="text1"/>
          <w:w w:val="99"/>
          <w:sz w:val="24"/>
          <w:szCs w:val="24"/>
          <w:highlight w:val="none"/>
          <w:lang w:val="en-US" w:bidi="ar-SA"/>
          <w14:textFill>
            <w14:solidFill>
              <w14:schemeClr w14:val="tx1"/>
            </w14:solidFill>
          </w14:textFill>
        </w:rPr>
        <w:t>（1）</w:t>
      </w:r>
      <w:r>
        <w:rPr>
          <w:rFonts w:ascii="Times New Roman" w:hAnsi="Times New Roman" w:cs="Times New Roman"/>
          <w:color w:val="000000" w:themeColor="text1"/>
          <w:w w:val="99"/>
          <w:sz w:val="24"/>
          <w:szCs w:val="24"/>
          <w:highlight w:val="none"/>
          <w:lang w:val="en-US" w:bidi="ar-SA"/>
          <w14:textFill>
            <w14:solidFill>
              <w14:schemeClr w14:val="tx1"/>
            </w14:solidFill>
          </w14:textFill>
        </w:rPr>
        <w:t>加热炉烟气</w:t>
      </w:r>
    </w:p>
    <w:p>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hint="default" w:ascii="Times New Roman" w:hAnsi="Times New Roman" w:eastAsia="宋体" w:cs="Times New Roman"/>
          <w:color w:val="000000" w:themeColor="text1"/>
          <w:w w:val="99"/>
          <w:sz w:val="24"/>
          <w:szCs w:val="28"/>
          <w:highlight w:val="none"/>
          <w:lang w:val="en-US" w:eastAsia="zh-CN" w:bidi="ar-SA"/>
          <w14:textFill>
            <w14:solidFill>
              <w14:schemeClr w14:val="tx1"/>
            </w14:solidFill>
          </w14:textFill>
        </w:rPr>
      </w:pPr>
      <w:r>
        <w:rPr>
          <w:rFonts w:ascii="Times New Roman" w:hAnsi="Times New Roman" w:cs="Times New Roman"/>
          <w:color w:val="000000" w:themeColor="text1"/>
          <w:w w:val="99"/>
          <w:sz w:val="24"/>
          <w:szCs w:val="28"/>
          <w:highlight w:val="none"/>
          <w:lang w:val="en-US" w:bidi="ar-SA"/>
          <w14:textFill>
            <w14:solidFill>
              <w14:schemeClr w14:val="tx1"/>
            </w14:solidFill>
          </w14:textFill>
        </w:rPr>
        <w:t>依托工程废气主要为</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场</w:t>
      </w:r>
      <w:r>
        <w:rPr>
          <w:rFonts w:ascii="Times New Roman" w:hAnsi="Times New Roman" w:cs="Times New Roman"/>
          <w:color w:val="000000" w:themeColor="text1"/>
          <w:w w:val="99"/>
          <w:sz w:val="24"/>
          <w:szCs w:val="28"/>
          <w:highlight w:val="none"/>
          <w:lang w:val="en-US" w:bidi="ar-SA"/>
          <w14:textFill>
            <w14:solidFill>
              <w14:schemeClr w14:val="tx1"/>
            </w14:solidFill>
          </w14:textFill>
        </w:rPr>
        <w:t>站内加热炉产生的燃烧烟气。</w:t>
      </w:r>
      <w:r>
        <w:rPr>
          <w:rFonts w:hint="eastAsia" w:ascii="Times New Roman" w:hAnsi="Times New Roman" w:cs="Times New Roman"/>
          <w:color w:val="000000" w:themeColor="text1"/>
          <w:w w:val="99"/>
          <w:sz w:val="24"/>
          <w:szCs w:val="28"/>
          <w:highlight w:val="none"/>
          <w:lang w:val="en-US" w:eastAsia="zh-CN" w:bidi="ar-SA"/>
          <w14:textFill>
            <w14:solidFill>
              <w14:schemeClr w14:val="tx1"/>
            </w14:solidFill>
          </w14:textFill>
        </w:rPr>
        <w:t>本项目依托</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葡北</w:t>
      </w:r>
      <w:r>
        <w:rPr>
          <w:rFonts w:hint="eastAsia" w:ascii="Times New Roman" w:hAnsi="Times New Roman" w:cs="Times New Roman"/>
          <w:bCs/>
          <w:color w:val="000000" w:themeColor="text1"/>
          <w:w w:val="99"/>
          <w:sz w:val="24"/>
          <w:szCs w:val="28"/>
          <w:highlight w:val="none"/>
          <w:lang w:val="en-US" w:eastAsia="zh-CN" w:bidi="ar-SA"/>
          <w14:textFill>
            <w14:solidFill>
              <w14:schemeClr w14:val="tx1"/>
            </w14:solidFill>
          </w14:textFill>
        </w:rPr>
        <w:t>9</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#转油站</w:t>
      </w:r>
      <w:r>
        <w:rPr>
          <w:rFonts w:hint="eastAsia" w:ascii="Times New Roman" w:hAnsi="Times New Roman" w:cs="Times New Roman"/>
          <w:bCs/>
          <w:color w:val="000000" w:themeColor="text1"/>
          <w:w w:val="99"/>
          <w:sz w:val="24"/>
          <w:szCs w:val="28"/>
          <w:highlight w:val="none"/>
          <w:lang w:val="en-US" w:eastAsia="zh-CN" w:bidi="ar-SA"/>
          <w14:textFill>
            <w14:solidFill>
              <w14:schemeClr w14:val="tx1"/>
            </w14:solidFill>
          </w14:textFill>
        </w:rPr>
        <w:t>“四合一”装置4套（运3备1），“四合一”装置排气筒均为单独排放；</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葡北</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10#转油站</w:t>
      </w:r>
      <w:r>
        <w:rPr>
          <w:rFonts w:hint="eastAsia" w:ascii="Times New Roman" w:hAnsi="Times New Roman" w:cs="Times New Roman"/>
          <w:bCs/>
          <w:color w:val="000000" w:themeColor="text1"/>
          <w:w w:val="99"/>
          <w:sz w:val="24"/>
          <w:szCs w:val="28"/>
          <w:highlight w:val="none"/>
          <w:lang w:val="en-US" w:eastAsia="zh-CN" w:bidi="ar-SA"/>
          <w14:textFill>
            <w14:solidFill>
              <w14:schemeClr w14:val="tx1"/>
            </w14:solidFill>
          </w14:textFill>
        </w:rPr>
        <w:t>加热装置3套，排气筒均为单独排放。</w:t>
      </w:r>
    </w:p>
    <w:p>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根据</w:t>
      </w:r>
      <w:r>
        <w:rPr>
          <w:rFonts w:ascii="Times New Roman" w:hAnsi="Times New Roman" w:cs="Times New Roman"/>
          <w:color w:val="000000" w:themeColor="text1"/>
          <w:w w:val="99"/>
          <w:sz w:val="24"/>
          <w:szCs w:val="28"/>
          <w:highlight w:val="none"/>
          <w:lang w:val="en-US" w:bidi="ar-SA"/>
          <w14:textFill>
            <w14:solidFill>
              <w14:schemeClr w14:val="tx1"/>
            </w14:solidFill>
          </w14:textFill>
        </w:rPr>
        <w:t>《</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采油七厂</w:t>
      </w:r>
      <w:r>
        <w:rPr>
          <w:rFonts w:ascii="Times New Roman" w:hAnsi="Times New Roman" w:cs="Times New Roman"/>
          <w:color w:val="000000" w:themeColor="text1"/>
          <w:w w:val="99"/>
          <w:sz w:val="24"/>
          <w:szCs w:val="28"/>
          <w:highlight w:val="none"/>
          <w:lang w:val="en-US" w:bidi="ar-SA"/>
          <w14:textFill>
            <w14:solidFill>
              <w14:schemeClr w14:val="tx1"/>
            </w14:solidFill>
          </w14:textFill>
        </w:rPr>
        <w:t>加热炉隐患治理工程》</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中监测</w:t>
      </w:r>
      <w:r>
        <w:rPr>
          <w:rFonts w:ascii="Times New Roman" w:hAnsi="Times New Roman" w:cs="Times New Roman"/>
          <w:color w:val="000000" w:themeColor="text1"/>
          <w:w w:val="99"/>
          <w:sz w:val="24"/>
          <w:szCs w:val="28"/>
          <w:highlight w:val="none"/>
          <w:lang w:val="en-US" w:bidi="ar-SA"/>
          <w14:textFill>
            <w14:solidFill>
              <w14:schemeClr w14:val="tx1"/>
            </w14:solidFill>
          </w14:textFill>
        </w:rPr>
        <w:t>数据</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大庆中环评价检测有限公司</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监测时间</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20</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21</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年</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3</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月</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10</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日-</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11</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日</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），根据污染物折算值</w:t>
      </w:r>
      <w:r>
        <w:rPr>
          <w:rFonts w:ascii="Times New Roman" w:hAnsi="Times New Roman" w:cs="Times New Roman"/>
          <w:color w:val="000000" w:themeColor="text1"/>
          <w:w w:val="99"/>
          <w:sz w:val="24"/>
          <w:szCs w:val="28"/>
          <w:highlight w:val="none"/>
          <w:lang w:val="en-US" w:bidi="ar-SA"/>
          <w14:textFill>
            <w14:solidFill>
              <w14:schemeClr w14:val="tx1"/>
            </w14:solidFill>
          </w14:textFill>
        </w:rPr>
        <w:t>监测结果，</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葡二联合站加热炉</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排放的废气中</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污染物平均</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浓度颗粒物为11.6mg/m</w:t>
      </w:r>
      <w:r>
        <w:rPr>
          <w:rFonts w:ascii="Times New Roman" w:hAnsi="Times New Roman" w:cs="Times New Roman"/>
          <w:bCs/>
          <w:color w:val="000000" w:themeColor="text1"/>
          <w:w w:val="99"/>
          <w:sz w:val="24"/>
          <w:szCs w:val="28"/>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（浓度范围</w:t>
      </w:r>
      <w:r>
        <w:rPr>
          <w:rFonts w:ascii="Times New Roman" w:hAnsi="Times New Roman" w:cs="Times New Roman"/>
          <w:color w:val="000000" w:themeColor="text1"/>
          <w:w w:val="99"/>
          <w:sz w:val="24"/>
          <w:szCs w:val="28"/>
          <w:highlight w:val="none"/>
          <w:lang w:val="en-US" w:bidi="ar-SA"/>
          <w14:textFill>
            <w14:solidFill>
              <w14:schemeClr w14:val="tx1"/>
            </w14:solidFill>
          </w14:textFill>
        </w:rPr>
        <w:t>11.2-12mg/m</w:t>
      </w:r>
      <w:r>
        <w:rPr>
          <w:rFonts w:ascii="Times New Roman" w:hAnsi="Times New Roman" w:cs="Times New Roman"/>
          <w:color w:val="000000" w:themeColor="text1"/>
          <w:w w:val="99"/>
          <w:sz w:val="24"/>
          <w:szCs w:val="28"/>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，NOx为83.8mg/m</w:t>
      </w:r>
      <w:r>
        <w:rPr>
          <w:rFonts w:ascii="Times New Roman" w:hAnsi="Times New Roman" w:cs="Times New Roman"/>
          <w:bCs/>
          <w:color w:val="000000" w:themeColor="text1"/>
          <w:w w:val="99"/>
          <w:sz w:val="24"/>
          <w:szCs w:val="28"/>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（浓度范围</w:t>
      </w:r>
      <w:r>
        <w:rPr>
          <w:rFonts w:ascii="Times New Roman" w:hAnsi="Times New Roman" w:cs="Times New Roman"/>
          <w:color w:val="000000" w:themeColor="text1"/>
          <w:w w:val="99"/>
          <w:sz w:val="24"/>
          <w:szCs w:val="28"/>
          <w:highlight w:val="none"/>
          <w:lang w:val="en-US" w:bidi="ar-SA"/>
          <w14:textFill>
            <w14:solidFill>
              <w14:schemeClr w14:val="tx1"/>
            </w14:solidFill>
          </w14:textFill>
        </w:rPr>
        <w:t>81-86mg/m</w:t>
      </w:r>
      <w:r>
        <w:rPr>
          <w:rFonts w:ascii="Times New Roman" w:hAnsi="Times New Roman" w:cs="Times New Roman"/>
          <w:color w:val="000000" w:themeColor="text1"/>
          <w:w w:val="99"/>
          <w:sz w:val="24"/>
          <w:szCs w:val="28"/>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，SO</w:t>
      </w:r>
      <w:r>
        <w:rPr>
          <w:rFonts w:ascii="Times New Roman" w:hAnsi="Times New Roman" w:cs="Times New Roman"/>
          <w:bCs/>
          <w:color w:val="000000" w:themeColor="text1"/>
          <w:w w:val="99"/>
          <w:sz w:val="24"/>
          <w:szCs w:val="28"/>
          <w:highlight w:val="none"/>
          <w:vertAlign w:val="subscript"/>
          <w:lang w:val="en-US" w:bidi="ar-SA"/>
          <w14:textFill>
            <w14:solidFill>
              <w14:schemeClr w14:val="tx1"/>
            </w14:solidFill>
          </w14:textFill>
        </w:rPr>
        <w:t>2</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为18.5mg/m</w:t>
      </w:r>
      <w:r>
        <w:rPr>
          <w:rFonts w:ascii="Times New Roman" w:hAnsi="Times New Roman" w:cs="Times New Roman"/>
          <w:bCs/>
          <w:color w:val="000000" w:themeColor="text1"/>
          <w:w w:val="99"/>
          <w:sz w:val="24"/>
          <w:szCs w:val="28"/>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（浓度范围</w:t>
      </w:r>
      <w:r>
        <w:rPr>
          <w:rFonts w:ascii="Times New Roman" w:hAnsi="Times New Roman" w:cs="Times New Roman"/>
          <w:color w:val="000000" w:themeColor="text1"/>
          <w:w w:val="99"/>
          <w:sz w:val="24"/>
          <w:szCs w:val="28"/>
          <w:highlight w:val="none"/>
          <w:lang w:val="en-US" w:bidi="ar-SA"/>
          <w14:textFill>
            <w14:solidFill>
              <w14:schemeClr w14:val="tx1"/>
            </w14:solidFill>
          </w14:textFill>
        </w:rPr>
        <w:t>17-21mg/m</w:t>
      </w:r>
      <w:r>
        <w:rPr>
          <w:rFonts w:ascii="Times New Roman" w:hAnsi="Times New Roman" w:cs="Times New Roman"/>
          <w:color w:val="000000" w:themeColor="text1"/>
          <w:w w:val="99"/>
          <w:sz w:val="24"/>
          <w:szCs w:val="28"/>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），符合</w:t>
      </w:r>
      <w:r>
        <w:rPr>
          <w:rFonts w:ascii="Times New Roman" w:hAnsi="Times New Roman" w:cs="Times New Roman"/>
          <w:color w:val="000000" w:themeColor="text1"/>
          <w:w w:val="99"/>
          <w:sz w:val="24"/>
          <w:szCs w:val="28"/>
          <w:highlight w:val="none"/>
          <w:lang w:val="en-US" w:bidi="ar-SA"/>
          <w14:textFill>
            <w14:solidFill>
              <w14:schemeClr w14:val="tx1"/>
            </w14:solidFill>
          </w14:textFill>
        </w:rPr>
        <w:t>《锅炉大气污染物排放标准》（GB13271-2014）中在用</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燃</w:t>
      </w:r>
      <w:r>
        <w:rPr>
          <w:rFonts w:ascii="Times New Roman" w:hAnsi="Times New Roman" w:cs="Times New Roman"/>
          <w:color w:val="000000" w:themeColor="text1"/>
          <w:w w:val="99"/>
          <w:sz w:val="24"/>
          <w:szCs w:val="28"/>
          <w:highlight w:val="none"/>
          <w:lang w:val="en-US" w:bidi="ar-SA"/>
          <w14:textFill>
            <w14:solidFill>
              <w14:schemeClr w14:val="tx1"/>
            </w14:solidFill>
          </w14:textFill>
        </w:rPr>
        <w:t>气锅炉的标准要求。</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根据</w:t>
      </w:r>
      <w:r>
        <w:rPr>
          <w:rFonts w:ascii="Times New Roman" w:hAnsi="Times New Roman" w:cs="Times New Roman"/>
          <w:color w:val="000000" w:themeColor="text1"/>
          <w:w w:val="99"/>
          <w:sz w:val="24"/>
          <w:szCs w:val="28"/>
          <w:highlight w:val="none"/>
          <w:lang w:val="en-US" w:bidi="ar-SA"/>
          <w14:textFill>
            <w14:solidFill>
              <w14:schemeClr w14:val="tx1"/>
            </w14:solidFill>
          </w14:textFill>
        </w:rPr>
        <w:t>场站分布</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和</w:t>
      </w:r>
      <w:r>
        <w:rPr>
          <w:rFonts w:ascii="Times New Roman" w:hAnsi="Times New Roman" w:cs="Times New Roman"/>
          <w:color w:val="000000" w:themeColor="text1"/>
          <w:w w:val="99"/>
          <w:sz w:val="24"/>
          <w:szCs w:val="28"/>
          <w:highlight w:val="none"/>
          <w:lang w:val="en-US" w:bidi="ar-SA"/>
          <w14:textFill>
            <w14:solidFill>
              <w14:schemeClr w14:val="tx1"/>
            </w14:solidFill>
          </w14:textFill>
        </w:rPr>
        <w:t>气源</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情况</w:t>
      </w:r>
      <w:r>
        <w:rPr>
          <w:rFonts w:ascii="Times New Roman" w:hAnsi="Times New Roman" w:cs="Times New Roman"/>
          <w:color w:val="000000" w:themeColor="text1"/>
          <w:w w:val="99"/>
          <w:sz w:val="24"/>
          <w:szCs w:val="28"/>
          <w:highlight w:val="none"/>
          <w:lang w:val="en-US" w:bidi="ar-SA"/>
          <w14:textFill>
            <w14:solidFill>
              <w14:schemeClr w14:val="tx1"/>
            </w14:solidFill>
          </w14:textFill>
        </w:rPr>
        <w:t>，</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葡北</w:t>
      </w:r>
      <w:r>
        <w:rPr>
          <w:rFonts w:hint="eastAsia" w:ascii="Times New Roman" w:hAnsi="Times New Roman" w:cs="Times New Roman"/>
          <w:bCs/>
          <w:color w:val="000000" w:themeColor="text1"/>
          <w:w w:val="99"/>
          <w:sz w:val="24"/>
          <w:szCs w:val="28"/>
          <w:highlight w:val="none"/>
          <w:lang w:val="en-US" w:eastAsia="zh-CN" w:bidi="ar-SA"/>
          <w14:textFill>
            <w14:solidFill>
              <w14:schemeClr w14:val="tx1"/>
            </w14:solidFill>
          </w14:textFill>
        </w:rPr>
        <w:t>9</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#转油站</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、葡北</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10#转油站加热炉烟气浓度参照葡二联加热炉数据，</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依托</w:t>
      </w:r>
      <w:r>
        <w:rPr>
          <w:rFonts w:ascii="Times New Roman" w:hAnsi="Times New Roman" w:cs="Times New Roman"/>
          <w:color w:val="000000" w:themeColor="text1"/>
          <w:w w:val="99"/>
          <w:sz w:val="24"/>
          <w:szCs w:val="28"/>
          <w:highlight w:val="none"/>
          <w:lang w:val="en-US" w:bidi="ar-SA"/>
          <w14:textFill>
            <w14:solidFill>
              <w14:schemeClr w14:val="tx1"/>
            </w14:solidFill>
          </w14:textFill>
        </w:rPr>
        <w:t>场站</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加热炉烟气</w:t>
      </w:r>
      <w:r>
        <w:rPr>
          <w:rFonts w:ascii="Times New Roman" w:hAnsi="Times New Roman" w:cs="Times New Roman"/>
          <w:color w:val="000000" w:themeColor="text1"/>
          <w:w w:val="99"/>
          <w:sz w:val="24"/>
          <w:szCs w:val="28"/>
          <w:highlight w:val="none"/>
          <w:lang w:val="en-US" w:bidi="ar-SA"/>
          <w14:textFill>
            <w14:solidFill>
              <w14:schemeClr w14:val="tx1"/>
            </w14:solidFill>
          </w14:textFill>
        </w:rPr>
        <w:t>排放情况见下表</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p>
    <w:p>
      <w:pPr>
        <w:widowControl/>
        <w:autoSpaceDE/>
        <w:autoSpaceDN/>
        <w:spacing w:line="490" w:lineRule="exact"/>
        <w:ind w:firstLine="482"/>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表3.3-</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4</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现有工程加热炉大气污染物排放情况</w:t>
      </w:r>
    </w:p>
    <w:tbl>
      <w:tblPr>
        <w:tblStyle w:val="32"/>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916"/>
        <w:gridCol w:w="999"/>
        <w:gridCol w:w="1143"/>
        <w:gridCol w:w="1194"/>
        <w:gridCol w:w="1335"/>
        <w:gridCol w:w="1113"/>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66" w:type="pct"/>
            <w:vMerge w:val="restart"/>
            <w:tcBorders>
              <w:tl2br w:val="nil"/>
              <w:tr2bl w:val="nil"/>
            </w:tcBorders>
            <w:tcMar>
              <w:left w:w="28" w:type="dxa"/>
              <w:right w:w="28" w:type="dxa"/>
            </w:tcMar>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名称</w:t>
            </w:r>
          </w:p>
        </w:tc>
        <w:tc>
          <w:tcPr>
            <w:tcW w:w="555" w:type="pct"/>
            <w:vMerge w:val="restart"/>
            <w:tcBorders>
              <w:tl2br w:val="nil"/>
              <w:tr2bl w:val="nil"/>
            </w:tcBorders>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烟囱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高度（m）</w:t>
            </w:r>
          </w:p>
        </w:tc>
        <w:tc>
          <w:tcPr>
            <w:tcW w:w="636" w:type="pct"/>
            <w:vMerge w:val="restart"/>
            <w:tcBorders>
              <w:tl2br w:val="nil"/>
              <w:tr2bl w:val="nil"/>
            </w:tcBorders>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燃气量</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/a</w:t>
            </w:r>
          </w:p>
        </w:tc>
        <w:tc>
          <w:tcPr>
            <w:tcW w:w="664" w:type="pct"/>
            <w:vMerge w:val="restart"/>
            <w:tcBorders>
              <w:tl2br w:val="nil"/>
              <w:tr2bl w:val="nil"/>
            </w:tcBorders>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烟气</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量</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/a</w:t>
            </w:r>
          </w:p>
        </w:tc>
        <w:tc>
          <w:tcPr>
            <w:tcW w:w="2077" w:type="pct"/>
            <w:gridSpan w:val="3"/>
            <w:tcBorders>
              <w:tl2br w:val="nil"/>
              <w:tr2bl w:val="nil"/>
            </w:tcBorders>
            <w:tcMar>
              <w:left w:w="28" w:type="dxa"/>
              <w:right w:w="28" w:type="dxa"/>
            </w:tcMar>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污染物排放情况（t/a）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66" w:type="pct"/>
            <w:vMerge w:val="continue"/>
            <w:tcBorders>
              <w:tl2br w:val="nil"/>
              <w:tr2bl w:val="nil"/>
            </w:tcBorders>
            <w:tcMar>
              <w:left w:w="28" w:type="dxa"/>
              <w:right w:w="28" w:type="dxa"/>
            </w:tcMar>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555" w:type="pct"/>
            <w:vMerge w:val="continue"/>
            <w:tcBorders>
              <w:tl2br w:val="nil"/>
              <w:tr2bl w:val="nil"/>
            </w:tcBorders>
            <w:tcMar>
              <w:left w:w="28" w:type="dxa"/>
              <w:right w:w="28" w:type="dxa"/>
            </w:tcMar>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36" w:type="pct"/>
            <w:vMerge w:val="continue"/>
            <w:tcBorders>
              <w:tl2br w:val="nil"/>
              <w:tr2bl w:val="nil"/>
            </w:tcBorders>
            <w:tcMar>
              <w:left w:w="28" w:type="dxa"/>
              <w:right w:w="28" w:type="dxa"/>
            </w:tcMar>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64" w:type="pct"/>
            <w:vMerge w:val="continue"/>
            <w:tcBorders>
              <w:tl2br w:val="nil"/>
              <w:tr2bl w:val="nil"/>
            </w:tcBorders>
            <w:tcMar>
              <w:left w:w="28" w:type="dxa"/>
              <w:right w:w="28" w:type="dxa"/>
            </w:tcMar>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742" w:type="pct"/>
            <w:tcBorders>
              <w:tl2br w:val="nil"/>
              <w:tr2bl w:val="nil"/>
            </w:tcBorders>
            <w:tcMar>
              <w:left w:w="28" w:type="dxa"/>
              <w:right w:w="28" w:type="dxa"/>
            </w:tcMar>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14:textFill>
                  <w14:solidFill>
                    <w14:schemeClr w14:val="tx1"/>
                  </w14:solidFill>
                </w14:textFill>
              </w:rPr>
              <w:t>颗粒物</w:t>
            </w:r>
          </w:p>
        </w:tc>
        <w:tc>
          <w:tcPr>
            <w:tcW w:w="619" w:type="pct"/>
            <w:tcBorders>
              <w:tl2br w:val="nil"/>
              <w:tr2bl w:val="nil"/>
            </w:tcBorders>
            <w:tcMar>
              <w:left w:w="28" w:type="dxa"/>
              <w:right w:w="28" w:type="dxa"/>
            </w:tcMar>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14:textFill>
                  <w14:solidFill>
                    <w14:schemeClr w14:val="tx1"/>
                  </w14:solidFill>
                </w14:textFill>
              </w:rPr>
              <w:t>2</w:t>
            </w:r>
          </w:p>
        </w:tc>
        <w:tc>
          <w:tcPr>
            <w:tcW w:w="715" w:type="pct"/>
            <w:tcBorders>
              <w:tl2br w:val="nil"/>
              <w:tr2bl w:val="nil"/>
            </w:tcBorders>
            <w:tcMar>
              <w:left w:w="28" w:type="dxa"/>
              <w:right w:w="28" w:type="dxa"/>
            </w:tcMar>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14:textFill>
                  <w14:solidFill>
                    <w14:schemeClr w14:val="tx1"/>
                  </w14:solidFill>
                </w14:textFill>
              </w:rPr>
              <w:t>NO</w:t>
            </w:r>
            <w:r>
              <w:rPr>
                <w:rFonts w:ascii="Times New Roman" w:hAnsi="Times New Roman" w:cs="Times New Roman"/>
                <w:color w:val="000000" w:themeColor="text1"/>
                <w:w w:val="99"/>
                <w:kern w:val="2"/>
                <w:sz w:val="21"/>
                <w:szCs w:val="21"/>
                <w:highlight w:val="none"/>
                <w:vertAlign w:val="subscript"/>
                <w14:textFill>
                  <w14:solidFill>
                    <w14:schemeClr w14:val="tx1"/>
                  </w14:solidFill>
                </w14:textFill>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66" w:type="pct"/>
            <w:tcBorders>
              <w:tl2br w:val="nil"/>
              <w:tr2bl w:val="nil"/>
            </w:tcBorders>
            <w:vAlign w:val="center"/>
          </w:tcPr>
          <w:p>
            <w:pPr>
              <w:adjustRightInd w:val="0"/>
              <w:snapToGrid w:val="0"/>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bCs/>
                <w:color w:val="000000" w:themeColor="text1"/>
                <w:w w:val="99"/>
                <w:sz w:val="21"/>
                <w:szCs w:val="21"/>
                <w:highlight w:val="none"/>
                <w:lang w:val="en-US" w:bidi="ar"/>
                <w14:textFill>
                  <w14:solidFill>
                    <w14:schemeClr w14:val="tx1"/>
                  </w14:solidFill>
                </w14:textFill>
              </w:rPr>
              <w:t>葡北</w:t>
            </w:r>
            <w:r>
              <w:rPr>
                <w:rFonts w:hint="eastAsia" w:ascii="Times New Roman" w:hAnsi="Times New Roman" w:cs="Times New Roman"/>
                <w:bCs/>
                <w:color w:val="000000" w:themeColor="text1"/>
                <w:w w:val="99"/>
                <w:sz w:val="21"/>
                <w:szCs w:val="21"/>
                <w:highlight w:val="none"/>
                <w:lang w:val="en-US" w:eastAsia="zh-CN" w:bidi="ar"/>
                <w14:textFill>
                  <w14:solidFill>
                    <w14:schemeClr w14:val="tx1"/>
                  </w14:solidFill>
                </w14:textFill>
              </w:rPr>
              <w:t>9</w:t>
            </w:r>
            <w:r>
              <w:rPr>
                <w:rFonts w:ascii="Times New Roman" w:hAnsi="Times New Roman" w:cs="Times New Roman"/>
                <w:bCs/>
                <w:color w:val="000000" w:themeColor="text1"/>
                <w:w w:val="99"/>
                <w:sz w:val="21"/>
                <w:szCs w:val="21"/>
                <w:highlight w:val="none"/>
                <w:lang w:val="en-US" w:bidi="ar"/>
                <w14:textFill>
                  <w14:solidFill>
                    <w14:schemeClr w14:val="tx1"/>
                  </w14:solidFill>
                </w14:textFill>
              </w:rPr>
              <w:t>#转油站</w:t>
            </w:r>
            <w:r>
              <w:rPr>
                <w:rFonts w:hint="eastAsia" w:ascii="Times New Roman" w:hAnsi="Times New Roman" w:cs="Times New Roman"/>
                <w:bCs/>
                <w:color w:val="000000" w:themeColor="text1"/>
                <w:w w:val="99"/>
                <w:sz w:val="21"/>
                <w:szCs w:val="21"/>
                <w:highlight w:val="none"/>
                <w:lang w:val="en-US" w:eastAsia="zh-CN" w:bidi="ar"/>
                <w14:textFill>
                  <w14:solidFill>
                    <w14:schemeClr w14:val="tx1"/>
                  </w14:solidFill>
                </w14:textFill>
              </w:rPr>
              <w:t>（4台加热装置，运3备1）</w:t>
            </w:r>
          </w:p>
        </w:tc>
        <w:tc>
          <w:tcPr>
            <w:tcW w:w="555" w:type="pc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12</w:t>
            </w:r>
          </w:p>
        </w:tc>
        <w:tc>
          <w:tcPr>
            <w:tcW w:w="636" w:type="pc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156</w:t>
            </w:r>
          </w:p>
        </w:tc>
        <w:tc>
          <w:tcPr>
            <w:tcW w:w="664" w:type="pct"/>
            <w:tcBorders>
              <w:tl2br w:val="nil"/>
              <w:tr2bl w:val="nil"/>
            </w:tcBorders>
            <w:vAlign w:val="center"/>
          </w:tcPr>
          <w:p>
            <w:pPr>
              <w:autoSpaceDE/>
              <w:autoSpaceDN/>
              <w:adjustRightInd w:val="0"/>
              <w:snapToGrid w:val="0"/>
              <w:spacing w:line="320" w:lineRule="exac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2121.6</w:t>
            </w:r>
          </w:p>
        </w:tc>
        <w:tc>
          <w:tcPr>
            <w:tcW w:w="742" w:type="pct"/>
            <w:tcBorders>
              <w:tl2br w:val="nil"/>
              <w:tr2bl w:val="nil"/>
            </w:tcBorders>
            <w:vAlign w:val="center"/>
          </w:tcPr>
          <w:p>
            <w:pPr>
              <w:autoSpaceDE/>
              <w:autoSpaceDN/>
              <w:adjustRightInd w:val="0"/>
              <w:snapToGrid w:val="0"/>
              <w:spacing w:line="320" w:lineRule="exac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0.25</w:t>
            </w:r>
          </w:p>
        </w:tc>
        <w:tc>
          <w:tcPr>
            <w:tcW w:w="619" w:type="pct"/>
            <w:tcBorders>
              <w:tl2br w:val="nil"/>
              <w:tr2bl w:val="nil"/>
            </w:tcBorders>
            <w:vAlign w:val="center"/>
          </w:tcPr>
          <w:p>
            <w:pPr>
              <w:autoSpaceDE/>
              <w:autoSpaceDN/>
              <w:adjustRightInd w:val="0"/>
              <w:snapToGrid w:val="0"/>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0.3</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w:t>
            </w:r>
          </w:p>
        </w:tc>
        <w:tc>
          <w:tcPr>
            <w:tcW w:w="715" w:type="pct"/>
            <w:tcBorders>
              <w:tl2br w:val="nil"/>
              <w:tr2bl w:val="nil"/>
            </w:tcBorders>
            <w:vAlign w:val="center"/>
          </w:tcPr>
          <w:p>
            <w:pPr>
              <w:autoSpaceDE/>
              <w:autoSpaceDN/>
              <w:adjustRightInd w:val="0"/>
              <w:snapToGrid w:val="0"/>
              <w:spacing w:line="320" w:lineRule="exac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66" w:type="pct"/>
            <w:tcBorders>
              <w:tl2br w:val="nil"/>
              <w:tr2bl w:val="nil"/>
            </w:tcBorders>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葡北</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10#转油站</w:t>
            </w:r>
            <w:r>
              <w:rPr>
                <w:rFonts w:hint="eastAsia" w:ascii="Times New Roman" w:hAnsi="Times New Roman" w:cs="Times New Roman"/>
                <w:bCs/>
                <w:color w:val="000000" w:themeColor="text1"/>
                <w:w w:val="99"/>
                <w:sz w:val="21"/>
                <w:szCs w:val="21"/>
                <w:highlight w:val="none"/>
                <w:lang w:val="en-US" w:eastAsia="zh-CN" w:bidi="ar"/>
                <w14:textFill>
                  <w14:solidFill>
                    <w14:schemeClr w14:val="tx1"/>
                  </w14:solidFill>
                </w14:textFill>
              </w:rPr>
              <w:t>（3台加热装置）</w:t>
            </w:r>
          </w:p>
        </w:tc>
        <w:tc>
          <w:tcPr>
            <w:tcW w:w="555" w:type="pc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10</w:t>
            </w:r>
          </w:p>
        </w:tc>
        <w:tc>
          <w:tcPr>
            <w:tcW w:w="636" w:type="pct"/>
            <w:tcBorders>
              <w:tl2br w:val="nil"/>
              <w:tr2bl w:val="nil"/>
            </w:tcBorders>
            <w:vAlign w:val="center"/>
          </w:tcPr>
          <w:p>
            <w:pPr>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222.3</w:t>
            </w:r>
          </w:p>
        </w:tc>
        <w:tc>
          <w:tcPr>
            <w:tcW w:w="664" w:type="pct"/>
            <w:tcBorders>
              <w:tl2br w:val="nil"/>
              <w:tr2bl w:val="nil"/>
            </w:tcBorders>
            <w:vAlign w:val="center"/>
          </w:tcPr>
          <w:p>
            <w:pPr>
              <w:autoSpaceDE/>
              <w:autoSpaceDN/>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3023.28</w:t>
            </w:r>
          </w:p>
        </w:tc>
        <w:tc>
          <w:tcPr>
            <w:tcW w:w="742" w:type="pct"/>
            <w:tcBorders>
              <w:tl2br w:val="nil"/>
              <w:tr2bl w:val="nil"/>
            </w:tcBorders>
            <w:vAlign w:val="center"/>
          </w:tcPr>
          <w:p>
            <w:pPr>
              <w:autoSpaceDE/>
              <w:autoSpaceDN/>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0.35</w:t>
            </w:r>
          </w:p>
        </w:tc>
        <w:tc>
          <w:tcPr>
            <w:tcW w:w="619" w:type="pct"/>
            <w:tcBorders>
              <w:tl2br w:val="nil"/>
              <w:tr2bl w:val="nil"/>
            </w:tcBorders>
            <w:vAlign w:val="center"/>
          </w:tcPr>
          <w:p>
            <w:pPr>
              <w:autoSpaceDE/>
              <w:autoSpaceDN/>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0.56</w:t>
            </w:r>
          </w:p>
        </w:tc>
        <w:tc>
          <w:tcPr>
            <w:tcW w:w="715" w:type="pct"/>
            <w:tcBorders>
              <w:tl2br w:val="nil"/>
              <w:tr2bl w:val="nil"/>
            </w:tcBorders>
            <w:vAlign w:val="center"/>
          </w:tcPr>
          <w:p>
            <w:pPr>
              <w:autoSpaceDE/>
              <w:autoSpaceDN/>
              <w:adjustRightInd w:val="0"/>
              <w:snapToGrid w:val="0"/>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2.532</w:t>
            </w:r>
          </w:p>
        </w:tc>
      </w:tr>
    </w:tbl>
    <w:p>
      <w:pPr>
        <w:widowControl/>
        <w:tabs>
          <w:tab w:val="left" w:pos="5262"/>
        </w:tabs>
        <w:autoSpaceDE/>
        <w:autoSpaceDN/>
        <w:spacing w:line="500" w:lineRule="exact"/>
        <w:ind w:firstLine="471"/>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color w:val="000000" w:themeColor="text1"/>
          <w:w w:val="99"/>
          <w:kern w:val="2"/>
          <w:sz w:val="24"/>
          <w:szCs w:val="24"/>
          <w:highlight w:val="none"/>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油气集输过程中挥发烃类气体</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油气集输过程烃类气体挥发主要来自采油井场、集油间、转油站、联合站、集输系统等。</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根据《大气挥发性有机物源排放清单编制技术指南（试行）》中石油化工业天然原油和天然气开采，石油开采挥发性有机物产生系数1.4175g/kg原油，依托场站为油田开发的中间环节，结合污染物排放清单进行核算</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，建设项目依托场站每年原油产能</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418100</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t/a，非甲烷总烃产生量约为</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592.67</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t/a。</w:t>
      </w:r>
    </w:p>
    <w:p>
      <w:pPr>
        <w:keepNext w:val="0"/>
        <w:keepLines w:val="0"/>
        <w:pageBreakBefore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根据</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采油七厂葡北油田三断块葡72-70井区深部调驱产能建设地面工程</w:t>
      </w:r>
      <w:r>
        <w:rPr>
          <w:rFonts w:ascii="Times New Roman" w:hAnsi="Times New Roman" w:cs="Times New Roman"/>
          <w:bCs/>
          <w:color w:val="000000" w:themeColor="text1"/>
          <w:w w:val="99"/>
          <w:sz w:val="24"/>
          <w:szCs w:val="20"/>
          <w:highlight w:val="none"/>
          <w:lang w:val="en-US"/>
          <w14:textFill>
            <w14:solidFill>
              <w14:schemeClr w14:val="tx1"/>
            </w14:solidFill>
          </w14:textFill>
        </w:rPr>
        <w:t>监测报告》</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（监测时间2021年</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8</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月</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30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9</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月</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5</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ascii="Times New Roman" w:hAnsi="Times New Roman" w:cs="Times New Roman"/>
          <w:bCs/>
          <w:color w:val="000000" w:themeColor="text1"/>
          <w:w w:val="99"/>
          <w:sz w:val="24"/>
          <w:szCs w:val="20"/>
          <w:highlight w:val="none"/>
          <w:lang w:val="en-US"/>
          <w14:textFill>
            <w14:solidFill>
              <w14:schemeClr w14:val="tx1"/>
            </w14:solidFill>
          </w14:textFill>
        </w:rPr>
        <w:t>对</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葡70-70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井</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eastAsia="宋体" w:cs="Times New Roman"/>
          <w:bCs/>
          <w:color w:val="000000" w:themeColor="text1"/>
          <w:w w:val="99"/>
          <w:sz w:val="24"/>
          <w:szCs w:val="20"/>
          <w:highlight w:val="none"/>
          <w:lang w:val="en-US" w:eastAsia="zh-CN"/>
          <w14:textFill>
            <w14:solidFill>
              <w14:schemeClr w14:val="tx1"/>
            </w14:solidFill>
          </w14:textFill>
        </w:rPr>
        <w:t>葡71-72井、</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钱家屯</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等</w:t>
      </w:r>
      <w:r>
        <w:rPr>
          <w:rFonts w:ascii="Times New Roman" w:hAnsi="Times New Roman" w:cs="Times New Roman"/>
          <w:bCs/>
          <w:color w:val="000000" w:themeColor="text1"/>
          <w:w w:val="99"/>
          <w:sz w:val="24"/>
          <w:szCs w:val="20"/>
          <w:highlight w:val="none"/>
          <w:lang w:val="en-US"/>
          <w14:textFill>
            <w14:solidFill>
              <w14:schemeClr w14:val="tx1"/>
            </w14:solidFill>
          </w14:textFill>
        </w:rPr>
        <w:t>处的环境现状监测结果可知，非甲烷总烃浓度为0.31</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~0.</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52</w:t>
      </w:r>
      <w:r>
        <w:rPr>
          <w:rFonts w:ascii="Times New Roman" w:hAnsi="Times New Roman" w:cs="Times New Roman"/>
          <w:bCs/>
          <w:color w:val="000000" w:themeColor="text1"/>
          <w:w w:val="99"/>
          <w:sz w:val="24"/>
          <w:szCs w:val="20"/>
          <w:highlight w:val="none"/>
          <w:lang w:val="en-US"/>
          <w14:textFill>
            <w14:solidFill>
              <w14:schemeClr w14:val="tx1"/>
            </w14:solidFill>
          </w14:textFill>
        </w:rPr>
        <w:t>mg/m</w:t>
      </w:r>
      <w:r>
        <w:rPr>
          <w:rFonts w:ascii="Times New Roman" w:hAnsi="Times New Roman" w:cs="Times New Roman"/>
          <w:bCs/>
          <w:color w:val="000000" w:themeColor="text1"/>
          <w:w w:val="99"/>
          <w:sz w:val="24"/>
          <w:szCs w:val="20"/>
          <w:highlight w:val="none"/>
          <w:vertAlign w:val="superscript"/>
          <w:lang w:val="en-US"/>
          <w14:textFill>
            <w14:solidFill>
              <w14:schemeClr w14:val="tx1"/>
            </w14:solidFill>
          </w14:textFill>
        </w:rPr>
        <w:t>3</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3</w:t>
      </w:r>
      <w:r>
        <w:rPr>
          <w:rFonts w:ascii="Times New Roman" w:hAnsi="Times New Roman" w:cs="Times New Roman"/>
          <w:bCs/>
          <w:color w:val="000000" w:themeColor="text1"/>
          <w:w w:val="99"/>
          <w:sz w:val="24"/>
          <w:szCs w:val="20"/>
          <w:highlight w:val="none"/>
          <w:lang w:val="en-US"/>
          <w14:textFill>
            <w14:solidFill>
              <w14:schemeClr w14:val="tx1"/>
            </w14:solidFill>
          </w14:textFill>
        </w:rPr>
        <w:t>1~</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0</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.53</w:t>
      </w:r>
      <w:r>
        <w:rPr>
          <w:rFonts w:ascii="Times New Roman" w:hAnsi="Times New Roman" w:cs="Times New Roman"/>
          <w:bCs/>
          <w:color w:val="000000" w:themeColor="text1"/>
          <w:w w:val="99"/>
          <w:sz w:val="24"/>
          <w:szCs w:val="20"/>
          <w:highlight w:val="none"/>
          <w:lang w:val="en-US"/>
          <w14:textFill>
            <w14:solidFill>
              <w14:schemeClr w14:val="tx1"/>
            </w14:solidFill>
          </w14:textFill>
        </w:rPr>
        <w:t>mg/m</w:t>
      </w:r>
      <w:r>
        <w:rPr>
          <w:rFonts w:ascii="Times New Roman" w:hAnsi="Times New Roman" w:cs="Times New Roman"/>
          <w:bCs/>
          <w:color w:val="000000" w:themeColor="text1"/>
          <w:w w:val="99"/>
          <w:sz w:val="24"/>
          <w:szCs w:val="20"/>
          <w:highlight w:val="none"/>
          <w:vertAlign w:val="superscript"/>
          <w:lang w:val="en-US"/>
          <w14:textFill>
            <w14:solidFill>
              <w14:schemeClr w14:val="tx1"/>
            </w14:solidFill>
          </w14:textFill>
        </w:rPr>
        <w:t>3</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3</w:t>
      </w:r>
      <w:r>
        <w:rPr>
          <w:rFonts w:ascii="Times New Roman" w:hAnsi="Times New Roman" w:cs="Times New Roman"/>
          <w:bCs/>
          <w:color w:val="000000" w:themeColor="text1"/>
          <w:w w:val="99"/>
          <w:sz w:val="24"/>
          <w:szCs w:val="20"/>
          <w:highlight w:val="none"/>
          <w:lang w:val="en-US"/>
          <w14:textFill>
            <w14:solidFill>
              <w14:schemeClr w14:val="tx1"/>
            </w14:solidFill>
          </w14:textFill>
        </w:rPr>
        <w:t>1~</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0</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.55</w:t>
      </w:r>
      <w:r>
        <w:rPr>
          <w:rFonts w:ascii="Times New Roman" w:hAnsi="Times New Roman" w:cs="Times New Roman"/>
          <w:bCs/>
          <w:color w:val="000000" w:themeColor="text1"/>
          <w:w w:val="99"/>
          <w:sz w:val="24"/>
          <w:szCs w:val="20"/>
          <w:highlight w:val="none"/>
          <w:lang w:val="en-US"/>
          <w14:textFill>
            <w14:solidFill>
              <w14:schemeClr w14:val="tx1"/>
            </w14:solidFill>
          </w14:textFill>
        </w:rPr>
        <w:t>mg/m</w:t>
      </w:r>
      <w:r>
        <w:rPr>
          <w:rFonts w:ascii="Times New Roman" w:hAnsi="Times New Roman" w:cs="Times New Roman"/>
          <w:bCs/>
          <w:color w:val="000000" w:themeColor="text1"/>
          <w:w w:val="99"/>
          <w:sz w:val="24"/>
          <w:szCs w:val="20"/>
          <w:highlight w:val="none"/>
          <w:vertAlign w:val="superscript"/>
          <w:lang w:val="en-US"/>
          <w14:textFill>
            <w14:solidFill>
              <w14:schemeClr w14:val="tx1"/>
            </w14:solidFill>
          </w14:textFill>
        </w:rPr>
        <w:t>3</w:t>
      </w:r>
      <w:r>
        <w:rPr>
          <w:rFonts w:ascii="Times New Roman" w:hAnsi="Times New Roman" w:cs="Times New Roman"/>
          <w:bCs/>
          <w:color w:val="000000" w:themeColor="text1"/>
          <w:w w:val="99"/>
          <w:sz w:val="24"/>
          <w:szCs w:val="20"/>
          <w:highlight w:val="none"/>
          <w:lang w:val="en-US"/>
          <w14:textFill>
            <w14:solidFill>
              <w14:schemeClr w14:val="tx1"/>
            </w14:solidFill>
          </w14:textFill>
        </w:rPr>
        <w:t>，符合《大气污染物综合排放标准详解》中标准要求。</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474" w:firstLineChars="200"/>
        <w:jc w:val="left"/>
        <w:textAlignment w:val="auto"/>
        <w:rPr>
          <w:rFonts w:hint="eastAsia" w:ascii="Times New Roman" w:hAnsi="Times New Roman" w:eastAsia="宋体" w:cs="Times New Roman"/>
          <w:bCs/>
          <w:color w:val="000000" w:themeColor="text1"/>
          <w:w w:val="99"/>
          <w:sz w:val="24"/>
          <w:szCs w:val="20"/>
          <w:highlight w:val="none"/>
          <w:lang w:val="en-US" w:eastAsia="zh-CN"/>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根据</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采油七厂</w:t>
      </w:r>
      <w:r>
        <w:rPr>
          <w:rFonts w:ascii="Times New Roman" w:hAnsi="Times New Roman" w:cs="Times New Roman"/>
          <w:bCs/>
          <w:color w:val="000000" w:themeColor="text1"/>
          <w:w w:val="99"/>
          <w:sz w:val="24"/>
          <w:szCs w:val="20"/>
          <w:highlight w:val="none"/>
          <w:lang w:val="en-US"/>
          <w14:textFill>
            <w14:solidFill>
              <w14:schemeClr w14:val="tx1"/>
            </w14:solidFill>
          </w14:textFill>
        </w:rPr>
        <w:t>加热炉隐患治理工程</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监测报告</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中监测</w:t>
      </w:r>
      <w:r>
        <w:rPr>
          <w:rFonts w:ascii="Times New Roman" w:hAnsi="Times New Roman" w:cs="Times New Roman"/>
          <w:bCs/>
          <w:color w:val="000000" w:themeColor="text1"/>
          <w:w w:val="99"/>
          <w:sz w:val="24"/>
          <w:szCs w:val="20"/>
          <w:highlight w:val="none"/>
          <w:lang w:val="en-US"/>
          <w14:textFill>
            <w14:solidFill>
              <w14:schemeClr w14:val="tx1"/>
            </w14:solidFill>
          </w14:textFill>
        </w:rPr>
        <w:t>数据</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大庆中环评价检测有限公司</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监测时间</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20</w:t>
      </w:r>
      <w:r>
        <w:rPr>
          <w:rFonts w:ascii="Times New Roman" w:hAnsi="Times New Roman" w:cs="Times New Roman"/>
          <w:bCs/>
          <w:color w:val="000000" w:themeColor="text1"/>
          <w:w w:val="99"/>
          <w:sz w:val="24"/>
          <w:szCs w:val="20"/>
          <w:highlight w:val="none"/>
          <w:lang w:val="en-US"/>
          <w14:textFill>
            <w14:solidFill>
              <w14:schemeClr w14:val="tx1"/>
            </w14:solidFill>
          </w14:textFill>
        </w:rPr>
        <w:t>21</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年</w:t>
      </w:r>
      <w:r>
        <w:rPr>
          <w:rFonts w:ascii="Times New Roman" w:hAnsi="Times New Roman" w:cs="Times New Roman"/>
          <w:bCs/>
          <w:color w:val="000000" w:themeColor="text1"/>
          <w:w w:val="99"/>
          <w:sz w:val="24"/>
          <w:szCs w:val="20"/>
          <w:highlight w:val="none"/>
          <w:lang w:val="en-US"/>
          <w14:textFill>
            <w14:solidFill>
              <w14:schemeClr w14:val="tx1"/>
            </w14:solidFill>
          </w14:textFill>
        </w:rPr>
        <w:t>3</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月</w:t>
      </w:r>
      <w:r>
        <w:rPr>
          <w:rFonts w:ascii="Times New Roman" w:hAnsi="Times New Roman" w:cs="Times New Roman"/>
          <w:bCs/>
          <w:color w:val="000000" w:themeColor="text1"/>
          <w:w w:val="99"/>
          <w:sz w:val="24"/>
          <w:szCs w:val="20"/>
          <w:highlight w:val="none"/>
          <w:lang w:val="en-US"/>
          <w14:textFill>
            <w14:solidFill>
              <w14:schemeClr w14:val="tx1"/>
            </w14:solidFill>
          </w14:textFill>
        </w:rPr>
        <w:t>10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ascii="Times New Roman" w:hAnsi="Times New Roman" w:cs="Times New Roman"/>
          <w:bCs/>
          <w:color w:val="000000" w:themeColor="text1"/>
          <w:w w:val="99"/>
          <w:sz w:val="24"/>
          <w:szCs w:val="20"/>
          <w:highlight w:val="none"/>
          <w:lang w:val="en-US"/>
          <w14:textFill>
            <w14:solidFill>
              <w14:schemeClr w14:val="tx1"/>
            </w14:solidFill>
          </w14:textFill>
        </w:rPr>
        <w:t>11</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日、20</w:t>
      </w:r>
      <w:r>
        <w:rPr>
          <w:rFonts w:ascii="Times New Roman" w:hAnsi="Times New Roman" w:cs="Times New Roman"/>
          <w:bCs/>
          <w:color w:val="000000" w:themeColor="text1"/>
          <w:w w:val="99"/>
          <w:sz w:val="24"/>
          <w:szCs w:val="20"/>
          <w:highlight w:val="none"/>
          <w:lang w:val="en-US"/>
          <w14:textFill>
            <w14:solidFill>
              <w14:schemeClr w14:val="tx1"/>
            </w14:solidFill>
          </w14:textFill>
        </w:rPr>
        <w:t>21</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年</w:t>
      </w:r>
      <w:r>
        <w:rPr>
          <w:rFonts w:ascii="Times New Roman" w:hAnsi="Times New Roman" w:cs="Times New Roman"/>
          <w:bCs/>
          <w:color w:val="000000" w:themeColor="text1"/>
          <w:w w:val="99"/>
          <w:sz w:val="24"/>
          <w:szCs w:val="20"/>
          <w:highlight w:val="none"/>
          <w:lang w:val="en-US"/>
          <w14:textFill>
            <w14:solidFill>
              <w14:schemeClr w14:val="tx1"/>
            </w14:solidFill>
          </w14:textFill>
        </w:rPr>
        <w:t>3</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月</w:t>
      </w:r>
      <w:r>
        <w:rPr>
          <w:rFonts w:ascii="Times New Roman" w:hAnsi="Times New Roman" w:cs="Times New Roman"/>
          <w:bCs/>
          <w:color w:val="000000" w:themeColor="text1"/>
          <w:w w:val="99"/>
          <w:sz w:val="24"/>
          <w:szCs w:val="20"/>
          <w:highlight w:val="none"/>
          <w:lang w:val="en-US"/>
          <w14:textFill>
            <w14:solidFill>
              <w14:schemeClr w14:val="tx1"/>
            </w14:solidFill>
          </w14:textFill>
        </w:rPr>
        <w:t>17</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ascii="Times New Roman" w:hAnsi="Times New Roman" w:cs="Times New Roman"/>
          <w:bCs/>
          <w:color w:val="000000" w:themeColor="text1"/>
          <w:w w:val="99"/>
          <w:sz w:val="24"/>
          <w:szCs w:val="20"/>
          <w:highlight w:val="none"/>
          <w:lang w:val="en-US"/>
          <w14:textFill>
            <w14:solidFill>
              <w14:schemeClr w14:val="tx1"/>
            </w14:solidFill>
          </w14:textFill>
        </w:rPr>
        <w:t>18</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ascii="Times New Roman" w:hAnsi="Times New Roman" w:cs="Times New Roman"/>
          <w:bCs/>
          <w:color w:val="000000" w:themeColor="text1"/>
          <w:w w:val="99"/>
          <w:sz w:val="24"/>
          <w:szCs w:val="20"/>
          <w:highlight w:val="none"/>
          <w:lang w:val="en-US" w:eastAsia="zh-CN"/>
          <w14:textFill>
            <w14:solidFill>
              <w14:schemeClr w14:val="tx1"/>
            </w14:solidFill>
          </w14:textFill>
        </w:rPr>
        <w:t xml:space="preserve">葡北油田三断块深部调驱扩大应用现场试 </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验产能建设工程</w:t>
      </w:r>
      <w:r>
        <w:rPr>
          <w:rFonts w:ascii="Times New Roman" w:hAnsi="Times New Roman" w:cs="Times New Roman"/>
          <w:bCs/>
          <w:color w:val="000000" w:themeColor="text1"/>
          <w:w w:val="99"/>
          <w:sz w:val="24"/>
          <w:szCs w:val="20"/>
          <w:highlight w:val="none"/>
          <w:lang w:val="en-US" w:eastAsia="zh-CN"/>
          <w14:textFill>
            <w14:solidFill>
              <w14:schemeClr w14:val="tx1"/>
            </w14:solidFill>
          </w14:textFill>
        </w:rPr>
        <w:t>竣工环境保护验收调查表</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中监测</w:t>
      </w:r>
      <w:r>
        <w:rPr>
          <w:rFonts w:ascii="Times New Roman" w:hAnsi="Times New Roman" w:cs="Times New Roman"/>
          <w:bCs/>
          <w:color w:val="000000" w:themeColor="text1"/>
          <w:w w:val="99"/>
          <w:sz w:val="24"/>
          <w:szCs w:val="20"/>
          <w:highlight w:val="none"/>
          <w:lang w:val="en-US"/>
          <w14:textFill>
            <w14:solidFill>
              <w14:schemeClr w14:val="tx1"/>
            </w14:solidFill>
          </w14:textFill>
        </w:rPr>
        <w:t>数据</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大庆中环评价检测有限公司</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监测时间</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20</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19</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年</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11</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月</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7</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8</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本项目</w:t>
      </w:r>
      <w:r>
        <w:rPr>
          <w:rFonts w:ascii="Times New Roman" w:hAnsi="Times New Roman" w:cs="Times New Roman"/>
          <w:bCs/>
          <w:color w:val="000000" w:themeColor="text1"/>
          <w:w w:val="99"/>
          <w:sz w:val="24"/>
          <w:szCs w:val="20"/>
          <w:highlight w:val="none"/>
          <w:lang w:val="en-US"/>
          <w14:textFill>
            <w14:solidFill>
              <w14:schemeClr w14:val="tx1"/>
            </w14:solidFill>
          </w14:textFill>
        </w:rPr>
        <w:t>依托场站厂界</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非甲烷总烃满足</w:t>
      </w:r>
      <w:r>
        <w:rPr>
          <w:rFonts w:ascii="Times New Roman" w:hAnsi="Times New Roman" w:cs="Times New Roman"/>
          <w:bCs/>
          <w:color w:val="000000" w:themeColor="text1"/>
          <w:w w:val="99"/>
          <w:sz w:val="24"/>
          <w:szCs w:val="20"/>
          <w:highlight w:val="none"/>
          <w:lang w:val="en-US"/>
          <w14:textFill>
            <w14:solidFill>
              <w14:schemeClr w14:val="tx1"/>
            </w14:solidFill>
          </w14:textFill>
        </w:rPr>
        <w:t>《大气污染物综合排放标准》（GB16297-1996）中无组织排放监控浓度限值</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（4.0</w:t>
      </w:r>
      <w:r>
        <w:rPr>
          <w:rFonts w:ascii="Times New Roman" w:hAnsi="Times New Roman" w:cs="Times New Roman"/>
          <w:bCs/>
          <w:color w:val="000000" w:themeColor="text1"/>
          <w:w w:val="99"/>
          <w:sz w:val="24"/>
          <w:szCs w:val="20"/>
          <w:highlight w:val="none"/>
          <w:lang w:val="en-US"/>
          <w14:textFill>
            <w14:solidFill>
              <w14:schemeClr w14:val="tx1"/>
            </w14:solidFill>
          </w14:textFill>
        </w:rPr>
        <w:t>mg/m</w:t>
      </w:r>
      <w:r>
        <w:rPr>
          <w:rFonts w:ascii="Times New Roman" w:hAnsi="Times New Roman" w:cs="Times New Roman"/>
          <w:bCs/>
          <w:color w:val="000000" w:themeColor="text1"/>
          <w:w w:val="99"/>
          <w:sz w:val="24"/>
          <w:szCs w:val="20"/>
          <w:highlight w:val="none"/>
          <w:vertAlign w:val="superscript"/>
          <w:lang w:val="en-US"/>
          <w14:textFill>
            <w14:solidFill>
              <w14:schemeClr w14:val="tx1"/>
            </w14:solidFill>
          </w14:textFill>
        </w:rPr>
        <w:t>3</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），具体监测</w:t>
      </w:r>
      <w:r>
        <w:rPr>
          <w:rFonts w:ascii="Times New Roman" w:hAnsi="Times New Roman" w:cs="Times New Roman"/>
          <w:bCs/>
          <w:color w:val="000000" w:themeColor="text1"/>
          <w:w w:val="99"/>
          <w:sz w:val="24"/>
          <w:szCs w:val="20"/>
          <w:highlight w:val="none"/>
          <w:lang w:val="en-US"/>
          <w14:textFill>
            <w14:solidFill>
              <w14:schemeClr w14:val="tx1"/>
            </w14:solidFill>
          </w14:textFill>
        </w:rPr>
        <w:t>结果见表</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3.3-</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5</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p>
    <w:p>
      <w:pPr>
        <w:widowControl/>
        <w:autoSpaceDE/>
        <w:autoSpaceDN/>
        <w:snapToGrid w:val="0"/>
        <w:spacing w:line="480" w:lineRule="exact"/>
        <w:ind w:firstLine="476" w:firstLineChars="200"/>
        <w:rPr>
          <w:rFonts w:ascii="Times New Roman" w:hAnsi="Times New Roman" w:cs="Times New Roman"/>
          <w:b/>
          <w:bCs/>
          <w:color w:val="000000" w:themeColor="text1"/>
          <w:w w:val="99"/>
          <w:sz w:val="24"/>
          <w:szCs w:val="28"/>
          <w:highlight w:val="none"/>
          <w:lang w:val="en-US" w:bidi="ar-SA"/>
          <w14:textFill>
            <w14:solidFill>
              <w14:schemeClr w14:val="tx1"/>
            </w14:solidFill>
          </w14:textFill>
        </w:rPr>
      </w:pPr>
      <w:r>
        <w:rPr>
          <w:rFonts w:ascii="Times New Roman" w:hAnsi="Times New Roman" w:cs="Times New Roman"/>
          <w:b/>
          <w:bCs/>
          <w:color w:val="000000" w:themeColor="text1"/>
          <w:w w:val="99"/>
          <w:sz w:val="24"/>
          <w:szCs w:val="28"/>
          <w:highlight w:val="none"/>
          <w:lang w:val="en-US" w:bidi="ar-SA"/>
          <w14:textFill>
            <w14:solidFill>
              <w14:schemeClr w14:val="tx1"/>
            </w14:solidFill>
          </w14:textFill>
        </w:rPr>
        <w:t>表 3.3-</w:t>
      </w:r>
      <w:r>
        <w:rPr>
          <w:rFonts w:hint="eastAsia" w:ascii="Times New Roman" w:hAnsi="Times New Roman" w:cs="Times New Roman"/>
          <w:b/>
          <w:bCs/>
          <w:color w:val="000000" w:themeColor="text1"/>
          <w:w w:val="99"/>
          <w:sz w:val="24"/>
          <w:szCs w:val="28"/>
          <w:highlight w:val="none"/>
          <w:lang w:val="en-US" w:eastAsia="zh-CN" w:bidi="ar-SA"/>
          <w14:textFill>
            <w14:solidFill>
              <w14:schemeClr w14:val="tx1"/>
            </w14:solidFill>
          </w14:textFill>
        </w:rPr>
        <w:t>5</w:t>
      </w:r>
      <w:r>
        <w:rPr>
          <w:rFonts w:ascii="Times New Roman" w:hAnsi="Times New Roman" w:cs="Times New Roman"/>
          <w:b/>
          <w:bCs/>
          <w:color w:val="000000" w:themeColor="text1"/>
          <w:w w:val="99"/>
          <w:sz w:val="24"/>
          <w:szCs w:val="28"/>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sz w:val="24"/>
          <w:szCs w:val="28"/>
          <w:highlight w:val="none"/>
          <w:lang w:val="en-US" w:bidi="ar-SA"/>
          <w14:textFill>
            <w14:solidFill>
              <w14:schemeClr w14:val="tx1"/>
            </w14:solidFill>
          </w14:textFill>
        </w:rPr>
        <w:t>依托场站</w:t>
      </w:r>
      <w:r>
        <w:rPr>
          <w:rFonts w:ascii="Times New Roman" w:hAnsi="Times New Roman" w:cs="Times New Roman"/>
          <w:b/>
          <w:bCs/>
          <w:color w:val="000000" w:themeColor="text1"/>
          <w:w w:val="99"/>
          <w:sz w:val="24"/>
          <w:szCs w:val="28"/>
          <w:highlight w:val="none"/>
          <w:lang w:val="en-US" w:bidi="ar-SA"/>
          <w14:textFill>
            <w14:solidFill>
              <w14:schemeClr w14:val="tx1"/>
            </w14:solidFill>
          </w14:textFill>
        </w:rPr>
        <w:t>厂界</w:t>
      </w:r>
      <w:r>
        <w:rPr>
          <w:rFonts w:hint="eastAsia" w:ascii="Times New Roman" w:hAnsi="Times New Roman" w:cs="Times New Roman"/>
          <w:b/>
          <w:bCs/>
          <w:color w:val="000000" w:themeColor="text1"/>
          <w:w w:val="99"/>
          <w:sz w:val="24"/>
          <w:szCs w:val="28"/>
          <w:highlight w:val="none"/>
          <w:lang w:val="en-US" w:bidi="ar-SA"/>
          <w14:textFill>
            <w14:solidFill>
              <w14:schemeClr w14:val="tx1"/>
            </w14:solidFill>
          </w14:textFill>
        </w:rPr>
        <w:t>非甲烷总烃监测</w:t>
      </w:r>
      <w:r>
        <w:rPr>
          <w:rFonts w:ascii="Times New Roman" w:hAnsi="Times New Roman" w:cs="Times New Roman"/>
          <w:b/>
          <w:bCs/>
          <w:color w:val="000000" w:themeColor="text1"/>
          <w:w w:val="99"/>
          <w:sz w:val="24"/>
          <w:szCs w:val="28"/>
          <w:highlight w:val="none"/>
          <w:lang w:val="en-US" w:bidi="ar-SA"/>
          <w14:textFill>
            <w14:solidFill>
              <w14:schemeClr w14:val="tx1"/>
            </w14:solidFill>
          </w14:textFill>
        </w:rPr>
        <w:t>数据</w:t>
      </w:r>
      <w:r>
        <w:rPr>
          <w:rFonts w:hint="eastAsia" w:ascii="Times New Roman" w:hAnsi="Times New Roman" w:cs="Times New Roman"/>
          <w:b/>
          <w:bCs/>
          <w:color w:val="000000" w:themeColor="text1"/>
          <w:w w:val="99"/>
          <w:sz w:val="24"/>
          <w:szCs w:val="28"/>
          <w:highlight w:val="none"/>
          <w:lang w:val="en-US" w:bidi="ar-SA"/>
          <w14:textFill>
            <w14:solidFill>
              <w14:schemeClr w14:val="tx1"/>
            </w14:solidFill>
          </w14:textFill>
        </w:rPr>
        <w:t>表</w:t>
      </w:r>
    </w:p>
    <w:tbl>
      <w:tblPr>
        <w:tblStyle w:val="32"/>
        <w:tblW w:w="4996"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3"/>
        <w:gridCol w:w="3757"/>
        <w:gridCol w:w="412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序号</w:t>
            </w:r>
          </w:p>
        </w:tc>
        <w:tc>
          <w:tcPr>
            <w:tcW w:w="2023" w:type="pc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场站</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名称</w:t>
            </w:r>
          </w:p>
        </w:tc>
        <w:tc>
          <w:tcPr>
            <w:tcW w:w="2221" w:type="pc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监测结果</w:t>
            </w:r>
            <w:r>
              <w:rPr>
                <w:rFonts w:ascii="Times New Roman" w:hAnsi="Times New Roman" w:cs="Times New Roman"/>
                <w:bCs/>
                <w:color w:val="000000" w:themeColor="text1"/>
                <w:w w:val="99"/>
                <w:sz w:val="21"/>
                <w:szCs w:val="21"/>
                <w:highlight w:val="none"/>
                <w:lang w:val="en-US" w:bidi="ar-SA"/>
                <w14:textFill>
                  <w14:solidFill>
                    <w14:schemeClr w14:val="tx1"/>
                  </w14:solidFill>
                </w14:textFill>
              </w:rPr>
              <w:t>mg/m</w:t>
            </w:r>
            <w:r>
              <w:rPr>
                <w:rFonts w:ascii="Times New Roman" w:hAnsi="Times New Roman" w:cs="Times New Roman"/>
                <w:bCs/>
                <w:color w:val="000000" w:themeColor="text1"/>
                <w:w w:val="99"/>
                <w:sz w:val="21"/>
                <w:szCs w:val="21"/>
                <w:highlight w:val="none"/>
                <w:vertAlign w:val="superscript"/>
                <w:lang w:val="en-US" w:bidi="ar-SA"/>
                <w14:textFill>
                  <w14:solidFill>
                    <w14:schemeClr w14:val="tx1"/>
                  </w14:solidFill>
                </w14:textFill>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w:t>
            </w:r>
          </w:p>
        </w:tc>
        <w:tc>
          <w:tcPr>
            <w:tcW w:w="2023" w:type="pct"/>
            <w:noWrap/>
            <w:vAlign w:val="center"/>
          </w:tcPr>
          <w:p>
            <w:pPr>
              <w:widowControl/>
              <w:autoSpaceDE/>
              <w:autoSpaceDN/>
              <w:snapToGrid w:val="0"/>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葡北</w:t>
            </w:r>
            <w:r>
              <w:rPr>
                <w:rFonts w:ascii="Times New Roman" w:hAnsi="Times New Roman" w:cs="Times New Roman"/>
                <w:color w:val="000000" w:themeColor="text1"/>
                <w:w w:val="99"/>
                <w:sz w:val="21"/>
                <w:szCs w:val="21"/>
                <w:highlight w:val="none"/>
                <w:lang w:val="en-US" w:bidi="ar-SA"/>
                <w14:textFill>
                  <w14:solidFill>
                    <w14:schemeClr w14:val="tx1"/>
                  </w14:solidFill>
                </w14:textFill>
              </w:rPr>
              <w:t>10#转油站</w:t>
            </w:r>
          </w:p>
        </w:tc>
        <w:tc>
          <w:tcPr>
            <w:tcW w:w="2221" w:type="pct"/>
            <w:noWrap/>
            <w:vAlign w:val="center"/>
          </w:tcPr>
          <w:p>
            <w:pPr>
              <w:widowControl/>
              <w:autoSpaceDE/>
              <w:autoSpaceDN/>
              <w:snapToGrid w:val="0"/>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0.</w:t>
            </w:r>
            <w:r>
              <w:rPr>
                <w:rFonts w:ascii="Times New Roman" w:hAnsi="Times New Roman" w:cs="Times New Roman"/>
                <w:color w:val="000000" w:themeColor="text1"/>
                <w:w w:val="99"/>
                <w:sz w:val="21"/>
                <w:szCs w:val="21"/>
                <w:highlight w:val="none"/>
                <w:lang w:val="en-US" w:bidi="ar-SA"/>
                <w14:textFill>
                  <w14:solidFill>
                    <w14:schemeClr w14:val="tx1"/>
                  </w14:solidFill>
                </w14:textFill>
              </w:rPr>
              <w:t>59</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～0.</w:t>
            </w:r>
            <w:r>
              <w:rPr>
                <w:rFonts w:ascii="Times New Roman" w:hAnsi="Times New Roman" w:cs="Times New Roman"/>
                <w:color w:val="000000" w:themeColor="text1"/>
                <w:w w:val="99"/>
                <w:sz w:val="21"/>
                <w:szCs w:val="21"/>
                <w:highlight w:val="none"/>
                <w:lang w:val="en-US" w:bidi="ar-SA"/>
                <w14:textFill>
                  <w14:solidFill>
                    <w14:schemeClr w14:val="tx1"/>
                  </w14:solidFill>
                </w14:textFill>
              </w:rPr>
              <w:t>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2</w:t>
            </w:r>
          </w:p>
        </w:tc>
        <w:tc>
          <w:tcPr>
            <w:tcW w:w="2023" w:type="pc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葡二联合站</w:t>
            </w:r>
          </w:p>
        </w:tc>
        <w:tc>
          <w:tcPr>
            <w:tcW w:w="2221" w:type="pct"/>
            <w:noWrap/>
            <w:vAlign w:val="center"/>
          </w:tcPr>
          <w:p>
            <w:pPr>
              <w:widowControl/>
              <w:autoSpaceDE/>
              <w:autoSpaceDN/>
              <w:snapToGrid w:val="0"/>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0.5</w:t>
            </w:r>
            <w:r>
              <w:rPr>
                <w:rFonts w:ascii="Times New Roman" w:hAnsi="Times New Roman" w:cs="Times New Roman"/>
                <w:color w:val="000000" w:themeColor="text1"/>
                <w:w w:val="99"/>
                <w:sz w:val="21"/>
                <w:szCs w:val="21"/>
                <w:highlight w:val="none"/>
                <w:lang w:val="en-US" w:bidi="ar-SA"/>
                <w14:textFill>
                  <w14:solidFill>
                    <w14:schemeClr w14:val="tx1"/>
                  </w14:solidFill>
                </w14:textFill>
              </w:rPr>
              <w:t>8</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～0.</w:t>
            </w:r>
            <w:r>
              <w:rPr>
                <w:rFonts w:ascii="Times New Roman" w:hAnsi="Times New Roman" w:cs="Times New Roman"/>
                <w:color w:val="000000" w:themeColor="text1"/>
                <w:w w:val="99"/>
                <w:sz w:val="21"/>
                <w:szCs w:val="21"/>
                <w:highlight w:val="none"/>
                <w:lang w:val="en-US" w:bidi="ar-SA"/>
                <w14:textFill>
                  <w14:solidFill>
                    <w14:schemeClr w14:val="tx1"/>
                  </w14:solidFill>
                </w14:textFill>
              </w:rPr>
              <w:t>72</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/0.75~0.89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widowControl/>
              <w:autoSpaceDE/>
              <w:autoSpaceDN/>
              <w:snapToGrid w:val="0"/>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3</w:t>
            </w:r>
          </w:p>
        </w:tc>
        <w:tc>
          <w:tcPr>
            <w:tcW w:w="2023" w:type="pct"/>
            <w:noWrap/>
            <w:vAlign w:val="center"/>
          </w:tcPr>
          <w:p>
            <w:pPr>
              <w:widowControl/>
              <w:autoSpaceDE/>
              <w:autoSpaceDN/>
              <w:snapToGrid w:val="0"/>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葡北9#转油站</w:t>
            </w:r>
          </w:p>
        </w:tc>
        <w:tc>
          <w:tcPr>
            <w:tcW w:w="2221" w:type="pct"/>
            <w:noWrap/>
            <w:vAlign w:val="center"/>
          </w:tcPr>
          <w:p>
            <w:pPr>
              <w:widowControl/>
              <w:autoSpaceDE/>
              <w:autoSpaceDN/>
              <w:snapToGrid w:val="0"/>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0.72~0.87</w:t>
            </w:r>
          </w:p>
        </w:tc>
      </w:tr>
    </w:tbl>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3.3.3.2 废水</w:t>
      </w:r>
    </w:p>
    <w:p>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ascii="Times New Roman" w:hAnsi="Times New Roman" w:cs="Times New Roman"/>
          <w:color w:val="000000" w:themeColor="text1"/>
          <w:w w:val="99"/>
          <w:sz w:val="24"/>
          <w:szCs w:val="28"/>
          <w:highlight w:val="none"/>
          <w:lang w:val="en-US" w:bidi="ar-SA"/>
          <w14:textFill>
            <w14:solidFill>
              <w14:schemeClr w14:val="tx1"/>
            </w14:solidFill>
          </w14:textFill>
        </w:rPr>
      </w:pP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依托场站区域内油</w:t>
      </w:r>
      <w:r>
        <w:rPr>
          <w:rFonts w:hint="eastAsia" w:ascii="Times New Roman" w:hAnsi="Times New Roman" w:cs="Times New Roman"/>
          <w:bCs/>
          <w:color w:val="000000" w:themeColor="text1"/>
          <w:w w:val="99"/>
          <w:sz w:val="24"/>
          <w:szCs w:val="28"/>
          <w:highlight w:val="none"/>
          <w:lang w:val="en-US" w:eastAsia="zh-CN" w:bidi="ar-SA"/>
          <w14:textFill>
            <w14:solidFill>
              <w14:schemeClr w14:val="tx1"/>
            </w14:solidFill>
          </w14:textFill>
        </w:rPr>
        <w:t>注入井</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作业</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（修井）</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产生的作业污水共计约</w:t>
      </w:r>
      <w:r>
        <w:rPr>
          <w:rFonts w:hint="eastAsia" w:ascii="Times New Roman" w:hAnsi="Times New Roman" w:cs="Times New Roman"/>
          <w:bCs/>
          <w:color w:val="000000" w:themeColor="text1"/>
          <w:w w:val="99"/>
          <w:sz w:val="24"/>
          <w:szCs w:val="28"/>
          <w:highlight w:val="none"/>
          <w:lang w:val="en-US" w:eastAsia="zh-CN" w:bidi="ar-SA"/>
          <w14:textFill>
            <w14:solidFill>
              <w14:schemeClr w14:val="tx1"/>
            </w14:solidFill>
          </w14:textFill>
        </w:rPr>
        <w:t>460</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m</w:t>
      </w:r>
      <w:r>
        <w:rPr>
          <w:rFonts w:ascii="Times New Roman" w:hAnsi="Times New Roman" w:cs="Times New Roman"/>
          <w:bCs/>
          <w:color w:val="000000" w:themeColor="text1"/>
          <w:w w:val="99"/>
          <w:sz w:val="24"/>
          <w:szCs w:val="28"/>
          <w:highlight w:val="none"/>
          <w:vertAlign w:val="superscript"/>
          <w:lang w:val="en-US" w:bidi="ar-SA"/>
          <w14:textFill>
            <w14:solidFill>
              <w14:schemeClr w14:val="tx1"/>
            </w14:solidFill>
          </w14:textFill>
        </w:rPr>
        <w:t>3</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，此部分污水通过罐车</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分别</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拉运到</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葡二联</w:t>
      </w:r>
      <w:r>
        <w:rPr>
          <w:rFonts w:ascii="Times New Roman" w:hAnsi="Times New Roman" w:cs="Times New Roman"/>
          <w:bCs/>
          <w:color w:val="000000" w:themeColor="text1"/>
          <w:w w:val="99"/>
          <w:sz w:val="24"/>
          <w:szCs w:val="28"/>
          <w:highlight w:val="none"/>
          <w:lang w:val="en-US" w:bidi="ar-SA"/>
          <w14:textFill>
            <w14:solidFill>
              <w14:schemeClr w14:val="tx1"/>
            </w14:solidFill>
          </w14:textFill>
        </w:rPr>
        <w:t>含油污水处理站</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w:t>
      </w:r>
      <w:r>
        <w:rPr>
          <w:rFonts w:ascii="Times New Roman" w:hAnsi="Times New Roman" w:cs="Times New Roman"/>
          <w:bCs/>
          <w:color w:val="000000" w:themeColor="text1"/>
          <w:w w:val="99"/>
          <w:sz w:val="24"/>
          <w:szCs w:val="24"/>
          <w:highlight w:val="none"/>
          <w14:textFill>
            <w14:solidFill>
              <w14:schemeClr w14:val="tx1"/>
            </w14:solidFill>
          </w14:textFill>
        </w:rPr>
        <w:t>根据</w:t>
      </w:r>
      <w:r>
        <w:rPr>
          <w:bCs/>
          <w:color w:val="000000" w:themeColor="text1"/>
          <w:w w:val="99"/>
          <w:sz w:val="24"/>
          <w:highlight w:val="none"/>
          <w:lang w:val="en-US"/>
          <w14:textFill>
            <w14:solidFill>
              <w14:schemeClr w14:val="tx1"/>
            </w14:solidFill>
          </w14:textFill>
        </w:rPr>
        <w:t>《</w:t>
      </w:r>
      <w:r>
        <w:rPr>
          <w:rFonts w:hint="default"/>
          <w:bCs/>
          <w:color w:val="000000" w:themeColor="text1"/>
          <w:w w:val="99"/>
          <w:sz w:val="24"/>
          <w:highlight w:val="none"/>
          <w:lang w:val="en-US" w:eastAsia="zh-CN"/>
          <w14:textFill>
            <w14:solidFill>
              <w14:schemeClr w14:val="tx1"/>
            </w14:solidFill>
          </w14:textFill>
        </w:rPr>
        <w:t>葡北油田三断块深部调驱扩大应用现场试验产能建设工程</w:t>
      </w:r>
      <w:r>
        <w:rPr>
          <w:rFonts w:hint="eastAsia"/>
          <w:bCs/>
          <w:color w:val="000000" w:themeColor="text1"/>
          <w:w w:val="99"/>
          <w:sz w:val="24"/>
          <w:highlight w:val="none"/>
          <w:lang w:val="en-US"/>
          <w14:textFill>
            <w14:solidFill>
              <w14:schemeClr w14:val="tx1"/>
            </w14:solidFill>
          </w14:textFill>
        </w:rPr>
        <w:t>竣工环境保护验收调查表</w:t>
      </w:r>
      <w:r>
        <w:rPr>
          <w:bCs/>
          <w:color w:val="000000" w:themeColor="text1"/>
          <w:w w:val="99"/>
          <w:sz w:val="24"/>
          <w:highlight w:val="none"/>
          <w:lang w:val="en-US"/>
          <w14:textFill>
            <w14:solidFill>
              <w14:schemeClr w14:val="tx1"/>
            </w14:solidFill>
          </w14:textFill>
        </w:rPr>
        <w:t>》</w:t>
      </w:r>
      <w:r>
        <w:rPr>
          <w:rFonts w:hint="eastAsia"/>
          <w:bCs/>
          <w:color w:val="000000" w:themeColor="text1"/>
          <w:w w:val="99"/>
          <w:sz w:val="24"/>
          <w:highlight w:val="none"/>
          <w:lang w:val="en-US" w:eastAsia="zh-CN"/>
          <w14:textFill>
            <w14:solidFill>
              <w14:schemeClr w14:val="tx1"/>
            </w14:solidFill>
          </w14:textFill>
        </w:rPr>
        <w:t>监测报告</w:t>
      </w:r>
      <w:r>
        <w:rPr>
          <w:rFonts w:hint="default" w:ascii="Times New Roman" w:hAnsi="Times New Roman" w:cs="Times New Roman"/>
          <w:bCs/>
          <w:color w:val="000000" w:themeColor="text1"/>
          <w:w w:val="99"/>
          <w:sz w:val="24"/>
          <w:highlight w:val="none"/>
          <w:lang w:val="en-US" w:eastAsia="zh-CN"/>
          <w14:textFill>
            <w14:solidFill>
              <w14:schemeClr w14:val="tx1"/>
            </w14:solidFill>
          </w14:textFill>
        </w:rPr>
        <w:t>（大庆中环环境检测评价有限公司，2019年 11月7日—2019年11月8日）</w:t>
      </w:r>
      <w:r>
        <w:rPr>
          <w:rFonts w:hint="default" w:ascii="Times New Roman" w:hAnsi="Times New Roman" w:cs="Times New Roman"/>
          <w:bCs/>
          <w:color w:val="000000" w:themeColor="text1"/>
          <w:w w:val="99"/>
          <w:sz w:val="24"/>
          <w:szCs w:val="24"/>
          <w:highlight w:val="none"/>
          <w14:textFill>
            <w14:solidFill>
              <w14:schemeClr w14:val="tx1"/>
            </w14:solidFill>
          </w14:textFill>
        </w:rPr>
        <w:t>，葡</w:t>
      </w:r>
      <w:r>
        <w:rPr>
          <w:rFonts w:hint="default" w:ascii="Times New Roman" w:hAnsi="Times New Roman" w:cs="Times New Roman"/>
          <w:bCs/>
          <w:color w:val="000000" w:themeColor="text1"/>
          <w:w w:val="99"/>
          <w:sz w:val="24"/>
          <w:szCs w:val="24"/>
          <w:highlight w:val="none"/>
          <w:lang w:eastAsia="zh-CN"/>
          <w14:textFill>
            <w14:solidFill>
              <w14:schemeClr w14:val="tx1"/>
            </w14:solidFill>
          </w14:textFill>
        </w:rPr>
        <w:t>二</w:t>
      </w:r>
      <w:r>
        <w:rPr>
          <w:rFonts w:hint="default" w:ascii="Times New Roman" w:hAnsi="Times New Roman" w:cs="Times New Roman"/>
          <w:bCs/>
          <w:color w:val="000000" w:themeColor="text1"/>
          <w:w w:val="99"/>
          <w:sz w:val="24"/>
          <w:szCs w:val="24"/>
          <w:highlight w:val="none"/>
          <w14:textFill>
            <w14:solidFill>
              <w14:schemeClr w14:val="tx1"/>
            </w14:solidFill>
          </w14:textFill>
        </w:rPr>
        <w:t>联含油</w:t>
      </w:r>
      <w:r>
        <w:rPr>
          <w:rFonts w:hint="eastAsia" w:ascii="Times New Roman" w:hAnsi="Times New Roman" w:cs="Times New Roman"/>
          <w:bCs/>
          <w:color w:val="000000" w:themeColor="text1"/>
          <w:w w:val="99"/>
          <w:sz w:val="24"/>
          <w:szCs w:val="24"/>
          <w:highlight w:val="none"/>
          <w:lang w:eastAsia="zh-CN"/>
          <w14:textFill>
            <w14:solidFill>
              <w14:schemeClr w14:val="tx1"/>
            </w14:solidFill>
          </w14:textFill>
        </w:rPr>
        <w:t>污水</w:t>
      </w:r>
      <w:r>
        <w:rPr>
          <w:rFonts w:hint="eastAsia" w:ascii="Times New Roman" w:hAnsi="Times New Roman" w:cs="Times New Roman"/>
          <w:bCs/>
          <w:color w:val="000000" w:themeColor="text1"/>
          <w:w w:val="99"/>
          <w:sz w:val="24"/>
          <w:szCs w:val="24"/>
          <w:highlight w:val="none"/>
          <w14:textFill>
            <w14:solidFill>
              <w14:schemeClr w14:val="tx1"/>
            </w14:solidFill>
          </w14:textFill>
        </w:rPr>
        <w:t>处理</w:t>
      </w:r>
      <w:r>
        <w:rPr>
          <w:rFonts w:hint="eastAsia" w:ascii="Times New Roman" w:hAnsi="Times New Roman" w:cs="Times New Roman"/>
          <w:bCs/>
          <w:color w:val="000000" w:themeColor="text1"/>
          <w:w w:val="99"/>
          <w:sz w:val="24"/>
          <w:szCs w:val="24"/>
          <w:highlight w:val="none"/>
          <w:lang w:eastAsia="zh-CN"/>
          <w14:textFill>
            <w14:solidFill>
              <w14:schemeClr w14:val="tx1"/>
            </w14:solidFill>
          </w14:textFill>
        </w:rPr>
        <w:t>站处理</w:t>
      </w:r>
      <w:r>
        <w:rPr>
          <w:rFonts w:hint="eastAsia" w:ascii="Times New Roman" w:hAnsi="Times New Roman" w:cs="Times New Roman"/>
          <w:bCs/>
          <w:color w:val="000000" w:themeColor="text1"/>
          <w:w w:val="99"/>
          <w:sz w:val="24"/>
          <w:szCs w:val="24"/>
          <w:highlight w:val="none"/>
          <w14:textFill>
            <w14:solidFill>
              <w14:schemeClr w14:val="tx1"/>
            </w14:solidFill>
          </w14:textFill>
        </w:rPr>
        <w:t>后</w:t>
      </w:r>
      <w:r>
        <w:rPr>
          <w:rFonts w:ascii="Times New Roman" w:hAnsi="Times New Roman" w:cs="Times New Roman"/>
          <w:bCs/>
          <w:color w:val="000000" w:themeColor="text1"/>
          <w:w w:val="99"/>
          <w:sz w:val="24"/>
          <w:szCs w:val="24"/>
          <w:highlight w:val="none"/>
          <w14:textFill>
            <w14:solidFill>
              <w14:schemeClr w14:val="tx1"/>
            </w14:solidFill>
          </w14:textFill>
        </w:rPr>
        <w:t>水质</w:t>
      </w:r>
      <w:r>
        <w:rPr>
          <w:rFonts w:hint="eastAsia" w:ascii="Times New Roman" w:hAnsi="Times New Roman" w:cs="Times New Roman"/>
          <w:bCs/>
          <w:color w:val="000000" w:themeColor="text1"/>
          <w:w w:val="99"/>
          <w:sz w:val="24"/>
          <w:szCs w:val="24"/>
          <w:highlight w:val="none"/>
          <w:lang w:eastAsia="zh-CN"/>
          <w14:textFill>
            <w14:solidFill>
              <w14:schemeClr w14:val="tx1"/>
            </w14:solidFill>
          </w14:textFill>
        </w:rPr>
        <w:t>含油量为</w:t>
      </w:r>
      <w:r>
        <w:rPr>
          <w:rFonts w:hint="eastAsia" w:ascii="Times New Roman" w:hAnsi="Times New Roman" w:cs="Times New Roman"/>
          <w:bCs/>
          <w:color w:val="000000" w:themeColor="text1"/>
          <w:w w:val="99"/>
          <w:sz w:val="24"/>
          <w:szCs w:val="24"/>
          <w:highlight w:val="none"/>
          <w:lang w:val="en-US" w:eastAsia="zh-CN"/>
          <w14:textFill>
            <w14:solidFill>
              <w14:schemeClr w14:val="tx1"/>
            </w14:solidFill>
          </w14:textFill>
        </w:rPr>
        <w:t>2.85mg/~4.05mg/L、悬浮固体含量为2mg/~3mg/，</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污水处理后满足</w:t>
      </w:r>
      <w:r>
        <w:rPr>
          <w:rFonts w:ascii="Times New Roman" w:hAnsi="Times New Roman" w:cs="Times New Roman"/>
          <w:bCs/>
          <w:color w:val="000000" w:themeColor="text1"/>
          <w:w w:val="99"/>
          <w:sz w:val="24"/>
          <w:szCs w:val="28"/>
          <w:highlight w:val="none"/>
          <w:lang w:val="en-US"/>
          <w14:textFill>
            <w14:solidFill>
              <w14:schemeClr w14:val="tx1"/>
            </w14:solidFill>
          </w14:textFill>
        </w:rPr>
        <w:t>《大庆油田地面工程建设设计规定》（Q/SYDQ0639-2015）限值要求：“含油量≤10mg/L、悬浮固体含量≤5mg/L、粒径中值≤2μm”</w:t>
      </w:r>
      <w:r>
        <w:rPr>
          <w:rFonts w:hint="eastAsia" w:ascii="Times New Roman" w:hAnsi="Times New Roman" w:cs="Times New Roman"/>
          <w:bCs/>
          <w:color w:val="000000" w:themeColor="text1"/>
          <w:w w:val="99"/>
          <w:sz w:val="24"/>
          <w:szCs w:val="28"/>
          <w:highlight w:val="none"/>
          <w:lang w:val="en-US"/>
          <w14:textFill>
            <w14:solidFill>
              <w14:schemeClr w14:val="tx1"/>
            </w14:solidFill>
          </w14:textFill>
        </w:rPr>
        <w:t>标准后</w:t>
      </w:r>
      <w:r>
        <w:rPr>
          <w:rFonts w:ascii="Times New Roman" w:hAnsi="Times New Roman" w:cs="Times New Roman"/>
          <w:bCs/>
          <w:color w:val="000000" w:themeColor="text1"/>
          <w:w w:val="99"/>
          <w:sz w:val="24"/>
          <w:szCs w:val="28"/>
          <w:highlight w:val="none"/>
          <w:lang w:val="en-US"/>
          <w14:textFill>
            <w14:solidFill>
              <w14:schemeClr w14:val="tx1"/>
            </w14:solidFill>
          </w14:textFill>
        </w:rPr>
        <w:t>回注油层。</w:t>
      </w:r>
    </w:p>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3.3.3.3 噪声</w:t>
      </w:r>
    </w:p>
    <w:p>
      <w:pPr>
        <w:keepNext w:val="0"/>
        <w:keepLines w:val="0"/>
        <w:pageBreakBefore w:val="0"/>
        <w:widowControl w:val="0"/>
        <w:tabs>
          <w:tab w:val="left" w:pos="4440"/>
        </w:tabs>
        <w:kinsoku/>
        <w:wordWrap/>
        <w:overflowPunct/>
        <w:topLinePunct w:val="0"/>
        <w:autoSpaceDE w:val="0"/>
        <w:autoSpaceDN w:val="0"/>
        <w:bidi w:val="0"/>
        <w:adjustRightInd w:val="0"/>
        <w:snapToGrid w:val="0"/>
        <w:spacing w:line="440" w:lineRule="exact"/>
        <w:ind w:firstLine="538" w:firstLineChars="200"/>
        <w:jc w:val="both"/>
        <w:textAlignment w:val="bottom"/>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pP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根据</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w:t>
      </w:r>
      <w:r>
        <w:rPr>
          <w:rFonts w:hint="eastAsia" w:ascii="Times New Roman" w:hAnsi="Times New Roman" w:cs="Times New Roman"/>
          <w:bCs/>
          <w:color w:val="000000" w:themeColor="text1"/>
          <w:spacing w:val="16"/>
          <w:w w:val="99"/>
          <w:sz w:val="24"/>
          <w:szCs w:val="28"/>
          <w:highlight w:val="none"/>
          <w:lang w:val="en-US" w:eastAsia="zh-CN" w:bidi="ar-SA"/>
          <w14:textFill>
            <w14:solidFill>
              <w14:schemeClr w14:val="tx1"/>
            </w14:solidFill>
          </w14:textFill>
        </w:rPr>
        <w:t>采油七厂葡北油田三断块葡72-70井区深部调驱产能建设地面工程</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监测报告》</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（监测时间2021年</w:t>
      </w:r>
      <w:r>
        <w:rPr>
          <w:rFonts w:hint="eastAsia" w:ascii="Times New Roman" w:hAnsi="Times New Roman" w:cs="Times New Roman"/>
          <w:bCs/>
          <w:color w:val="000000" w:themeColor="text1"/>
          <w:spacing w:val="16"/>
          <w:w w:val="99"/>
          <w:sz w:val="24"/>
          <w:szCs w:val="28"/>
          <w:highlight w:val="none"/>
          <w:lang w:val="en-US" w:eastAsia="zh-CN" w:bidi="ar-SA"/>
          <w14:textFill>
            <w14:solidFill>
              <w14:schemeClr w14:val="tx1"/>
            </w14:solidFill>
          </w14:textFill>
        </w:rPr>
        <w:t>8</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月</w:t>
      </w:r>
      <w:r>
        <w:rPr>
          <w:rFonts w:hint="eastAsia" w:ascii="Times New Roman" w:hAnsi="Times New Roman" w:cs="Times New Roman"/>
          <w:bCs/>
          <w:color w:val="000000" w:themeColor="text1"/>
          <w:spacing w:val="16"/>
          <w:w w:val="99"/>
          <w:sz w:val="24"/>
          <w:szCs w:val="28"/>
          <w:highlight w:val="none"/>
          <w:lang w:val="en-US" w:eastAsia="zh-CN" w:bidi="ar-SA"/>
          <w14:textFill>
            <w14:solidFill>
              <w14:schemeClr w14:val="tx1"/>
            </w14:solidFill>
          </w14:textFill>
        </w:rPr>
        <w:t>30</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日-</w:t>
      </w:r>
      <w:r>
        <w:rPr>
          <w:rFonts w:hint="eastAsia" w:ascii="Times New Roman" w:hAnsi="Times New Roman" w:cs="Times New Roman"/>
          <w:bCs/>
          <w:color w:val="000000" w:themeColor="text1"/>
          <w:spacing w:val="16"/>
          <w:w w:val="99"/>
          <w:sz w:val="24"/>
          <w:szCs w:val="28"/>
          <w:highlight w:val="none"/>
          <w:lang w:val="en-US" w:eastAsia="zh-CN" w:bidi="ar-SA"/>
          <w14:textFill>
            <w14:solidFill>
              <w14:schemeClr w14:val="tx1"/>
            </w14:solidFill>
          </w14:textFill>
        </w:rPr>
        <w:t>9月5</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日）对</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部分</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井</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场</w:t>
      </w:r>
      <w:r>
        <w:rPr>
          <w:rFonts w:hint="eastAsia" w:ascii="Times New Roman" w:hAnsi="Times New Roman" w:cs="Times New Roman"/>
          <w:bCs/>
          <w:color w:val="000000" w:themeColor="text1"/>
          <w:spacing w:val="16"/>
          <w:w w:val="99"/>
          <w:sz w:val="24"/>
          <w:szCs w:val="28"/>
          <w:highlight w:val="none"/>
          <w:lang w:val="en-US" w:eastAsia="zh-CN" w:bidi="ar-SA"/>
          <w14:textFill>
            <w14:solidFill>
              <w14:schemeClr w14:val="tx1"/>
            </w14:solidFill>
          </w14:textFill>
        </w:rPr>
        <w:t>及改造配水间</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进行</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现状监测</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监测</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结果</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表明，</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井场</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和</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依托计量间厂界噪声满足《工业企业厂界环境噪声排放标准》（GB12348-2008）2类标准</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。监测结果</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见表</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3.3-</w:t>
      </w:r>
      <w:r>
        <w:rPr>
          <w:rFonts w:hint="eastAsia" w:ascii="Times New Roman" w:hAnsi="Times New Roman" w:cs="Times New Roman"/>
          <w:bCs/>
          <w:color w:val="000000" w:themeColor="text1"/>
          <w:spacing w:val="16"/>
          <w:w w:val="99"/>
          <w:sz w:val="24"/>
          <w:szCs w:val="28"/>
          <w:highlight w:val="none"/>
          <w:lang w:val="en-US" w:eastAsia="zh-CN" w:bidi="ar-SA"/>
          <w14:textFill>
            <w14:solidFill>
              <w14:schemeClr w14:val="tx1"/>
            </w14:solidFill>
          </w14:textFill>
        </w:rPr>
        <w:t>6</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w:t>
      </w:r>
    </w:p>
    <w:p>
      <w:pPr>
        <w:widowControl/>
        <w:autoSpaceDE/>
        <w:autoSpaceDN/>
        <w:snapToGrid w:val="0"/>
        <w:spacing w:line="480" w:lineRule="exact"/>
        <w:ind w:firstLine="476" w:firstLineChars="200"/>
        <w:rPr>
          <w:rFonts w:ascii="Times New Roman" w:hAnsi="Times New Roman" w:cs="Times New Roman"/>
          <w:b/>
          <w:bCs/>
          <w:color w:val="000000" w:themeColor="text1"/>
          <w:w w:val="99"/>
          <w:sz w:val="24"/>
          <w:szCs w:val="28"/>
          <w:highlight w:val="none"/>
          <w:lang w:val="en-US" w:bidi="ar-SA"/>
          <w14:textFill>
            <w14:solidFill>
              <w14:schemeClr w14:val="tx1"/>
            </w14:solidFill>
          </w14:textFill>
        </w:rPr>
      </w:pPr>
      <w:r>
        <w:rPr>
          <w:rFonts w:ascii="Times New Roman" w:hAnsi="Times New Roman" w:cs="Times New Roman"/>
          <w:b/>
          <w:bCs/>
          <w:color w:val="000000" w:themeColor="text1"/>
          <w:w w:val="99"/>
          <w:sz w:val="24"/>
          <w:szCs w:val="28"/>
          <w:highlight w:val="none"/>
          <w:lang w:val="en-US" w:bidi="ar-SA"/>
          <w14:textFill>
            <w14:solidFill>
              <w14:schemeClr w14:val="tx1"/>
            </w14:solidFill>
          </w14:textFill>
        </w:rPr>
        <w:t>表 3.3-</w:t>
      </w:r>
      <w:r>
        <w:rPr>
          <w:rFonts w:hint="eastAsia" w:ascii="Times New Roman" w:hAnsi="Times New Roman" w:cs="Times New Roman"/>
          <w:b/>
          <w:bCs/>
          <w:color w:val="000000" w:themeColor="text1"/>
          <w:w w:val="99"/>
          <w:sz w:val="24"/>
          <w:szCs w:val="28"/>
          <w:highlight w:val="none"/>
          <w:lang w:val="en-US" w:eastAsia="zh-CN" w:bidi="ar-SA"/>
          <w14:textFill>
            <w14:solidFill>
              <w14:schemeClr w14:val="tx1"/>
            </w14:solidFill>
          </w14:textFill>
        </w:rPr>
        <w:t>6</w:t>
      </w:r>
      <w:r>
        <w:rPr>
          <w:rFonts w:ascii="Times New Roman" w:hAnsi="Times New Roman" w:cs="Times New Roman"/>
          <w:b/>
          <w:bCs/>
          <w:color w:val="000000" w:themeColor="text1"/>
          <w:w w:val="99"/>
          <w:sz w:val="24"/>
          <w:szCs w:val="28"/>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sz w:val="24"/>
          <w:szCs w:val="28"/>
          <w:highlight w:val="none"/>
          <w:lang w:val="en-US" w:eastAsia="zh-CN" w:bidi="ar-SA"/>
          <w14:textFill>
            <w14:solidFill>
              <w14:schemeClr w14:val="tx1"/>
            </w14:solidFill>
          </w14:textFill>
        </w:rPr>
        <w:t>井场</w:t>
      </w:r>
      <w:r>
        <w:rPr>
          <w:rFonts w:ascii="Times New Roman" w:hAnsi="Times New Roman" w:cs="Times New Roman"/>
          <w:b/>
          <w:bCs/>
          <w:color w:val="000000" w:themeColor="text1"/>
          <w:w w:val="99"/>
          <w:sz w:val="24"/>
          <w:szCs w:val="28"/>
          <w:highlight w:val="none"/>
          <w:lang w:val="en-US" w:bidi="ar-SA"/>
          <w14:textFill>
            <w14:solidFill>
              <w14:schemeClr w14:val="tx1"/>
            </w14:solidFill>
          </w14:textFill>
        </w:rPr>
        <w:t>厂界噪声</w:t>
      </w:r>
      <w:r>
        <w:rPr>
          <w:rFonts w:hint="eastAsia" w:ascii="Times New Roman" w:hAnsi="Times New Roman" w:cs="Times New Roman"/>
          <w:b/>
          <w:bCs/>
          <w:color w:val="000000" w:themeColor="text1"/>
          <w:w w:val="99"/>
          <w:sz w:val="24"/>
          <w:szCs w:val="28"/>
          <w:highlight w:val="none"/>
          <w:lang w:val="en-US" w:bidi="ar-SA"/>
          <w14:textFill>
            <w14:solidFill>
              <w14:schemeClr w14:val="tx1"/>
            </w14:solidFill>
          </w14:textFill>
        </w:rPr>
        <w:t>监测数据表</w:t>
      </w:r>
    </w:p>
    <w:tbl>
      <w:tblPr>
        <w:tblStyle w:val="32"/>
        <w:tblW w:w="4996"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3"/>
        <w:gridCol w:w="3757"/>
        <w:gridCol w:w="2104"/>
        <w:gridCol w:w="20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vMerge w:val="restar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序号</w:t>
            </w:r>
          </w:p>
        </w:tc>
        <w:tc>
          <w:tcPr>
            <w:tcW w:w="2023" w:type="pct"/>
            <w:vMerge w:val="restar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井场</w:t>
            </w:r>
            <w:r>
              <w:rPr>
                <w:rFonts w:ascii="Times New Roman" w:hAnsi="Times New Roman" w:cs="Times New Roman"/>
                <w:color w:val="000000" w:themeColor="text1"/>
                <w:w w:val="99"/>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配水间</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名称</w:t>
            </w:r>
          </w:p>
        </w:tc>
        <w:tc>
          <w:tcPr>
            <w:tcW w:w="2221" w:type="pct"/>
            <w:gridSpan w:val="2"/>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监测结果dB（A）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vMerge w:val="continue"/>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2023" w:type="pct"/>
            <w:vMerge w:val="continue"/>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1133"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昼间</w:t>
            </w:r>
          </w:p>
        </w:tc>
        <w:tc>
          <w:tcPr>
            <w:tcW w:w="1088"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w:t>
            </w:r>
          </w:p>
        </w:tc>
        <w:tc>
          <w:tcPr>
            <w:tcW w:w="2023" w:type="pct"/>
            <w:noWrap/>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葡70-70</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w:t>
            </w:r>
          </w:p>
        </w:tc>
        <w:tc>
          <w:tcPr>
            <w:tcW w:w="1133"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48.5～50.9</w:t>
            </w:r>
          </w:p>
        </w:tc>
        <w:tc>
          <w:tcPr>
            <w:tcW w:w="1088"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47.6～49.6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2</w:t>
            </w:r>
          </w:p>
        </w:tc>
        <w:tc>
          <w:tcPr>
            <w:tcW w:w="2023" w:type="pct"/>
            <w:noWrap/>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葡71-72</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w:t>
            </w:r>
          </w:p>
        </w:tc>
        <w:tc>
          <w:tcPr>
            <w:tcW w:w="1133"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49.5～51.2</w:t>
            </w:r>
          </w:p>
        </w:tc>
        <w:tc>
          <w:tcPr>
            <w:tcW w:w="1088"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48.8～49.8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3</w:t>
            </w:r>
          </w:p>
        </w:tc>
        <w:tc>
          <w:tcPr>
            <w:tcW w:w="2023" w:type="pct"/>
            <w:noWrap/>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葡北12-1号配水间</w:t>
            </w:r>
          </w:p>
        </w:tc>
        <w:tc>
          <w:tcPr>
            <w:tcW w:w="1133"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w:t>
            </w: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7.7</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52.0</w:t>
            </w:r>
          </w:p>
        </w:tc>
        <w:tc>
          <w:tcPr>
            <w:tcW w:w="1088"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w:t>
            </w: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5</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.3～49.</w:t>
            </w: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4</w:t>
            </w:r>
          </w:p>
        </w:tc>
        <w:tc>
          <w:tcPr>
            <w:tcW w:w="2023" w:type="pct"/>
            <w:noWrap/>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葡70斜-712</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w:t>
            </w:r>
          </w:p>
        </w:tc>
        <w:tc>
          <w:tcPr>
            <w:tcW w:w="1133"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49.3~51.4</w:t>
            </w:r>
          </w:p>
        </w:tc>
        <w:tc>
          <w:tcPr>
            <w:tcW w:w="1088"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48.7~49.9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5</w:t>
            </w:r>
          </w:p>
        </w:tc>
        <w:tc>
          <w:tcPr>
            <w:tcW w:w="2023" w:type="pct"/>
            <w:noWrap/>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t>葡70-斜702</w:t>
            </w:r>
          </w:p>
        </w:tc>
        <w:tc>
          <w:tcPr>
            <w:tcW w:w="1133"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48.8～51.3</w:t>
            </w:r>
          </w:p>
        </w:tc>
        <w:tc>
          <w:tcPr>
            <w:tcW w:w="1088" w:type="pct"/>
            <w:noWrap/>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48.1～49.9</w:t>
            </w:r>
          </w:p>
        </w:tc>
      </w:tr>
    </w:tbl>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538" w:firstLineChars="200"/>
        <w:jc w:val="left"/>
        <w:textAlignment w:val="auto"/>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pP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根据</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采油七厂</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加热炉隐患治理工程</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监测报告</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中监测</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数据</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大庆中环评价检测有限公司</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监测时间</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20</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21</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年</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3</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月</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10</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日-</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11</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日、20</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21</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年</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3</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月</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17</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日-</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18</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日）</w:t>
      </w:r>
      <w:r>
        <w:rPr>
          <w:rFonts w:hint="eastAsia" w:ascii="Times New Roman" w:hAnsi="Times New Roman" w:cs="Times New Roman"/>
          <w:bCs/>
          <w:color w:val="000000" w:themeColor="text1"/>
          <w:spacing w:val="16"/>
          <w:w w:val="99"/>
          <w:sz w:val="24"/>
          <w:szCs w:val="28"/>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ascii="Times New Roman" w:hAnsi="Times New Roman" w:cs="Times New Roman"/>
          <w:bCs/>
          <w:color w:val="000000" w:themeColor="text1"/>
          <w:w w:val="99"/>
          <w:sz w:val="24"/>
          <w:szCs w:val="20"/>
          <w:highlight w:val="none"/>
          <w:lang w:val="en-US" w:eastAsia="zh-CN"/>
          <w14:textFill>
            <w14:solidFill>
              <w14:schemeClr w14:val="tx1"/>
            </w14:solidFill>
          </w14:textFill>
        </w:rPr>
        <w:t xml:space="preserve">葡北油田三断块深部调驱扩大应用现场试 </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验产能建设工程监测报告</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中监测</w:t>
      </w:r>
      <w:r>
        <w:rPr>
          <w:rFonts w:ascii="Times New Roman" w:hAnsi="Times New Roman" w:cs="Times New Roman"/>
          <w:bCs/>
          <w:color w:val="000000" w:themeColor="text1"/>
          <w:w w:val="99"/>
          <w:sz w:val="24"/>
          <w:szCs w:val="20"/>
          <w:highlight w:val="none"/>
          <w:lang w:val="en-US"/>
          <w14:textFill>
            <w14:solidFill>
              <w14:schemeClr w14:val="tx1"/>
            </w14:solidFill>
          </w14:textFill>
        </w:rPr>
        <w:t>数据</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大庆中环评价检测有限公司</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监测时间</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20</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19</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年</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11</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月</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7</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8</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hint="eastAsia" w:ascii="Times New Roman" w:hAnsi="Times New Roman" w:cs="Times New Roman"/>
          <w:bCs/>
          <w:color w:val="000000" w:themeColor="text1"/>
          <w:w w:val="99"/>
          <w:sz w:val="24"/>
          <w:szCs w:val="24"/>
          <w:highlight w:val="none"/>
          <w:lang w:val="en-US" w:eastAsia="zh-CN"/>
          <w14:textFill>
            <w14:solidFill>
              <w14:schemeClr w14:val="tx1"/>
            </w14:solidFill>
          </w14:textFill>
        </w:rPr>
        <w:t>《</w:t>
      </w:r>
      <w:r>
        <w:rPr>
          <w:rFonts w:hint="eastAsia" w:ascii="宋体" w:hAnsi="宋体" w:cs="宋体"/>
          <w:color w:val="000000" w:themeColor="text1"/>
          <w:spacing w:val="0"/>
          <w:w w:val="99"/>
          <w:kern w:val="21"/>
          <w:sz w:val="24"/>
          <w:szCs w:val="24"/>
          <w:highlight w:val="none"/>
          <w:lang w:eastAsia="zh-CN"/>
          <w14:textFill>
            <w14:solidFill>
              <w14:schemeClr w14:val="tx1"/>
            </w14:solidFill>
          </w14:textFill>
        </w:rPr>
        <w:t>第七采油厂葡萄花含油污泥处理站污油处理工程</w:t>
      </w:r>
      <w:r>
        <w:rPr>
          <w:rFonts w:hint="eastAsia" w:cs="宋体"/>
          <w:color w:val="000000" w:themeColor="text1"/>
          <w:spacing w:val="0"/>
          <w:w w:val="99"/>
          <w:kern w:val="21"/>
          <w:sz w:val="24"/>
          <w:szCs w:val="24"/>
          <w:highlight w:val="none"/>
          <w:lang w:eastAsia="zh-CN"/>
          <w14:textFill>
            <w14:solidFill>
              <w14:schemeClr w14:val="tx1"/>
            </w14:solidFill>
          </w14:textFill>
        </w:rPr>
        <w:t>监测报告</w:t>
      </w:r>
      <w:r>
        <w:rPr>
          <w:rFonts w:hint="eastAsia" w:ascii="Times New Roman" w:hAnsi="Times New Roman" w:cs="Times New Roman"/>
          <w:bCs/>
          <w:color w:val="000000" w:themeColor="text1"/>
          <w:w w:val="99"/>
          <w:sz w:val="24"/>
          <w:szCs w:val="24"/>
          <w:highlight w:val="none"/>
          <w:lang w:val="en-US" w:eastAsia="zh-CN"/>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大庆中环评价检测有限公司</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监测时间</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20</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20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年</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11月19</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20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日</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w:t>
      </w:r>
      <w:r>
        <w:rPr>
          <w:rFonts w:hint="eastAsia" w:ascii="Times New Roman" w:hAnsi="Times New Roman" w:cs="Times New Roman"/>
          <w:bCs/>
          <w:color w:val="000000" w:themeColor="text1"/>
          <w:spacing w:val="16"/>
          <w:w w:val="99"/>
          <w:sz w:val="24"/>
          <w:szCs w:val="28"/>
          <w:highlight w:val="none"/>
          <w:lang w:val="en-US" w:bidi="ar-SA"/>
          <w14:textFill>
            <w14:solidFill>
              <w14:schemeClr w14:val="tx1"/>
            </w14:solidFill>
          </w14:textFill>
        </w:rPr>
        <w:t>各场站</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厂界噪声昼间、夜间值均满足《工业企业厂界环境噪声排放标准》（GB12348-2008）2类标准，监测结果如下表3.3-</w:t>
      </w:r>
      <w:r>
        <w:rPr>
          <w:rFonts w:hint="eastAsia" w:ascii="Times New Roman" w:hAnsi="Times New Roman" w:cs="Times New Roman"/>
          <w:bCs/>
          <w:color w:val="000000" w:themeColor="text1"/>
          <w:spacing w:val="16"/>
          <w:w w:val="99"/>
          <w:sz w:val="24"/>
          <w:szCs w:val="28"/>
          <w:highlight w:val="none"/>
          <w:lang w:val="en-US" w:eastAsia="zh-CN" w:bidi="ar-SA"/>
          <w14:textFill>
            <w14:solidFill>
              <w14:schemeClr w14:val="tx1"/>
            </w14:solidFill>
          </w14:textFill>
        </w:rPr>
        <w:t>7</w:t>
      </w:r>
      <w:r>
        <w:rPr>
          <w:rFonts w:ascii="Times New Roman" w:hAnsi="Times New Roman" w:cs="Times New Roman"/>
          <w:bCs/>
          <w:color w:val="000000" w:themeColor="text1"/>
          <w:spacing w:val="16"/>
          <w:w w:val="99"/>
          <w:sz w:val="24"/>
          <w:szCs w:val="28"/>
          <w:highlight w:val="none"/>
          <w:lang w:val="en-US" w:bidi="ar-SA"/>
          <w14:textFill>
            <w14:solidFill>
              <w14:schemeClr w14:val="tx1"/>
            </w14:solidFill>
          </w14:textFill>
        </w:rPr>
        <w:t>。</w:t>
      </w:r>
    </w:p>
    <w:p>
      <w:pPr>
        <w:widowControl/>
        <w:autoSpaceDE/>
        <w:autoSpaceDN/>
        <w:snapToGrid w:val="0"/>
        <w:spacing w:line="480" w:lineRule="exact"/>
        <w:ind w:firstLine="476" w:firstLineChars="200"/>
        <w:rPr>
          <w:rFonts w:ascii="Times New Roman" w:hAnsi="Times New Roman" w:cs="Times New Roman"/>
          <w:b/>
          <w:bCs/>
          <w:color w:val="000000" w:themeColor="text1"/>
          <w:w w:val="99"/>
          <w:sz w:val="24"/>
          <w:szCs w:val="28"/>
          <w:highlight w:val="none"/>
          <w:lang w:val="en-US" w:bidi="ar-SA"/>
          <w14:textFill>
            <w14:solidFill>
              <w14:schemeClr w14:val="tx1"/>
            </w14:solidFill>
          </w14:textFill>
        </w:rPr>
      </w:pPr>
      <w:r>
        <w:rPr>
          <w:rFonts w:ascii="Times New Roman" w:hAnsi="Times New Roman" w:cs="Times New Roman"/>
          <w:b/>
          <w:bCs/>
          <w:color w:val="000000" w:themeColor="text1"/>
          <w:w w:val="99"/>
          <w:sz w:val="24"/>
          <w:szCs w:val="28"/>
          <w:highlight w:val="none"/>
          <w:lang w:val="en-US" w:bidi="ar-SA"/>
          <w14:textFill>
            <w14:solidFill>
              <w14:schemeClr w14:val="tx1"/>
            </w14:solidFill>
          </w14:textFill>
        </w:rPr>
        <w:t>表 3.3-</w:t>
      </w:r>
      <w:r>
        <w:rPr>
          <w:rFonts w:hint="eastAsia" w:ascii="Times New Roman" w:hAnsi="Times New Roman" w:cs="Times New Roman"/>
          <w:b/>
          <w:bCs/>
          <w:color w:val="000000" w:themeColor="text1"/>
          <w:w w:val="99"/>
          <w:sz w:val="24"/>
          <w:szCs w:val="28"/>
          <w:highlight w:val="none"/>
          <w:lang w:val="en-US" w:eastAsia="zh-CN" w:bidi="ar-SA"/>
          <w14:textFill>
            <w14:solidFill>
              <w14:schemeClr w14:val="tx1"/>
            </w14:solidFill>
          </w14:textFill>
        </w:rPr>
        <w:t>7</w:t>
      </w:r>
      <w:r>
        <w:rPr>
          <w:rFonts w:ascii="Times New Roman" w:hAnsi="Times New Roman" w:cs="Times New Roman"/>
          <w:b/>
          <w:bCs/>
          <w:color w:val="000000" w:themeColor="text1"/>
          <w:w w:val="99"/>
          <w:sz w:val="24"/>
          <w:szCs w:val="28"/>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sz w:val="24"/>
          <w:szCs w:val="28"/>
          <w:highlight w:val="none"/>
          <w:lang w:val="en-US" w:bidi="ar-SA"/>
          <w14:textFill>
            <w14:solidFill>
              <w14:schemeClr w14:val="tx1"/>
            </w14:solidFill>
          </w14:textFill>
        </w:rPr>
        <w:t>依托</w:t>
      </w:r>
      <w:r>
        <w:rPr>
          <w:rFonts w:ascii="Times New Roman" w:hAnsi="Times New Roman" w:cs="Times New Roman"/>
          <w:b/>
          <w:bCs/>
          <w:color w:val="000000" w:themeColor="text1"/>
          <w:w w:val="99"/>
          <w:sz w:val="24"/>
          <w:szCs w:val="28"/>
          <w:highlight w:val="none"/>
          <w:lang w:val="en-US" w:bidi="ar-SA"/>
          <w14:textFill>
            <w14:solidFill>
              <w14:schemeClr w14:val="tx1"/>
            </w14:solidFill>
          </w14:textFill>
        </w:rPr>
        <w:t>场站厂界噪声排放情况</w:t>
      </w:r>
      <w:r>
        <w:rPr>
          <w:rFonts w:hint="eastAsia" w:ascii="Times New Roman" w:hAnsi="Times New Roman" w:cs="Times New Roman"/>
          <w:b/>
          <w:bCs/>
          <w:color w:val="000000" w:themeColor="text1"/>
          <w:w w:val="99"/>
          <w:sz w:val="24"/>
          <w:szCs w:val="28"/>
          <w:highlight w:val="none"/>
          <w:lang w:val="en-US" w:bidi="ar-SA"/>
          <w14:textFill>
            <w14:solidFill>
              <w14:schemeClr w14:val="tx1"/>
            </w14:solidFill>
          </w14:textFill>
        </w:rPr>
        <w:t>表</w:t>
      </w:r>
    </w:p>
    <w:tbl>
      <w:tblPr>
        <w:tblStyle w:val="32"/>
        <w:tblW w:w="4996"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3"/>
        <w:gridCol w:w="3757"/>
        <w:gridCol w:w="2104"/>
        <w:gridCol w:w="20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vMerge w:val="restar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序号</w:t>
            </w:r>
          </w:p>
        </w:tc>
        <w:tc>
          <w:tcPr>
            <w:tcW w:w="2023" w:type="pct"/>
            <w:vMerge w:val="restar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依托场站名称</w:t>
            </w:r>
          </w:p>
        </w:tc>
        <w:tc>
          <w:tcPr>
            <w:tcW w:w="2221" w:type="pct"/>
            <w:gridSpan w:val="2"/>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监测结果dB（A）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vMerge w:val="continue"/>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2023" w:type="pct"/>
            <w:vMerge w:val="continue"/>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1133" w:type="pc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昼间</w:t>
            </w:r>
          </w:p>
        </w:tc>
        <w:tc>
          <w:tcPr>
            <w:tcW w:w="1088" w:type="pc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w:t>
            </w:r>
          </w:p>
        </w:tc>
        <w:tc>
          <w:tcPr>
            <w:tcW w:w="2023" w:type="pct"/>
            <w:noWrap/>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葡二联合站</w:t>
            </w:r>
          </w:p>
        </w:tc>
        <w:tc>
          <w:tcPr>
            <w:tcW w:w="1133" w:type="pct"/>
            <w:noWrap/>
            <w:vAlign w:val="center"/>
          </w:tcPr>
          <w:p>
            <w:pPr>
              <w:widowControl/>
              <w:autoSpaceDE/>
              <w:autoSpaceDN/>
              <w:snapToGrid w:val="0"/>
              <w:jc w:val="center"/>
              <w:rPr>
                <w:rFonts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48.1</w:t>
            </w: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54.5</w:t>
            </w:r>
          </w:p>
        </w:tc>
        <w:tc>
          <w:tcPr>
            <w:tcW w:w="1088" w:type="pct"/>
            <w:noWrap/>
            <w:vAlign w:val="center"/>
          </w:tcPr>
          <w:p>
            <w:pPr>
              <w:widowControl/>
              <w:autoSpaceDE/>
              <w:autoSpaceDN/>
              <w:snapToGrid w:val="0"/>
              <w:jc w:val="center"/>
              <w:rPr>
                <w:rFonts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45.2</w:t>
            </w: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widowControl/>
              <w:autoSpaceDE/>
              <w:autoSpaceDN/>
              <w:snapToGrid w:val="0"/>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2</w:t>
            </w:r>
          </w:p>
        </w:tc>
        <w:tc>
          <w:tcPr>
            <w:tcW w:w="2023" w:type="pct"/>
            <w:noWrap/>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葡北10</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#转油站</w:t>
            </w:r>
          </w:p>
        </w:tc>
        <w:tc>
          <w:tcPr>
            <w:tcW w:w="1133" w:type="pct"/>
            <w:noWrap/>
            <w:vAlign w:val="center"/>
          </w:tcPr>
          <w:p>
            <w:pPr>
              <w:widowControl/>
              <w:autoSpaceDE/>
              <w:autoSpaceDN/>
              <w:snapToGrid w:val="0"/>
              <w:jc w:val="center"/>
              <w:rPr>
                <w:rFonts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48.1</w:t>
            </w: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51.4</w:t>
            </w:r>
          </w:p>
        </w:tc>
        <w:tc>
          <w:tcPr>
            <w:tcW w:w="1088" w:type="pct"/>
            <w:noWrap/>
            <w:vAlign w:val="center"/>
          </w:tcPr>
          <w:p>
            <w:pPr>
              <w:widowControl/>
              <w:autoSpaceDE/>
              <w:autoSpaceDN/>
              <w:snapToGrid w:val="0"/>
              <w:jc w:val="center"/>
              <w:rPr>
                <w:rFonts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45.3</w:t>
            </w: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48.9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widowControl/>
              <w:autoSpaceDE/>
              <w:autoSpaceDN/>
              <w:snapToGrid w:val="0"/>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3</w:t>
            </w:r>
          </w:p>
        </w:tc>
        <w:tc>
          <w:tcPr>
            <w:tcW w:w="2023" w:type="pct"/>
            <w:noWrap/>
            <w:vAlign w:val="center"/>
          </w:tcPr>
          <w:p>
            <w:pPr>
              <w:autoSpaceDE/>
              <w:autoSpaceDN/>
              <w:jc w:val="cente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葡北</w:t>
            </w: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9</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#转油站</w:t>
            </w:r>
          </w:p>
        </w:tc>
        <w:tc>
          <w:tcPr>
            <w:tcW w:w="1133" w:type="pct"/>
            <w:noWrap/>
            <w:vAlign w:val="center"/>
          </w:tcPr>
          <w:p>
            <w:pPr>
              <w:widowControl/>
              <w:autoSpaceDE/>
              <w:autoSpaceDN/>
              <w:snapToGrid w:val="0"/>
              <w:jc w:val="center"/>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44.8~46.9</w:t>
            </w:r>
          </w:p>
        </w:tc>
        <w:tc>
          <w:tcPr>
            <w:tcW w:w="1088" w:type="pct"/>
            <w:noWrap/>
            <w:vAlign w:val="center"/>
          </w:tcPr>
          <w:p>
            <w:pPr>
              <w:widowControl/>
              <w:autoSpaceDE/>
              <w:autoSpaceDN/>
              <w:snapToGrid w:val="0"/>
              <w:jc w:val="center"/>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51.5~54.2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5" w:type="pct"/>
            <w:noWrap/>
            <w:vAlign w:val="center"/>
          </w:tcPr>
          <w:p>
            <w:pPr>
              <w:widowControl/>
              <w:autoSpaceDE/>
              <w:autoSpaceDN/>
              <w:snapToGrid w:val="0"/>
              <w:spacing w:line="320" w:lineRule="exact"/>
              <w:jc w:val="cente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4</w:t>
            </w:r>
          </w:p>
        </w:tc>
        <w:tc>
          <w:tcPr>
            <w:tcW w:w="2023" w:type="pct"/>
            <w:noWrap/>
            <w:vAlign w:val="center"/>
          </w:tcPr>
          <w:p>
            <w:pPr>
              <w:autoSpaceDE/>
              <w:autoSpaceDN/>
              <w:jc w:val="cente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葡萄花含油污泥处理站</w:t>
            </w:r>
          </w:p>
        </w:tc>
        <w:tc>
          <w:tcPr>
            <w:tcW w:w="1133" w:type="pct"/>
            <w:noWrap/>
            <w:vAlign w:val="center"/>
          </w:tcPr>
          <w:p>
            <w:pPr>
              <w:widowControl/>
              <w:autoSpaceDE/>
              <w:autoSpaceDN/>
              <w:snapToGrid w:val="0"/>
              <w:jc w:val="center"/>
              <w:rPr>
                <w:rFonts w:hint="default"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48.8~52.8</w:t>
            </w:r>
          </w:p>
        </w:tc>
        <w:tc>
          <w:tcPr>
            <w:tcW w:w="1088" w:type="pct"/>
            <w:noWrap/>
            <w:vAlign w:val="center"/>
          </w:tcPr>
          <w:p>
            <w:pPr>
              <w:widowControl/>
              <w:autoSpaceDE/>
              <w:autoSpaceDN/>
              <w:snapToGrid w:val="0"/>
              <w:jc w:val="center"/>
              <w:rPr>
                <w:rFonts w:hint="default"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46.5~49.9</w:t>
            </w:r>
          </w:p>
        </w:tc>
      </w:tr>
    </w:tbl>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3.3.3.4 固体废物</w:t>
      </w:r>
    </w:p>
    <w:p>
      <w:pPr>
        <w:widowControl/>
        <w:autoSpaceDE/>
        <w:autoSpaceDN/>
        <w:snapToGrid w:val="0"/>
        <w:spacing w:line="480" w:lineRule="exact"/>
        <w:ind w:firstLine="474" w:firstLineChars="200"/>
        <w:rPr>
          <w:rFonts w:ascii="Times New Roman" w:hAnsi="Times New Roman" w:cs="Times New Roman"/>
          <w:color w:val="000000" w:themeColor="text1"/>
          <w:w w:val="99"/>
          <w:sz w:val="24"/>
          <w:szCs w:val="28"/>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本项目依托</w:t>
      </w:r>
      <w:r>
        <w:rPr>
          <w:rFonts w:ascii="Times New Roman" w:hAnsi="Times New Roman" w:cs="Times New Roman"/>
          <w:color w:val="000000" w:themeColor="text1"/>
          <w:w w:val="99"/>
          <w:sz w:val="24"/>
          <w:szCs w:val="28"/>
          <w:highlight w:val="none"/>
          <w:lang w:val="en-US" w:bidi="ar-SA"/>
          <w14:textFill>
            <w14:solidFill>
              <w14:schemeClr w14:val="tx1"/>
            </w14:solidFill>
          </w14:textFill>
        </w:rPr>
        <w:t>场站区域</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内油井在进行作业过程中产生的含油污泥量约</w:t>
      </w:r>
      <w:r>
        <w:rPr>
          <w:rFonts w:hint="eastAsia" w:ascii="Times New Roman" w:hAnsi="Times New Roman" w:cs="Times New Roman"/>
          <w:color w:val="000000" w:themeColor="text1"/>
          <w:w w:val="99"/>
          <w:sz w:val="24"/>
          <w:szCs w:val="28"/>
          <w:highlight w:val="none"/>
          <w:lang w:val="en-US" w:eastAsia="zh-CN" w:bidi="ar-SA"/>
          <w14:textFill>
            <w14:solidFill>
              <w14:schemeClr w14:val="tx1"/>
            </w14:solidFill>
          </w14:textFill>
        </w:rPr>
        <w:t>0.96</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t/a，罐车拉运至第七采油厂葡萄花含油污泥处理站进行处理。</w:t>
      </w:r>
    </w:p>
    <w:p>
      <w:pPr>
        <w:widowControl/>
        <w:autoSpaceDE/>
        <w:autoSpaceDN/>
        <w:snapToGrid w:val="0"/>
        <w:spacing w:line="480" w:lineRule="exact"/>
        <w:ind w:firstLine="474" w:firstLineChars="200"/>
        <w:rPr>
          <w:rFonts w:ascii="Times New Roman" w:hAnsi="Times New Roman" w:cs="Times New Roman"/>
          <w:color w:val="000000" w:themeColor="text1"/>
          <w:w w:val="99"/>
          <w:sz w:val="24"/>
          <w:szCs w:val="28"/>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根据采油七厂</w:t>
      </w:r>
      <w:r>
        <w:rPr>
          <w:rFonts w:ascii="Times New Roman" w:hAnsi="Times New Roman" w:cs="Times New Roman"/>
          <w:color w:val="000000" w:themeColor="text1"/>
          <w:w w:val="99"/>
          <w:sz w:val="24"/>
          <w:szCs w:val="28"/>
          <w:highlight w:val="none"/>
          <w:lang w:val="en-US" w:bidi="ar-SA"/>
          <w14:textFill>
            <w14:solidFill>
              <w14:schemeClr w14:val="tx1"/>
            </w14:solidFill>
          </w14:textFill>
        </w:rPr>
        <w:t>对葡萄花含油污泥处理站</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进行</w:t>
      </w:r>
      <w:r>
        <w:rPr>
          <w:rFonts w:ascii="Times New Roman" w:hAnsi="Times New Roman" w:cs="Times New Roman"/>
          <w:color w:val="000000" w:themeColor="text1"/>
          <w:w w:val="99"/>
          <w:sz w:val="24"/>
          <w:szCs w:val="28"/>
          <w:highlight w:val="none"/>
          <w:lang w:val="en-US" w:bidi="ar-SA"/>
          <w14:textFill>
            <w14:solidFill>
              <w14:schemeClr w14:val="tx1"/>
            </w14:solidFill>
          </w14:textFill>
        </w:rPr>
        <w:t>的例行监测报告可知</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（检测时间2020年</w:t>
      </w:r>
      <w:r>
        <w:rPr>
          <w:rFonts w:ascii="Times New Roman" w:hAnsi="Times New Roman" w:cs="Times New Roman"/>
          <w:color w:val="000000" w:themeColor="text1"/>
          <w:w w:val="99"/>
          <w:sz w:val="24"/>
          <w:szCs w:val="28"/>
          <w:highlight w:val="none"/>
          <w:lang w:val="en-US" w:bidi="ar-SA"/>
          <w14:textFill>
            <w14:solidFill>
              <w14:schemeClr w14:val="tx1"/>
            </w14:solidFill>
          </w14:textFill>
        </w:rPr>
        <w:t>9</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月1</w:t>
      </w:r>
      <w:r>
        <w:rPr>
          <w:rFonts w:ascii="Times New Roman" w:hAnsi="Times New Roman" w:cs="Times New Roman"/>
          <w:color w:val="000000" w:themeColor="text1"/>
          <w:w w:val="99"/>
          <w:sz w:val="24"/>
          <w:szCs w:val="28"/>
          <w:highlight w:val="none"/>
          <w:lang w:val="en-US" w:bidi="ar-SA"/>
          <w14:textFill>
            <w14:solidFill>
              <w14:schemeClr w14:val="tx1"/>
            </w14:solidFill>
          </w14:textFill>
        </w:rPr>
        <w:t>4</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日-28日），对葡萄花含油污泥处理站含油污泥处理后泥质进行取样分析</w:t>
      </w:r>
      <w:r>
        <w:rPr>
          <w:rFonts w:hint="eastAsia" w:ascii="Times New Roman" w:hAnsi="Times New Roman" w:cs="Times New Roman"/>
          <w:color w:val="000000" w:themeColor="text1"/>
          <w:w w:val="99"/>
          <w:sz w:val="24"/>
          <w:szCs w:val="28"/>
          <w:highlight w:val="none"/>
          <w:lang w:val="en-US"/>
          <w14:textFill>
            <w14:solidFill>
              <w14:schemeClr w14:val="tx1"/>
            </w14:solidFill>
          </w14:textFill>
        </w:rPr>
        <w:t>，p</w:t>
      </w:r>
      <w:r>
        <w:rPr>
          <w:rFonts w:ascii="Times New Roman" w:hAnsi="Times New Roman" w:cs="Times New Roman"/>
          <w:color w:val="000000" w:themeColor="text1"/>
          <w:w w:val="99"/>
          <w:sz w:val="24"/>
          <w:szCs w:val="28"/>
          <w:highlight w:val="none"/>
          <w:lang w:val="en-US"/>
          <w14:textFill>
            <w14:solidFill>
              <w14:schemeClr w14:val="tx1"/>
            </w14:solidFill>
          </w14:textFill>
        </w:rPr>
        <w:t>H</w:t>
      </w:r>
      <w:r>
        <w:rPr>
          <w:rFonts w:hint="eastAsia" w:ascii="Times New Roman" w:hAnsi="Times New Roman" w:cs="Times New Roman"/>
          <w:color w:val="000000" w:themeColor="text1"/>
          <w:w w:val="99"/>
          <w:sz w:val="24"/>
          <w:szCs w:val="28"/>
          <w:highlight w:val="none"/>
          <w:lang w:val="en-US"/>
          <w14:textFill>
            <w14:solidFill>
              <w14:schemeClr w14:val="tx1"/>
            </w14:solidFill>
          </w14:textFill>
        </w:rPr>
        <w:t>值</w:t>
      </w:r>
      <w:r>
        <w:rPr>
          <w:rFonts w:ascii="Times New Roman" w:hAnsi="Times New Roman" w:cs="Times New Roman"/>
          <w:color w:val="000000" w:themeColor="text1"/>
          <w:w w:val="99"/>
          <w:sz w:val="24"/>
          <w:szCs w:val="28"/>
          <w:highlight w:val="none"/>
          <w:lang w:val="en-US"/>
          <w14:textFill>
            <w14:solidFill>
              <w14:schemeClr w14:val="tx1"/>
            </w14:solidFill>
          </w14:textFill>
        </w:rPr>
        <w:t>为8.20</w:t>
      </w:r>
      <w:r>
        <w:rPr>
          <w:rFonts w:hint="eastAsia" w:ascii="Times New Roman" w:hAnsi="Times New Roman" w:cs="Times New Roman"/>
          <w:color w:val="000000" w:themeColor="text1"/>
          <w:w w:val="99"/>
          <w:sz w:val="24"/>
          <w:szCs w:val="28"/>
          <w:highlight w:val="none"/>
          <w:lang w:val="en-US"/>
          <w14:textFill>
            <w14:solidFill>
              <w14:schemeClr w14:val="tx1"/>
            </w14:solidFill>
          </w14:textFill>
        </w:rPr>
        <w:t>、含水率</w:t>
      </w:r>
      <w:r>
        <w:rPr>
          <w:rFonts w:ascii="Times New Roman" w:hAnsi="Times New Roman" w:cs="Times New Roman"/>
          <w:color w:val="000000" w:themeColor="text1"/>
          <w:w w:val="99"/>
          <w:sz w:val="24"/>
          <w:szCs w:val="28"/>
          <w:highlight w:val="none"/>
          <w:lang w:val="en-US"/>
          <w14:textFill>
            <w14:solidFill>
              <w14:schemeClr w14:val="tx1"/>
            </w14:solidFill>
          </w14:textFill>
        </w:rPr>
        <w:t>为39.1%</w:t>
      </w:r>
      <w:r>
        <w:rPr>
          <w:rFonts w:hint="eastAsia" w:ascii="Times New Roman" w:hAnsi="Times New Roman" w:cs="Times New Roman"/>
          <w:color w:val="000000" w:themeColor="text1"/>
          <w:w w:val="99"/>
          <w:sz w:val="24"/>
          <w:szCs w:val="28"/>
          <w:highlight w:val="none"/>
          <w:lang w:val="en-US"/>
          <w14:textFill>
            <w14:solidFill>
              <w14:schemeClr w14:val="tx1"/>
            </w14:solidFill>
          </w14:textFill>
        </w:rPr>
        <w:t>、</w:t>
      </w:r>
      <w:r>
        <w:rPr>
          <w:rFonts w:ascii="Times New Roman" w:hAnsi="Times New Roman" w:cs="Times New Roman"/>
          <w:color w:val="000000" w:themeColor="text1"/>
          <w:w w:val="99"/>
          <w:sz w:val="24"/>
          <w:szCs w:val="28"/>
          <w:highlight w:val="none"/>
          <w:lang w:val="en-US"/>
          <w14:textFill>
            <w14:solidFill>
              <w14:schemeClr w14:val="tx1"/>
            </w14:solidFill>
          </w14:textFill>
        </w:rPr>
        <w:t>石油类为15400mg/kg，</w:t>
      </w:r>
      <w:r>
        <w:rPr>
          <w:rFonts w:hint="eastAsia" w:ascii="Times New Roman" w:hAnsi="Times New Roman" w:cs="Times New Roman"/>
          <w:color w:val="000000" w:themeColor="text1"/>
          <w:w w:val="99"/>
          <w:sz w:val="24"/>
          <w:szCs w:val="28"/>
          <w:highlight w:val="none"/>
          <w:lang w:val="en-US"/>
          <w14:textFill>
            <w14:solidFill>
              <w14:schemeClr w14:val="tx1"/>
            </w14:solidFill>
          </w14:textFill>
        </w:rPr>
        <w:t>处理后污泥满足</w:t>
      </w:r>
      <w:r>
        <w:rPr>
          <w:rFonts w:ascii="Times New Roman" w:hAnsi="Times New Roman" w:cs="Times New Roman"/>
          <w:color w:val="000000" w:themeColor="text1"/>
          <w:w w:val="99"/>
          <w:sz w:val="24"/>
          <w:szCs w:val="28"/>
          <w:highlight w:val="none"/>
          <w:lang w:val="en-US"/>
          <w14:textFill>
            <w14:solidFill>
              <w14:schemeClr w14:val="tx1"/>
            </w14:solidFill>
          </w14:textFill>
        </w:rPr>
        <w:t>《</w:t>
      </w:r>
      <w:r>
        <w:rPr>
          <w:rFonts w:hint="eastAsia" w:ascii="Times New Roman" w:hAnsi="Times New Roman" w:cs="Times New Roman"/>
          <w:color w:val="000000" w:themeColor="text1"/>
          <w:w w:val="99"/>
          <w:sz w:val="24"/>
          <w:szCs w:val="28"/>
          <w:highlight w:val="none"/>
          <w:lang w:val="en-US"/>
          <w14:textFill>
            <w14:solidFill>
              <w14:schemeClr w14:val="tx1"/>
            </w14:solidFill>
          </w14:textFill>
        </w:rPr>
        <w:t>油田含油污泥综合利用污染控制标准</w:t>
      </w:r>
      <w:r>
        <w:rPr>
          <w:rFonts w:ascii="Times New Roman" w:hAnsi="Times New Roman" w:cs="Times New Roman"/>
          <w:color w:val="000000" w:themeColor="text1"/>
          <w:w w:val="99"/>
          <w:sz w:val="24"/>
          <w:szCs w:val="28"/>
          <w:highlight w:val="none"/>
          <w:lang w:val="en-US"/>
          <w14:textFill>
            <w14:solidFill>
              <w14:schemeClr w14:val="tx1"/>
            </w14:solidFill>
          </w14:textFill>
        </w:rPr>
        <w:t>》</w:t>
      </w:r>
      <w:r>
        <w:rPr>
          <w:rFonts w:hint="eastAsia" w:ascii="Times New Roman" w:hAnsi="Times New Roman" w:cs="Times New Roman"/>
          <w:color w:val="000000" w:themeColor="text1"/>
          <w:w w:val="99"/>
          <w:sz w:val="24"/>
          <w:szCs w:val="28"/>
          <w:highlight w:val="none"/>
          <w:lang w:val="en-US"/>
          <w14:textFill>
            <w14:solidFill>
              <w14:schemeClr w14:val="tx1"/>
            </w14:solidFill>
          </w14:textFill>
        </w:rPr>
        <w:t>（D</w:t>
      </w:r>
      <w:r>
        <w:rPr>
          <w:rFonts w:ascii="Times New Roman" w:hAnsi="Times New Roman" w:cs="Times New Roman"/>
          <w:color w:val="000000" w:themeColor="text1"/>
          <w:w w:val="99"/>
          <w:sz w:val="24"/>
          <w:szCs w:val="28"/>
          <w:highlight w:val="none"/>
          <w:lang w:val="en-US"/>
          <w14:textFill>
            <w14:solidFill>
              <w14:schemeClr w14:val="tx1"/>
            </w14:solidFill>
          </w14:textFill>
        </w:rPr>
        <w:t>B23/T1413-2010</w:t>
      </w:r>
      <w:r>
        <w:rPr>
          <w:rFonts w:hint="eastAsia" w:ascii="Times New Roman" w:hAnsi="Times New Roman" w:cs="Times New Roman"/>
          <w:color w:val="000000" w:themeColor="text1"/>
          <w:w w:val="99"/>
          <w:sz w:val="24"/>
          <w:szCs w:val="28"/>
          <w:highlight w:val="none"/>
          <w:lang w:val="en-US"/>
          <w14:textFill>
            <w14:solidFill>
              <w14:schemeClr w14:val="tx1"/>
            </w14:solidFill>
          </w14:textFill>
        </w:rPr>
        <w:t>）标准，用于</w:t>
      </w:r>
      <w:r>
        <w:rPr>
          <w:rFonts w:ascii="Times New Roman" w:hAnsi="Times New Roman" w:cs="Times New Roman"/>
          <w:color w:val="000000" w:themeColor="text1"/>
          <w:w w:val="99"/>
          <w:sz w:val="24"/>
          <w:szCs w:val="28"/>
          <w:highlight w:val="none"/>
          <w:lang w:val="en-US"/>
          <w14:textFill>
            <w14:solidFill>
              <w14:schemeClr w14:val="tx1"/>
            </w14:solidFill>
          </w14:textFill>
        </w:rPr>
        <w:t>铺垫采油七厂井排路和通井路。</w:t>
      </w:r>
    </w:p>
    <w:p>
      <w:pPr>
        <w:widowControl/>
        <w:autoSpaceDE/>
        <w:autoSpaceDN/>
        <w:snapToGrid w:val="0"/>
        <w:spacing w:line="480" w:lineRule="exact"/>
        <w:ind w:firstLine="474" w:firstLineChars="200"/>
        <w:rPr>
          <w:rFonts w:ascii="Times New Roman" w:hAnsi="Times New Roman" w:cs="Times New Roman"/>
          <w:color w:val="000000" w:themeColor="text1"/>
          <w:w w:val="99"/>
          <w:sz w:val="24"/>
          <w:szCs w:val="28"/>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工程依托场站共产生生活垃圾约</w:t>
      </w:r>
      <w:r>
        <w:rPr>
          <w:rFonts w:hint="eastAsia" w:ascii="Times New Roman" w:hAnsi="Times New Roman" w:cs="Times New Roman"/>
          <w:color w:val="000000" w:themeColor="text1"/>
          <w:w w:val="99"/>
          <w:sz w:val="24"/>
          <w:szCs w:val="28"/>
          <w:highlight w:val="none"/>
          <w:lang w:val="en-US" w:eastAsia="zh-CN" w:bidi="ar-SA"/>
          <w14:textFill>
            <w14:solidFill>
              <w14:schemeClr w14:val="tx1"/>
            </w14:solidFill>
          </w14:textFill>
        </w:rPr>
        <w:t>2.5</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t/a，产生的</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生活垃圾</w:t>
      </w:r>
      <w:r>
        <w:rPr>
          <w:rFonts w:hint="eastAsia" w:ascii="Times New Roman" w:hAnsi="Times New Roman" w:cs="Times New Roman"/>
          <w:color w:val="000000" w:themeColor="text1"/>
          <w:w w:val="99"/>
          <w:sz w:val="24"/>
          <w:szCs w:val="28"/>
          <w:highlight w:val="none"/>
          <w:lang w:val="en-US"/>
          <w14:textFill>
            <w14:solidFill>
              <w14:schemeClr w14:val="tx1"/>
            </w14:solidFill>
          </w14:textFill>
        </w:rPr>
        <w:t>统一</w:t>
      </w:r>
      <w:r>
        <w:rPr>
          <w:rFonts w:ascii="Times New Roman" w:hAnsi="Times New Roman" w:cs="Times New Roman"/>
          <w:color w:val="000000" w:themeColor="text1"/>
          <w:w w:val="99"/>
          <w:sz w:val="24"/>
          <w:szCs w:val="28"/>
          <w:highlight w:val="none"/>
          <w:lang w:val="en-US" w:bidi="ar-SA"/>
          <w14:textFill>
            <w14:solidFill>
              <w14:schemeClr w14:val="tx1"/>
            </w14:solidFill>
          </w14:textFill>
        </w:rPr>
        <w:t>由环卫部门拉运至大庆市生活垃圾综合处理厂进行处</w:t>
      </w:r>
      <w:r>
        <w:rPr>
          <w:rFonts w:hint="eastAsia" w:ascii="Times New Roman" w:hAnsi="Times New Roman" w:cs="Times New Roman"/>
          <w:bCs/>
          <w:color w:val="000000" w:themeColor="text1"/>
          <w:w w:val="99"/>
          <w:sz w:val="24"/>
          <w:szCs w:val="28"/>
          <w:highlight w:val="none"/>
          <w:lang w:val="en-US" w:bidi="ar-SA"/>
          <w14:textFill>
            <w14:solidFill>
              <w14:schemeClr w14:val="tx1"/>
            </w14:solidFill>
          </w14:textFill>
        </w:rPr>
        <w:t>理</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。现有工程</w:t>
      </w:r>
      <w:r>
        <w:rPr>
          <w:rFonts w:ascii="Times New Roman" w:hAnsi="Times New Roman" w:cs="Times New Roman"/>
          <w:color w:val="000000" w:themeColor="text1"/>
          <w:w w:val="99"/>
          <w:sz w:val="24"/>
          <w:szCs w:val="28"/>
          <w:highlight w:val="none"/>
          <w:lang w:val="en-US" w:bidi="ar-SA"/>
          <w14:textFill>
            <w14:solidFill>
              <w14:schemeClr w14:val="tx1"/>
            </w14:solidFill>
          </w14:textFill>
        </w:rPr>
        <w:t>污染物排放</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情况</w:t>
      </w:r>
      <w:r>
        <w:rPr>
          <w:rFonts w:ascii="Times New Roman" w:hAnsi="Times New Roman" w:cs="Times New Roman"/>
          <w:color w:val="000000" w:themeColor="text1"/>
          <w:w w:val="99"/>
          <w:sz w:val="24"/>
          <w:szCs w:val="28"/>
          <w:highlight w:val="none"/>
          <w:lang w:val="en-US" w:bidi="ar-SA"/>
          <w14:textFill>
            <w14:solidFill>
              <w14:schemeClr w14:val="tx1"/>
            </w14:solidFill>
          </w14:textFill>
        </w:rPr>
        <w:t>见表</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3.3-</w:t>
      </w:r>
      <w:r>
        <w:rPr>
          <w:rFonts w:hint="eastAsia" w:ascii="Times New Roman" w:hAnsi="Times New Roman" w:cs="Times New Roman"/>
          <w:color w:val="000000" w:themeColor="text1"/>
          <w:w w:val="99"/>
          <w:sz w:val="24"/>
          <w:szCs w:val="28"/>
          <w:highlight w:val="none"/>
          <w:lang w:val="en-US" w:eastAsia="zh-CN" w:bidi="ar-SA"/>
          <w14:textFill>
            <w14:solidFill>
              <w14:schemeClr w14:val="tx1"/>
            </w14:solidFill>
          </w14:textFill>
        </w:rPr>
        <w:t>8</w:t>
      </w:r>
      <w:r>
        <w:rPr>
          <w:rFonts w:hint="eastAsia" w:ascii="Times New Roman" w:hAnsi="Times New Roman" w:cs="Times New Roman"/>
          <w:color w:val="000000" w:themeColor="text1"/>
          <w:w w:val="99"/>
          <w:sz w:val="24"/>
          <w:szCs w:val="28"/>
          <w:highlight w:val="none"/>
          <w:lang w:val="en-US" w:bidi="ar-SA"/>
          <w14:textFill>
            <w14:solidFill>
              <w14:schemeClr w14:val="tx1"/>
            </w14:solidFill>
          </w14:textFill>
        </w:rPr>
        <w:t>。</w:t>
      </w:r>
    </w:p>
    <w:p>
      <w:pPr>
        <w:pStyle w:val="2"/>
        <w:spacing w:beforeLines="0" w:line="440" w:lineRule="exact"/>
        <w:ind w:firstLine="476" w:firstLineChars="200"/>
        <w:jc w:val="both"/>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b/>
          <w:bCs/>
          <w:color w:val="000000" w:themeColor="text1"/>
          <w:w w:val="99"/>
          <w:sz w:val="24"/>
          <w:szCs w:val="24"/>
          <w:highlight w:val="none"/>
          <w14:textFill>
            <w14:solidFill>
              <w14:schemeClr w14:val="tx1"/>
            </w14:solidFill>
          </w14:textFill>
        </w:rPr>
        <w:t>表</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3.3-</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8</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现有工程</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污染物排放</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一览表</w:t>
      </w:r>
    </w:p>
    <w:tbl>
      <w:tblPr>
        <w:tblStyle w:val="32"/>
        <w:tblW w:w="89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195"/>
        <w:gridCol w:w="1420"/>
        <w:gridCol w:w="1639"/>
        <w:gridCol w:w="1678"/>
        <w:gridCol w:w="24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jc w:val="center"/>
        </w:trPr>
        <w:tc>
          <w:tcPr>
            <w:tcW w:w="59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序号</w:t>
            </w:r>
          </w:p>
        </w:tc>
        <w:tc>
          <w:tcPr>
            <w:tcW w:w="1195"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污染物种类</w:t>
            </w:r>
          </w:p>
        </w:tc>
        <w:tc>
          <w:tcPr>
            <w:tcW w:w="1420"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污染物名称</w:t>
            </w:r>
          </w:p>
        </w:tc>
        <w:tc>
          <w:tcPr>
            <w:tcW w:w="163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主要污染因子</w:t>
            </w:r>
          </w:p>
        </w:tc>
        <w:tc>
          <w:tcPr>
            <w:tcW w:w="167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排放量</w:t>
            </w:r>
          </w:p>
        </w:tc>
        <w:tc>
          <w:tcPr>
            <w:tcW w:w="240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污染防治</w:t>
            </w:r>
            <w:r>
              <w:rPr>
                <w:rFonts w:eastAsia="宋体"/>
                <w:color w:val="000000" w:themeColor="text1"/>
                <w:w w:val="99"/>
                <w:kern w:val="2"/>
                <w:sz w:val="21"/>
                <w:szCs w:val="21"/>
                <w:highlight w:val="none"/>
                <w:lang w:val="en-US" w:bidi="ar-SA"/>
                <w14:textFill>
                  <w14:solidFill>
                    <w14:schemeClr w14:val="tx1"/>
                  </w14:solidFill>
                </w14:textFill>
              </w:rPr>
              <w:t>措施及</w:t>
            </w:r>
            <w:r>
              <w:rPr>
                <w:rFonts w:hint="eastAsia" w:eastAsia="宋体"/>
                <w:color w:val="000000" w:themeColor="text1"/>
                <w:w w:val="99"/>
                <w:kern w:val="2"/>
                <w:sz w:val="21"/>
                <w:szCs w:val="21"/>
                <w:highlight w:val="none"/>
                <w:lang w:val="en-US" w:bidi="ar-SA"/>
                <w14:textFill>
                  <w14:solidFill>
                    <w14:schemeClr w14:val="tx1"/>
                  </w14:solidFill>
                </w14:textFill>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599"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1</w:t>
            </w:r>
          </w:p>
        </w:tc>
        <w:tc>
          <w:tcPr>
            <w:tcW w:w="1195"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废气</w:t>
            </w:r>
          </w:p>
        </w:tc>
        <w:tc>
          <w:tcPr>
            <w:tcW w:w="1420"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非甲烷总烃</w:t>
            </w:r>
          </w:p>
        </w:tc>
        <w:tc>
          <w:tcPr>
            <w:tcW w:w="1639"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非甲烷总烃</w:t>
            </w:r>
          </w:p>
        </w:tc>
        <w:tc>
          <w:tcPr>
            <w:tcW w:w="167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eastAsia="zh-CN" w:bidi="ar-SA"/>
                <w14:textFill>
                  <w14:solidFill>
                    <w14:schemeClr w14:val="tx1"/>
                  </w14:solidFill>
                </w14:textFill>
              </w:rPr>
              <w:t>592.67</w:t>
            </w:r>
            <w:r>
              <w:rPr>
                <w:rFonts w:eastAsia="宋体"/>
                <w:color w:val="000000" w:themeColor="text1"/>
                <w:w w:val="99"/>
                <w:kern w:val="2"/>
                <w:sz w:val="21"/>
                <w:szCs w:val="21"/>
                <w:highlight w:val="none"/>
                <w:lang w:val="en-US" w:bidi="ar-SA"/>
                <w14:textFill>
                  <w14:solidFill>
                    <w14:schemeClr w14:val="tx1"/>
                  </w14:solidFill>
                </w14:textFill>
              </w:rPr>
              <w:t>t/a</w:t>
            </w:r>
          </w:p>
        </w:tc>
        <w:tc>
          <w:tcPr>
            <w:tcW w:w="240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油气</w:t>
            </w:r>
            <w:r>
              <w:rPr>
                <w:rFonts w:eastAsia="宋体"/>
                <w:color w:val="000000" w:themeColor="text1"/>
                <w:w w:val="99"/>
                <w:kern w:val="2"/>
                <w:sz w:val="21"/>
                <w:szCs w:val="21"/>
                <w:highlight w:val="none"/>
                <w:lang w:val="en-US" w:bidi="ar-SA"/>
                <w14:textFill>
                  <w14:solidFill>
                    <w14:schemeClr w14:val="tx1"/>
                  </w14:solidFill>
                </w14:textFill>
              </w:rPr>
              <w:t>密闭集输，</w:t>
            </w:r>
            <w:r>
              <w:rPr>
                <w:rFonts w:hint="eastAsia" w:eastAsia="宋体"/>
                <w:color w:val="000000" w:themeColor="text1"/>
                <w:w w:val="99"/>
                <w:kern w:val="2"/>
                <w:sz w:val="21"/>
                <w:szCs w:val="21"/>
                <w:highlight w:val="none"/>
                <w:lang w:val="en-US" w:bidi="ar-SA"/>
                <w14:textFill>
                  <w14:solidFill>
                    <w14:schemeClr w14:val="tx1"/>
                  </w14:solidFill>
                </w14:textFill>
              </w:rPr>
              <w:t>井场</w:t>
            </w:r>
            <w:r>
              <w:rPr>
                <w:rFonts w:eastAsia="宋体"/>
                <w:color w:val="000000" w:themeColor="text1"/>
                <w:w w:val="99"/>
                <w:kern w:val="2"/>
                <w:sz w:val="21"/>
                <w:szCs w:val="21"/>
                <w:highlight w:val="none"/>
                <w:lang w:val="en-US" w:bidi="ar-SA"/>
                <w14:textFill>
                  <w14:solidFill>
                    <w14:schemeClr w14:val="tx1"/>
                  </w14:solidFill>
                </w14:textFill>
              </w:rPr>
              <w:t>和场站无组织挥发非甲烷总烃排入大气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599"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95"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420"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eastAsia="zh-CN" w:bidi="ar-SA"/>
                <w14:textFill>
                  <w14:solidFill>
                    <w14:schemeClr w14:val="tx1"/>
                  </w14:solidFill>
                </w14:textFill>
              </w:rPr>
              <w:t>各</w:t>
            </w:r>
            <w:r>
              <w:rPr>
                <w:rFonts w:hint="eastAsia" w:eastAsia="宋体"/>
                <w:color w:val="000000" w:themeColor="text1"/>
                <w:w w:val="99"/>
                <w:kern w:val="2"/>
                <w:sz w:val="21"/>
                <w:szCs w:val="21"/>
                <w:highlight w:val="none"/>
                <w:lang w:val="en-US" w:bidi="ar-SA"/>
                <w14:textFill>
                  <w14:solidFill>
                    <w14:schemeClr w14:val="tx1"/>
                  </w14:solidFill>
                </w14:textFill>
              </w:rPr>
              <w:t>场站</w:t>
            </w:r>
            <w:r>
              <w:rPr>
                <w:rFonts w:eastAsia="宋体"/>
                <w:color w:val="000000" w:themeColor="text1"/>
                <w:w w:val="99"/>
                <w:kern w:val="2"/>
                <w:sz w:val="21"/>
                <w:szCs w:val="21"/>
                <w:highlight w:val="none"/>
                <w:lang w:val="en-US" w:bidi="ar-SA"/>
                <w14:textFill>
                  <w14:solidFill>
                    <w14:schemeClr w14:val="tx1"/>
                  </w14:solidFill>
                </w14:textFill>
              </w:rPr>
              <w:t>加热炉烟气</w:t>
            </w:r>
          </w:p>
        </w:tc>
        <w:tc>
          <w:tcPr>
            <w:tcW w:w="1639" w:type="dxa"/>
            <w:tcBorders>
              <w:bottom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颗粒物</w:t>
            </w:r>
          </w:p>
        </w:tc>
        <w:tc>
          <w:tcPr>
            <w:tcW w:w="1678" w:type="dxa"/>
            <w:tcBorders>
              <w:bottom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eastAsia="zh-CN" w:bidi="ar-SA"/>
                <w14:textFill>
                  <w14:solidFill>
                    <w14:schemeClr w14:val="tx1"/>
                  </w14:solidFill>
                </w14:textFill>
              </w:rPr>
              <w:t>0.60</w:t>
            </w:r>
            <w:r>
              <w:rPr>
                <w:rFonts w:eastAsia="宋体"/>
                <w:color w:val="000000" w:themeColor="text1"/>
                <w:w w:val="99"/>
                <w:kern w:val="2"/>
                <w:sz w:val="21"/>
                <w:szCs w:val="21"/>
                <w:highlight w:val="none"/>
                <w:lang w:val="en-US" w:bidi="ar-SA"/>
                <w14:textFill>
                  <w14:solidFill>
                    <w14:schemeClr w14:val="tx1"/>
                  </w14:solidFill>
                </w14:textFill>
              </w:rPr>
              <w:t>t/a</w:t>
            </w:r>
          </w:p>
        </w:tc>
        <w:tc>
          <w:tcPr>
            <w:tcW w:w="2403"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经</w:t>
            </w:r>
            <w:r>
              <w:rPr>
                <w:rFonts w:eastAsia="宋体"/>
                <w:color w:val="000000" w:themeColor="text1"/>
                <w:w w:val="99"/>
                <w:kern w:val="2"/>
                <w:sz w:val="21"/>
                <w:szCs w:val="21"/>
                <w:highlight w:val="none"/>
                <w:lang w:val="en-US" w:bidi="ar-SA"/>
                <w14:textFill>
                  <w14:solidFill>
                    <w14:schemeClr w14:val="tx1"/>
                  </w14:solidFill>
                </w14:textFill>
              </w:rPr>
              <w:t>加热炉</w:t>
            </w:r>
            <w:r>
              <w:rPr>
                <w:rFonts w:hint="eastAsia" w:eastAsia="宋体"/>
                <w:color w:val="000000" w:themeColor="text1"/>
                <w:w w:val="99"/>
                <w:kern w:val="2"/>
                <w:sz w:val="21"/>
                <w:szCs w:val="21"/>
                <w:highlight w:val="none"/>
                <w:lang w:val="en-US" w:bidi="ar-SA"/>
                <w14:textFill>
                  <w14:solidFill>
                    <w14:schemeClr w14:val="tx1"/>
                  </w14:solidFill>
                </w14:textFill>
              </w:rPr>
              <w:t>8</w:t>
            </w:r>
            <w:r>
              <w:rPr>
                <w:rFonts w:eastAsia="宋体"/>
                <w:color w:val="000000" w:themeColor="text1"/>
                <w:w w:val="99"/>
                <w:kern w:val="2"/>
                <w:sz w:val="21"/>
                <w:szCs w:val="21"/>
                <w:highlight w:val="none"/>
                <w:lang w:val="en-US" w:bidi="ar-SA"/>
                <w14:textFill>
                  <w14:solidFill>
                    <w14:schemeClr w14:val="tx1"/>
                  </w14:solidFill>
                </w14:textFill>
              </w:rPr>
              <w:t>m以上排气筒</w:t>
            </w:r>
            <w:r>
              <w:rPr>
                <w:rFonts w:hint="eastAsia" w:eastAsia="宋体"/>
                <w:color w:val="000000" w:themeColor="text1"/>
                <w:w w:val="99"/>
                <w:kern w:val="2"/>
                <w:sz w:val="21"/>
                <w:szCs w:val="21"/>
                <w:highlight w:val="none"/>
                <w:lang w:val="en-US" w:bidi="ar-SA"/>
                <w14:textFill>
                  <w14:solidFill>
                    <w14:schemeClr w14:val="tx1"/>
                  </w14:solidFill>
                </w14:textFill>
              </w:rPr>
              <w:t>达标</w:t>
            </w:r>
            <w:r>
              <w:rPr>
                <w:rFonts w:eastAsia="宋体"/>
                <w:color w:val="000000" w:themeColor="text1"/>
                <w:w w:val="99"/>
                <w:kern w:val="2"/>
                <w:sz w:val="21"/>
                <w:szCs w:val="21"/>
                <w:highlight w:val="none"/>
                <w:lang w:val="en-US" w:bidi="ar-SA"/>
                <w14:textFill>
                  <w14:solidFill>
                    <w14:schemeClr w14:val="tx1"/>
                  </w14:solidFill>
                </w14:textFill>
              </w:rPr>
              <w:t>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 w:hRule="atLeast"/>
          <w:jc w:val="center"/>
        </w:trPr>
        <w:tc>
          <w:tcPr>
            <w:tcW w:w="599"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95"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420"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639" w:type="dxa"/>
            <w:tcBorders>
              <w:top w:val="single" w:color="auto" w:sz="4" w:space="0"/>
              <w:bottom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SO</w:t>
            </w:r>
            <w:r>
              <w:rPr>
                <w:rFonts w:hint="eastAsia" w:eastAsia="宋体"/>
                <w:color w:val="000000" w:themeColor="text1"/>
                <w:w w:val="99"/>
                <w:kern w:val="2"/>
                <w:sz w:val="21"/>
                <w:szCs w:val="21"/>
                <w:highlight w:val="none"/>
                <w:vertAlign w:val="subscript"/>
                <w:lang w:val="en-US" w:bidi="ar-SA"/>
                <w14:textFill>
                  <w14:solidFill>
                    <w14:schemeClr w14:val="tx1"/>
                  </w14:solidFill>
                </w14:textFill>
              </w:rPr>
              <w:t>2</w:t>
            </w:r>
          </w:p>
        </w:tc>
        <w:tc>
          <w:tcPr>
            <w:tcW w:w="1678" w:type="dxa"/>
            <w:tcBorders>
              <w:top w:val="single" w:color="auto" w:sz="4" w:space="0"/>
              <w:bottom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eastAsia="zh-CN" w:bidi="ar-SA"/>
                <w14:textFill>
                  <w14:solidFill>
                    <w14:schemeClr w14:val="tx1"/>
                  </w14:solidFill>
                </w14:textFill>
              </w:rPr>
              <w:t>0.95</w:t>
            </w:r>
            <w:r>
              <w:rPr>
                <w:rFonts w:eastAsia="宋体"/>
                <w:color w:val="000000" w:themeColor="text1"/>
                <w:w w:val="99"/>
                <w:kern w:val="2"/>
                <w:sz w:val="21"/>
                <w:szCs w:val="21"/>
                <w:highlight w:val="none"/>
                <w:lang w:val="en-US" w:bidi="ar-SA"/>
                <w14:textFill>
                  <w14:solidFill>
                    <w14:schemeClr w14:val="tx1"/>
                  </w14:solidFill>
                </w14:textFill>
              </w:rPr>
              <w:t>t/a</w:t>
            </w:r>
          </w:p>
        </w:tc>
        <w:tc>
          <w:tcPr>
            <w:tcW w:w="2403"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599"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195"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420"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639" w:type="dxa"/>
            <w:tcBorders>
              <w:top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NO</w:t>
            </w:r>
            <w:r>
              <w:rPr>
                <w:rFonts w:hint="eastAsia" w:eastAsia="宋体"/>
                <w:color w:val="000000" w:themeColor="text1"/>
                <w:w w:val="99"/>
                <w:kern w:val="2"/>
                <w:sz w:val="21"/>
                <w:szCs w:val="21"/>
                <w:highlight w:val="none"/>
                <w:vertAlign w:val="subscript"/>
                <w:lang w:val="en-US" w:bidi="ar-SA"/>
                <w14:textFill>
                  <w14:solidFill>
                    <w14:schemeClr w14:val="tx1"/>
                  </w14:solidFill>
                </w14:textFill>
              </w:rPr>
              <w:t>X</w:t>
            </w:r>
          </w:p>
        </w:tc>
        <w:tc>
          <w:tcPr>
            <w:tcW w:w="1678" w:type="dxa"/>
            <w:tcBorders>
              <w:top w:val="single" w:color="auto"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eastAsia="zh-CN" w:bidi="ar-SA"/>
                <w14:textFill>
                  <w14:solidFill>
                    <w14:schemeClr w14:val="tx1"/>
                  </w14:solidFill>
                </w14:textFill>
              </w:rPr>
              <w:t>4.312</w:t>
            </w:r>
            <w:r>
              <w:rPr>
                <w:rFonts w:eastAsia="宋体"/>
                <w:color w:val="000000" w:themeColor="text1"/>
                <w:w w:val="99"/>
                <w:kern w:val="2"/>
                <w:sz w:val="21"/>
                <w:szCs w:val="21"/>
                <w:highlight w:val="none"/>
                <w:lang w:val="en-US" w:bidi="ar-SA"/>
                <w14:textFill>
                  <w14:solidFill>
                    <w14:schemeClr w14:val="tx1"/>
                  </w14:solidFill>
                </w14:textFill>
              </w:rPr>
              <w:t>t/a</w:t>
            </w:r>
          </w:p>
        </w:tc>
        <w:tc>
          <w:tcPr>
            <w:tcW w:w="2403"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59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1195"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废水</w:t>
            </w:r>
          </w:p>
        </w:tc>
        <w:tc>
          <w:tcPr>
            <w:tcW w:w="142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油</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注入井</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作业</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污水</w:t>
            </w:r>
          </w:p>
        </w:tc>
        <w:tc>
          <w:tcPr>
            <w:tcW w:w="163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SS</w:t>
            </w:r>
          </w:p>
        </w:tc>
        <w:tc>
          <w:tcPr>
            <w:tcW w:w="167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460</w:t>
            </w:r>
            <w:r>
              <w:rPr>
                <w:rFonts w:ascii="Times New Roman" w:hAnsi="Times New Roman" w:cs="Times New Roman"/>
                <w:color w:val="000000" w:themeColor="text1"/>
                <w:w w:val="99"/>
                <w:sz w:val="21"/>
                <w:szCs w:val="21"/>
                <w:highlight w:val="none"/>
                <w14:textFill>
                  <w14:solidFill>
                    <w14:schemeClr w14:val="tx1"/>
                  </w14:solidFill>
                </w14:textFill>
              </w:rPr>
              <w:t>m</w:t>
            </w:r>
            <w:r>
              <w:rPr>
                <w:rFonts w:ascii="Times New Roman" w:hAnsi="Times New Roman" w:cs="Times New Roman"/>
                <w:color w:val="000000" w:themeColor="text1"/>
                <w:w w:val="99"/>
                <w:sz w:val="21"/>
                <w:szCs w:val="21"/>
                <w:highlight w:val="none"/>
                <w:vertAlign w:val="superscript"/>
                <w14:textFill>
                  <w14:solidFill>
                    <w14:schemeClr w14:val="tx1"/>
                  </w14:solidFill>
                </w14:textFill>
              </w:rPr>
              <w:t>3</w:t>
            </w:r>
          </w:p>
        </w:tc>
        <w:tc>
          <w:tcPr>
            <w:tcW w:w="240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sz w:val="21"/>
                <w:szCs w:val="21"/>
                <w:highlight w:val="none"/>
                <w:lang w:val="en-US"/>
                <w14:textFill>
                  <w14:solidFill>
                    <w14:schemeClr w14:val="tx1"/>
                  </w14:solidFill>
                </w14:textFill>
              </w:rPr>
              <w:t>污水通过罐车</w:t>
            </w: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分别</w:t>
            </w:r>
            <w:r>
              <w:rPr>
                <w:rFonts w:ascii="Times New Roman" w:hAnsi="Times New Roman" w:cs="Times New Roman"/>
                <w:bCs/>
                <w:color w:val="000000" w:themeColor="text1"/>
                <w:w w:val="99"/>
                <w:sz w:val="21"/>
                <w:szCs w:val="21"/>
                <w:highlight w:val="none"/>
                <w:lang w:val="en-US"/>
                <w14:textFill>
                  <w14:solidFill>
                    <w14:schemeClr w14:val="tx1"/>
                  </w14:solidFill>
                </w14:textFill>
              </w:rPr>
              <w:t>拉运到</w:t>
            </w: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葡二联</w:t>
            </w:r>
            <w:r>
              <w:rPr>
                <w:rFonts w:ascii="Times New Roman" w:hAnsi="Times New Roman" w:cs="Times New Roman"/>
                <w:bCs/>
                <w:color w:val="000000" w:themeColor="text1"/>
                <w:w w:val="99"/>
                <w:sz w:val="21"/>
                <w:szCs w:val="21"/>
                <w:highlight w:val="none"/>
                <w:lang w:val="en-US"/>
                <w14:textFill>
                  <w14:solidFill>
                    <w14:schemeClr w14:val="tx1"/>
                  </w14:solidFill>
                </w14:textFill>
              </w:rPr>
              <w:t>含油污水处理站</w:t>
            </w: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和</w:t>
            </w:r>
            <w:r>
              <w:rPr>
                <w:rFonts w:ascii="Times New Roman" w:hAnsi="Times New Roman" w:cs="Times New Roman"/>
                <w:color w:val="000000" w:themeColor="text1"/>
                <w:w w:val="99"/>
                <w:sz w:val="21"/>
                <w:szCs w:val="21"/>
                <w:highlight w:val="none"/>
                <w14:textFill>
                  <w14:solidFill>
                    <w14:schemeClr w14:val="tx1"/>
                  </w14:solidFill>
                </w14:textFill>
              </w:rPr>
              <w:t>处理</w:t>
            </w:r>
            <w:r>
              <w:rPr>
                <w:rFonts w:hint="eastAsia" w:ascii="Times New Roman" w:hAnsi="Times New Roman" w:cs="Times New Roman"/>
                <w:color w:val="000000" w:themeColor="text1"/>
                <w:w w:val="99"/>
                <w:sz w:val="21"/>
                <w:szCs w:val="21"/>
                <w:highlight w:val="none"/>
                <w14:textFill>
                  <w14:solidFill>
                    <w14:schemeClr w14:val="tx1"/>
                  </w14:solidFill>
                </w14:textFill>
              </w:rPr>
              <w:t>达标</w:t>
            </w:r>
            <w:r>
              <w:rPr>
                <w:rFonts w:ascii="Times New Roman" w:hAnsi="Times New Roman" w:cs="Times New Roman"/>
                <w:color w:val="000000" w:themeColor="text1"/>
                <w:w w:val="99"/>
                <w:sz w:val="21"/>
                <w:szCs w:val="21"/>
                <w:highlight w:val="none"/>
                <w14:textFill>
                  <w14:solidFill>
                    <w14:schemeClr w14:val="tx1"/>
                  </w14:solidFill>
                </w14:textFill>
              </w:rPr>
              <w:t>后回注</w:t>
            </w:r>
            <w:r>
              <w:rPr>
                <w:rFonts w:hint="eastAsia" w:ascii="Times New Roman" w:hAnsi="Times New Roman" w:cs="Times New Roman"/>
                <w:color w:val="000000" w:themeColor="text1"/>
                <w:w w:val="99"/>
                <w:sz w:val="21"/>
                <w:szCs w:val="21"/>
                <w:highlight w:val="none"/>
                <w:lang w:val="en-US"/>
                <w14:textFill>
                  <w14:solidFill>
                    <w14:schemeClr w14:val="tx1"/>
                  </w14:solidFill>
                </w14:textFill>
              </w:rPr>
              <w:t>油层</w:t>
            </w:r>
            <w:r>
              <w:rPr>
                <w:rFonts w:ascii="Times New Roman" w:hAnsi="Times New Roman" w:cs="Times New Roman"/>
                <w:color w:val="000000" w:themeColor="text1"/>
                <w:w w:val="99"/>
                <w:sz w:val="21"/>
                <w:szCs w:val="21"/>
                <w:highlight w:val="none"/>
                <w14:textFill>
                  <w14:solidFill>
                    <w14:schemeClr w14:val="tx1"/>
                  </w14:solidFill>
                </w14:textFill>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jc w:val="center"/>
        </w:trPr>
        <w:tc>
          <w:tcPr>
            <w:tcW w:w="599"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1195"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噪声</w:t>
            </w:r>
          </w:p>
        </w:tc>
        <w:tc>
          <w:tcPr>
            <w:tcW w:w="142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噪声</w:t>
            </w:r>
          </w:p>
        </w:tc>
        <w:tc>
          <w:tcPr>
            <w:tcW w:w="163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抽油机</w:t>
            </w:r>
          </w:p>
        </w:tc>
        <w:tc>
          <w:tcPr>
            <w:tcW w:w="167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6</w:t>
            </w:r>
            <w:r>
              <w:rPr>
                <w:rFonts w:ascii="Times New Roman" w:hAnsi="Times New Roman" w:cs="Times New Roman"/>
                <w:color w:val="000000" w:themeColor="text1"/>
                <w:w w:val="99"/>
                <w:sz w:val="21"/>
                <w:szCs w:val="21"/>
                <w:highlight w:val="none"/>
                <w14:textFill>
                  <w14:solidFill>
                    <w14:schemeClr w14:val="tx1"/>
                  </w14:solidFill>
                </w14:textFill>
              </w:rPr>
              <w:t>0-70dB</w:t>
            </w:r>
            <w:r>
              <w:rPr>
                <w:rFonts w:hint="eastAsia" w:ascii="Times New Roman" w:hAnsi="Times New Roman" w:cs="Times New Roman"/>
                <w:color w:val="000000" w:themeColor="text1"/>
                <w:w w:val="99"/>
                <w:sz w:val="21"/>
                <w:szCs w:val="21"/>
                <w:highlight w:val="none"/>
                <w14:textFill>
                  <w14:solidFill>
                    <w14:schemeClr w14:val="tx1"/>
                  </w14:solidFill>
                </w14:textFill>
              </w:rPr>
              <w:t>（A）</w:t>
            </w:r>
          </w:p>
        </w:tc>
        <w:tc>
          <w:tcPr>
            <w:tcW w:w="240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bCs/>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井场</w:t>
            </w:r>
            <w:r>
              <w:rPr>
                <w:rFonts w:ascii="Times New Roman" w:hAnsi="Times New Roman" w:cs="Times New Roman"/>
                <w:bCs/>
                <w:color w:val="000000" w:themeColor="text1"/>
                <w:w w:val="99"/>
                <w:sz w:val="21"/>
                <w:szCs w:val="21"/>
                <w:highlight w:val="none"/>
                <w:lang w:val="en-US"/>
                <w14:textFill>
                  <w14:solidFill>
                    <w14:schemeClr w14:val="tx1"/>
                  </w14:solidFill>
                </w14:textFill>
              </w:rPr>
              <w:t>边界噪声</w:t>
            </w: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达标</w:t>
            </w:r>
            <w:r>
              <w:rPr>
                <w:rFonts w:ascii="Times New Roman" w:hAnsi="Times New Roman" w:cs="Times New Roman"/>
                <w:bCs/>
                <w:color w:val="000000" w:themeColor="text1"/>
                <w:w w:val="99"/>
                <w:sz w:val="21"/>
                <w:szCs w:val="21"/>
                <w:highlight w:val="none"/>
                <w:lang w:val="en-US"/>
                <w14:textFill>
                  <w14:solidFill>
                    <w14:schemeClr w14:val="tx1"/>
                  </w14:solidFill>
                </w14:textFill>
              </w:rPr>
              <w:t>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599"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195"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2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场站</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噪声</w:t>
            </w:r>
          </w:p>
        </w:tc>
        <w:tc>
          <w:tcPr>
            <w:tcW w:w="163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机泵</w:t>
            </w:r>
            <w:r>
              <w:rPr>
                <w:rFonts w:ascii="Times New Roman" w:hAnsi="Times New Roman" w:cs="Times New Roman"/>
                <w:color w:val="000000" w:themeColor="text1"/>
                <w:w w:val="99"/>
                <w:sz w:val="21"/>
                <w:szCs w:val="21"/>
                <w:highlight w:val="none"/>
                <w14:textFill>
                  <w14:solidFill>
                    <w14:schemeClr w14:val="tx1"/>
                  </w14:solidFill>
                </w14:textFill>
              </w:rPr>
              <w:t>设备</w:t>
            </w:r>
          </w:p>
        </w:tc>
        <w:tc>
          <w:tcPr>
            <w:tcW w:w="167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70-80dB</w:t>
            </w:r>
            <w:r>
              <w:rPr>
                <w:rFonts w:hint="eastAsia" w:ascii="Times New Roman" w:hAnsi="Times New Roman" w:cs="Times New Roman"/>
                <w:color w:val="000000" w:themeColor="text1"/>
                <w:w w:val="99"/>
                <w:sz w:val="21"/>
                <w:szCs w:val="21"/>
                <w:highlight w:val="none"/>
                <w14:textFill>
                  <w14:solidFill>
                    <w14:schemeClr w14:val="tx1"/>
                  </w14:solidFill>
                </w14:textFill>
              </w:rPr>
              <w:t>（A）</w:t>
            </w:r>
          </w:p>
        </w:tc>
        <w:tc>
          <w:tcPr>
            <w:tcW w:w="240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bCs/>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场站</w:t>
            </w:r>
            <w:r>
              <w:rPr>
                <w:rFonts w:ascii="Times New Roman" w:hAnsi="Times New Roman" w:cs="Times New Roman"/>
                <w:bCs/>
                <w:color w:val="000000" w:themeColor="text1"/>
                <w:w w:val="99"/>
                <w:sz w:val="21"/>
                <w:szCs w:val="21"/>
                <w:highlight w:val="none"/>
                <w:lang w:val="en-US"/>
                <w14:textFill>
                  <w14:solidFill>
                    <w14:schemeClr w14:val="tx1"/>
                  </w14:solidFill>
                </w14:textFill>
              </w:rPr>
              <w:t>厂界噪声</w:t>
            </w: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达标</w:t>
            </w:r>
            <w:r>
              <w:rPr>
                <w:rFonts w:ascii="Times New Roman" w:hAnsi="Times New Roman" w:cs="Times New Roman"/>
                <w:bCs/>
                <w:color w:val="000000" w:themeColor="text1"/>
                <w:w w:val="99"/>
                <w:sz w:val="21"/>
                <w:szCs w:val="21"/>
                <w:highlight w:val="none"/>
                <w:lang w:val="en-US"/>
                <w14:textFill>
                  <w14:solidFill>
                    <w14:schemeClr w14:val="tx1"/>
                  </w14:solidFill>
                </w14:textFill>
              </w:rPr>
              <w:t>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599"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w:t>
            </w:r>
          </w:p>
        </w:tc>
        <w:tc>
          <w:tcPr>
            <w:tcW w:w="1195"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固体废物</w:t>
            </w:r>
          </w:p>
        </w:tc>
        <w:tc>
          <w:tcPr>
            <w:tcW w:w="142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含油污泥</w:t>
            </w:r>
          </w:p>
        </w:tc>
        <w:tc>
          <w:tcPr>
            <w:tcW w:w="163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石油类</w:t>
            </w:r>
          </w:p>
        </w:tc>
        <w:tc>
          <w:tcPr>
            <w:tcW w:w="167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0.96</w:t>
            </w:r>
            <w:r>
              <w:rPr>
                <w:rFonts w:ascii="Times New Roman" w:hAnsi="Times New Roman" w:cs="Times New Roman"/>
                <w:color w:val="000000" w:themeColor="text1"/>
                <w:w w:val="99"/>
                <w:sz w:val="21"/>
                <w:szCs w:val="21"/>
                <w:highlight w:val="none"/>
                <w14:textFill>
                  <w14:solidFill>
                    <w14:schemeClr w14:val="tx1"/>
                  </w14:solidFill>
                </w14:textFill>
              </w:rPr>
              <w:t>t /a</w:t>
            </w:r>
          </w:p>
        </w:tc>
        <w:tc>
          <w:tcPr>
            <w:tcW w:w="240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bCs/>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罐车拉运至葡萄花含油污泥处理站处理，</w:t>
            </w:r>
            <w:r>
              <w:rPr>
                <w:rFonts w:ascii="Times New Roman" w:hAnsi="Times New Roman" w:cs="Times New Roman"/>
                <w:bCs/>
                <w:color w:val="000000" w:themeColor="text1"/>
                <w:w w:val="99"/>
                <w:sz w:val="21"/>
                <w:szCs w:val="21"/>
                <w:highlight w:val="none"/>
                <w:lang w:val="en-US"/>
                <w14:textFill>
                  <w14:solidFill>
                    <w14:schemeClr w14:val="tx1"/>
                  </w14:solidFill>
                </w14:textFill>
              </w:rPr>
              <w:t>处理</w:t>
            </w: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达标</w:t>
            </w:r>
            <w:r>
              <w:rPr>
                <w:rFonts w:ascii="Times New Roman" w:hAnsi="Times New Roman" w:cs="Times New Roman"/>
                <w:bCs/>
                <w:color w:val="000000" w:themeColor="text1"/>
                <w:w w:val="99"/>
                <w:sz w:val="21"/>
                <w:szCs w:val="21"/>
                <w:highlight w:val="none"/>
                <w:lang w:val="en-US"/>
                <w14:textFill>
                  <w14:solidFill>
                    <w14:schemeClr w14:val="tx1"/>
                  </w14:solidFill>
                </w14:textFill>
              </w:rPr>
              <w:t>后用于</w:t>
            </w: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铺垫</w:t>
            </w:r>
            <w:r>
              <w:rPr>
                <w:rFonts w:ascii="Times New Roman" w:hAnsi="Times New Roman" w:cs="Times New Roman"/>
                <w:bCs/>
                <w:color w:val="000000" w:themeColor="text1"/>
                <w:w w:val="99"/>
                <w:sz w:val="21"/>
                <w:szCs w:val="21"/>
                <w:highlight w:val="none"/>
                <w:lang w:val="en-US"/>
                <w14:textFill>
                  <w14:solidFill>
                    <w14:schemeClr w14:val="tx1"/>
                  </w14:solidFill>
                </w14:textFill>
              </w:rPr>
              <w:t>井排路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jc w:val="center"/>
        </w:trPr>
        <w:tc>
          <w:tcPr>
            <w:tcW w:w="599"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195"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2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生活垃圾</w:t>
            </w:r>
          </w:p>
        </w:tc>
        <w:tc>
          <w:tcPr>
            <w:tcW w:w="163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w:t>
            </w:r>
          </w:p>
        </w:tc>
        <w:tc>
          <w:tcPr>
            <w:tcW w:w="167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2.5</w:t>
            </w:r>
            <w:r>
              <w:rPr>
                <w:rFonts w:ascii="Times New Roman" w:hAnsi="Times New Roman" w:cs="Times New Roman"/>
                <w:color w:val="000000" w:themeColor="text1"/>
                <w:w w:val="99"/>
                <w:sz w:val="21"/>
                <w:szCs w:val="21"/>
                <w:highlight w:val="none"/>
                <w14:textFill>
                  <w14:solidFill>
                    <w14:schemeClr w14:val="tx1"/>
                  </w14:solidFill>
                </w14:textFill>
              </w:rPr>
              <w:t>t/a</w:t>
            </w:r>
          </w:p>
        </w:tc>
        <w:tc>
          <w:tcPr>
            <w:tcW w:w="240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bCs/>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统一</w:t>
            </w:r>
            <w:r>
              <w:rPr>
                <w:rFonts w:ascii="Times New Roman" w:hAnsi="Times New Roman" w:cs="Times New Roman"/>
                <w:bCs/>
                <w:color w:val="000000" w:themeColor="text1"/>
                <w:w w:val="99"/>
                <w:sz w:val="21"/>
                <w:szCs w:val="21"/>
                <w:highlight w:val="none"/>
                <w:lang w:val="en-US"/>
                <w14:textFill>
                  <w14:solidFill>
                    <w14:schemeClr w14:val="tx1"/>
                  </w14:solidFill>
                </w14:textFill>
              </w:rPr>
              <w:t>由环卫部门拉运至大庆市生活垃圾综合处理厂进行处</w:t>
            </w:r>
            <w:r>
              <w:rPr>
                <w:rFonts w:hint="eastAsia" w:ascii="Times New Roman" w:hAnsi="Times New Roman" w:cs="Times New Roman"/>
                <w:bCs/>
                <w:color w:val="000000" w:themeColor="text1"/>
                <w:w w:val="99"/>
                <w:sz w:val="21"/>
                <w:szCs w:val="21"/>
                <w:highlight w:val="none"/>
                <w:lang w:val="en-US"/>
                <w14:textFill>
                  <w14:solidFill>
                    <w14:schemeClr w14:val="tx1"/>
                  </w14:solidFill>
                </w14:textFill>
              </w:rPr>
              <w:t>理</w:t>
            </w:r>
          </w:p>
        </w:tc>
      </w:tr>
    </w:tbl>
    <w:p>
      <w:pPr>
        <w:pStyle w:val="45"/>
        <w:tabs>
          <w:tab w:val="left" w:pos="930"/>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3.3.4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依托</w:t>
      </w: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工程存在的环境问题</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根据</w:t>
      </w:r>
      <w:r>
        <w:rPr>
          <w:rFonts w:ascii="Times New Roman" w:hAnsi="Times New Roman" w:cs="Times New Roman"/>
          <w:bCs/>
          <w:color w:val="000000" w:themeColor="text1"/>
          <w:w w:val="99"/>
          <w:sz w:val="24"/>
          <w:szCs w:val="20"/>
          <w:highlight w:val="none"/>
          <w:lang w:val="en-US"/>
          <w14:textFill>
            <w14:solidFill>
              <w14:schemeClr w14:val="tx1"/>
            </w14:solidFill>
          </w14:textFill>
        </w:rPr>
        <w:t>本次工程监测报告和相关依托场站验收监测数据，</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本次产能工程依托转油</w:t>
      </w:r>
      <w:r>
        <w:rPr>
          <w:rFonts w:ascii="Times New Roman" w:hAnsi="Times New Roman" w:cs="Times New Roman"/>
          <w:bCs/>
          <w:color w:val="000000" w:themeColor="text1"/>
          <w:w w:val="99"/>
          <w:sz w:val="24"/>
          <w:szCs w:val="20"/>
          <w:highlight w:val="none"/>
          <w:lang w:val="en-US"/>
          <w14:textFill>
            <w14:solidFill>
              <w14:schemeClr w14:val="tx1"/>
            </w14:solidFill>
          </w14:textFill>
        </w:rPr>
        <w:t>站站内加热炉</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排放</w:t>
      </w:r>
      <w:r>
        <w:rPr>
          <w:rFonts w:ascii="Times New Roman" w:hAnsi="Times New Roman" w:cs="Times New Roman"/>
          <w:bCs/>
          <w:color w:val="000000" w:themeColor="text1"/>
          <w:w w:val="99"/>
          <w:sz w:val="24"/>
          <w:szCs w:val="20"/>
          <w:highlight w:val="none"/>
          <w:lang w:val="en-US"/>
          <w14:textFill>
            <w14:solidFill>
              <w14:schemeClr w14:val="tx1"/>
            </w14:solidFill>
          </w14:textFill>
        </w:rPr>
        <w:t>的污染物满足《锅炉大气污染物排放标准》（GB13271-2014）中在用</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燃</w:t>
      </w:r>
      <w:r>
        <w:rPr>
          <w:rFonts w:ascii="Times New Roman" w:hAnsi="Times New Roman" w:cs="Times New Roman"/>
          <w:bCs/>
          <w:color w:val="000000" w:themeColor="text1"/>
          <w:w w:val="99"/>
          <w:sz w:val="24"/>
          <w:szCs w:val="20"/>
          <w:highlight w:val="none"/>
          <w:lang w:val="en-US"/>
          <w14:textFill>
            <w14:solidFill>
              <w14:schemeClr w14:val="tx1"/>
            </w14:solidFill>
          </w14:textFill>
        </w:rPr>
        <w:t>气锅炉的标准要求。油气集输采用密闭流程，可有效控制烃类物质的排放，</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各场站</w:t>
      </w:r>
      <w:r>
        <w:rPr>
          <w:rFonts w:ascii="Times New Roman" w:hAnsi="Times New Roman" w:cs="Times New Roman"/>
          <w:bCs/>
          <w:color w:val="000000" w:themeColor="text1"/>
          <w:w w:val="99"/>
          <w:sz w:val="24"/>
          <w:szCs w:val="20"/>
          <w:highlight w:val="none"/>
          <w:lang w:val="en-US"/>
          <w14:textFill>
            <w14:solidFill>
              <w14:schemeClr w14:val="tx1"/>
            </w14:solidFill>
          </w14:textFill>
        </w:rPr>
        <w:t>厂界</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无组织</w:t>
      </w:r>
      <w:r>
        <w:rPr>
          <w:rFonts w:ascii="Times New Roman" w:hAnsi="Times New Roman" w:cs="Times New Roman"/>
          <w:bCs/>
          <w:color w:val="000000" w:themeColor="text1"/>
          <w:w w:val="99"/>
          <w:sz w:val="24"/>
          <w:szCs w:val="20"/>
          <w:highlight w:val="none"/>
          <w:lang w:val="en-US"/>
          <w14:textFill>
            <w14:solidFill>
              <w14:schemeClr w14:val="tx1"/>
            </w14:solidFill>
          </w14:textFill>
        </w:rPr>
        <w:t>排放</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非甲烷总烃满足</w:t>
      </w:r>
      <w:r>
        <w:rPr>
          <w:rFonts w:ascii="Times New Roman" w:hAnsi="Times New Roman" w:cs="Times New Roman"/>
          <w:bCs/>
          <w:color w:val="000000" w:themeColor="text1"/>
          <w:w w:val="99"/>
          <w:sz w:val="24"/>
          <w:szCs w:val="20"/>
          <w:highlight w:val="none"/>
          <w:lang w:val="en-US"/>
          <w14:textFill>
            <w14:solidFill>
              <w14:schemeClr w14:val="tx1"/>
            </w14:solidFill>
          </w14:textFill>
        </w:rPr>
        <w:t>《大气污染物综合排放标准》</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（GB16397-1996）</w:t>
      </w:r>
      <w:r>
        <w:rPr>
          <w:rFonts w:ascii="Times New Roman" w:hAnsi="Times New Roman" w:cs="Times New Roman"/>
          <w:bCs/>
          <w:color w:val="000000" w:themeColor="text1"/>
          <w:w w:val="99"/>
          <w:sz w:val="24"/>
          <w:szCs w:val="20"/>
          <w:highlight w:val="none"/>
          <w:lang w:val="en-US"/>
          <w14:textFill>
            <w14:solidFill>
              <w14:schemeClr w14:val="tx1"/>
            </w14:solidFill>
          </w14:textFill>
        </w:rPr>
        <w:t>中表 2 无组织排放监控浓度限值要求</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。各场站</w:t>
      </w:r>
      <w:r>
        <w:rPr>
          <w:rFonts w:ascii="Times New Roman" w:hAnsi="Times New Roman" w:cs="Times New Roman"/>
          <w:bCs/>
          <w:color w:val="000000" w:themeColor="text1"/>
          <w:w w:val="99"/>
          <w:sz w:val="24"/>
          <w:szCs w:val="20"/>
          <w:highlight w:val="none"/>
          <w:lang w:val="en-US"/>
          <w14:textFill>
            <w14:solidFill>
              <w14:schemeClr w14:val="tx1"/>
            </w14:solidFill>
          </w14:textFill>
        </w:rPr>
        <w:t>厂界噪声满足</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《工业企业厂界环境噪声排放标准》（GB12348-2008）2类标准。根据对区域内已建井场的噪声监测结果，井场</w:t>
      </w:r>
      <w:r>
        <w:rPr>
          <w:rFonts w:ascii="Times New Roman" w:hAnsi="Times New Roman" w:cs="Times New Roman"/>
          <w:bCs/>
          <w:color w:val="000000" w:themeColor="text1"/>
          <w:w w:val="99"/>
          <w:sz w:val="24"/>
          <w:szCs w:val="20"/>
          <w:highlight w:val="none"/>
          <w:lang w:val="en-US"/>
          <w14:textFill>
            <w14:solidFill>
              <w14:schemeClr w14:val="tx1"/>
            </w14:solidFill>
          </w14:textFill>
        </w:rPr>
        <w:t>厂界</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昼间夜间均满足《工业企业厂界环境噪声排放标准》（GB12348-2008）2类标准。本次</w:t>
      </w:r>
      <w:r>
        <w:rPr>
          <w:rFonts w:ascii="Times New Roman" w:hAnsi="Times New Roman" w:cs="Times New Roman"/>
          <w:bCs/>
          <w:color w:val="000000" w:themeColor="text1"/>
          <w:w w:val="99"/>
          <w:sz w:val="24"/>
          <w:szCs w:val="20"/>
          <w:highlight w:val="none"/>
          <w:lang w:val="en-US"/>
          <w14:textFill>
            <w14:solidFill>
              <w14:schemeClr w14:val="tx1"/>
            </w14:solidFill>
          </w14:textFill>
        </w:rPr>
        <w:t>工程依托场站采出液经处理后含油污水输送至</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葡二联</w:t>
      </w:r>
      <w:r>
        <w:rPr>
          <w:rFonts w:ascii="Times New Roman" w:hAnsi="Times New Roman" w:cs="Times New Roman"/>
          <w:bCs/>
          <w:color w:val="000000" w:themeColor="text1"/>
          <w:w w:val="99"/>
          <w:sz w:val="24"/>
          <w:szCs w:val="20"/>
          <w:highlight w:val="none"/>
          <w:lang w:val="en-US"/>
          <w14:textFill>
            <w14:solidFill>
              <w14:schemeClr w14:val="tx1"/>
            </w14:solidFill>
          </w14:textFill>
        </w:rPr>
        <w:t>含油污水处理站，含油污水处理站处理后的污水指标满足《大庆油田地面工程建设设计规定》（Q/SYDQ0639-2015）的要求：“含油量≤10mg/L、悬浮固体含量≤5mg/L、粒径中值≤2μm”</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标准后回注油层。依托</w:t>
      </w:r>
      <w:r>
        <w:rPr>
          <w:rFonts w:ascii="Times New Roman" w:hAnsi="Times New Roman" w:cs="Times New Roman"/>
          <w:bCs/>
          <w:color w:val="000000" w:themeColor="text1"/>
          <w:w w:val="99"/>
          <w:sz w:val="24"/>
          <w:szCs w:val="20"/>
          <w:highlight w:val="none"/>
          <w:lang w:val="en-US"/>
          <w14:textFill>
            <w14:solidFill>
              <w14:schemeClr w14:val="tx1"/>
            </w14:solidFill>
          </w14:textFill>
        </w:rPr>
        <w:t>场站</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含油</w:t>
      </w:r>
      <w:r>
        <w:rPr>
          <w:rFonts w:ascii="Times New Roman" w:hAnsi="Times New Roman" w:cs="Times New Roman"/>
          <w:bCs/>
          <w:color w:val="000000" w:themeColor="text1"/>
          <w:w w:val="99"/>
          <w:sz w:val="24"/>
          <w:szCs w:val="20"/>
          <w:highlight w:val="none"/>
          <w:lang w:val="en-US"/>
          <w14:textFill>
            <w14:solidFill>
              <w14:schemeClr w14:val="tx1"/>
            </w14:solidFill>
          </w14:textFill>
        </w:rPr>
        <w:t>污泥拉运至</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葡萄花</w:t>
      </w:r>
      <w:r>
        <w:rPr>
          <w:rFonts w:ascii="Times New Roman" w:hAnsi="Times New Roman" w:cs="Times New Roman"/>
          <w:bCs/>
          <w:color w:val="000000" w:themeColor="text1"/>
          <w:w w:val="99"/>
          <w:sz w:val="24"/>
          <w:szCs w:val="20"/>
          <w:highlight w:val="none"/>
          <w:lang w:val="en-US"/>
          <w14:textFill>
            <w14:solidFill>
              <w14:schemeClr w14:val="tx1"/>
            </w14:solidFill>
          </w14:textFill>
        </w:rPr>
        <w:t>含油污泥处理站，</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满足《油田含油污泥综合利用污染控制标准》（DB23/T1413-2010）要求，用于铺设油田通井路；生活垃圾统一</w:t>
      </w:r>
      <w:r>
        <w:rPr>
          <w:rFonts w:ascii="Times New Roman" w:hAnsi="Times New Roman" w:cs="Times New Roman"/>
          <w:bCs/>
          <w:color w:val="000000" w:themeColor="text1"/>
          <w:w w:val="99"/>
          <w:sz w:val="24"/>
          <w:szCs w:val="20"/>
          <w:highlight w:val="none"/>
          <w:lang w:val="en-US"/>
          <w14:textFill>
            <w14:solidFill>
              <w14:schemeClr w14:val="tx1"/>
            </w14:solidFill>
          </w14:textFill>
        </w:rPr>
        <w:t>由环卫部门拉运至大庆市生活垃圾综合处理厂</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进行</w:t>
      </w:r>
      <w:r>
        <w:rPr>
          <w:rFonts w:ascii="Times New Roman" w:hAnsi="Times New Roman" w:cs="Times New Roman"/>
          <w:bCs/>
          <w:color w:val="000000" w:themeColor="text1"/>
          <w:w w:val="99"/>
          <w:sz w:val="24"/>
          <w:szCs w:val="20"/>
          <w:highlight w:val="none"/>
          <w:lang w:val="en-US"/>
          <w14:textFill>
            <w14:solidFill>
              <w14:schemeClr w14:val="tx1"/>
            </w14:solidFill>
          </w14:textFill>
        </w:rPr>
        <w:t>处理，</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废滤料送至大庆蓝星环保工程有限公司拉运处理。</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依托站场环境清洁，地面看不到污油，站内道路两侧和厂区院墙内外均已绿化，生态恢复较好。目前所采取的各项环保措施有效，没有</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其余</w:t>
      </w:r>
      <w:r>
        <w:rPr>
          <w:rFonts w:ascii="Times New Roman" w:hAnsi="Times New Roman" w:cs="Times New Roman"/>
          <w:bCs/>
          <w:color w:val="000000" w:themeColor="text1"/>
          <w:w w:val="99"/>
          <w:sz w:val="24"/>
          <w:szCs w:val="20"/>
          <w:highlight w:val="none"/>
          <w:lang w:val="en-US"/>
          <w14:textFill>
            <w14:solidFill>
              <w14:schemeClr w14:val="tx1"/>
            </w14:solidFill>
          </w14:textFill>
        </w:rPr>
        <w:t>环境问题</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p>
    <w:p>
      <w:pPr>
        <w:spacing w:before="120" w:after="120" w:line="440" w:lineRule="exact"/>
        <w:jc w:val="both"/>
        <w:outlineLvl w:val="1"/>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pPr>
      <w:bookmarkStart w:id="106" w:name="_Toc9709"/>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3.4 建设项目工程分析</w:t>
      </w:r>
      <w:bookmarkEnd w:id="106"/>
    </w:p>
    <w:p>
      <w:pPr>
        <w:pStyle w:val="45"/>
        <w:tabs>
          <w:tab w:val="left" w:pos="930"/>
        </w:tabs>
        <w:spacing w:before="60" w:after="60" w:line="440" w:lineRule="exact"/>
        <w:ind w:left="0" w:firstLine="0"/>
        <w:jc w:val="both"/>
        <w:outlineLvl w:val="2"/>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3.4.1 主要建设内容</w:t>
      </w:r>
    </w:p>
    <w:p>
      <w:pPr>
        <w:spacing w:line="440" w:lineRule="exact"/>
        <w:outlineLvl w:val="3"/>
        <w:rPr>
          <w:rFonts w:hint="eastAsia" w:ascii="Times New Roman" w:hAnsi="Times New Roman" w:cs="Times New Roman" w:eastAsiaTheme="minorEastAsia"/>
          <w:b/>
          <w:color w:val="000000" w:themeColor="text1"/>
          <w:w w:val="99"/>
          <w:sz w:val="24"/>
          <w:szCs w:val="24"/>
          <w:highlight w:val="none"/>
          <w:lang w:eastAsia="zh-CN"/>
          <w14:textFill>
            <w14:solidFill>
              <w14:schemeClr w14:val="tx1"/>
            </w14:solidFill>
          </w14:textFill>
        </w:rPr>
      </w:pPr>
      <w:r>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3.4.1.1 原油集输工程</w:t>
      </w:r>
    </w:p>
    <w:p>
      <w:pPr>
        <w:pStyle w:val="40"/>
        <w:keepNext w:val="0"/>
        <w:keepLines w:val="0"/>
        <w:pageBreakBefore w:val="0"/>
        <w:widowControl w:val="0"/>
        <w:kinsoku/>
        <w:wordWrap/>
        <w:overflowPunct/>
        <w:topLinePunct w:val="0"/>
        <w:autoSpaceDE w:val="0"/>
        <w:autoSpaceDN w:val="0"/>
        <w:bidi w:val="0"/>
        <w:adjustRightInd w:val="0"/>
        <w:snapToGrid/>
        <w:spacing w:beforeLines="0" w:afterLines="0" w:line="440" w:lineRule="exact"/>
        <w:jc w:val="left"/>
        <w:textAlignment w:val="auto"/>
        <w:rPr>
          <w:rFonts w:hint="default" w:ascii="宋体" w:hAnsi="宋体" w:eastAsia="宋体" w:cs="宋体"/>
          <w:bCs/>
          <w:color w:val="000000" w:themeColor="text1"/>
          <w:w w:val="99"/>
          <w:sz w:val="24"/>
          <w:szCs w:val="22"/>
          <w:highlight w:val="none"/>
          <w:lang w:val="en-US" w:eastAsia="zh-CN" w:bidi="zh-CN"/>
          <w14:textFill>
            <w14:solidFill>
              <w14:schemeClr w14:val="tx1"/>
            </w14:solidFill>
          </w14:textFill>
        </w:rPr>
      </w:pPr>
      <w:r>
        <w:rPr>
          <w:rFonts w:hint="eastAsia" w:ascii="Times New Roman" w:hAnsi="Times New Roman" w:cs="Times New Roman" w:eastAsiaTheme="minorEastAsia"/>
          <w:b/>
          <w:color w:val="000000" w:themeColor="text1"/>
          <w:w w:val="99"/>
          <w:szCs w:val="20"/>
          <w:highlight w:val="none"/>
          <w:lang w:val="en-US" w:eastAsia="zh-CN"/>
          <w14:textFill>
            <w14:solidFill>
              <w14:schemeClr w14:val="tx1"/>
            </w14:solidFill>
          </w14:textFill>
        </w:rPr>
        <w:t xml:space="preserve">  </w:t>
      </w:r>
      <w:r>
        <w:rPr>
          <w:rFonts w:hint="eastAsia" w:ascii="宋体" w:hAnsi="宋体" w:eastAsia="宋体" w:cs="宋体"/>
          <w:bCs/>
          <w:color w:val="000000" w:themeColor="text1"/>
          <w:w w:val="99"/>
          <w:sz w:val="24"/>
          <w:szCs w:val="22"/>
          <w:highlight w:val="none"/>
          <w:lang w:val="en-US" w:eastAsia="zh-CN" w:bidi="zh-CN"/>
          <w14:textFill>
            <w14:solidFill>
              <w14:schemeClr w14:val="tx1"/>
            </w14:solidFill>
          </w14:textFill>
        </w:rPr>
        <w:t xml:space="preserve">  </w:t>
      </w:r>
      <w:r>
        <w:rPr>
          <w:rFonts w:hint="eastAsia" w:ascii="宋体" w:hAnsi="宋体" w:eastAsia="宋体" w:cs="宋体"/>
          <w:b w:val="0"/>
          <w:bCs w:val="0"/>
          <w:color w:val="000000" w:themeColor="text1"/>
          <w:w w:val="99"/>
          <w:sz w:val="24"/>
          <w:szCs w:val="22"/>
          <w:highlight w:val="none"/>
          <w:lang w:val="en-US" w:eastAsia="zh-CN" w:bidi="zh-CN"/>
          <w14:textFill>
            <w14:solidFill>
              <w14:schemeClr w14:val="tx1"/>
            </w14:solidFill>
          </w14:textFill>
        </w:rPr>
        <w:t>（1）原油集输工艺</w:t>
      </w:r>
    </w:p>
    <w:p>
      <w:pPr>
        <w:keepNext w:val="0"/>
        <w:keepLines w:val="0"/>
        <w:pageBreakBefore w:val="0"/>
        <w:widowControl w:val="0"/>
        <w:kinsoku/>
        <w:wordWrap/>
        <w:overflowPunct/>
        <w:topLinePunct w:val="0"/>
        <w:autoSpaceDE w:val="0"/>
        <w:autoSpaceDN w:val="0"/>
        <w:bidi w:val="0"/>
        <w:snapToGrid w:val="0"/>
        <w:spacing w:line="440" w:lineRule="exact"/>
        <w:ind w:firstLine="474" w:firstLineChars="200"/>
        <w:textAlignment w:val="auto"/>
        <w:rPr>
          <w:bCs/>
          <w:color w:val="000000" w:themeColor="text1"/>
          <w:w w:val="99"/>
          <w:sz w:val="24"/>
          <w:highlight w:val="none"/>
          <w14:textFill>
            <w14:solidFill>
              <w14:schemeClr w14:val="tx1"/>
            </w14:solidFill>
          </w14:textFill>
        </w:rPr>
      </w:pPr>
      <w:r>
        <w:rPr>
          <w:rFonts w:ascii="宋体" w:hAnsi="宋体" w:eastAsia="宋体" w:cs="宋体"/>
          <w:bCs/>
          <w:color w:val="000000" w:themeColor="text1"/>
          <w:w w:val="99"/>
          <w:sz w:val="24"/>
          <w:szCs w:val="22"/>
          <w:highlight w:val="none"/>
          <w:lang w:val="zh-CN" w:eastAsia="zh-CN" w:bidi="zh-CN"/>
          <w14:textFill>
            <w14:solidFill>
              <w14:schemeClr w14:val="tx1"/>
            </w14:solidFill>
          </w14:textFill>
        </w:rPr>
        <w:t>本工程</w:t>
      </w:r>
      <w:r>
        <w:rPr>
          <w:rFonts w:hint="eastAsia" w:ascii="宋体" w:hAnsi="宋体" w:eastAsia="宋体" w:cs="宋体"/>
          <w:bCs/>
          <w:color w:val="000000" w:themeColor="text1"/>
          <w:w w:val="99"/>
          <w:sz w:val="24"/>
          <w:szCs w:val="22"/>
          <w:highlight w:val="none"/>
          <w:lang w:val="zh-CN" w:eastAsia="zh-CN" w:bidi="zh-CN"/>
          <w14:textFill>
            <w14:solidFill>
              <w14:schemeClr w14:val="tx1"/>
            </w14:solidFill>
          </w14:textFill>
        </w:rPr>
        <w:t>深部调区驱油受效</w:t>
      </w:r>
      <w:r>
        <w:rPr>
          <w:bCs/>
          <w:color w:val="000000" w:themeColor="text1"/>
          <w:w w:val="99"/>
          <w:sz w:val="24"/>
          <w:highlight w:val="none"/>
          <w14:textFill>
            <w14:solidFill>
              <w14:schemeClr w14:val="tx1"/>
            </w14:solidFill>
          </w14:textFill>
        </w:rPr>
        <w:t>油井21口，全部为</w:t>
      </w:r>
      <w:r>
        <w:rPr>
          <w:rFonts w:hint="eastAsia"/>
          <w:bCs/>
          <w:color w:val="000000" w:themeColor="text1"/>
          <w:w w:val="99"/>
          <w:sz w:val="24"/>
          <w:highlight w:val="none"/>
          <w14:textFill>
            <w14:solidFill>
              <w14:schemeClr w14:val="tx1"/>
            </w14:solidFill>
          </w14:textFill>
        </w:rPr>
        <w:t>利用老</w:t>
      </w:r>
      <w:r>
        <w:rPr>
          <w:bCs/>
          <w:color w:val="000000" w:themeColor="text1"/>
          <w:w w:val="99"/>
          <w:sz w:val="24"/>
          <w:highlight w:val="none"/>
          <w14:textFill>
            <w14:solidFill>
              <w14:schemeClr w14:val="tx1"/>
            </w14:solidFill>
          </w14:textFill>
        </w:rPr>
        <w:t>井，建有完善的集油、转油、脱水处理系统。原油</w:t>
      </w:r>
      <w:r>
        <w:rPr>
          <w:rFonts w:hint="eastAsia"/>
          <w:bCs/>
          <w:color w:val="000000" w:themeColor="text1"/>
          <w:w w:val="99"/>
          <w:sz w:val="24"/>
          <w:highlight w:val="none"/>
          <w14:textFill>
            <w14:solidFill>
              <w14:schemeClr w14:val="tx1"/>
            </w14:solidFill>
          </w14:textFill>
        </w:rPr>
        <w:t>管道</w:t>
      </w:r>
      <w:r>
        <w:rPr>
          <w:bCs/>
          <w:color w:val="000000" w:themeColor="text1"/>
          <w:w w:val="99"/>
          <w:sz w:val="24"/>
          <w:highlight w:val="none"/>
          <w14:textFill>
            <w14:solidFill>
              <w14:schemeClr w14:val="tx1"/>
            </w14:solidFill>
          </w14:textFill>
        </w:rPr>
        <w:t>集输、处理系统</w:t>
      </w:r>
      <w:r>
        <w:rPr>
          <w:rFonts w:hint="eastAsia"/>
          <w:bCs/>
          <w:color w:val="000000" w:themeColor="text1"/>
          <w:w w:val="99"/>
          <w:sz w:val="24"/>
          <w:highlight w:val="none"/>
          <w:lang w:eastAsia="zh-CN"/>
          <w14:textFill>
            <w14:solidFill>
              <w14:schemeClr w14:val="tx1"/>
            </w14:solidFill>
          </w14:textFill>
        </w:rPr>
        <w:t>均</w:t>
      </w:r>
      <w:r>
        <w:rPr>
          <w:bCs/>
          <w:color w:val="000000" w:themeColor="text1"/>
          <w:w w:val="99"/>
          <w:sz w:val="24"/>
          <w:highlight w:val="none"/>
          <w14:textFill>
            <w14:solidFill>
              <w14:schemeClr w14:val="tx1"/>
            </w14:solidFill>
          </w14:textFill>
        </w:rPr>
        <w:t>依托已建工程</w:t>
      </w:r>
      <w:r>
        <w:rPr>
          <w:rFonts w:hint="eastAsia"/>
          <w:bCs/>
          <w:color w:val="000000" w:themeColor="text1"/>
          <w:w w:val="99"/>
          <w:sz w:val="24"/>
          <w:highlight w:val="none"/>
          <w:lang w:eastAsia="zh-CN"/>
          <w14:textFill>
            <w14:solidFill>
              <w14:schemeClr w14:val="tx1"/>
            </w14:solidFill>
          </w14:textFill>
        </w:rPr>
        <w:t>，</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油井</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采出液经</w:t>
      </w:r>
      <w:r>
        <w:rPr>
          <w:rFonts w:ascii="Times New Roman" w:hAnsi="Times New Roman" w:cs="Times New Roman"/>
          <w:color w:val="000000" w:themeColor="text1"/>
          <w:w w:val="99"/>
          <w:sz w:val="24"/>
          <w:szCs w:val="24"/>
          <w:highlight w:val="none"/>
          <w:lang w:val="en-US" w:bidi="ar-SA"/>
          <w14:textFill>
            <w14:solidFill>
              <w14:schemeClr w14:val="tx1"/>
            </w14:solidFill>
          </w14:textFill>
        </w:rPr>
        <w:t>计量间</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收集后分别进入葡北9#转油站、葡北10#转油站</w:t>
      </w:r>
      <w:r>
        <w:rPr>
          <w:bCs/>
          <w:color w:val="000000" w:themeColor="text1"/>
          <w:w w:val="99"/>
          <w:sz w:val="24"/>
          <w:highlight w:val="none"/>
          <w14:textFill>
            <w14:solidFill>
              <w14:schemeClr w14:val="tx1"/>
            </w14:solidFill>
          </w14:textFill>
        </w:rPr>
        <w:t>。采出液处理依托</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葡二联</w:t>
      </w:r>
      <w:r>
        <w:rPr>
          <w:rFonts w:ascii="Times New Roman" w:hAnsi="Times New Roman" w:cs="Times New Roman"/>
          <w:color w:val="000000" w:themeColor="text1"/>
          <w:w w:val="99"/>
          <w:sz w:val="24"/>
          <w:szCs w:val="24"/>
          <w:highlight w:val="none"/>
          <w:lang w:val="en-US" w:bidi="ar-SA"/>
          <w14:textFill>
            <w14:solidFill>
              <w14:schemeClr w14:val="tx1"/>
            </w14:solidFill>
          </w14:textFill>
        </w:rPr>
        <w:t>脱水站</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和葡二联</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污水处理站</w:t>
      </w:r>
      <w:r>
        <w:rPr>
          <w:bCs/>
          <w:color w:val="000000" w:themeColor="text1"/>
          <w:w w:val="99"/>
          <w:sz w:val="24"/>
          <w:highlight w:val="none"/>
          <w14:textFill>
            <w14:solidFill>
              <w14:schemeClr w14:val="tx1"/>
            </w14:solidFill>
          </w14:textFill>
        </w:rPr>
        <w:t>。</w:t>
      </w:r>
      <w:r>
        <w:rPr>
          <w:rFonts w:ascii="Times New Roman" w:hAnsi="Times New Roman" w:cs="Times New Roman"/>
          <w:color w:val="000000" w:themeColor="text1"/>
          <w:w w:val="99"/>
          <w:kern w:val="2"/>
          <w:sz w:val="24"/>
          <w:szCs w:val="20"/>
          <w:highlight w:val="none"/>
          <w:lang w:val="en-US"/>
          <w14:textFill>
            <w14:solidFill>
              <w14:schemeClr w14:val="tx1"/>
            </w14:solidFill>
          </w14:textFill>
        </w:rPr>
        <w:t>建成产能</w:t>
      </w:r>
      <w:r>
        <w:rPr>
          <w:rFonts w:hint="eastAsia" w:ascii="Times New Roman" w:hAnsi="Times New Roman" w:cs="Times New Roman"/>
          <w:color w:val="000000" w:themeColor="text1"/>
          <w:w w:val="99"/>
          <w:kern w:val="2"/>
          <w:sz w:val="24"/>
          <w:szCs w:val="20"/>
          <w:highlight w:val="none"/>
          <w:lang w:val="en-US" w:eastAsia="zh-CN"/>
          <w14:textFill>
            <w14:solidFill>
              <w14:schemeClr w14:val="tx1"/>
            </w14:solidFill>
          </w14:textFill>
        </w:rPr>
        <w:t>1.71</w:t>
      </w:r>
      <w:r>
        <w:rPr>
          <w:rFonts w:ascii="Times New Roman" w:hAnsi="Times New Roman" w:cs="Times New Roman"/>
          <w:color w:val="000000" w:themeColor="text1"/>
          <w:w w:val="99"/>
          <w:kern w:val="2"/>
          <w:sz w:val="24"/>
          <w:szCs w:val="20"/>
          <w:highlight w:val="none"/>
          <w:lang w:val="en-US"/>
          <w14:textFill>
            <w14:solidFill>
              <w14:schemeClr w14:val="tx1"/>
            </w14:solidFill>
          </w14:textFill>
        </w:rPr>
        <w:t>×10</w:t>
      </w:r>
      <w:r>
        <w:rPr>
          <w:rFonts w:ascii="Times New Roman" w:hAnsi="Times New Roman" w:cs="Times New Roman"/>
          <w:color w:val="000000" w:themeColor="text1"/>
          <w:w w:val="99"/>
          <w:kern w:val="2"/>
          <w:sz w:val="24"/>
          <w:szCs w:val="20"/>
          <w:highlight w:val="none"/>
          <w:vertAlign w:val="superscript"/>
          <w:lang w:val="en-US"/>
          <w14:textFill>
            <w14:solidFill>
              <w14:schemeClr w14:val="tx1"/>
            </w14:solidFill>
          </w14:textFill>
        </w:rPr>
        <w:t>4</w:t>
      </w:r>
      <w:r>
        <w:rPr>
          <w:rFonts w:ascii="Times New Roman" w:hAnsi="Times New Roman" w:cs="Times New Roman"/>
          <w:color w:val="000000" w:themeColor="text1"/>
          <w:w w:val="99"/>
          <w:kern w:val="2"/>
          <w:sz w:val="24"/>
          <w:szCs w:val="20"/>
          <w:highlight w:val="none"/>
          <w:lang w:val="en-US"/>
          <w14:textFill>
            <w14:solidFill>
              <w14:schemeClr w14:val="tx1"/>
            </w14:solidFill>
          </w14:textFill>
        </w:rPr>
        <w:t>t/a</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atLeast"/>
        <w:ind w:firstLine="474" w:firstLineChars="200"/>
        <w:textAlignment w:val="auto"/>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pP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（2）站外集油系统</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atLeast"/>
        <w:ind w:firstLine="474" w:firstLineChars="200"/>
        <w:textAlignment w:val="auto"/>
        <w:rPr>
          <w:rFonts w:hint="default"/>
          <w:color w:val="000000" w:themeColor="text1"/>
          <w:highlight w:val="none"/>
          <w14:textFill>
            <w14:solidFill>
              <w14:schemeClr w14:val="tx1"/>
            </w14:solidFill>
          </w14:textFill>
        </w:rPr>
      </w:pPr>
      <w:r>
        <w:rPr>
          <w:rFonts w:hint="default" w:ascii="Times New Roman" w:hAnsi="Times New Roman" w:cs="Times New Roman"/>
          <w:bCs/>
          <w:color w:val="000000" w:themeColor="text1"/>
          <w:w w:val="99"/>
          <w:sz w:val="24"/>
          <w:highlight w:val="none"/>
          <w14:textFill>
            <w14:solidFill>
              <w14:schemeClr w14:val="tx1"/>
            </w14:solidFill>
          </w14:textFill>
        </w:rPr>
        <w:t xml:space="preserve">本工程21口油井集油延用原 </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sz w:val="24"/>
          <w:szCs w:val="24"/>
          <w:highlight w:val="none"/>
          <w:lang w:val="zh-CN" w:bidi="ar-SA"/>
          <w14:textFill>
            <w14:solidFill>
              <w14:schemeClr w14:val="tx1"/>
            </w14:solidFill>
          </w14:textFill>
        </w:rPr>
        <w:t>单管环状掺水</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sz w:val="24"/>
          <w:szCs w:val="24"/>
          <w:highlight w:val="none"/>
          <w:lang w:val="zh-CN" w:bidi="ar-SA"/>
          <w14:textFill>
            <w14:solidFill>
              <w14:schemeClr w14:val="tx1"/>
            </w14:solidFill>
          </w14:textFill>
        </w:rPr>
        <w:t>集油</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工艺</w:t>
      </w:r>
      <w:r>
        <w:rPr>
          <w:rFonts w:hint="default" w:ascii="Times New Roman" w:hAnsi="Times New Roman" w:cs="Times New Roman"/>
          <w:bCs/>
          <w:color w:val="000000" w:themeColor="text1"/>
          <w:w w:val="99"/>
          <w:sz w:val="24"/>
          <w:highlight w:val="none"/>
          <w14:textFill>
            <w14:solidFill>
              <w14:schemeClr w14:val="tx1"/>
            </w14:solidFill>
          </w14:textFill>
        </w:rPr>
        <w:t>。集油系统全部依托已建。</w:t>
      </w: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4口井</w:t>
      </w:r>
      <w:r>
        <w:rPr>
          <w:rFonts w:hint="default" w:ascii="Times New Roman" w:hAnsi="Times New Roman" w:cs="Times New Roman"/>
          <w:bCs/>
          <w:color w:val="000000" w:themeColor="text1"/>
          <w:w w:val="99"/>
          <w:sz w:val="24"/>
          <w:highlight w:val="none"/>
          <w14:textFill>
            <w14:solidFill>
              <w14:schemeClr w14:val="tx1"/>
            </w14:solidFill>
          </w14:textFill>
        </w:rPr>
        <w:t>归</w:t>
      </w:r>
      <w:r>
        <w:rPr>
          <w:rFonts w:hint="eastAsia" w:ascii="Times New Roman" w:hAnsi="Times New Roman" w:cs="Times New Roman"/>
          <w:bCs/>
          <w:color w:val="000000" w:themeColor="text1"/>
          <w:w w:val="99"/>
          <w:sz w:val="24"/>
          <w:highlight w:val="none"/>
          <w:lang w:eastAsia="zh-CN"/>
          <w14:textFill>
            <w14:solidFill>
              <w14:schemeClr w14:val="tx1"/>
            </w14:solidFill>
          </w14:textFill>
        </w:rPr>
        <w:t>葡北</w:t>
      </w: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901</w:t>
      </w:r>
      <w:r>
        <w:rPr>
          <w:rFonts w:hint="default" w:ascii="Times New Roman" w:hAnsi="Times New Roman" w:cs="Times New Roman"/>
          <w:bCs/>
          <w:color w:val="000000" w:themeColor="text1"/>
          <w:w w:val="99"/>
          <w:sz w:val="24"/>
          <w:highlight w:val="none"/>
          <w14:textFill>
            <w14:solidFill>
              <w14:schemeClr w14:val="tx1"/>
            </w14:solidFill>
          </w14:textFill>
        </w:rPr>
        <w:t>计量间，</w:t>
      </w: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1口归属葡北10号3计量间，16口归属葡北10号4计量间，</w:t>
      </w:r>
      <w:r>
        <w:rPr>
          <w:rFonts w:ascii="Times New Roman" w:hAnsi="Times New Roman" w:cs="Times New Roman"/>
          <w:color w:val="000000" w:themeColor="text1"/>
          <w:w w:val="99"/>
          <w:sz w:val="24"/>
          <w:szCs w:val="24"/>
          <w:highlight w:val="none"/>
          <w:lang w:val="zh-CN" w:bidi="ar-SA"/>
          <w14:textFill>
            <w14:solidFill>
              <w14:schemeClr w14:val="tx1"/>
            </w14:solidFill>
          </w14:textFill>
        </w:rPr>
        <w:t>单管环状掺水集油工艺流程</w:t>
      </w:r>
      <w:r>
        <w:rPr>
          <w:rFonts w:hint="default" w:ascii="Times New Roman" w:hAnsi="Times New Roman" w:cs="Times New Roman"/>
          <w:color w:val="000000" w:themeColor="text1"/>
          <w:w w:val="99"/>
          <w:sz w:val="24"/>
          <w:szCs w:val="24"/>
          <w:highlight w:val="none"/>
          <w:lang w:val="zh-CN" w:bidi="ar-SA"/>
          <w14:textFill>
            <w14:solidFill>
              <w14:schemeClr w14:val="tx1"/>
            </w14:solidFill>
          </w14:textFill>
        </w:rPr>
        <w:t>见图</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3.4</w:t>
      </w:r>
      <w:r>
        <w:rPr>
          <w:rFonts w:hint="default" w:ascii="Times New Roman" w:hAnsi="Times New Roman" w:cs="Times New Roman"/>
          <w:bCs/>
          <w:color w:val="000000" w:themeColor="text1"/>
          <w:w w:val="99"/>
          <w:sz w:val="24"/>
          <w:highlight w:val="none"/>
          <w14:textFill>
            <w14:solidFill>
              <w14:schemeClr w14:val="tx1"/>
            </w14:solidFill>
          </w14:textFill>
        </w:rPr>
        <w:t>-</w:t>
      </w: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1</w:t>
      </w:r>
      <w:r>
        <w:rPr>
          <w:rFonts w:hint="default" w:ascii="Times New Roman" w:hAnsi="Times New Roman" w:cs="Times New Roman"/>
          <w:bCs/>
          <w:color w:val="000000" w:themeColor="text1"/>
          <w:w w:val="99"/>
          <w:sz w:val="24"/>
          <w:highlight w:val="none"/>
          <w14:textFill>
            <w14:solidFill>
              <w14:schemeClr w14:val="tx1"/>
            </w14:solidFill>
          </w14:textFill>
        </w:rPr>
        <w:t>。本工程井站关系见表</w:t>
      </w: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3.4</w:t>
      </w:r>
      <w:r>
        <w:rPr>
          <w:rFonts w:hint="default" w:ascii="Times New Roman" w:hAnsi="Times New Roman" w:cs="Times New Roman"/>
          <w:bCs/>
          <w:color w:val="000000" w:themeColor="text1"/>
          <w:w w:val="99"/>
          <w:sz w:val="24"/>
          <w:highlight w:val="none"/>
          <w14:textFill>
            <w14:solidFill>
              <w14:schemeClr w14:val="tx1"/>
            </w14:solidFill>
          </w14:textFill>
        </w:rPr>
        <w:t>-</w:t>
      </w:r>
      <w:r>
        <w:rPr>
          <w:rFonts w:hint="eastAsia" w:ascii="Times New Roman" w:hAnsi="Times New Roman" w:cs="Times New Roman"/>
          <w:bCs/>
          <w:color w:val="000000" w:themeColor="text1"/>
          <w:w w:val="99"/>
          <w:sz w:val="24"/>
          <w:highlight w:val="none"/>
          <w:lang w:val="en-US" w:eastAsia="zh-CN"/>
          <w14:textFill>
            <w14:solidFill>
              <w14:schemeClr w14:val="tx1"/>
            </w14:solidFill>
          </w14:textFill>
        </w:rPr>
        <w:t>1</w:t>
      </w:r>
      <w:r>
        <w:rPr>
          <w:rFonts w:hint="default" w:ascii="Times New Roman" w:hAnsi="Times New Roman" w:cs="Times New Roman"/>
          <w:bCs/>
          <w:color w:val="000000" w:themeColor="text1"/>
          <w:w w:val="99"/>
          <w:sz w:val="24"/>
          <w:highlight w:val="none"/>
          <w14:textFill>
            <w14:solidFill>
              <w14:schemeClr w14:val="tx1"/>
            </w14:solidFill>
          </w14:textFill>
        </w:rPr>
        <w:t>。</w:t>
      </w: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92" w:type="dxa"/>
            <w:tcBorders>
              <w:tl2br w:val="nil"/>
              <w:tr2bl w:val="nil"/>
            </w:tcBorders>
            <w:vAlign w:val="top"/>
          </w:tcPr>
          <w:p>
            <w:pPr>
              <w:pStyle w:val="2"/>
              <w:spacing w:line="240" w:lineRule="auto"/>
              <w:rPr>
                <w:rFonts w:hint="eastAsia"/>
                <w:bCs/>
                <w:color w:val="000000" w:themeColor="text1"/>
                <w:w w:val="99"/>
                <w:sz w:val="24"/>
                <w:highlight w:val="none"/>
                <w:vertAlign w:val="baseline"/>
                <w14:textFill>
                  <w14:solidFill>
                    <w14:schemeClr w14:val="tx1"/>
                  </w14:solidFill>
                </w14:textFill>
              </w:rPr>
            </w:pPr>
            <w:r>
              <w:rPr>
                <w:snapToGrid/>
                <w:color w:val="000000" w:themeColor="text1"/>
                <w:highlight w:val="none"/>
                <w14:textFill>
                  <w14:solidFill>
                    <w14:schemeClr w14:val="tx1"/>
                  </w14:solidFill>
                </w14:textFill>
              </w:rPr>
              <w:drawing>
                <wp:inline distT="0" distB="0" distL="114300" distR="114300">
                  <wp:extent cx="5779135" cy="1344295"/>
                  <wp:effectExtent l="0" t="0" r="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3"/>
                          <a:srcRect t="20000" b="36563"/>
                          <a:stretch>
                            <a:fillRect/>
                          </a:stretch>
                        </pic:blipFill>
                        <pic:spPr>
                          <a:xfrm>
                            <a:off x="0" y="0"/>
                            <a:ext cx="5779135" cy="13442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92" w:type="dxa"/>
            <w:tcBorders>
              <w:tl2br w:val="nil"/>
              <w:tr2bl w:val="nil"/>
            </w:tcBorders>
            <w:vAlign w:val="top"/>
          </w:tcPr>
          <w:p>
            <w:pPr>
              <w:pStyle w:val="2"/>
              <w:ind w:firstLine="476" w:firstLineChars="200"/>
              <w:jc w:val="center"/>
              <w:rPr>
                <w:rFonts w:hint="eastAsia"/>
                <w:bCs/>
                <w:color w:val="000000" w:themeColor="text1"/>
                <w:w w:val="99"/>
                <w:sz w:val="24"/>
                <w:highlight w:val="none"/>
                <w:vertAlign w:val="baseline"/>
                <w14:textFill>
                  <w14:solidFill>
                    <w14:schemeClr w14:val="tx1"/>
                  </w14:solidFill>
                </w14:textFill>
              </w:rPr>
            </w:pP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图3.</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4</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 xml:space="preserve">1        </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单管环状掺水集油工艺示意图</w:t>
            </w:r>
          </w:p>
        </w:tc>
      </w:tr>
    </w:tbl>
    <w:p>
      <w:pPr>
        <w:widowControl/>
        <w:autoSpaceDE/>
        <w:autoSpaceDN/>
        <w:spacing w:line="500" w:lineRule="exact"/>
        <w:ind w:firstLine="476" w:firstLineChars="200"/>
        <w:jc w:val="both"/>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表3.4-1       井站关系统计表</w:t>
      </w:r>
    </w:p>
    <w:tbl>
      <w:tblPr>
        <w:tblStyle w:val="32"/>
        <w:tblW w:w="91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680"/>
        <w:gridCol w:w="2190"/>
        <w:gridCol w:w="2160"/>
        <w:gridCol w:w="1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233" w:type="dxa"/>
            <w:tcBorders>
              <w:top w:val="single" w:color="auto" w:sz="4" w:space="0"/>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序号</w:t>
            </w:r>
          </w:p>
        </w:tc>
        <w:tc>
          <w:tcPr>
            <w:tcW w:w="1680" w:type="dxa"/>
            <w:tcBorders>
              <w:top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油井</w:t>
            </w:r>
          </w:p>
        </w:tc>
        <w:tc>
          <w:tcPr>
            <w:tcW w:w="2190" w:type="dxa"/>
            <w:tcBorders>
              <w:top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所属计量间</w:t>
            </w:r>
          </w:p>
        </w:tc>
        <w:tc>
          <w:tcPr>
            <w:tcW w:w="2160" w:type="dxa"/>
            <w:tcBorders>
              <w:top w:val="single" w:color="auto" w:sz="4" w:space="0"/>
            </w:tcBorders>
            <w:noWrap w:val="0"/>
            <w:vAlign w:val="top"/>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所属转油站</w:t>
            </w:r>
          </w:p>
        </w:tc>
        <w:tc>
          <w:tcPr>
            <w:tcW w:w="1858" w:type="dxa"/>
            <w:tcBorders>
              <w:top w:val="single" w:color="auto" w:sz="4" w:space="0"/>
              <w:right w:val="single" w:color="auto" w:sz="4" w:space="0"/>
            </w:tcBorders>
            <w:noWrap w:val="0"/>
            <w:vAlign w:val="top"/>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依托脱水站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w:t>
            </w:r>
          </w:p>
        </w:tc>
        <w:tc>
          <w:tcPr>
            <w:tcW w:w="1680"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葡72-斜702</w:t>
            </w:r>
          </w:p>
        </w:tc>
        <w:tc>
          <w:tcPr>
            <w:tcW w:w="2190" w:type="dxa"/>
            <w:vMerge w:val="restart"/>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葡北901</w:t>
            </w:r>
            <w:r>
              <w:rPr>
                <w:rFonts w:hint="default" w:ascii="Times New Roman" w:hAnsi="Times New Roman" w:cs="Times New Roman"/>
                <w:color w:val="000000" w:themeColor="text1"/>
                <w:w w:val="99"/>
                <w:sz w:val="21"/>
                <w:szCs w:val="21"/>
                <w:highlight w:val="none"/>
                <w:lang w:val="en-US" w:eastAsia="zh-CN" w:bidi="ar-SA"/>
                <w14:textFill>
                  <w14:solidFill>
                    <w14:schemeClr w14:val="tx1"/>
                  </w14:solidFill>
                </w14:textFill>
              </w:rPr>
              <w:t>计量间</w:t>
            </w:r>
          </w:p>
        </w:tc>
        <w:tc>
          <w:tcPr>
            <w:tcW w:w="2160" w:type="dxa"/>
            <w:vMerge w:val="restart"/>
            <w:noWrap w:val="0"/>
            <w:vAlign w:val="center"/>
          </w:tcPr>
          <w:p>
            <w:pPr>
              <w:widowControl/>
              <w:spacing w:line="360" w:lineRule="exact"/>
              <w:ind w:firstLine="414" w:firstLineChars="200"/>
              <w:jc w:val="both"/>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葡北9#转油站</w:t>
            </w:r>
          </w:p>
        </w:tc>
        <w:tc>
          <w:tcPr>
            <w:tcW w:w="1858" w:type="dxa"/>
            <w:vMerge w:val="restart"/>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葡二联脱水站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葡73-69</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3</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葡73-702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4</w:t>
            </w:r>
          </w:p>
        </w:tc>
        <w:tc>
          <w:tcPr>
            <w:tcW w:w="1680"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葡73-斜692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5</w:t>
            </w:r>
          </w:p>
        </w:tc>
        <w:tc>
          <w:tcPr>
            <w:tcW w:w="1680"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葡70-67</w:t>
            </w:r>
          </w:p>
        </w:tc>
        <w:tc>
          <w:tcPr>
            <w:tcW w:w="2190"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葡北10号3计量间</w:t>
            </w:r>
          </w:p>
        </w:tc>
        <w:tc>
          <w:tcPr>
            <w:tcW w:w="2160"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葡北10#转油站</w:t>
            </w:r>
          </w:p>
        </w:tc>
        <w:tc>
          <w:tcPr>
            <w:tcW w:w="1858" w:type="dxa"/>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葡二联脱水站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葡73-71</w:t>
            </w:r>
          </w:p>
        </w:tc>
        <w:tc>
          <w:tcPr>
            <w:tcW w:w="2190" w:type="dxa"/>
            <w:vMerge w:val="restart"/>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葡北10号4计量间</w:t>
            </w:r>
          </w:p>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restart"/>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葡北10#转油站</w:t>
            </w:r>
          </w:p>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restart"/>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葡二联脱水站</w:t>
            </w:r>
          </w:p>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葡70-672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8</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葡70-70</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葡70-斜682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10</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葡70-斜702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11</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葡70-斜712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葡71-68</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13</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葡71-692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14</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葡71-70</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15</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葡71-72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16</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葡71-斜712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17</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葡72-69</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18</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葡72-斜682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19</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葡69-斜692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33"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20</w:t>
            </w:r>
          </w:p>
        </w:tc>
        <w:tc>
          <w:tcPr>
            <w:tcW w:w="168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葡71-702</w:t>
            </w:r>
          </w:p>
        </w:tc>
        <w:tc>
          <w:tcPr>
            <w:tcW w:w="219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33" w:type="dxa"/>
            <w:tcBorders>
              <w:left w:val="single" w:color="auto" w:sz="4" w:space="0"/>
              <w:bottom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21</w:t>
            </w:r>
          </w:p>
        </w:tc>
        <w:tc>
          <w:tcPr>
            <w:tcW w:w="1680" w:type="dxa"/>
            <w:tcBorders>
              <w:bottom w:val="single" w:color="auto" w:sz="4" w:space="0"/>
            </w:tcBorders>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葡69-斜682</w:t>
            </w:r>
          </w:p>
        </w:tc>
        <w:tc>
          <w:tcPr>
            <w:tcW w:w="2190" w:type="dxa"/>
            <w:vMerge w:val="continue"/>
            <w:tcBorders>
              <w:bottom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2160" w:type="dxa"/>
            <w:vMerge w:val="continue"/>
            <w:tcBorders>
              <w:bottom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858" w:type="dxa"/>
            <w:vMerge w:val="continue"/>
            <w:tcBorders>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bl>
    <w:p>
      <w:pPr>
        <w:spacing w:line="440" w:lineRule="exact"/>
        <w:outlineLvl w:val="3"/>
        <w:rPr>
          <w:rFonts w:hint="eastAsia" w:ascii="Times New Roman" w:hAnsi="Times New Roman" w:cs="Times New Roman" w:eastAsiaTheme="minorEastAsia"/>
          <w:b/>
          <w:color w:val="000000" w:themeColor="text1"/>
          <w:w w:val="99"/>
          <w:sz w:val="24"/>
          <w:szCs w:val="24"/>
          <w:highlight w:val="none"/>
          <w:lang w:eastAsia="zh-CN"/>
          <w14:textFill>
            <w14:solidFill>
              <w14:schemeClr w14:val="tx1"/>
            </w14:solidFill>
          </w14:textFill>
        </w:rPr>
      </w:pPr>
      <w:bookmarkStart w:id="107" w:name="_Toc67860130"/>
      <w:bookmarkStart w:id="108" w:name="_Toc70050177"/>
      <w:r>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3.4.1.</w:t>
      </w:r>
      <w:r>
        <w:rPr>
          <w:rFonts w:hint="eastAsia" w:ascii="Times New Roman" w:hAnsi="Times New Roman" w:cs="Times New Roman" w:eastAsiaTheme="minorEastAsia"/>
          <w:b/>
          <w:color w:val="000000" w:themeColor="text1"/>
          <w:w w:val="99"/>
          <w:sz w:val="24"/>
          <w:szCs w:val="24"/>
          <w:highlight w:val="none"/>
          <w:lang w:val="en-US" w:eastAsia="zh-CN"/>
          <w14:textFill>
            <w14:solidFill>
              <w14:schemeClr w14:val="tx1"/>
            </w14:solidFill>
          </w14:textFill>
        </w:rPr>
        <w:t>2</w:t>
      </w:r>
      <w:bookmarkEnd w:id="107"/>
      <w:bookmarkEnd w:id="108"/>
      <w:r>
        <w:rPr>
          <w:rFonts w:hint="eastAsia" w:ascii="Times New Roman" w:hAnsi="Times New Roman" w:cs="Times New Roman" w:eastAsiaTheme="minorEastAsia"/>
          <w:b/>
          <w:color w:val="000000" w:themeColor="text1"/>
          <w:w w:val="99"/>
          <w:sz w:val="24"/>
          <w:szCs w:val="24"/>
          <w:highlight w:val="none"/>
          <w:lang w:eastAsia="zh-CN"/>
          <w14:textFill>
            <w14:solidFill>
              <w14:schemeClr w14:val="tx1"/>
            </w14:solidFill>
          </w14:textFill>
        </w:rPr>
        <w:t>注入工程</w:t>
      </w:r>
    </w:p>
    <w:p>
      <w:pPr>
        <w:keepNext w:val="0"/>
        <w:keepLines w:val="0"/>
        <w:pageBreakBefore w:val="0"/>
        <w:widowControl w:val="0"/>
        <w:kinsoku/>
        <w:wordWrap/>
        <w:overflowPunct/>
        <w:topLinePunct w:val="0"/>
        <w:autoSpaceDE w:val="0"/>
        <w:autoSpaceDN w:val="0"/>
        <w:bidi w:val="0"/>
        <w:adjustRightInd/>
        <w:snapToGrid/>
        <w:spacing w:line="440" w:lineRule="exact"/>
        <w:ind w:left="0" w:firstLine="474" w:firstLineChars="200"/>
        <w:jc w:val="both"/>
        <w:textAlignment w:val="auto"/>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pPr>
      <w:r>
        <w:rPr>
          <w:rFonts w:hint="default"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本次开发利用已建</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注入井</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9</w:t>
      </w:r>
      <w:r>
        <w:rPr>
          <w:rFonts w:hint="default"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口，</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扩建葡北12-1号配水间1座，新建注水管线4.72km，租赁撬装式配注站1座，</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采用“单泵单井”的注入工艺。注入井井间关系见表3.4-2。注入</w:t>
      </w:r>
      <w:r>
        <w:rPr>
          <w:rFonts w:hint="default"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采用聚合物类型为</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1</w:t>
      </w:r>
      <w:r>
        <w:rPr>
          <w:rFonts w:hint="default"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000</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w:t>
      </w:r>
      <w:r>
        <w:rPr>
          <w:rFonts w:hint="default"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1200万低分子</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量</w:t>
      </w:r>
      <w:r>
        <w:rPr>
          <w:rFonts w:hint="default"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聚合物，配制及注入水质均为曝氧深度污水</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注入分为：空白水驱</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（186天）</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、前置段赛</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（69天）</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、主段赛</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（1216天）</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、后置段赛</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（69天）</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、顶替液</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（30天）</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、后续水驱</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六个阶段</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w:t>
      </w:r>
    </w:p>
    <w:p>
      <w:pPr>
        <w:widowControl/>
        <w:autoSpaceDE/>
        <w:autoSpaceDN/>
        <w:spacing w:line="500" w:lineRule="exact"/>
        <w:ind w:firstLine="476" w:firstLineChars="200"/>
        <w:jc w:val="both"/>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表3.4-2       井间关系统计表</w:t>
      </w:r>
    </w:p>
    <w:tbl>
      <w:tblPr>
        <w:tblStyle w:val="32"/>
        <w:tblW w:w="91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710"/>
        <w:gridCol w:w="2145"/>
        <w:gridCol w:w="2731"/>
        <w:gridCol w:w="1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77" w:type="dxa"/>
            <w:tcBorders>
              <w:top w:val="single" w:color="auto" w:sz="4" w:space="0"/>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序号</w:t>
            </w:r>
          </w:p>
        </w:tc>
        <w:tc>
          <w:tcPr>
            <w:tcW w:w="1710" w:type="dxa"/>
            <w:tcBorders>
              <w:top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注水站</w:t>
            </w:r>
          </w:p>
        </w:tc>
        <w:tc>
          <w:tcPr>
            <w:tcW w:w="2145" w:type="dxa"/>
            <w:tcBorders>
              <w:top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配水间</w:t>
            </w:r>
          </w:p>
        </w:tc>
        <w:tc>
          <w:tcPr>
            <w:tcW w:w="2731" w:type="dxa"/>
            <w:tcBorders>
              <w:top w:val="single" w:color="auto" w:sz="4" w:space="0"/>
            </w:tcBorders>
            <w:noWrap w:val="0"/>
            <w:vAlign w:val="top"/>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配注站</w:t>
            </w:r>
          </w:p>
        </w:tc>
        <w:tc>
          <w:tcPr>
            <w:tcW w:w="1858" w:type="dxa"/>
            <w:tcBorders>
              <w:top w:val="single" w:color="auto" w:sz="4" w:space="0"/>
              <w:right w:val="single" w:color="auto" w:sz="4" w:space="0"/>
            </w:tcBorders>
            <w:noWrap w:val="0"/>
            <w:vAlign w:val="top"/>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井号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7"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w:t>
            </w:r>
          </w:p>
        </w:tc>
        <w:tc>
          <w:tcPr>
            <w:tcW w:w="1710"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葡二联注水站</w:t>
            </w:r>
          </w:p>
        </w:tc>
        <w:tc>
          <w:tcPr>
            <w:tcW w:w="2145"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w w:val="99"/>
                <w:sz w:val="21"/>
                <w:szCs w:val="21"/>
                <w:highlight w:val="none"/>
                <w:lang w:val="en-US" w:eastAsia="zh-CN" w:bidi="zh-CN"/>
                <w14:textFill>
                  <w14:solidFill>
                    <w14:schemeClr w14:val="tx1"/>
                  </w14:solidFill>
                </w14:textFill>
              </w:rPr>
              <w:t>葡北12-1号</w:t>
            </w:r>
          </w:p>
        </w:tc>
        <w:tc>
          <w:tcPr>
            <w:tcW w:w="2731"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租赁撬装式配注站</w:t>
            </w:r>
          </w:p>
        </w:tc>
        <w:tc>
          <w:tcPr>
            <w:tcW w:w="1858" w:type="dxa"/>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7"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w:t>
            </w:r>
          </w:p>
        </w:tc>
        <w:tc>
          <w:tcPr>
            <w:tcW w:w="171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葡二联注水站</w:t>
            </w:r>
          </w:p>
        </w:tc>
        <w:tc>
          <w:tcPr>
            <w:tcW w:w="2145"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w w:val="99"/>
                <w:sz w:val="21"/>
                <w:szCs w:val="21"/>
                <w:highlight w:val="none"/>
                <w:lang w:val="en-US" w:eastAsia="zh-CN" w:bidi="zh-CN"/>
                <w14:textFill>
                  <w14:solidFill>
                    <w14:schemeClr w14:val="tx1"/>
                  </w14:solidFill>
                </w14:textFill>
              </w:rPr>
              <w:t>葡北12-1号</w:t>
            </w:r>
          </w:p>
        </w:tc>
        <w:tc>
          <w:tcPr>
            <w:tcW w:w="2731"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租赁撬装式配注站</w:t>
            </w:r>
          </w:p>
        </w:tc>
        <w:tc>
          <w:tcPr>
            <w:tcW w:w="1858" w:type="dxa"/>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7"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3</w:t>
            </w:r>
          </w:p>
        </w:tc>
        <w:tc>
          <w:tcPr>
            <w:tcW w:w="171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葡二联注水站</w:t>
            </w:r>
          </w:p>
        </w:tc>
        <w:tc>
          <w:tcPr>
            <w:tcW w:w="2145"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w w:val="99"/>
                <w:sz w:val="21"/>
                <w:szCs w:val="21"/>
                <w:highlight w:val="none"/>
                <w:lang w:val="en-US" w:eastAsia="zh-CN" w:bidi="zh-CN"/>
                <w14:textFill>
                  <w14:solidFill>
                    <w14:schemeClr w14:val="tx1"/>
                  </w14:solidFill>
                </w14:textFill>
              </w:rPr>
              <w:t>葡北12-1号</w:t>
            </w:r>
          </w:p>
        </w:tc>
        <w:tc>
          <w:tcPr>
            <w:tcW w:w="2731"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租赁撬装式配注站</w:t>
            </w:r>
          </w:p>
        </w:tc>
        <w:tc>
          <w:tcPr>
            <w:tcW w:w="1858" w:type="dxa"/>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葡70-692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7"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4</w:t>
            </w:r>
          </w:p>
        </w:tc>
        <w:tc>
          <w:tcPr>
            <w:tcW w:w="1710"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葡二联注水站</w:t>
            </w:r>
          </w:p>
        </w:tc>
        <w:tc>
          <w:tcPr>
            <w:tcW w:w="2145"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w w:val="99"/>
                <w:sz w:val="21"/>
                <w:szCs w:val="21"/>
                <w:highlight w:val="none"/>
                <w:lang w:val="en-US" w:eastAsia="zh-CN" w:bidi="zh-CN"/>
                <w14:textFill>
                  <w14:solidFill>
                    <w14:schemeClr w14:val="tx1"/>
                  </w14:solidFill>
                </w14:textFill>
              </w:rPr>
              <w:t>葡北12-1号</w:t>
            </w:r>
          </w:p>
        </w:tc>
        <w:tc>
          <w:tcPr>
            <w:tcW w:w="2731"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租赁撬装式配注站</w:t>
            </w:r>
          </w:p>
        </w:tc>
        <w:tc>
          <w:tcPr>
            <w:tcW w:w="1858" w:type="dxa"/>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葡71-682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7"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5</w:t>
            </w:r>
          </w:p>
        </w:tc>
        <w:tc>
          <w:tcPr>
            <w:tcW w:w="1710"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葡二联注水站</w:t>
            </w:r>
          </w:p>
        </w:tc>
        <w:tc>
          <w:tcPr>
            <w:tcW w:w="2145"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w w:val="99"/>
                <w:sz w:val="21"/>
                <w:szCs w:val="21"/>
                <w:highlight w:val="none"/>
                <w:lang w:val="en-US" w:eastAsia="zh-CN" w:bidi="zh-CN"/>
                <w14:textFill>
                  <w14:solidFill>
                    <w14:schemeClr w14:val="tx1"/>
                  </w14:solidFill>
                </w14:textFill>
              </w:rPr>
              <w:t>葡北12-1号</w:t>
            </w:r>
          </w:p>
        </w:tc>
        <w:tc>
          <w:tcPr>
            <w:tcW w:w="2731"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租赁撬装式配注站</w:t>
            </w:r>
          </w:p>
        </w:tc>
        <w:tc>
          <w:tcPr>
            <w:tcW w:w="1858" w:type="dxa"/>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葡71-更69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7"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w:t>
            </w:r>
          </w:p>
        </w:tc>
        <w:tc>
          <w:tcPr>
            <w:tcW w:w="171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葡二联注水站</w:t>
            </w:r>
          </w:p>
        </w:tc>
        <w:tc>
          <w:tcPr>
            <w:tcW w:w="2145"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w w:val="99"/>
                <w:sz w:val="21"/>
                <w:szCs w:val="21"/>
                <w:highlight w:val="none"/>
                <w:lang w:val="en-US" w:eastAsia="zh-CN" w:bidi="zh-CN"/>
                <w14:textFill>
                  <w14:solidFill>
                    <w14:schemeClr w14:val="tx1"/>
                  </w14:solidFill>
                </w14:textFill>
              </w:rPr>
              <w:t>葡北12-1号</w:t>
            </w:r>
          </w:p>
        </w:tc>
        <w:tc>
          <w:tcPr>
            <w:tcW w:w="2731"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租赁撬装式配注站</w:t>
            </w:r>
          </w:p>
        </w:tc>
        <w:tc>
          <w:tcPr>
            <w:tcW w:w="1858" w:type="dxa"/>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葡71-更71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7"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w:t>
            </w:r>
          </w:p>
        </w:tc>
        <w:tc>
          <w:tcPr>
            <w:tcW w:w="171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葡二联注水站</w:t>
            </w:r>
          </w:p>
        </w:tc>
        <w:tc>
          <w:tcPr>
            <w:tcW w:w="2145"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w w:val="99"/>
                <w:sz w:val="21"/>
                <w:szCs w:val="21"/>
                <w:highlight w:val="none"/>
                <w:lang w:val="en-US" w:eastAsia="zh-CN" w:bidi="zh-CN"/>
                <w14:textFill>
                  <w14:solidFill>
                    <w14:schemeClr w14:val="tx1"/>
                  </w14:solidFill>
                </w14:textFill>
              </w:rPr>
              <w:t>葡北12-1号</w:t>
            </w:r>
          </w:p>
        </w:tc>
        <w:tc>
          <w:tcPr>
            <w:tcW w:w="2731"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租赁撬装式配注站</w:t>
            </w:r>
          </w:p>
        </w:tc>
        <w:tc>
          <w:tcPr>
            <w:tcW w:w="1858" w:type="dxa"/>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葡72-692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7" w:type="dxa"/>
            <w:tcBorders>
              <w:lef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8</w:t>
            </w:r>
          </w:p>
        </w:tc>
        <w:tc>
          <w:tcPr>
            <w:tcW w:w="1710" w:type="dxa"/>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葡二联注水站</w:t>
            </w:r>
          </w:p>
        </w:tc>
        <w:tc>
          <w:tcPr>
            <w:tcW w:w="2145"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w w:val="99"/>
                <w:sz w:val="21"/>
                <w:szCs w:val="21"/>
                <w:highlight w:val="none"/>
                <w:lang w:val="en-US" w:eastAsia="zh-CN" w:bidi="zh-CN"/>
                <w14:textFill>
                  <w14:solidFill>
                    <w14:schemeClr w14:val="tx1"/>
                  </w14:solidFill>
                </w14:textFill>
              </w:rPr>
              <w:t>葡北12-1号</w:t>
            </w:r>
          </w:p>
        </w:tc>
        <w:tc>
          <w:tcPr>
            <w:tcW w:w="2731" w:type="dxa"/>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租赁撬装式配注站</w:t>
            </w:r>
          </w:p>
        </w:tc>
        <w:tc>
          <w:tcPr>
            <w:tcW w:w="1858" w:type="dxa"/>
            <w:tcBorders>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7" w:type="dxa"/>
            <w:tcBorders>
              <w:left w:val="single" w:color="auto" w:sz="4" w:space="0"/>
              <w:bottom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c>
          <w:tcPr>
            <w:tcW w:w="1710" w:type="dxa"/>
            <w:tcBorders>
              <w:bottom w:val="single" w:color="auto" w:sz="4" w:space="0"/>
            </w:tcBorders>
            <w:noWrap w:val="0"/>
            <w:vAlign w:val="center"/>
          </w:tcPr>
          <w:p>
            <w:pPr>
              <w:widowControl/>
              <w:spacing w:line="360" w:lineRule="exact"/>
              <w:jc w:val="center"/>
              <w:textAlignment w:val="bottom"/>
              <w:rPr>
                <w:rFonts w:hint="default" w:ascii="Times New Roman" w:hAnsi="Times New Roman" w:cs="Times New Roman"/>
                <w:color w:val="000000" w:themeColor="text1"/>
                <w:w w:val="99"/>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葡二联注水站</w:t>
            </w:r>
          </w:p>
        </w:tc>
        <w:tc>
          <w:tcPr>
            <w:tcW w:w="2145" w:type="dxa"/>
            <w:tcBorders>
              <w:bottom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w w:val="99"/>
                <w:sz w:val="21"/>
                <w:szCs w:val="21"/>
                <w:highlight w:val="none"/>
                <w:lang w:val="en-US" w:eastAsia="zh-CN" w:bidi="zh-CN"/>
                <w14:textFill>
                  <w14:solidFill>
                    <w14:schemeClr w14:val="tx1"/>
                  </w14:solidFill>
                </w14:textFill>
              </w:rPr>
              <w:t>葡北12-1号</w:t>
            </w:r>
          </w:p>
        </w:tc>
        <w:tc>
          <w:tcPr>
            <w:tcW w:w="2731" w:type="dxa"/>
            <w:tcBorders>
              <w:bottom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租赁撬装式配注站</w:t>
            </w:r>
          </w:p>
        </w:tc>
        <w:tc>
          <w:tcPr>
            <w:tcW w:w="1858" w:type="dxa"/>
            <w:tcBorders>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葡73-70</w:t>
            </w:r>
          </w:p>
        </w:tc>
      </w:tr>
    </w:tbl>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pP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（1）</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配制注入站（租赁）</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Lines="0" w:line="440" w:lineRule="exact"/>
        <w:ind w:left="0" w:leftChars="0" w:firstLine="474" w:firstLineChars="200"/>
        <w:jc w:val="both"/>
        <w:textAlignment w:val="auto"/>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pP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为减少建设周期，现场调驱</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配注</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设备采用租用形式。设备能力按开发预测为700m</w:t>
      </w:r>
      <w:r>
        <w:rPr>
          <w:rFonts w:hint="eastAsia" w:ascii="Times New Roman" w:hAnsi="Times New Roman" w:eastAsia="宋体" w:cs="Times New Roman"/>
          <w:bCs/>
          <w:color w:val="000000" w:themeColor="text1"/>
          <w:w w:val="99"/>
          <w:sz w:val="24"/>
          <w:szCs w:val="22"/>
          <w:highlight w:val="none"/>
          <w:vertAlign w:val="superscript"/>
          <w:lang w:val="en-US" w:eastAsia="zh-CN" w:bidi="zh-CN"/>
          <w14:textFill>
            <w14:solidFill>
              <w14:schemeClr w14:val="tx1"/>
            </w14:solidFill>
          </w14:textFill>
        </w:rPr>
        <w:t>3</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/d。</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租赁</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配注站为模块化撬装形式，</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由厂家运行管理，</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依托已建的葡北12-1号配水间安置</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本工程只负责为租赁配注站提供生产配电、安装场地平整、道路建设、低压水源、注入阀组及单井注入管线。租赁配注站平面布置见图</w:t>
      </w:r>
      <w:r>
        <w:rPr>
          <w:rFonts w:hint="default"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3.</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4</w:t>
      </w:r>
      <w:r>
        <w:rPr>
          <w:rFonts w:hint="default"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2。</w:t>
      </w: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92" w:type="dxa"/>
            <w:tcBorders>
              <w:tl2br w:val="nil"/>
              <w:tr2bl w:val="nil"/>
            </w:tcBorders>
            <w:vAlign w:val="top"/>
          </w:tcPr>
          <w:p>
            <w:pPr>
              <w:pStyle w:val="2"/>
              <w:spacing w:line="240" w:lineRule="auto"/>
              <w:jc w:val="center"/>
              <w:rPr>
                <w:rFonts w:hint="eastAsia" w:ascii="Times New Roman" w:hAnsi="Times New Roman" w:eastAsia="宋体" w:cs="Times New Roman"/>
                <w:bCs/>
                <w:color w:val="000000" w:themeColor="text1"/>
                <w:w w:val="99"/>
                <w:sz w:val="24"/>
                <w:szCs w:val="22"/>
                <w:highlight w:val="none"/>
                <w:vertAlign w:val="baseline"/>
                <w:lang w:val="en-US" w:eastAsia="zh-CN" w:bidi="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3600" behindDoc="0" locked="0" layoutInCell="1" allowOverlap="1">
                  <wp:simplePos x="0" y="0"/>
                  <wp:positionH relativeFrom="column">
                    <wp:posOffset>481330</wp:posOffset>
                  </wp:positionH>
                  <wp:positionV relativeFrom="paragraph">
                    <wp:posOffset>62230</wp:posOffset>
                  </wp:positionV>
                  <wp:extent cx="4660900" cy="2697480"/>
                  <wp:effectExtent l="12700" t="12700" r="12700" b="13970"/>
                  <wp:wrapTopAndBottom/>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24"/>
                          <a:stretch>
                            <a:fillRect/>
                          </a:stretch>
                        </pic:blipFill>
                        <pic:spPr>
                          <a:xfrm>
                            <a:off x="0" y="0"/>
                            <a:ext cx="4660900" cy="2697480"/>
                          </a:xfrm>
                          <a:prstGeom prst="rect">
                            <a:avLst/>
                          </a:prstGeom>
                          <a:noFill/>
                          <a:ln w="12700" cap="flat" cmpd="sng">
                            <a:solidFill>
                              <a:srgbClr val="7ACCC8"/>
                            </a:solidFill>
                            <a:prstDash val="solid"/>
                            <a:miter/>
                            <a:headEnd type="none" w="med" len="med"/>
                            <a:tailEnd type="none" w="med" len="med"/>
                          </a:ln>
                        </pic:spPr>
                      </pic:pic>
                    </a:graphicData>
                  </a:graphic>
                </wp:anchor>
              </w:drawing>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图</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3.</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4</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2       配注站平面布置示意图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92" w:type="dxa"/>
            <w:tcBorders>
              <w:tl2br w:val="nil"/>
              <w:tr2bl w:val="nil"/>
            </w:tcBorders>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Lines="0" w:line="440" w:lineRule="exact"/>
              <w:ind w:left="0" w:leftChars="0" w:firstLine="474" w:firstLineChars="200"/>
              <w:jc w:val="both"/>
              <w:textAlignment w:val="auto"/>
              <w:rPr>
                <w:color w:val="000000" w:themeColor="text1"/>
                <w:highlight w:val="none"/>
                <w14:textFill>
                  <w14:solidFill>
                    <w14:schemeClr w14:val="tx1"/>
                  </w14:solidFill>
                </w14:textFill>
              </w:rPr>
            </w:pP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租赁配注站调配流程为：调驱药剂干粉与曝氧污水经分散装置预混后进入熟化罐，熟化后调驱剂经转输泵、过滤器及注入泵注入井下。租赁配注工艺流程见图3.4-3。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92" w:type="dxa"/>
            <w:tcBorders>
              <w:tl2br w:val="nil"/>
              <w:tr2bl w:val="nil"/>
            </w:tcBorders>
            <w:vAlign w:val="top"/>
          </w:tcPr>
          <w:p>
            <w:pPr>
              <w:pStyle w:val="2"/>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87936" behindDoc="0" locked="0" layoutInCell="1" allowOverlap="1">
                  <wp:simplePos x="0" y="0"/>
                  <wp:positionH relativeFrom="column">
                    <wp:posOffset>409575</wp:posOffset>
                  </wp:positionH>
                  <wp:positionV relativeFrom="paragraph">
                    <wp:posOffset>67310</wp:posOffset>
                  </wp:positionV>
                  <wp:extent cx="4751705" cy="2068195"/>
                  <wp:effectExtent l="10795" t="10795" r="19050" b="16510"/>
                  <wp:wrapTopAndBottom/>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25"/>
                          <a:stretch>
                            <a:fillRect/>
                          </a:stretch>
                        </pic:blipFill>
                        <pic:spPr>
                          <a:xfrm>
                            <a:off x="0" y="0"/>
                            <a:ext cx="4751705" cy="2068195"/>
                          </a:xfrm>
                          <a:prstGeom prst="rect">
                            <a:avLst/>
                          </a:prstGeom>
                          <a:noFill/>
                          <a:ln w="9525" cap="flat" cmpd="sng">
                            <a:solidFill>
                              <a:srgbClr val="7ACCC8"/>
                            </a:solidFill>
                            <a:prstDash val="solid"/>
                            <a:miter/>
                            <a:headEnd type="none" w="med" len="med"/>
                            <a:tailEnd type="none" w="med" len="med"/>
                          </a:ln>
                        </pic:spPr>
                      </pic:pic>
                    </a:graphicData>
                  </a:graphic>
                </wp:anchor>
              </w:drawing>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图</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3.</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4</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 xml:space="preserve">3        </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配注工艺</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流程</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示意图</w:t>
            </w:r>
          </w:p>
        </w:tc>
      </w:tr>
    </w:tbl>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Lines="0" w:line="440" w:lineRule="exact"/>
        <w:ind w:left="0" w:leftChars="0" w:firstLine="474" w:firstLineChars="200"/>
        <w:jc w:val="both"/>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注入剂调配方案：深部调驱注入药剂为复合离子聚合物凝胶体系，由聚合物（800mg/L）、交联剂（200mg/L）、稳定剂（1800mg/L）三种药剂构成，为了保证注入体系性能，开发要求现场配制需按照聚合物、稳定剂、交联剂顺序逐一与水混合后进行熟化，不能先配制聚合物溶液再与交联剂、稳定剂混合，药剂熟化过程中多核羟桥化离子与聚合物中的羰基反应及醛类物质与聚合物中的酰胺基发生反应生成凝胶。如果在配制过程中浓度过高会造成药剂分散效果不好，不能充分反应，并且浓度过高会造成成胶时间缩短，无法注入油层。因此配制站需要直接配制目的液，而不能配制成母液再进行稀释。</w:t>
      </w:r>
    </w:p>
    <w:p>
      <w:pPr>
        <w:pStyle w:val="2"/>
        <w:keepNext w:val="0"/>
        <w:keepLines w:val="0"/>
        <w:pageBreakBefore w:val="0"/>
        <w:widowControl w:val="0"/>
        <w:numPr>
          <w:ilvl w:val="0"/>
          <w:numId w:val="4"/>
        </w:numPr>
        <w:kinsoku/>
        <w:wordWrap/>
        <w:overflowPunct/>
        <w:topLinePunct w:val="0"/>
        <w:autoSpaceDE w:val="0"/>
        <w:autoSpaceDN w:val="0"/>
        <w:bidi w:val="0"/>
        <w:adjustRightInd/>
        <w:snapToGrid/>
        <w:spacing w:beforeLines="0" w:line="440" w:lineRule="exact"/>
        <w:ind w:left="-34" w:leftChars="0" w:firstLine="474" w:firstLineChars="0"/>
        <w:jc w:val="both"/>
        <w:textAlignment w:val="auto"/>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pP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低压水源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440"/>
        <w:textAlignment w:val="auto"/>
        <w:rPr>
          <w:rFonts w:hint="default"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pP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本项目租赁配注站规模为700m</w:t>
      </w:r>
      <w:r>
        <w:rPr>
          <w:rFonts w:hint="eastAsia" w:ascii="Times New Roman" w:hAnsi="Times New Roman" w:eastAsia="宋体" w:cs="Times New Roman"/>
          <w:bCs/>
          <w:color w:val="000000" w:themeColor="text1"/>
          <w:w w:val="99"/>
          <w:sz w:val="24"/>
          <w:szCs w:val="22"/>
          <w:highlight w:val="none"/>
          <w:vertAlign w:val="superscript"/>
          <w:lang w:val="en-US" w:eastAsia="zh-CN" w:bidi="zh-CN"/>
          <w14:textFill>
            <w14:solidFill>
              <w14:schemeClr w14:val="tx1"/>
            </w14:solidFill>
          </w14:textFill>
        </w:rPr>
        <w:t>3</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/d，暨低压供水水源能力为700m</w:t>
      </w:r>
      <w:r>
        <w:rPr>
          <w:rFonts w:hint="eastAsia" w:ascii="Times New Roman" w:hAnsi="Times New Roman" w:eastAsia="宋体" w:cs="Times New Roman"/>
          <w:bCs/>
          <w:color w:val="000000" w:themeColor="text1"/>
          <w:w w:val="99"/>
          <w:sz w:val="24"/>
          <w:szCs w:val="22"/>
          <w:highlight w:val="none"/>
          <w:vertAlign w:val="superscript"/>
          <w:lang w:val="en-US" w:eastAsia="zh-CN" w:bidi="zh-CN"/>
          <w14:textFill>
            <w14:solidFill>
              <w14:schemeClr w14:val="tx1"/>
            </w14:solidFill>
          </w14:textFill>
        </w:rPr>
        <w:t>3</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/d。依托区域已建</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葡二联</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注水支干线引水，高压来水经两级泄压阀串联减压至常压后进入租赁</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配注</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站缓冲水罐作为生产用水水源，新建部分高压水管道DN80 PN16MPa~0.1km及2套串联减压阀组。</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高压水管道采用无缝钢管，由采油七厂基建部门统一采购施工。</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firstLine="237" w:firstLineChars="100"/>
        <w:textAlignment w:val="auto"/>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pP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3</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）葡北12-1号配水间</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（扩建）</w:t>
      </w:r>
    </w:p>
    <w:p>
      <w:pPr>
        <w:pStyle w:val="2"/>
        <w:keepNext w:val="0"/>
        <w:keepLines w:val="0"/>
        <w:pageBreakBefore w:val="0"/>
        <w:widowControl w:val="0"/>
        <w:kinsoku/>
        <w:wordWrap/>
        <w:overflowPunct/>
        <w:topLinePunct w:val="0"/>
        <w:autoSpaceDE w:val="0"/>
        <w:autoSpaceDN w:val="0"/>
        <w:bidi w:val="0"/>
        <w:adjustRightInd/>
        <w:snapToGrid/>
        <w:spacing w:beforeLines="0" w:line="440" w:lineRule="exact"/>
        <w:ind w:firstLine="474" w:firstLineChars="200"/>
        <w:jc w:val="both"/>
        <w:textAlignment w:val="auto"/>
        <w:rPr>
          <w:rFonts w:hint="default"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pP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本工程涉及区域注入井9口，其中5口井为葡北12-1号配水间管辖，另外4口井属新104号配水间管辖，结合开发井位及现场已建设施生产情况，扩建葡北12-1号配水间，在间内预留位置新建高压配水阀组4套，将本次产能注入井全部划入该间管辖；葡北12-1号配水间所辖5口老井单井管道腐蚀严重，年穿孔4-6次，此次对该部分管道进行更换，共新建单井注水管线Ф60×5-4.62km。单井注水管线</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采用无缝钢管，由采油七厂基建部门统一采购施工。。</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注水系统示意图见图3.4-4。</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2" w:type="dxa"/>
            <w:tcBorders>
              <w:top w:val="nil"/>
              <w:left w:val="nil"/>
              <w:bottom w:val="nil"/>
              <w:right w:val="nil"/>
            </w:tcBorders>
            <w:vAlign w:val="top"/>
          </w:tcPr>
          <w:p>
            <w:pPr>
              <w:tabs>
                <w:tab w:val="left" w:pos="3362"/>
              </w:tabs>
              <w:jc w:val="center"/>
              <w:rPr>
                <w:rFonts w:hint="default"/>
                <w:color w:val="000000" w:themeColor="text1"/>
                <w:highlight w:val="none"/>
                <w:vertAlign w:val="baseline"/>
                <w:lang w:val="en-US" w:eastAsia="zh-CN"/>
                <w14:textFill>
                  <w14:solidFill>
                    <w14:schemeClr w14:val="tx1"/>
                  </w14:solidFill>
                </w14:textFill>
              </w:rPr>
            </w:pPr>
            <w:r>
              <w:rPr>
                <w:color w:val="000000" w:themeColor="text1"/>
                <w:sz w:val="24"/>
                <w:highlight w:val="none"/>
                <w14:textFill>
                  <w14:solidFill>
                    <w14:schemeClr w14:val="tx1"/>
                  </w14:solidFill>
                </w14:textFill>
              </w:rPr>
              <w:drawing>
                <wp:anchor distT="0" distB="0" distL="114300" distR="114300" simplePos="0" relativeHeight="251674624" behindDoc="0" locked="0" layoutInCell="1" allowOverlap="1">
                  <wp:simplePos x="0" y="0"/>
                  <wp:positionH relativeFrom="column">
                    <wp:posOffset>792480</wp:posOffset>
                  </wp:positionH>
                  <wp:positionV relativeFrom="paragraph">
                    <wp:posOffset>124460</wp:posOffset>
                  </wp:positionV>
                  <wp:extent cx="4174490" cy="2460625"/>
                  <wp:effectExtent l="9525" t="9525" r="26035" b="25400"/>
                  <wp:wrapTopAndBottom/>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26"/>
                          <a:stretch>
                            <a:fillRect/>
                          </a:stretch>
                        </pic:blipFill>
                        <pic:spPr>
                          <a:xfrm>
                            <a:off x="0" y="0"/>
                            <a:ext cx="4174490" cy="2460625"/>
                          </a:xfrm>
                          <a:prstGeom prst="rect">
                            <a:avLst/>
                          </a:prstGeom>
                          <a:noFill/>
                          <a:ln w="9525" cap="flat" cmpd="sng">
                            <a:solidFill>
                              <a:srgbClr val="7ACCC8"/>
                            </a:solidFill>
                            <a:prstDash val="solid"/>
                            <a:miter/>
                            <a:headEnd type="none" w="med" len="med"/>
                            <a:tailEnd type="none" w="med" len="med"/>
                          </a:ln>
                        </pic:spPr>
                      </pic:pic>
                    </a:graphicData>
                  </a:graphic>
                </wp:anchor>
              </w:drawing>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图</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3.</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3</w:t>
            </w:r>
            <w:r>
              <w:rPr>
                <w:rFonts w:hint="default"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4        注水系统示意图</w:t>
            </w:r>
          </w:p>
        </w:tc>
      </w:tr>
    </w:tbl>
    <w:p>
      <w:pPr>
        <w:widowControl/>
        <w:autoSpaceDE/>
        <w:autoSpaceDN/>
        <w:spacing w:line="500" w:lineRule="exact"/>
        <w:ind w:firstLine="474" w:firstLineChars="200"/>
        <w:jc w:val="both"/>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配制注入工程</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主要工程量见表3.</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4</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w:t>
      </w:r>
      <w:r>
        <w:rPr>
          <w:rFonts w:hint="eastAsia" w:ascii="Times New Roman" w:hAnsi="Times New Roman" w:cs="Times New Roman"/>
          <w:bCs/>
          <w:color w:val="000000" w:themeColor="text1"/>
          <w:w w:val="99"/>
          <w:sz w:val="24"/>
          <w:szCs w:val="22"/>
          <w:highlight w:val="none"/>
          <w:lang w:val="en-US" w:eastAsia="zh-CN" w:bidi="zh-CN"/>
          <w14:textFill>
            <w14:solidFill>
              <w14:schemeClr w14:val="tx1"/>
            </w14:solidFill>
          </w14:textFill>
        </w:rPr>
        <w:t>3</w:t>
      </w:r>
      <w:r>
        <w:rPr>
          <w:rFonts w:hint="eastAsia" w:ascii="Times New Roman" w:hAnsi="Times New Roman" w:eastAsia="宋体" w:cs="Times New Roman"/>
          <w:bCs/>
          <w:color w:val="000000" w:themeColor="text1"/>
          <w:w w:val="99"/>
          <w:sz w:val="24"/>
          <w:szCs w:val="22"/>
          <w:highlight w:val="none"/>
          <w:lang w:val="en-US" w:eastAsia="zh-CN" w:bidi="zh-CN"/>
          <w14:textFill>
            <w14:solidFill>
              <w14:schemeClr w14:val="tx1"/>
            </w14:solidFill>
          </w14:textFill>
        </w:rPr>
        <w:t>。</w:t>
      </w:r>
    </w:p>
    <w:p>
      <w:pPr>
        <w:widowControl/>
        <w:autoSpaceDE/>
        <w:autoSpaceDN/>
        <w:spacing w:line="500" w:lineRule="exact"/>
        <w:ind w:firstLine="476" w:firstLineChars="200"/>
        <w:jc w:val="both"/>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表3.4-3        主要工程量表</w:t>
      </w:r>
    </w:p>
    <w:tbl>
      <w:tblPr>
        <w:tblStyle w:val="32"/>
        <w:tblW w:w="91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2"/>
        <w:gridCol w:w="5562"/>
        <w:gridCol w:w="1356"/>
        <w:gridCol w:w="13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4" w:space="0"/>
              <w:left w:val="single" w:color="auto" w:sz="4"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序号</w:t>
            </w:r>
          </w:p>
        </w:tc>
        <w:tc>
          <w:tcPr>
            <w:tcW w:w="5562" w:type="dxa"/>
            <w:tcBorders>
              <w:top w:val="single" w:color="auto" w:sz="4" w:space="0"/>
              <w:left w:val="single" w:color="auto" w:sz="6" w:space="0"/>
              <w:bottom w:val="single" w:color="auto" w:sz="6" w:space="0"/>
              <w:right w:val="single" w:color="auto" w:sz="6" w:space="0"/>
            </w:tcBorders>
            <w:noWrap w:val="0"/>
            <w:vAlign w:val="top"/>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名称及规格</w:t>
            </w:r>
          </w:p>
        </w:tc>
        <w:tc>
          <w:tcPr>
            <w:tcW w:w="1356" w:type="dxa"/>
            <w:tcBorders>
              <w:top w:val="single" w:color="auto" w:sz="4"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单位</w:t>
            </w:r>
          </w:p>
        </w:tc>
        <w:tc>
          <w:tcPr>
            <w:tcW w:w="1356" w:type="dxa"/>
            <w:tcBorders>
              <w:top w:val="single" w:color="auto" w:sz="4" w:space="0"/>
              <w:left w:val="single" w:color="auto" w:sz="6" w:space="0"/>
              <w:bottom w:val="single" w:color="auto" w:sz="6"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一</w:t>
            </w:r>
          </w:p>
        </w:tc>
        <w:tc>
          <w:tcPr>
            <w:tcW w:w="5562" w:type="dxa"/>
            <w:tcBorders>
              <w:top w:val="single" w:color="auto" w:sz="6" w:space="0"/>
              <w:left w:val="single" w:color="auto" w:sz="6" w:space="0"/>
              <w:bottom w:val="single" w:color="auto" w:sz="6" w:space="0"/>
              <w:right w:val="single" w:color="auto" w:sz="6" w:space="0"/>
            </w:tcBorders>
            <w:noWrap w:val="0"/>
            <w:vAlign w:val="top"/>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注入井</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口</w:t>
            </w:r>
          </w:p>
        </w:tc>
        <w:tc>
          <w:tcPr>
            <w:tcW w:w="1356"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二</w:t>
            </w:r>
          </w:p>
        </w:tc>
        <w:tc>
          <w:tcPr>
            <w:tcW w:w="5562"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配水间</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座</w:t>
            </w:r>
          </w:p>
        </w:tc>
        <w:tc>
          <w:tcPr>
            <w:tcW w:w="1356"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5562"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配水阀组 DN40/PN16MPa</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套</w:t>
            </w:r>
          </w:p>
        </w:tc>
        <w:tc>
          <w:tcPr>
            <w:tcW w:w="1356"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三</w:t>
            </w:r>
          </w:p>
        </w:tc>
        <w:tc>
          <w:tcPr>
            <w:tcW w:w="5562"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管线</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w:t>
            </w:r>
          </w:p>
        </w:tc>
        <w:tc>
          <w:tcPr>
            <w:tcW w:w="5562"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注水支干线Ф114×9（无缝钢管）</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km</w:t>
            </w:r>
          </w:p>
        </w:tc>
        <w:tc>
          <w:tcPr>
            <w:tcW w:w="1356"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w:t>
            </w:r>
          </w:p>
        </w:tc>
        <w:tc>
          <w:tcPr>
            <w:tcW w:w="5562"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单井注水管线Ф60×5（无缝钢管）</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km</w:t>
            </w:r>
          </w:p>
        </w:tc>
        <w:tc>
          <w:tcPr>
            <w:tcW w:w="1356"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4.62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四</w:t>
            </w:r>
          </w:p>
        </w:tc>
        <w:tc>
          <w:tcPr>
            <w:tcW w:w="5562"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钢开穿路</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处</w:t>
            </w:r>
          </w:p>
        </w:tc>
        <w:tc>
          <w:tcPr>
            <w:tcW w:w="1356"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五</w:t>
            </w:r>
          </w:p>
        </w:tc>
        <w:tc>
          <w:tcPr>
            <w:tcW w:w="5562"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租赁设备厂区配套</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项</w:t>
            </w:r>
          </w:p>
        </w:tc>
        <w:tc>
          <w:tcPr>
            <w:tcW w:w="1356"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6" w:space="0"/>
              <w:left w:val="single" w:color="auto" w:sz="4"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w:t>
            </w:r>
          </w:p>
        </w:tc>
        <w:tc>
          <w:tcPr>
            <w:tcW w:w="5562"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站内道路4m宽</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m</w:t>
            </w:r>
          </w:p>
        </w:tc>
        <w:tc>
          <w:tcPr>
            <w:tcW w:w="1356" w:type="dxa"/>
            <w:tcBorders>
              <w:top w:val="single" w:color="auto" w:sz="6" w:space="0"/>
              <w:left w:val="single" w:color="auto" w:sz="6" w:space="0"/>
              <w:bottom w:val="single" w:color="auto" w:sz="6"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2" w:type="dxa"/>
            <w:tcBorders>
              <w:top w:val="single" w:color="auto" w:sz="6" w:space="0"/>
              <w:left w:val="single" w:color="auto" w:sz="4" w:space="0"/>
              <w:bottom w:val="single" w:color="auto" w:sz="4"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w:t>
            </w:r>
          </w:p>
        </w:tc>
        <w:tc>
          <w:tcPr>
            <w:tcW w:w="5562" w:type="dxa"/>
            <w:tcBorders>
              <w:top w:val="single" w:color="auto" w:sz="6" w:space="0"/>
              <w:left w:val="single" w:color="auto" w:sz="6" w:space="0"/>
              <w:bottom w:val="single" w:color="auto" w:sz="4"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回车场15m×15m</w:t>
            </w:r>
          </w:p>
        </w:tc>
        <w:tc>
          <w:tcPr>
            <w:tcW w:w="1356" w:type="dxa"/>
            <w:tcBorders>
              <w:top w:val="single" w:color="auto" w:sz="6" w:space="0"/>
              <w:left w:val="single" w:color="auto" w:sz="6" w:space="0"/>
              <w:bottom w:val="single" w:color="auto" w:sz="4" w:space="0"/>
              <w:right w:val="single" w:color="auto" w:sz="6"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座</w:t>
            </w:r>
          </w:p>
        </w:tc>
        <w:tc>
          <w:tcPr>
            <w:tcW w:w="1356" w:type="dxa"/>
            <w:tcBorders>
              <w:top w:val="single" w:color="auto" w:sz="6" w:space="0"/>
              <w:left w:val="single" w:color="auto" w:sz="6"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w:t>
            </w:r>
          </w:p>
        </w:tc>
      </w:tr>
    </w:tbl>
    <w:p>
      <w:pPr>
        <w:spacing w:line="440" w:lineRule="exact"/>
        <w:outlineLvl w:val="3"/>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3.4.1.</w:t>
      </w:r>
      <w:r>
        <w:rPr>
          <w:rFonts w:hint="eastAsia" w:ascii="Times New Roman" w:hAnsi="Times New Roman" w:cs="Times New Roman" w:eastAsiaTheme="minorEastAsia"/>
          <w:b/>
          <w:color w:val="000000" w:themeColor="text1"/>
          <w:w w:val="99"/>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t>道路工程</w:t>
      </w:r>
    </w:p>
    <w:p>
      <w:pPr>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本次</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工程利旧</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原有通井路，无需新建</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为租赁撬装配注站配套建设进站路0.1km，</w:t>
      </w:r>
      <w:r>
        <w:rPr>
          <w:rFonts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配注站为租赁设备，使用年限短，且其所挂接井排路为砂石路，故配注站进站路的标准定为砂石路，</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道路工主要工程内容表见表3.4-</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4</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表3.4-</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4</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道路工主要工程内容表</w:t>
      </w:r>
    </w:p>
    <w:tbl>
      <w:tblPr>
        <w:tblStyle w:val="32"/>
        <w:tblW w:w="904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37"/>
        <w:gridCol w:w="2388"/>
        <w:gridCol w:w="1319"/>
        <w:gridCol w:w="1350"/>
        <w:gridCol w:w="1350"/>
        <w:gridCol w:w="16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3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序号</w:t>
            </w:r>
          </w:p>
        </w:tc>
        <w:tc>
          <w:tcPr>
            <w:tcW w:w="238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道路名称</w:t>
            </w:r>
          </w:p>
        </w:tc>
        <w:tc>
          <w:tcPr>
            <w:tcW w:w="131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总长度</w:t>
            </w:r>
          </w:p>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（km）</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道路宽度（m）</w:t>
            </w:r>
          </w:p>
        </w:tc>
        <w:tc>
          <w:tcPr>
            <w:tcW w:w="160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t>建设标准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p>
        </w:tc>
        <w:tc>
          <w:tcPr>
            <w:tcW w:w="23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p>
        </w:tc>
        <w:tc>
          <w:tcPr>
            <w:tcW w:w="131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路基</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路面</w:t>
            </w:r>
          </w:p>
        </w:tc>
        <w:tc>
          <w:tcPr>
            <w:tcW w:w="16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1</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配注站进站路</w:t>
            </w:r>
          </w:p>
        </w:tc>
        <w:tc>
          <w:tcPr>
            <w:tcW w:w="131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0.1</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6.0</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textAlignment w:val="bottom"/>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4.0</w:t>
            </w:r>
          </w:p>
        </w:tc>
        <w:tc>
          <w:tcPr>
            <w:tcW w:w="1601"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exact"/>
              <w:jc w:val="center"/>
              <w:textAlignment w:val="bottom"/>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eastAsia="zh-CN" w:bidi="ar-SA"/>
                <w14:textFill>
                  <w14:solidFill>
                    <w14:schemeClr w14:val="tx1"/>
                  </w14:solidFill>
                </w14:textFill>
              </w:rPr>
              <w:t>砂石路</w:t>
            </w:r>
          </w:p>
        </w:tc>
      </w:tr>
    </w:tbl>
    <w:p>
      <w:pPr>
        <w:spacing w:line="440" w:lineRule="exact"/>
        <w:outlineLvl w:val="3"/>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3.4.1.4 供电工程</w:t>
      </w:r>
    </w:p>
    <w:p>
      <w:pPr>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本次工程</w:t>
      </w:r>
      <w:r>
        <w:rPr>
          <w:rFonts w:hint="eastAsia"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为配注站负荷新建500</w:t>
      </w:r>
      <w:r>
        <w:rPr>
          <w:rFonts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kVA</w:t>
      </w:r>
      <w:r>
        <w:rPr>
          <w:rFonts w:hint="eastAsia"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6.3±5% /0.4</w:t>
      </w:r>
      <w:r>
        <w:rPr>
          <w:rFonts w:hint="eastAsia"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kV</w:t>
      </w:r>
      <w:r>
        <w:rPr>
          <w:rFonts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变电站1座，</w:t>
      </w:r>
      <w:r>
        <w:rPr>
          <w:rFonts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含变压器、基础、隔离开关、断路器、围栏等</w:t>
      </w:r>
      <w:r>
        <w:rPr>
          <w:rFonts w:hint="eastAsia"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。配电室及室内设备、电力电缆由租赁单位提供，变压器电源由附近6kV架空线路引接，新建6kV线路0.3km，导线采用LGJ-120型，低洼地电杆加固。迁建占压已建变压器杆1基。</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供配电工程主要工程量见表3.4-</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5</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spacing w:line="440" w:lineRule="exact"/>
        <w:ind w:firstLine="476"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表3.4-</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5</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供配电工程主要工程量汇总表</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 xml:space="preserve"> </w:t>
      </w:r>
    </w:p>
    <w:tbl>
      <w:tblPr>
        <w:tblStyle w:val="32"/>
        <w:tblW w:w="88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5524"/>
        <w:gridCol w:w="1127"/>
        <w:gridCol w:w="1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6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序号</w:t>
            </w:r>
          </w:p>
        </w:tc>
        <w:tc>
          <w:tcPr>
            <w:tcW w:w="552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单项工程项目名称</w:t>
            </w:r>
          </w:p>
        </w:tc>
        <w:tc>
          <w:tcPr>
            <w:tcW w:w="112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单位</w:t>
            </w:r>
          </w:p>
        </w:tc>
        <w:tc>
          <w:tcPr>
            <w:tcW w:w="1126"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6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 xml:space="preserve">1 </w:t>
            </w:r>
          </w:p>
        </w:tc>
        <w:tc>
          <w:tcPr>
            <w:tcW w:w="552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新建</w:t>
            </w:r>
            <w:r>
              <w:rPr>
                <w:rFonts w:ascii="Times New Roman" w:hAnsi="Times New Roman" w:eastAsia="宋体" w:cs="Times New Roman"/>
                <w:color w:val="000000" w:themeColor="text1"/>
                <w:w w:val="99"/>
                <w:sz w:val="21"/>
                <w:szCs w:val="21"/>
                <w:highlight w:val="none"/>
                <w14:textFill>
                  <w14:solidFill>
                    <w14:schemeClr w14:val="tx1"/>
                  </w14:solidFill>
                </w14:textFill>
              </w:rPr>
              <w:t>1×500kVA(6.3±5%/0.4kV)</w:t>
            </w: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变电站</w:t>
            </w:r>
          </w:p>
        </w:tc>
        <w:tc>
          <w:tcPr>
            <w:tcW w:w="112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座</w:t>
            </w:r>
          </w:p>
        </w:tc>
        <w:tc>
          <w:tcPr>
            <w:tcW w:w="1126"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6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w:t>
            </w:r>
            <w:r>
              <w:rPr>
                <w:rFonts w:ascii="Times New Roman" w:hAnsi="Times New Roman" w:eastAsia="宋体" w:cs="Times New Roman"/>
                <w:color w:val="000000" w:themeColor="text1"/>
                <w:w w:val="99"/>
                <w:sz w:val="21"/>
                <w:szCs w:val="21"/>
                <w:highlight w:val="none"/>
                <w14:textFill>
                  <w14:solidFill>
                    <w14:schemeClr w14:val="tx1"/>
                  </w14:solidFill>
                </w14:textFill>
              </w:rPr>
              <w:t>1</w:t>
            </w: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w:t>
            </w:r>
          </w:p>
        </w:tc>
        <w:tc>
          <w:tcPr>
            <w:tcW w:w="552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500kVA(6.3±5%/0.4kV）变压器</w:t>
            </w:r>
          </w:p>
        </w:tc>
        <w:tc>
          <w:tcPr>
            <w:tcW w:w="112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台</w:t>
            </w:r>
          </w:p>
        </w:tc>
        <w:tc>
          <w:tcPr>
            <w:tcW w:w="1126"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6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（2）</w:t>
            </w:r>
          </w:p>
        </w:tc>
        <w:tc>
          <w:tcPr>
            <w:tcW w:w="552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变压器基础</w:t>
            </w:r>
          </w:p>
        </w:tc>
        <w:tc>
          <w:tcPr>
            <w:tcW w:w="112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基</w:t>
            </w:r>
          </w:p>
        </w:tc>
        <w:tc>
          <w:tcPr>
            <w:tcW w:w="1126"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6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（3）</w:t>
            </w:r>
          </w:p>
        </w:tc>
        <w:tc>
          <w:tcPr>
            <w:tcW w:w="552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隔离开关</w:t>
            </w:r>
          </w:p>
        </w:tc>
        <w:tc>
          <w:tcPr>
            <w:tcW w:w="112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台</w:t>
            </w:r>
          </w:p>
        </w:tc>
        <w:tc>
          <w:tcPr>
            <w:tcW w:w="1126"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6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（4）</w:t>
            </w:r>
          </w:p>
        </w:tc>
        <w:tc>
          <w:tcPr>
            <w:tcW w:w="552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断路器</w:t>
            </w:r>
          </w:p>
        </w:tc>
        <w:tc>
          <w:tcPr>
            <w:tcW w:w="112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台</w:t>
            </w:r>
          </w:p>
        </w:tc>
        <w:tc>
          <w:tcPr>
            <w:tcW w:w="1126"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6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2</w:t>
            </w:r>
          </w:p>
        </w:tc>
        <w:tc>
          <w:tcPr>
            <w:tcW w:w="552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电力电缆YJV-6/6  3×70</w:t>
            </w:r>
          </w:p>
        </w:tc>
        <w:tc>
          <w:tcPr>
            <w:tcW w:w="112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m</w:t>
            </w:r>
          </w:p>
        </w:tc>
        <w:tc>
          <w:tcPr>
            <w:tcW w:w="1126"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6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3</w:t>
            </w:r>
          </w:p>
        </w:tc>
        <w:tc>
          <w:tcPr>
            <w:tcW w:w="552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新建6kV线路：3</w:t>
            </w:r>
            <w:r>
              <w:rPr>
                <w:rFonts w:ascii="Times New Roman" w:hAnsi="Times New Roman" w:eastAsia="宋体" w:cs="Times New Roman"/>
                <w:color w:val="000000" w:themeColor="text1"/>
                <w:w w:val="99"/>
                <w:sz w:val="21"/>
                <w:szCs w:val="21"/>
                <w:highlight w:val="none"/>
                <w14:textFill>
                  <w14:solidFill>
                    <w14:schemeClr w14:val="tx1"/>
                  </w14:solidFill>
                </w14:textFill>
              </w:rPr>
              <w:t>×</w:t>
            </w: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LGJ-120</w:t>
            </w:r>
          </w:p>
        </w:tc>
        <w:tc>
          <w:tcPr>
            <w:tcW w:w="112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km</w:t>
            </w:r>
          </w:p>
        </w:tc>
        <w:tc>
          <w:tcPr>
            <w:tcW w:w="1126"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6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4</w:t>
            </w:r>
          </w:p>
        </w:tc>
        <w:tc>
          <w:tcPr>
            <w:tcW w:w="552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迁建变压器杆</w:t>
            </w:r>
          </w:p>
        </w:tc>
        <w:tc>
          <w:tcPr>
            <w:tcW w:w="112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基</w:t>
            </w:r>
          </w:p>
        </w:tc>
        <w:tc>
          <w:tcPr>
            <w:tcW w:w="1126"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6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5</w:t>
            </w:r>
          </w:p>
        </w:tc>
        <w:tc>
          <w:tcPr>
            <w:tcW w:w="552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新建电力电缆YJLV22-0.6/1  4×16</w:t>
            </w:r>
          </w:p>
        </w:tc>
        <w:tc>
          <w:tcPr>
            <w:tcW w:w="1127"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m</w:t>
            </w:r>
          </w:p>
        </w:tc>
        <w:tc>
          <w:tcPr>
            <w:tcW w:w="1126"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80</w:t>
            </w:r>
          </w:p>
        </w:tc>
      </w:tr>
    </w:tbl>
    <w:p>
      <w:pPr>
        <w:pStyle w:val="45"/>
        <w:tabs>
          <w:tab w:val="left" w:pos="930"/>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3.4.2 工程占地及土石方情况</w:t>
      </w:r>
    </w:p>
    <w:p>
      <w:pPr>
        <w:spacing w:line="440" w:lineRule="exact"/>
        <w:outlineLvl w:val="3"/>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w:t>
      </w:r>
      <w:r>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t>.4.2.1工程占地</w:t>
      </w:r>
    </w:p>
    <w:p>
      <w:pPr>
        <w:spacing w:line="440" w:lineRule="exact"/>
        <w:ind w:firstLine="474" w:firstLineChars="200"/>
        <w:jc w:val="both"/>
        <w:rPr>
          <w:rFonts w:hint="eastAsia"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本次工程占地情况主要集中在管线施工临时占地，新增永久占地主要是</w:t>
      </w:r>
      <w:r>
        <w:rPr>
          <w:rFonts w:hint="eastAsia" w:ascii="Times New Roman" w:hAnsi="Times New Roman" w:eastAsia="宋体" w:cs="Times New Roman"/>
          <w:color w:val="000000" w:themeColor="text1"/>
          <w:w w:val="99"/>
          <w:kern w:val="2"/>
          <w:sz w:val="24"/>
          <w:szCs w:val="24"/>
          <w:highlight w:val="none"/>
          <w:lang w:val="en-US" w:eastAsia="zh-CN" w:bidi="ar-SA"/>
          <w14:textFill>
            <w14:solidFill>
              <w14:schemeClr w14:val="tx1"/>
            </w14:solidFill>
          </w14:textFill>
        </w:rPr>
        <w:t>租用橇装配注站配套场地等</w:t>
      </w:r>
      <w:r>
        <w:rPr>
          <w:rFonts w:hint="eastAsia"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，本工程新增永久占地和临时占地类型为盐碱草地（非基本草原），</w:t>
      </w:r>
      <w:r>
        <w:rPr>
          <w:rFonts w:hint="eastAsia" w:ascii="Times New Roman" w:hAnsi="Times New Roman" w:eastAsia="宋体" w:cs="Times New Roman"/>
          <w:color w:val="000000" w:themeColor="text1"/>
          <w:w w:val="99"/>
          <w:kern w:val="2"/>
          <w:sz w:val="24"/>
          <w:szCs w:val="24"/>
          <w:highlight w:val="none"/>
          <w:lang w:val="en-US" w:eastAsia="zh-CN" w:bidi="ar-SA"/>
          <w14:textFill>
            <w14:solidFill>
              <w14:schemeClr w14:val="tx1"/>
            </w14:solidFill>
          </w14:textFill>
        </w:rPr>
        <w:t>注水</w:t>
      </w:r>
      <w:r>
        <w:rPr>
          <w:rFonts w:hint="eastAsia" w:ascii="Times New Roman" w:hAnsi="Times New Roman" w:eastAsia="宋体" w:cs="Times New Roman"/>
          <w:color w:val="000000" w:themeColor="text1"/>
          <w:w w:val="99"/>
          <w:kern w:val="2"/>
          <w:sz w:val="24"/>
          <w:szCs w:val="24"/>
          <w:highlight w:val="none"/>
          <w:lang w:val="en-US" w:bidi="ar-SA"/>
          <w14:textFill>
            <w14:solidFill>
              <w14:schemeClr w14:val="tx1"/>
            </w14:solidFill>
          </w14:textFill>
        </w:rPr>
        <w:t>管线临时占地宽度为10m。具体占地情况见表3.4-</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6</w:t>
      </w:r>
      <w:r>
        <w:rPr>
          <w:rFonts w:hint="eastAsia" w:ascii="Times New Roman" w:hAnsi="Times New Roman" w:eastAsia="宋体" w:cs="Times New Roman"/>
          <w:color w:val="000000" w:themeColor="text1"/>
          <w:w w:val="99"/>
          <w:kern w:val="2"/>
          <w:sz w:val="24"/>
          <w:szCs w:val="24"/>
          <w:highlight w:val="none"/>
          <w:lang w:val="en-US" w:eastAsia="zh-CN" w:bidi="ar-SA"/>
          <w14:textFill>
            <w14:solidFill>
              <w14:schemeClr w14:val="tx1"/>
            </w14:solidFill>
          </w14:textFill>
        </w:rPr>
        <w:t>。</w:t>
      </w:r>
    </w:p>
    <w:p>
      <w:pPr>
        <w:spacing w:line="440" w:lineRule="exact"/>
        <w:ind w:firstLine="476" w:firstLineChars="200"/>
        <w:rPr>
          <w:rFonts w:ascii="Times New Roman" w:hAnsi="Times New Roman" w:cs="Times New Roman"/>
          <w:b/>
          <w:bCs/>
          <w:color w:val="000000" w:themeColor="text1"/>
          <w:w w:val="99"/>
          <w:sz w:val="24"/>
          <w:highlight w:val="none"/>
          <w:vertAlign w:val="superscript"/>
          <w14:textFill>
            <w14:solidFill>
              <w14:schemeClr w14:val="tx1"/>
            </w14:solidFill>
          </w14:textFill>
        </w:rPr>
      </w:pPr>
      <w:r>
        <w:rPr>
          <w:rFonts w:ascii="Times New Roman" w:hAnsi="Times New Roman" w:cs="Times New Roman"/>
          <w:b/>
          <w:bCs/>
          <w:color w:val="000000" w:themeColor="text1"/>
          <w:w w:val="99"/>
          <w:sz w:val="24"/>
          <w:highlight w:val="none"/>
          <w14:textFill>
            <w14:solidFill>
              <w14:schemeClr w14:val="tx1"/>
            </w14:solidFill>
          </w14:textFill>
        </w:rPr>
        <w:t>表</w:t>
      </w:r>
      <w:r>
        <w:rPr>
          <w:rFonts w:hint="eastAsia" w:ascii="Times New Roman" w:hAnsi="Times New Roman" w:cs="Times New Roman"/>
          <w:b/>
          <w:bCs/>
          <w:color w:val="000000" w:themeColor="text1"/>
          <w:w w:val="99"/>
          <w:sz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highlight w:val="none"/>
          <w14:textFill>
            <w14:solidFill>
              <w14:schemeClr w14:val="tx1"/>
            </w14:solidFill>
          </w14:textFill>
        </w:rPr>
        <w:t>3.4-</w:t>
      </w:r>
      <w:r>
        <w:rPr>
          <w:rFonts w:hint="eastAsia" w:ascii="Times New Roman" w:hAnsi="Times New Roman" w:cs="Times New Roman"/>
          <w:b/>
          <w:bCs/>
          <w:color w:val="000000" w:themeColor="text1"/>
          <w:w w:val="99"/>
          <w:sz w:val="24"/>
          <w:highlight w:val="none"/>
          <w:lang w:val="en-US" w:eastAsia="zh-CN"/>
          <w14:textFill>
            <w14:solidFill>
              <w14:schemeClr w14:val="tx1"/>
            </w14:solidFill>
          </w14:textFill>
        </w:rPr>
        <w:t xml:space="preserve">6    </w:t>
      </w:r>
      <w:r>
        <w:rPr>
          <w:rFonts w:ascii="Times New Roman" w:hAnsi="Times New Roman" w:cs="Times New Roman"/>
          <w:b/>
          <w:bCs/>
          <w:color w:val="000000" w:themeColor="text1"/>
          <w:w w:val="99"/>
          <w:sz w:val="24"/>
          <w:highlight w:val="none"/>
          <w14:textFill>
            <w14:solidFill>
              <w14:schemeClr w14:val="tx1"/>
            </w14:solidFill>
          </w14:textFill>
        </w:rPr>
        <w:t xml:space="preserve">    建设项目新增占地类型及面积表 </w:t>
      </w:r>
      <w:r>
        <w:rPr>
          <w:rFonts w:hint="eastAsia" w:ascii="Times New Roman" w:hAnsi="Times New Roman" w:cs="Times New Roman"/>
          <w:b/>
          <w:bCs/>
          <w:color w:val="000000" w:themeColor="text1"/>
          <w:w w:val="99"/>
          <w:sz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highlight w:val="none"/>
          <w14:textFill>
            <w14:solidFill>
              <w14:schemeClr w14:val="tx1"/>
            </w14:solidFill>
          </w14:textFill>
        </w:rPr>
        <w:t xml:space="preserve">    单位：hm</w:t>
      </w:r>
      <w:r>
        <w:rPr>
          <w:rFonts w:ascii="Times New Roman" w:hAnsi="Times New Roman" w:cs="Times New Roman"/>
          <w:b/>
          <w:bCs/>
          <w:color w:val="000000" w:themeColor="text1"/>
          <w:w w:val="99"/>
          <w:sz w:val="24"/>
          <w:highlight w:val="none"/>
          <w:vertAlign w:val="superscript"/>
          <w14:textFill>
            <w14:solidFill>
              <w14:schemeClr w14:val="tx1"/>
            </w14:solidFill>
          </w14:textFill>
        </w:rPr>
        <w:t>2</w:t>
      </w:r>
    </w:p>
    <w:tbl>
      <w:tblPr>
        <w:tblStyle w:val="32"/>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3689"/>
        <w:gridCol w:w="4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1523" w:type="dxa"/>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建设内容</w:t>
            </w:r>
          </w:p>
        </w:tc>
        <w:tc>
          <w:tcPr>
            <w:tcW w:w="368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临时占地</w:t>
            </w:r>
          </w:p>
        </w:tc>
        <w:tc>
          <w:tcPr>
            <w:tcW w:w="407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永久占地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1523" w:type="dxa"/>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368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盐碱</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草地（</w:t>
            </w: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非基本草原</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p>
        </w:tc>
        <w:tc>
          <w:tcPr>
            <w:tcW w:w="407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盐碱</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草地（</w:t>
            </w: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非基本草原</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152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注水</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管道</w:t>
            </w:r>
          </w:p>
        </w:tc>
        <w:tc>
          <w:tcPr>
            <w:tcW w:w="368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4.72</w:t>
            </w:r>
          </w:p>
        </w:tc>
        <w:tc>
          <w:tcPr>
            <w:tcW w:w="40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152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租用橇装配注站配套场地</w:t>
            </w:r>
          </w:p>
        </w:tc>
        <w:tc>
          <w:tcPr>
            <w:tcW w:w="368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w:t>
            </w:r>
          </w:p>
        </w:tc>
        <w:tc>
          <w:tcPr>
            <w:tcW w:w="40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152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配注站进站路</w:t>
            </w:r>
          </w:p>
        </w:tc>
        <w:tc>
          <w:tcPr>
            <w:tcW w:w="368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w:t>
            </w:r>
          </w:p>
        </w:tc>
        <w:tc>
          <w:tcPr>
            <w:tcW w:w="40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52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小</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计</w:t>
            </w:r>
          </w:p>
        </w:tc>
        <w:tc>
          <w:tcPr>
            <w:tcW w:w="368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4.72</w:t>
            </w:r>
          </w:p>
        </w:tc>
        <w:tc>
          <w:tcPr>
            <w:tcW w:w="407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523"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总计</w:t>
            </w:r>
          </w:p>
        </w:tc>
        <w:tc>
          <w:tcPr>
            <w:tcW w:w="7762" w:type="dxa"/>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4.97</w:t>
            </w:r>
          </w:p>
        </w:tc>
      </w:tr>
    </w:tbl>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3.4.2.2土石方工程</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配注站进站</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砂石</w:t>
      </w:r>
      <w:r>
        <w:rPr>
          <w:rFonts w:ascii="Times New Roman" w:hAnsi="Times New Roman" w:cs="Times New Roman"/>
          <w:bCs/>
          <w:color w:val="000000" w:themeColor="text1"/>
          <w:w w:val="99"/>
          <w:sz w:val="24"/>
          <w:szCs w:val="20"/>
          <w:highlight w:val="none"/>
          <w:lang w:val="en-US"/>
          <w14:textFill>
            <w14:solidFill>
              <w14:schemeClr w14:val="tx1"/>
            </w14:solidFill>
          </w14:textFill>
        </w:rPr>
        <w:t>路填筑高度0.15m，</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长度</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0.1</w:t>
      </w:r>
      <w:r>
        <w:rPr>
          <w:rFonts w:ascii="Times New Roman" w:hAnsi="Times New Roman" w:cs="Times New Roman"/>
          <w:bCs/>
          <w:color w:val="000000" w:themeColor="text1"/>
          <w:w w:val="99"/>
          <w:sz w:val="24"/>
          <w:szCs w:val="20"/>
          <w:highlight w:val="none"/>
          <w:lang w:val="en-US"/>
          <w14:textFill>
            <w14:solidFill>
              <w14:schemeClr w14:val="tx1"/>
            </w14:solidFill>
          </w14:textFill>
        </w:rPr>
        <w:t>km，路面宽度</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4.0</w:t>
      </w:r>
      <w:r>
        <w:rPr>
          <w:rFonts w:ascii="Times New Roman" w:hAnsi="Times New Roman" w:cs="Times New Roman"/>
          <w:bCs/>
          <w:color w:val="000000" w:themeColor="text1"/>
          <w:w w:val="99"/>
          <w:sz w:val="24"/>
          <w:szCs w:val="20"/>
          <w:highlight w:val="none"/>
          <w:lang w:val="en-US"/>
          <w14:textFill>
            <w14:solidFill>
              <w14:schemeClr w14:val="tx1"/>
            </w14:solidFill>
          </w14:textFill>
        </w:rPr>
        <w:t>m</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，需要</w:t>
      </w:r>
      <w:r>
        <w:rPr>
          <w:rFonts w:ascii="Times New Roman" w:hAnsi="Times New Roman" w:cs="Times New Roman"/>
          <w:bCs/>
          <w:color w:val="000000" w:themeColor="text1"/>
          <w:w w:val="99"/>
          <w:sz w:val="24"/>
          <w:szCs w:val="20"/>
          <w:highlight w:val="none"/>
          <w:lang w:val="en-US"/>
          <w14:textFill>
            <w14:solidFill>
              <w14:schemeClr w14:val="tx1"/>
            </w14:solidFill>
          </w14:textFill>
        </w:rPr>
        <w:t>铺垫</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土方</w:t>
      </w:r>
      <w:r>
        <w:rPr>
          <w:rFonts w:ascii="Times New Roman" w:hAnsi="Times New Roman" w:cs="Times New Roman"/>
          <w:bCs/>
          <w:color w:val="000000" w:themeColor="text1"/>
          <w:w w:val="99"/>
          <w:sz w:val="24"/>
          <w:szCs w:val="20"/>
          <w:highlight w:val="none"/>
          <w:lang w:val="en-US"/>
          <w14:textFill>
            <w14:solidFill>
              <w14:schemeClr w14:val="tx1"/>
            </w14:solidFill>
          </w14:textFill>
        </w:rPr>
        <w:t>量</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100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4</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×0.15</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60</w:t>
      </w:r>
      <w:r>
        <w:rPr>
          <w:rFonts w:ascii="Times New Roman" w:hAnsi="Times New Roman" w:cs="Times New Roman"/>
          <w:bCs/>
          <w:color w:val="000000" w:themeColor="text1"/>
          <w:w w:val="99"/>
          <w:sz w:val="24"/>
          <w:szCs w:val="20"/>
          <w:highlight w:val="none"/>
          <w:lang w:val="en-US"/>
          <w14:textFill>
            <w14:solidFill>
              <w14:schemeClr w14:val="tx1"/>
            </w14:solidFill>
          </w14:textFill>
        </w:rPr>
        <w:t>m</w:t>
      </w:r>
      <w:r>
        <w:rPr>
          <w:rFonts w:ascii="Times New Roman" w:hAnsi="Times New Roman" w:cs="Times New Roman"/>
          <w:bCs/>
          <w:color w:val="000000" w:themeColor="text1"/>
          <w:w w:val="99"/>
          <w:sz w:val="24"/>
          <w:szCs w:val="20"/>
          <w:highlight w:val="none"/>
          <w:vertAlign w:val="superscript"/>
          <w:lang w:val="en-US"/>
          <w14:textFill>
            <w14:solidFill>
              <w14:schemeClr w14:val="tx1"/>
            </w14:solidFill>
          </w14:textFill>
        </w:rPr>
        <w:t>3</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新建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注水</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管线</w:t>
      </w:r>
      <w:r>
        <w:rPr>
          <w:rFonts w:ascii="Times New Roman" w:hAnsi="Times New Roman" w:cs="Times New Roman"/>
          <w:bCs/>
          <w:color w:val="000000" w:themeColor="text1"/>
          <w:w w:val="99"/>
          <w:sz w:val="24"/>
          <w:szCs w:val="20"/>
          <w:highlight w:val="none"/>
          <w:lang w:val="en-US"/>
          <w14:textFill>
            <w14:solidFill>
              <w14:schemeClr w14:val="tx1"/>
            </w14:solidFill>
          </w14:textFill>
        </w:rPr>
        <w:t>管沟长度</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4720</w:t>
      </w:r>
      <w:r>
        <w:rPr>
          <w:rFonts w:ascii="Times New Roman" w:hAnsi="Times New Roman" w:cs="Times New Roman"/>
          <w:bCs/>
          <w:color w:val="000000" w:themeColor="text1"/>
          <w:w w:val="99"/>
          <w:sz w:val="24"/>
          <w:szCs w:val="20"/>
          <w:highlight w:val="none"/>
          <w:lang w:val="en-US"/>
          <w14:textFill>
            <w14:solidFill>
              <w14:schemeClr w14:val="tx1"/>
            </w14:solidFill>
          </w14:textFill>
        </w:rPr>
        <w:t>m，管沟宽度约为1.2m，管沟深度为1m</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管</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沟</w:t>
      </w:r>
      <w:r>
        <w:rPr>
          <w:rFonts w:ascii="Times New Roman" w:hAnsi="Times New Roman" w:cs="Times New Roman"/>
          <w:bCs/>
          <w:color w:val="000000" w:themeColor="text1"/>
          <w:w w:val="99"/>
          <w:sz w:val="24"/>
          <w:szCs w:val="20"/>
          <w:highlight w:val="none"/>
          <w:lang w:val="en-US"/>
          <w14:textFill>
            <w14:solidFill>
              <w14:schemeClr w14:val="tx1"/>
            </w14:solidFill>
          </w14:textFill>
        </w:rPr>
        <w:t>挖方量为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4720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×1.2×1</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5664</w:t>
      </w:r>
      <w:r>
        <w:rPr>
          <w:rFonts w:ascii="Times New Roman" w:hAnsi="Times New Roman" w:cs="Times New Roman"/>
          <w:bCs/>
          <w:color w:val="000000" w:themeColor="text1"/>
          <w:w w:val="99"/>
          <w:sz w:val="24"/>
          <w:szCs w:val="20"/>
          <w:highlight w:val="none"/>
          <w:lang w:val="en-US"/>
          <w14:textFill>
            <w14:solidFill>
              <w14:schemeClr w14:val="tx1"/>
            </w14:solidFill>
          </w14:textFill>
        </w:rPr>
        <w:t>m</w:t>
      </w:r>
      <w:r>
        <w:rPr>
          <w:rFonts w:ascii="Times New Roman" w:hAnsi="Times New Roman" w:cs="Times New Roman"/>
          <w:bCs/>
          <w:color w:val="000000" w:themeColor="text1"/>
          <w:w w:val="99"/>
          <w:sz w:val="24"/>
          <w:szCs w:val="20"/>
          <w:highlight w:val="none"/>
          <w:vertAlign w:val="superscript"/>
          <w:lang w:val="en-US"/>
          <w14:textFill>
            <w14:solidFill>
              <w14:schemeClr w14:val="tx1"/>
            </w14:solidFill>
          </w14:textFill>
        </w:rPr>
        <w:t>3</w:t>
      </w:r>
      <w:r>
        <w:rPr>
          <w:rFonts w:ascii="Times New Roman" w:hAnsi="Times New Roman" w:cs="Times New Roman"/>
          <w:bCs/>
          <w:color w:val="000000" w:themeColor="text1"/>
          <w:w w:val="99"/>
          <w:sz w:val="24"/>
          <w:szCs w:val="20"/>
          <w:highlight w:val="none"/>
          <w:lang w:val="en-US"/>
          <w14:textFill>
            <w14:solidFill>
              <w14:schemeClr w14:val="tx1"/>
            </w14:solidFill>
          </w14:textFill>
        </w:rPr>
        <w:t>。建设项目不设取弃土场，</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施工</w:t>
      </w:r>
      <w:r>
        <w:rPr>
          <w:rFonts w:ascii="Times New Roman" w:hAnsi="Times New Roman" w:cs="Times New Roman"/>
          <w:bCs/>
          <w:color w:val="000000" w:themeColor="text1"/>
          <w:w w:val="99"/>
          <w:sz w:val="24"/>
          <w:szCs w:val="20"/>
          <w:highlight w:val="none"/>
          <w:lang w:val="en-US"/>
          <w14:textFill>
            <w14:solidFill>
              <w14:schemeClr w14:val="tx1"/>
            </w14:solidFill>
          </w14:textFill>
        </w:rPr>
        <w:t>用土全部</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由</w:t>
      </w:r>
      <w:r>
        <w:rPr>
          <w:rFonts w:ascii="Times New Roman" w:hAnsi="Times New Roman" w:cs="Times New Roman"/>
          <w:bCs/>
          <w:color w:val="000000" w:themeColor="text1"/>
          <w:w w:val="99"/>
          <w:sz w:val="24"/>
          <w:szCs w:val="20"/>
          <w:highlight w:val="none"/>
          <w:lang w:val="en-US"/>
          <w14:textFill>
            <w14:solidFill>
              <w14:schemeClr w14:val="tx1"/>
            </w14:solidFill>
          </w14:textFill>
        </w:rPr>
        <w:t>施工单位外购。建设项目土石方情况见表3.4-</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7</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p>
    <w:p>
      <w:pPr>
        <w:keepNext/>
        <w:keepLines/>
        <w:spacing w:line="440" w:lineRule="exact"/>
        <w:ind w:firstLine="476" w:firstLineChars="200"/>
        <w:jc w:val="both"/>
        <w:rPr>
          <w:rFonts w:ascii="Times New Roman" w:hAnsi="Times New Roman" w:cs="Times New Roman"/>
          <w:b/>
          <w:bCs/>
          <w:color w:val="000000" w:themeColor="text1"/>
          <w:w w:val="99"/>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表</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3.4-</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 xml:space="preserve">7     </w:t>
      </w:r>
      <w:r>
        <w:rPr>
          <w:rFonts w:hint="eastAsia" w:ascii="Times New Roman" w:hAnsi="Times New Roman" w:cs="Times New Roman"/>
          <w:b/>
          <w:bCs/>
          <w:color w:val="000000" w:themeColor="text1"/>
          <w:w w:val="99"/>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建设项目土石方情况</w:t>
      </w:r>
      <w:r>
        <w:rPr>
          <w:rFonts w:hint="eastAsia" w:ascii="Times New Roman" w:hAnsi="Times New Roman" w:cs="Times New Roman"/>
          <w:b/>
          <w:bCs/>
          <w:color w:val="000000" w:themeColor="text1"/>
          <w:w w:val="99"/>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单位：m</w:t>
      </w:r>
      <w:r>
        <w:rPr>
          <w:rFonts w:ascii="Times New Roman" w:hAnsi="Times New Roman" w:cs="Times New Roman"/>
          <w:b/>
          <w:bCs/>
          <w:color w:val="000000" w:themeColor="text1"/>
          <w:w w:val="99"/>
          <w:sz w:val="24"/>
          <w:szCs w:val="24"/>
          <w:highlight w:val="none"/>
          <w:vertAlign w:val="superscript"/>
          <w:lang w:val="en-US" w:bidi="ar-SA"/>
          <w14:textFill>
            <w14:solidFill>
              <w14:schemeClr w14:val="tx1"/>
            </w14:solidFill>
          </w14:textFill>
        </w:rPr>
        <w:t>3</w:t>
      </w: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346"/>
        <w:gridCol w:w="1399"/>
        <w:gridCol w:w="1850"/>
        <w:gridCol w:w="1850"/>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序号</w:t>
            </w:r>
          </w:p>
        </w:tc>
        <w:tc>
          <w:tcPr>
            <w:tcW w:w="1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类别</w:t>
            </w:r>
          </w:p>
        </w:tc>
        <w:tc>
          <w:tcPr>
            <w:tcW w:w="139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挖方量</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填方量</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外购</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方量</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弃方量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w:t>
            </w:r>
          </w:p>
        </w:tc>
        <w:tc>
          <w:tcPr>
            <w:tcW w:w="1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道路</w:t>
            </w:r>
          </w:p>
        </w:tc>
        <w:tc>
          <w:tcPr>
            <w:tcW w:w="139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60</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60</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2</w:t>
            </w:r>
          </w:p>
        </w:tc>
        <w:tc>
          <w:tcPr>
            <w:tcW w:w="1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管道</w:t>
            </w:r>
          </w:p>
        </w:tc>
        <w:tc>
          <w:tcPr>
            <w:tcW w:w="139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5664</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5664</w:t>
            </w:r>
          </w:p>
        </w:tc>
        <w:tc>
          <w:tcPr>
            <w:tcW w:w="1850"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w:t>
            </w:r>
          </w:p>
        </w:tc>
        <w:tc>
          <w:tcPr>
            <w:tcW w:w="1850"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12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合计</w:t>
            </w:r>
          </w:p>
        </w:tc>
        <w:tc>
          <w:tcPr>
            <w:tcW w:w="1399"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5664</w:t>
            </w:r>
          </w:p>
        </w:tc>
        <w:tc>
          <w:tcPr>
            <w:tcW w:w="1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5724</w:t>
            </w:r>
          </w:p>
        </w:tc>
        <w:tc>
          <w:tcPr>
            <w:tcW w:w="1850"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60</w:t>
            </w:r>
          </w:p>
        </w:tc>
        <w:tc>
          <w:tcPr>
            <w:tcW w:w="1850" w:type="dxa"/>
            <w:tcBorders>
              <w:tl2br w:val="nil"/>
              <w:tr2bl w:val="nil"/>
            </w:tcBorders>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w:t>
            </w:r>
          </w:p>
        </w:tc>
      </w:tr>
    </w:tbl>
    <w:p>
      <w:pPr>
        <w:pStyle w:val="45"/>
        <w:tabs>
          <w:tab w:val="left" w:pos="930"/>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3.4.3 公用工程</w:t>
      </w:r>
    </w:p>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bookmarkStart w:id="109" w:name="_Toc13059817"/>
      <w:bookmarkStart w:id="110" w:name="_Toc5710032"/>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3.4.3.1给、排水工程</w:t>
      </w:r>
      <w:bookmarkEnd w:id="109"/>
      <w:bookmarkEnd w:id="110"/>
    </w:p>
    <w:p>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bookmarkStart w:id="111" w:name="_Toc11047792"/>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本项目施工期用水主要为施工生活用水和</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管线试压用水</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。生活用水采用桶装水，项目施工时间为60天，施工人数为20人，</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参照黑龙江省</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地方标准《</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用水定额</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（DB</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23/T 727-2021</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）中</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农村居民生活用水量，本工程施工期生活用水量每人80L/d，生活用水量共计96m</w:t>
      </w:r>
      <w:r>
        <w:rPr>
          <w:rFonts w:ascii="Times New Roman" w:hAnsi="Times New Roman" w:cs="Times New Roman"/>
          <w:color w:val="000000" w:themeColor="text1"/>
          <w:w w:val="99"/>
          <w:kern w:val="21"/>
          <w:sz w:val="24"/>
          <w:szCs w:val="24"/>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。生活污水产生量按生活用水的80%计算，则生活污水产生量为76.8m</w:t>
      </w:r>
      <w:r>
        <w:rPr>
          <w:rFonts w:ascii="Times New Roman" w:hAnsi="Times New Roman" w:cs="Times New Roman"/>
          <w:color w:val="000000" w:themeColor="text1"/>
          <w:w w:val="99"/>
          <w:kern w:val="21"/>
          <w:sz w:val="24"/>
          <w:szCs w:val="24"/>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。施工人员的生活污水排入</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施工</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现场附近计量间防渗旱厕</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定期清掏外运堆肥处理。</w:t>
      </w:r>
    </w:p>
    <w:p>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本项目</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管线试压</w:t>
      </w: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用水由水罐车运送，</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管线敷设完成后进行试压，本项目</w:t>
      </w: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新建</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葡北1</w:t>
      </w:r>
      <w:r>
        <w:rPr>
          <w:rFonts w:hint="default"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2-1</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号配水间至配注站供水管线</w:t>
      </w:r>
      <w:r>
        <w:rPr>
          <w:rFonts w:hint="default"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Ф114×9</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w:t>
      </w:r>
      <w:r>
        <w:rPr>
          <w:rFonts w:hint="default"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0.1</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km；新建单井注水管线</w:t>
      </w:r>
      <w:r>
        <w:rPr>
          <w:rFonts w:hint="default"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Ф60×5-4.62</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km</w:t>
      </w:r>
      <w:r>
        <w:rPr>
          <w:rFonts w:hint="eastAsia" w:ascii="Times New Roman" w:hAnsi="Times New Roman" w:eastAsia="宋体" w:cs="Times New Roman"/>
          <w:color w:val="000000" w:themeColor="text1"/>
          <w:w w:val="99"/>
          <w:kern w:val="2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根据本项目拟建管线的规格和长度，试压用水量=π</w:t>
      </w: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管道内径2</w:t>
      </w: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管道长度管线。经计算</w:t>
      </w: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试压水用水量为</w:t>
      </w:r>
      <w:r>
        <w:rPr>
          <w:rFonts w:hint="eastAsia" w:ascii="Times New Roman" w:hAnsi="Times New Roman" w:eastAsia="宋体" w:cs="Times New Roman"/>
          <w:color w:val="000000" w:themeColor="text1"/>
          <w:w w:val="99"/>
          <w:kern w:val="21"/>
          <w:sz w:val="24"/>
          <w:szCs w:val="24"/>
          <w:highlight w:val="none"/>
          <w:lang w:val="en-US" w:eastAsia="zh-CN" w:bidi="ar-SA"/>
          <w14:textFill>
            <w14:solidFill>
              <w14:schemeClr w14:val="tx1"/>
            </w14:solidFill>
          </w14:textFill>
        </w:rPr>
        <w:t>47.4</w:t>
      </w: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t，</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试压废水产生量为用水量的95%，试压废水</w:t>
      </w: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量为</w:t>
      </w:r>
      <w:r>
        <w:rPr>
          <w:rFonts w:hint="eastAsia" w:ascii="Times New Roman" w:hAnsi="Times New Roman" w:eastAsia="宋体" w:cs="Times New Roman"/>
          <w:color w:val="000000" w:themeColor="text1"/>
          <w:w w:val="99"/>
          <w:kern w:val="21"/>
          <w:sz w:val="24"/>
          <w:szCs w:val="24"/>
          <w:highlight w:val="none"/>
          <w:lang w:val="en-US" w:eastAsia="zh-CN" w:bidi="ar-SA"/>
          <w14:textFill>
            <w14:solidFill>
              <w14:schemeClr w14:val="tx1"/>
            </w14:solidFill>
          </w14:textFill>
        </w:rPr>
        <w:t>45.03</w:t>
      </w: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t。</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试压废水</w:t>
      </w: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由罐车收集拉运至葡二联含油污水处理站</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处理后</w:t>
      </w:r>
      <w:r>
        <w:rPr>
          <w:rFonts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回注油层</w:t>
      </w:r>
      <w:r>
        <w:rPr>
          <w:rFonts w:hint="eastAsia" w:ascii="Times New Roman" w:hAnsi="Times New Roman" w:eastAsia="宋体" w:cs="Times New Roman"/>
          <w:color w:val="000000" w:themeColor="text1"/>
          <w:w w:val="99"/>
          <w:kern w:val="21"/>
          <w:sz w:val="24"/>
          <w:szCs w:val="24"/>
          <w:highlight w:val="none"/>
          <w:lang w:val="en-US" w:bidi="ar-SA"/>
          <w14:textFill>
            <w14:solidFill>
              <w14:schemeClr w14:val="tx1"/>
            </w14:solidFill>
          </w14:textFill>
        </w:rPr>
        <w:t>。</w:t>
      </w:r>
    </w:p>
    <w:bookmarkEnd w:id="111"/>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bookmarkStart w:id="112" w:name="_Toc13059819"/>
      <w:bookmarkStart w:id="113" w:name="_Toc5710034"/>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3.4.3.2供电工程</w:t>
      </w:r>
      <w:bookmarkEnd w:id="112"/>
      <w:bookmarkEnd w:id="113"/>
    </w:p>
    <w:p>
      <w:pPr>
        <w:keepNext w:val="0"/>
        <w:keepLines w:val="0"/>
        <w:pageBreakBefore w:val="0"/>
        <w:widowControl w:val="0"/>
        <w:tabs>
          <w:tab w:val="left" w:pos="5262"/>
        </w:tabs>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bookmarkStart w:id="114" w:name="_Toc13059820"/>
      <w:bookmarkStart w:id="115" w:name="_Toc5710035"/>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本项目</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施工现场</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供电由自备柴油发电机组供给</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，运营期</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井场用</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电引自</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油田电网。</w:t>
      </w:r>
    </w:p>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3.4.3.3采暖工程</w:t>
      </w:r>
      <w:bookmarkEnd w:id="114"/>
      <w:bookmarkEnd w:id="115"/>
    </w:p>
    <w:p>
      <w:pPr>
        <w:keepNext w:val="0"/>
        <w:keepLines w:val="0"/>
        <w:pageBreakBefore w:val="0"/>
        <w:widowControl w:val="0"/>
        <w:tabs>
          <w:tab w:val="left" w:pos="5262"/>
        </w:tabs>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bookmarkStart w:id="116" w:name="_Toc11047796"/>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本工程施工期</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不设</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施工营地，不需要供暖。</w:t>
      </w:r>
      <w:bookmarkEnd w:id="116"/>
    </w:p>
    <w:p>
      <w:pPr>
        <w:pStyle w:val="45"/>
        <w:tabs>
          <w:tab w:val="left" w:pos="930"/>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3.4.4 工艺流程和产污环节</w:t>
      </w:r>
    </w:p>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3.4.4.1施工期工艺流程和产污环节分析</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（1）管线施工</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管线施工程序为：测量定线，施工作业带清理，清除障碍物，平整工作带，成品防腐钢管运输，布管、组装焊接，无损探伤，补口及防腐检漏，管沟开挖、下沟，整体试压试压，站间连接，阴极保护，工程验收。</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bCs/>
          <w:color w:val="000000" w:themeColor="text1"/>
          <w:w w:val="99"/>
          <w:sz w:val="24"/>
          <w:szCs w:val="20"/>
          <w:highlight w:val="none"/>
          <w:lang w:val="en-US"/>
          <w14:textFill>
            <w14:solidFill>
              <w14:schemeClr w14:val="tx1"/>
            </w14:solidFill>
          </w14:textFill>
        </w:rPr>
        <w:t>①</w:t>
      </w:r>
      <w:r>
        <w:rPr>
          <w:rFonts w:ascii="Times New Roman" w:hAnsi="Times New Roman" w:cs="Times New Roman"/>
          <w:bCs/>
          <w:color w:val="000000" w:themeColor="text1"/>
          <w:w w:val="99"/>
          <w:sz w:val="24"/>
          <w:szCs w:val="20"/>
          <w:highlight w:val="none"/>
          <w:lang w:val="en-US"/>
          <w14:textFill>
            <w14:solidFill>
              <w14:schemeClr w14:val="tx1"/>
            </w14:solidFill>
          </w14:textFill>
        </w:rPr>
        <w:t>施工作业带清理</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管道施工采用人工开挖和机械开挖相结合的方式施工，施工初期，首先要对施工作业带进行清理和平整，进行布管、开挖管沟及焊接等施工作业。</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在场地清理过程中，施工带范围内的土壤和植被都将受到扰动和破坏，不过其造成的影响仅局限在施工带宽度的范围内。管道施工平面布置图见图3.4-</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5</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p>
    <w:p>
      <w:pPr>
        <w:jc w:val="center"/>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bidi="ar-SA"/>
          <w14:textFill>
            <w14:solidFill>
              <w14:schemeClr w14:val="tx1"/>
            </w14:solidFill>
          </w14:textFill>
        </w:rPr>
        <w:drawing>
          <wp:inline distT="0" distB="0" distL="114300" distR="114300">
            <wp:extent cx="5153025" cy="122872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7"/>
                    <a:stretch>
                      <a:fillRect/>
                    </a:stretch>
                  </pic:blipFill>
                  <pic:spPr>
                    <a:xfrm>
                      <a:off x="0" y="0"/>
                      <a:ext cx="5153025" cy="1228725"/>
                    </a:xfrm>
                    <a:prstGeom prst="rect">
                      <a:avLst/>
                    </a:prstGeom>
                    <a:noFill/>
                    <a:ln>
                      <a:noFill/>
                    </a:ln>
                  </pic:spPr>
                </pic:pic>
              </a:graphicData>
            </a:graphic>
          </wp:inline>
        </w:drawing>
      </w:r>
    </w:p>
    <w:p>
      <w:pPr>
        <w:spacing w:line="440" w:lineRule="exact"/>
        <w:jc w:val="center"/>
        <w:rPr>
          <w:rFonts w:ascii="Times New Roman" w:hAnsi="Times New Roman" w:cs="Times New Roman"/>
          <w:b/>
          <w:bCs w:val="0"/>
          <w:color w:val="000000" w:themeColor="text1"/>
          <w:w w:val="99"/>
          <w:sz w:val="24"/>
          <w:szCs w:val="20"/>
          <w:highlight w:val="none"/>
          <w:lang w:val="en-US"/>
          <w14:textFill>
            <w14:solidFill>
              <w14:schemeClr w14:val="tx1"/>
            </w14:solidFill>
          </w14:textFill>
        </w:rPr>
      </w:pPr>
      <w:r>
        <w:rPr>
          <w:rFonts w:ascii="Times New Roman" w:hAnsi="Times New Roman" w:cs="Times New Roman"/>
          <w:b/>
          <w:bCs w:val="0"/>
          <w:color w:val="000000" w:themeColor="text1"/>
          <w:w w:val="99"/>
          <w:sz w:val="24"/>
          <w:szCs w:val="20"/>
          <w:highlight w:val="none"/>
          <w:lang w:val="en-US"/>
          <w14:textFill>
            <w14:solidFill>
              <w14:schemeClr w14:val="tx1"/>
            </w14:solidFill>
          </w14:textFill>
        </w:rPr>
        <w:t>图3.4-</w:t>
      </w:r>
      <w:r>
        <w:rPr>
          <w:rFonts w:hint="eastAsia" w:ascii="Times New Roman" w:hAnsi="Times New Roman" w:cs="Times New Roman"/>
          <w:b/>
          <w:bCs w:val="0"/>
          <w:color w:val="000000" w:themeColor="text1"/>
          <w:w w:val="99"/>
          <w:sz w:val="24"/>
          <w:szCs w:val="20"/>
          <w:highlight w:val="none"/>
          <w:lang w:val="en-US" w:eastAsia="zh-CN"/>
          <w14:textFill>
            <w14:solidFill>
              <w14:schemeClr w14:val="tx1"/>
            </w14:solidFill>
          </w14:textFill>
        </w:rPr>
        <w:t xml:space="preserve">5    </w:t>
      </w:r>
      <w:r>
        <w:rPr>
          <w:rFonts w:hint="eastAsia" w:ascii="Times New Roman" w:hAnsi="Times New Roman" w:cs="Times New Roman"/>
          <w:b/>
          <w:bCs w:val="0"/>
          <w:color w:val="000000" w:themeColor="text1"/>
          <w:w w:val="99"/>
          <w:sz w:val="24"/>
          <w:szCs w:val="20"/>
          <w:highlight w:val="none"/>
          <w:lang w:val="en-US"/>
          <w14:textFill>
            <w14:solidFill>
              <w14:schemeClr w14:val="tx1"/>
            </w14:solidFill>
          </w14:textFill>
        </w:rPr>
        <w:t xml:space="preserve">    </w:t>
      </w:r>
      <w:r>
        <w:rPr>
          <w:rFonts w:ascii="Times New Roman" w:hAnsi="Times New Roman" w:cs="Times New Roman"/>
          <w:b/>
          <w:bCs w:val="0"/>
          <w:color w:val="000000" w:themeColor="text1"/>
          <w:w w:val="99"/>
          <w:sz w:val="24"/>
          <w:szCs w:val="20"/>
          <w:highlight w:val="none"/>
          <w:lang w:val="en-US"/>
          <w14:textFill>
            <w14:solidFill>
              <w14:schemeClr w14:val="tx1"/>
            </w14:solidFill>
          </w14:textFill>
        </w:rPr>
        <w:t>管道施工平面布置图</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bCs/>
          <w:color w:val="000000" w:themeColor="text1"/>
          <w:w w:val="99"/>
          <w:sz w:val="24"/>
          <w:szCs w:val="20"/>
          <w:highlight w:val="none"/>
          <w:lang w:val="en-US"/>
          <w14:textFill>
            <w14:solidFill>
              <w14:schemeClr w14:val="tx1"/>
            </w14:solidFill>
          </w14:textFill>
        </w:rPr>
        <w:t>②</w:t>
      </w:r>
      <w:r>
        <w:rPr>
          <w:rFonts w:ascii="Times New Roman" w:hAnsi="Times New Roman" w:cs="Times New Roman"/>
          <w:bCs/>
          <w:color w:val="000000" w:themeColor="text1"/>
          <w:w w:val="99"/>
          <w:sz w:val="24"/>
          <w:szCs w:val="20"/>
          <w:highlight w:val="none"/>
          <w:lang w:val="en-US"/>
          <w14:textFill>
            <w14:solidFill>
              <w14:schemeClr w14:val="tx1"/>
            </w14:solidFill>
          </w14:textFill>
        </w:rPr>
        <w:t>管沟敷设</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管道采用沟埋方式敷设，将表层耕植土和下层土分别堆放。管沟回填土应高出地面0.3m，回填时，需先回填下层土，后回填表层耕植土。管道出土端及弯头两侧分层回填夯实；管沟回填后及时进行植被恢复。</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bCs/>
          <w:color w:val="000000" w:themeColor="text1"/>
          <w:w w:val="99"/>
          <w:sz w:val="24"/>
          <w:szCs w:val="20"/>
          <w:highlight w:val="none"/>
          <w:lang w:val="en-US"/>
          <w14:textFill>
            <w14:solidFill>
              <w14:schemeClr w14:val="tx1"/>
            </w14:solidFill>
          </w14:textFill>
        </w:rPr>
        <w:t>③</w:t>
      </w:r>
      <w:r>
        <w:rPr>
          <w:rFonts w:ascii="Times New Roman" w:hAnsi="Times New Roman" w:cs="Times New Roman"/>
          <w:bCs/>
          <w:color w:val="000000" w:themeColor="text1"/>
          <w:w w:val="99"/>
          <w:sz w:val="24"/>
          <w:szCs w:val="20"/>
          <w:highlight w:val="none"/>
          <w:lang w:val="en-US"/>
          <w14:textFill>
            <w14:solidFill>
              <w14:schemeClr w14:val="tx1"/>
            </w14:solidFill>
          </w14:textFill>
        </w:rPr>
        <w:t>穿越</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道路</w:t>
      </w:r>
    </w:p>
    <w:p>
      <w:pPr>
        <w:spacing w:line="440" w:lineRule="exact"/>
        <w:ind w:firstLine="474" w:firstLineChars="200"/>
        <w:jc w:val="both"/>
        <w:rPr>
          <w:rFonts w:hint="default" w:ascii="Times New Roman" w:hAnsi="Times New Roman" w:cs="Times New Roman"/>
          <w:bCs/>
          <w:color w:val="000000" w:themeColor="text1"/>
          <w:w w:val="99"/>
          <w:sz w:val="24"/>
          <w:szCs w:val="2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w w:val="99"/>
          <w:sz w:val="24"/>
          <w:szCs w:val="20"/>
          <w:highlight w:val="none"/>
          <w:lang w:val="en-US"/>
          <w14:textFill>
            <w14:solidFill>
              <w14:schemeClr w14:val="tx1"/>
            </w14:solidFill>
          </w14:textFill>
        </w:rPr>
        <w:t>本项目</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w w:val="99"/>
          <w:sz w:val="24"/>
          <w:szCs w:val="20"/>
          <w:highlight w:val="none"/>
          <w:lang w:val="en-US"/>
          <w14:textFill>
            <w14:solidFill>
              <w14:schemeClr w14:val="tx1"/>
            </w14:solidFill>
          </w14:textFill>
        </w:rPr>
        <w:t>条管线穿越现有道路，</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具体穿越工程情况见表3.4-8。</w:t>
      </w:r>
    </w:p>
    <w:p>
      <w:pPr>
        <w:keepNext/>
        <w:keepLines/>
        <w:spacing w:line="440" w:lineRule="exact"/>
        <w:ind w:firstLine="474" w:firstLineChars="200"/>
        <w:jc w:val="both"/>
        <w:rPr>
          <w:rFonts w:hint="eastAsia" w:eastAsia="宋体"/>
          <w:color w:val="000000" w:themeColor="text1"/>
          <w:highlight w:val="none"/>
          <w:lang w:val="en-US" w:eastAsia="zh-CN"/>
          <w14:textFill>
            <w14:solidFill>
              <w14:schemeClr w14:val="tx1"/>
            </w14:solidFill>
          </w14:textFill>
        </w:rPr>
      </w:pPr>
      <w:r>
        <w:rPr>
          <w:rFonts w:hint="eastAsia" w:ascii="Times New Roman" w:cs="Times New Roman"/>
          <w:bCs/>
          <w:color w:val="000000" w:themeColor="text1"/>
          <w:w w:val="99"/>
          <w:sz w:val="24"/>
          <w:szCs w:val="20"/>
          <w:highlight w:val="none"/>
          <w:lang w:val="en-US" w:eastAsia="zh-CN"/>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表</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3.4-</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 xml:space="preserve">8     </w:t>
      </w:r>
      <w:r>
        <w:rPr>
          <w:rFonts w:hint="eastAsia" w:ascii="Times New Roman" w:hAnsi="Times New Roman" w:cs="Times New Roman"/>
          <w:b/>
          <w:bCs/>
          <w:color w:val="000000" w:themeColor="text1"/>
          <w:w w:val="99"/>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项目管线穿越工程</w:t>
      </w: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情况</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一览表</w:t>
      </w:r>
      <w:r>
        <w:rPr>
          <w:rFonts w:hint="eastAsia" w:ascii="Times New Roman" w:hAnsi="Times New Roman" w:cs="Times New Roman"/>
          <w:b/>
          <w:bCs/>
          <w:color w:val="000000" w:themeColor="text1"/>
          <w:w w:val="99"/>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bidi="ar-SA"/>
          <w14:textFill>
            <w14:solidFill>
              <w14:schemeClr w14:val="tx1"/>
            </w14:solidFill>
          </w14:textFill>
        </w:rPr>
        <w:t xml:space="preserve">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831"/>
        <w:gridCol w:w="2386"/>
        <w:gridCol w:w="2100"/>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序号</w:t>
            </w:r>
          </w:p>
        </w:tc>
        <w:tc>
          <w:tcPr>
            <w:tcW w:w="1831"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穿越管线名称</w:t>
            </w:r>
          </w:p>
        </w:tc>
        <w:tc>
          <w:tcPr>
            <w:tcW w:w="2386"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穿越中心坐标</w:t>
            </w:r>
          </w:p>
        </w:tc>
        <w:tc>
          <w:tcPr>
            <w:tcW w:w="2100"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穿越方式</w:t>
            </w:r>
          </w:p>
        </w:tc>
        <w:tc>
          <w:tcPr>
            <w:tcW w:w="2033"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被穿越工程名称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w:t>
            </w:r>
          </w:p>
        </w:tc>
        <w:tc>
          <w:tcPr>
            <w:tcW w:w="1831"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w w:val="99"/>
                <w:sz w:val="24"/>
                <w:szCs w:val="20"/>
                <w:highlight w:val="none"/>
                <w:lang w:val="en-US"/>
                <w14:textFill>
                  <w14:solidFill>
                    <w14:schemeClr w14:val="tx1"/>
                  </w14:solidFill>
                </w14:textFill>
              </w:rPr>
              <w:t>葡71-更71</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管线</w:t>
            </w:r>
          </w:p>
        </w:tc>
        <w:tc>
          <w:tcPr>
            <w:tcW w:w="2386"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124.70403,46.00241</w:t>
            </w:r>
          </w:p>
        </w:tc>
        <w:tc>
          <w:tcPr>
            <w:tcW w:w="2100" w:type="dxa"/>
            <w:vMerge w:val="restart"/>
            <w:vAlign w:val="center"/>
          </w:tcPr>
          <w:p>
            <w:pPr>
              <w:spacing w:line="440" w:lineRule="exact"/>
              <w:jc w:val="center"/>
              <w:rPr>
                <w:rFonts w:hint="default" w:ascii="Times New Roman" w:hAnsi="Times New Roman" w:eastAsia="宋体" w:cs="Times New Roman"/>
                <w:bCs/>
                <w:color w:val="000000" w:themeColor="text1"/>
                <w:w w:val="99"/>
                <w:sz w:val="24"/>
                <w:szCs w:val="20"/>
                <w:highlight w:val="none"/>
                <w:lang w:val="en-US"/>
                <w14:textFill>
                  <w14:solidFill>
                    <w14:schemeClr w14:val="tx1"/>
                  </w14:solidFill>
                </w14:textFill>
              </w:rPr>
            </w:pPr>
            <w:r>
              <w:rPr>
                <w:rFonts w:hint="default" w:ascii="Times New Roman" w:hAnsi="Times New Roman" w:eastAsia="宋体" w:cs="Times New Roman"/>
                <w:bCs/>
                <w:color w:val="000000" w:themeColor="text1"/>
                <w:w w:val="99"/>
                <w:sz w:val="24"/>
                <w:szCs w:val="20"/>
                <w:highlight w:val="none"/>
                <w:lang w:val="en-US"/>
                <w14:textFill>
                  <w14:solidFill>
                    <w14:schemeClr w14:val="tx1"/>
                  </w14:solidFill>
                </w14:textFill>
              </w:rPr>
              <w:t>钢开穿越</w:t>
            </w:r>
          </w:p>
          <w:p>
            <w:pPr>
              <w:spacing w:line="440" w:lineRule="exact"/>
              <w:jc w:val="center"/>
              <w:rPr>
                <w:rFonts w:hint="default" w:ascii="Times New Roman" w:hAnsi="Times New Roman" w:eastAsia="宋体"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14:textFill>
                  <w14:solidFill>
                    <w14:schemeClr w14:val="tx1"/>
                  </w14:solidFill>
                </w14:textFill>
              </w:rPr>
              <w:t>（钢顶</w:t>
            </w:r>
            <w:r>
              <w:rPr>
                <w:rFonts w:hint="eastAsia" w:ascii="宋体" w:hAnsi="宋体" w:eastAsia="宋体" w:cs="宋体"/>
                <w:color w:val="000000" w:themeColor="text1"/>
                <w:w w:val="99"/>
                <w:sz w:val="21"/>
                <w:szCs w:val="21"/>
                <w:highlight w:val="none"/>
                <w:lang w:val="en-US"/>
                <w14:textFill>
                  <w14:solidFill>
                    <w14:schemeClr w14:val="tx1"/>
                  </w14:solidFill>
                </w14:textFill>
              </w:rPr>
              <w:t>I</w:t>
            </w:r>
            <w:r>
              <w:rPr>
                <w:rFonts w:hint="eastAsia" w:ascii="Times New Roman" w:hAnsi="Times New Roman" w:cs="Times New Roman"/>
                <w:color w:val="000000" w:themeColor="text1"/>
                <w:w w:val="99"/>
                <w:sz w:val="21"/>
                <w:szCs w:val="21"/>
                <w:highlight w:val="none"/>
                <w:lang w:val="en-US"/>
                <w14:textFill>
                  <w14:solidFill>
                    <w14:schemeClr w14:val="tx1"/>
                  </w14:solidFill>
                </w14:textFill>
              </w:rPr>
              <w:t>型</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w w:val="99"/>
                <w:sz w:val="21"/>
                <w:szCs w:val="21"/>
                <w:highlight w:val="none"/>
                <w:lang w:val="en-US"/>
                <w14:textFill>
                  <w14:solidFill>
                    <w14:schemeClr w14:val="tx1"/>
                  </w14:solidFill>
                </w14:textFill>
              </w:rPr>
              <w:t>L=</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4</w:t>
            </w:r>
            <w:r>
              <w:rPr>
                <w:rFonts w:hint="eastAsia" w:ascii="Times New Roman" w:hAnsi="Times New Roman" w:cs="Times New Roman"/>
                <w:color w:val="000000" w:themeColor="text1"/>
                <w:w w:val="99"/>
                <w:sz w:val="21"/>
                <w:szCs w:val="21"/>
                <w:highlight w:val="none"/>
                <w:lang w:val="en-US"/>
                <w14:textFill>
                  <w14:solidFill>
                    <w14:schemeClr w14:val="tx1"/>
                  </w14:solidFill>
                </w14:textFill>
              </w:rPr>
              <w:t>m）</w:t>
            </w:r>
          </w:p>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c>
          <w:tcPr>
            <w:tcW w:w="2033" w:type="dxa"/>
            <w:vMerge w:val="restart"/>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采油七厂通井路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2</w:t>
            </w:r>
          </w:p>
        </w:tc>
        <w:tc>
          <w:tcPr>
            <w:tcW w:w="1831"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w w:val="99"/>
                <w:sz w:val="24"/>
                <w:szCs w:val="20"/>
                <w:highlight w:val="none"/>
                <w:lang w:val="en-US"/>
                <w14:textFill>
                  <w14:solidFill>
                    <w14:schemeClr w14:val="tx1"/>
                  </w14:solidFill>
                </w14:textFill>
              </w:rPr>
              <w:t>葡72-70</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管线</w:t>
            </w:r>
          </w:p>
        </w:tc>
        <w:tc>
          <w:tcPr>
            <w:tcW w:w="2386"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124.70340,46.00210</w:t>
            </w:r>
          </w:p>
        </w:tc>
        <w:tc>
          <w:tcPr>
            <w:tcW w:w="2100"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c>
          <w:tcPr>
            <w:tcW w:w="2033"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3</w:t>
            </w:r>
          </w:p>
        </w:tc>
        <w:tc>
          <w:tcPr>
            <w:tcW w:w="1831"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w w:val="99"/>
                <w:sz w:val="24"/>
                <w:szCs w:val="20"/>
                <w:highlight w:val="none"/>
                <w:lang w:val="en-US"/>
                <w14:textFill>
                  <w14:solidFill>
                    <w14:schemeClr w14:val="tx1"/>
                  </w14:solidFill>
                </w14:textFill>
              </w:rPr>
              <w:t>葡72-6</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w w:val="99"/>
                <w:sz w:val="24"/>
                <w:szCs w:val="20"/>
                <w:highlight w:val="none"/>
                <w:lang w:val="en-US"/>
                <w14:textFill>
                  <w14:solidFill>
                    <w14:schemeClr w14:val="tx1"/>
                  </w14:solidFill>
                </w14:textFill>
              </w:rPr>
              <w:t>2</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管线</w:t>
            </w:r>
          </w:p>
        </w:tc>
        <w:tc>
          <w:tcPr>
            <w:tcW w:w="2386"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124.70115,46.00140</w:t>
            </w:r>
          </w:p>
        </w:tc>
        <w:tc>
          <w:tcPr>
            <w:tcW w:w="2100"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c>
          <w:tcPr>
            <w:tcW w:w="2033"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4</w:t>
            </w:r>
          </w:p>
        </w:tc>
        <w:tc>
          <w:tcPr>
            <w:tcW w:w="1831"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葡70-69管线</w:t>
            </w:r>
          </w:p>
        </w:tc>
        <w:tc>
          <w:tcPr>
            <w:tcW w:w="2386"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124.70303,46.00201</w:t>
            </w:r>
          </w:p>
        </w:tc>
        <w:tc>
          <w:tcPr>
            <w:tcW w:w="2100"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c>
          <w:tcPr>
            <w:tcW w:w="2033"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5</w:t>
            </w:r>
          </w:p>
        </w:tc>
        <w:tc>
          <w:tcPr>
            <w:tcW w:w="1831"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葡71-69管线</w:t>
            </w:r>
          </w:p>
        </w:tc>
        <w:tc>
          <w:tcPr>
            <w:tcW w:w="2386"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124.70263,46.00189</w:t>
            </w:r>
          </w:p>
        </w:tc>
        <w:tc>
          <w:tcPr>
            <w:tcW w:w="2100"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c>
          <w:tcPr>
            <w:tcW w:w="2033"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6</w:t>
            </w:r>
          </w:p>
        </w:tc>
        <w:tc>
          <w:tcPr>
            <w:tcW w:w="1831"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eastAsia="宋体" w:cs="Times New Roman"/>
                <w:bCs/>
                <w:color w:val="000000" w:themeColor="text1"/>
                <w:w w:val="99"/>
                <w:sz w:val="24"/>
                <w:szCs w:val="20"/>
                <w:highlight w:val="none"/>
                <w:lang w:val="en-US" w:eastAsia="zh-CN" w:bidi="zh-CN"/>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葡70-68管线</w:t>
            </w:r>
          </w:p>
        </w:tc>
        <w:tc>
          <w:tcPr>
            <w:tcW w:w="2386"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124.70255,46.00180</w:t>
            </w:r>
          </w:p>
        </w:tc>
        <w:tc>
          <w:tcPr>
            <w:tcW w:w="2100"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c>
          <w:tcPr>
            <w:tcW w:w="2033"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7</w:t>
            </w:r>
          </w:p>
        </w:tc>
        <w:tc>
          <w:tcPr>
            <w:tcW w:w="1831"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eastAsia="宋体" w:cs="Times New Roman"/>
                <w:bCs/>
                <w:color w:val="000000" w:themeColor="text1"/>
                <w:w w:val="99"/>
                <w:sz w:val="24"/>
                <w:szCs w:val="20"/>
                <w:highlight w:val="none"/>
                <w:lang w:val="en-US" w:eastAsia="zh-CN" w:bidi="zh-CN"/>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葡70-692管线</w:t>
            </w:r>
          </w:p>
        </w:tc>
        <w:tc>
          <w:tcPr>
            <w:tcW w:w="2386" w:type="dxa"/>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124.70317,46.002025</w:t>
            </w:r>
          </w:p>
        </w:tc>
        <w:tc>
          <w:tcPr>
            <w:tcW w:w="2100"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c>
          <w:tcPr>
            <w:tcW w:w="2033" w:type="dxa"/>
            <w:vMerge w:val="continue"/>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pPr>
          </w:p>
        </w:tc>
      </w:tr>
    </w:tbl>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bCs/>
          <w:color w:val="000000" w:themeColor="text1"/>
          <w:w w:val="99"/>
          <w:sz w:val="24"/>
          <w:szCs w:val="20"/>
          <w:highlight w:val="none"/>
          <w:lang w:val="en-US"/>
          <w14:textFill>
            <w14:solidFill>
              <w14:schemeClr w14:val="tx1"/>
            </w14:solidFill>
          </w14:textFill>
        </w:rPr>
        <w:t>④</w:t>
      </w:r>
      <w:r>
        <w:rPr>
          <w:rFonts w:ascii="Times New Roman" w:hAnsi="Times New Roman" w:cs="Times New Roman"/>
          <w:bCs/>
          <w:color w:val="000000" w:themeColor="text1"/>
          <w:w w:val="99"/>
          <w:sz w:val="24"/>
          <w:szCs w:val="20"/>
          <w:highlight w:val="none"/>
          <w:lang w:val="en-US"/>
          <w14:textFill>
            <w14:solidFill>
              <w14:schemeClr w14:val="tx1"/>
            </w14:solidFill>
          </w14:textFill>
        </w:rPr>
        <w:t>试压</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用清水进行试压，严密性实验合格后，试压废水</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由罐车</w:t>
      </w:r>
      <w:r>
        <w:rPr>
          <w:rFonts w:ascii="Times New Roman" w:hAnsi="Times New Roman" w:cs="Times New Roman"/>
          <w:bCs/>
          <w:color w:val="000000" w:themeColor="text1"/>
          <w:w w:val="99"/>
          <w:sz w:val="24"/>
          <w:szCs w:val="20"/>
          <w:highlight w:val="none"/>
          <w:lang w:val="en-US"/>
          <w14:textFill>
            <w14:solidFill>
              <w14:schemeClr w14:val="tx1"/>
            </w14:solidFill>
          </w14:textFill>
        </w:rPr>
        <w:t>收集拉运至葡二联含油污水处理站处理后回注。</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bCs/>
          <w:color w:val="000000" w:themeColor="text1"/>
          <w:w w:val="99"/>
          <w:sz w:val="24"/>
          <w:szCs w:val="20"/>
          <w:highlight w:val="none"/>
          <w:lang w:val="en-US"/>
          <w14:textFill>
            <w14:solidFill>
              <w14:schemeClr w14:val="tx1"/>
            </w14:solidFill>
          </w14:textFill>
        </w:rPr>
        <w:t>⑤</w:t>
      </w:r>
      <w:r>
        <w:rPr>
          <w:rFonts w:ascii="Times New Roman" w:hAnsi="Times New Roman" w:cs="Times New Roman"/>
          <w:bCs/>
          <w:color w:val="000000" w:themeColor="text1"/>
          <w:w w:val="99"/>
          <w:sz w:val="24"/>
          <w:szCs w:val="20"/>
          <w:highlight w:val="none"/>
          <w:lang w:val="en-US"/>
          <w14:textFill>
            <w14:solidFill>
              <w14:schemeClr w14:val="tx1"/>
            </w14:solidFill>
          </w14:textFill>
        </w:rPr>
        <w:t>防腐及阴极保护</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提高管道的防腐等级，采用熔结环氧粉末内防腐钢管；管道接头采用一次成型涂料新技术，使用寿命可达30年以上，并采用强制电流阴极保护法。</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bCs/>
          <w:color w:val="000000" w:themeColor="text1"/>
          <w:w w:val="99"/>
          <w:sz w:val="24"/>
          <w:szCs w:val="20"/>
          <w:highlight w:val="none"/>
          <w:lang w:val="en-US"/>
          <w14:textFill>
            <w14:solidFill>
              <w14:schemeClr w14:val="tx1"/>
            </w14:solidFill>
          </w14:textFill>
        </w:rPr>
        <w:t>⑥</w:t>
      </w:r>
      <w:r>
        <w:rPr>
          <w:rFonts w:ascii="Times New Roman" w:hAnsi="Times New Roman" w:cs="Times New Roman"/>
          <w:bCs/>
          <w:color w:val="000000" w:themeColor="text1"/>
          <w:w w:val="99"/>
          <w:sz w:val="24"/>
          <w:szCs w:val="20"/>
          <w:highlight w:val="none"/>
          <w:lang w:val="en-US"/>
          <w14:textFill>
            <w14:solidFill>
              <w14:schemeClr w14:val="tx1"/>
            </w14:solidFill>
          </w14:textFill>
        </w:rPr>
        <w:t>管沟回填</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开挖管沟时在耕植地开挖，将表层耕植土和下层土分别堆放。在可耕植地回填时，需先回填下层土，后回填表层耕植土。管道出土端及弯头两侧分层回填夯实；管沟回填后立即恢复地貌。</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（2）道路施工</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de-DE"/>
          <w14:textFill>
            <w14:solidFill>
              <w14:schemeClr w14:val="tx1"/>
            </w14:solidFill>
          </w14:textFill>
        </w:rPr>
        <w:t>本项目</w:t>
      </w:r>
      <w:r>
        <w:rPr>
          <w:rFonts w:hint="eastAsia" w:ascii="Times New Roman" w:hAnsi="Times New Roman" w:cs="Times New Roman"/>
          <w:bCs/>
          <w:color w:val="000000" w:themeColor="text1"/>
          <w:w w:val="99"/>
          <w:sz w:val="24"/>
          <w:szCs w:val="20"/>
          <w:highlight w:val="none"/>
          <w:lang w:val="de-DE" w:eastAsia="zh-CN"/>
          <w14:textFill>
            <w14:solidFill>
              <w14:schemeClr w14:val="tx1"/>
            </w14:solidFill>
          </w14:textFill>
        </w:rPr>
        <w:t>新建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配注站进站</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砂石</w:t>
      </w:r>
      <w:r>
        <w:rPr>
          <w:rFonts w:ascii="Times New Roman" w:hAnsi="Times New Roman" w:cs="Times New Roman"/>
          <w:bCs/>
          <w:color w:val="000000" w:themeColor="text1"/>
          <w:w w:val="99"/>
          <w:sz w:val="24"/>
          <w:szCs w:val="20"/>
          <w:highlight w:val="none"/>
          <w:lang w:val="en-US"/>
          <w14:textFill>
            <w14:solidFill>
              <w14:schemeClr w14:val="tx1"/>
            </w14:solidFill>
          </w14:textFill>
        </w:rPr>
        <w:t>路</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0.1</w:t>
      </w:r>
      <w:r>
        <w:rPr>
          <w:rFonts w:ascii="Times New Roman" w:hAnsi="Times New Roman" w:cs="Times New Roman"/>
          <w:bCs/>
          <w:color w:val="000000" w:themeColor="text1"/>
          <w:w w:val="99"/>
          <w:sz w:val="24"/>
          <w:szCs w:val="20"/>
          <w:highlight w:val="none"/>
          <w:lang w:val="en-US"/>
          <w14:textFill>
            <w14:solidFill>
              <w14:schemeClr w14:val="tx1"/>
            </w14:solidFill>
          </w14:textFill>
        </w:rPr>
        <w:t>km，</w:t>
      </w:r>
      <w:r>
        <w:rPr>
          <w:rFonts w:hint="eastAsia" w:ascii="Times New Roman" w:hAnsi="Times New Roman" w:cs="Times New Roman"/>
          <w:bCs/>
          <w:color w:val="000000" w:themeColor="text1"/>
          <w:w w:val="99"/>
          <w:sz w:val="24"/>
          <w:szCs w:val="20"/>
          <w:highlight w:val="none"/>
          <w:lang w:val="de-DE" w:eastAsia="zh-CN"/>
          <w14:textFill>
            <w14:solidFill>
              <w14:schemeClr w14:val="tx1"/>
            </w14:solidFill>
          </w14:textFill>
        </w:rPr>
        <w:t>新建道路主要是</w:t>
      </w:r>
      <w:r>
        <w:rPr>
          <w:rFonts w:ascii="Times New Roman" w:hAnsi="Times New Roman" w:cs="Times New Roman"/>
          <w:bCs/>
          <w:color w:val="000000" w:themeColor="text1"/>
          <w:w w:val="99"/>
          <w:sz w:val="24"/>
          <w:szCs w:val="20"/>
          <w:highlight w:val="none"/>
          <w:lang w:val="de-DE"/>
          <w14:textFill>
            <w14:solidFill>
              <w14:schemeClr w14:val="tx1"/>
            </w14:solidFill>
          </w14:textFill>
        </w:rPr>
        <w:t>施工机械作业过程中产生的噪声</w:t>
      </w:r>
      <w:r>
        <w:rPr>
          <w:rFonts w:hint="eastAsia" w:ascii="Times New Roman" w:hAnsi="Times New Roman" w:cs="Times New Roman"/>
          <w:bCs/>
          <w:color w:val="000000" w:themeColor="text1"/>
          <w:w w:val="99"/>
          <w:sz w:val="24"/>
          <w:szCs w:val="20"/>
          <w:highlight w:val="none"/>
          <w:lang w:val="de-DE"/>
          <w14:textFill>
            <w14:solidFill>
              <w14:schemeClr w14:val="tx1"/>
            </w14:solidFill>
          </w14:textFill>
        </w:rPr>
        <w:t>和</w:t>
      </w:r>
      <w:r>
        <w:rPr>
          <w:rFonts w:ascii="Times New Roman" w:hAnsi="Times New Roman" w:cs="Times New Roman"/>
          <w:bCs/>
          <w:color w:val="000000" w:themeColor="text1"/>
          <w:w w:val="99"/>
          <w:sz w:val="24"/>
          <w:szCs w:val="20"/>
          <w:highlight w:val="none"/>
          <w:lang w:val="de-DE"/>
          <w14:textFill>
            <w14:solidFill>
              <w14:schemeClr w14:val="tx1"/>
            </w14:solidFill>
          </w14:textFill>
        </w:rPr>
        <w:t>扬尘。</w:t>
      </w:r>
      <w:r>
        <w:rPr>
          <w:rFonts w:hint="eastAsia" w:ascii="Times New Roman" w:hAnsi="Times New Roman" w:cs="Times New Roman"/>
          <w:bCs/>
          <w:color w:val="000000" w:themeColor="text1"/>
          <w:w w:val="99"/>
          <w:sz w:val="24"/>
          <w:szCs w:val="20"/>
          <w:highlight w:val="none"/>
          <w:lang w:val="de-DE"/>
          <w14:textFill>
            <w14:solidFill>
              <w14:schemeClr w14:val="tx1"/>
            </w14:solidFill>
          </w14:textFill>
        </w:rPr>
        <w:t xml:space="preserve">道路工程施工过程见图 </w:t>
      </w:r>
      <w:r>
        <w:rPr>
          <w:rFonts w:ascii="Times New Roman" w:hAnsi="Times New Roman" w:cs="Times New Roman"/>
          <w:bCs/>
          <w:color w:val="000000" w:themeColor="text1"/>
          <w:w w:val="99"/>
          <w:sz w:val="24"/>
          <w:szCs w:val="20"/>
          <w:highlight w:val="none"/>
          <w:lang w:val="de-DE"/>
          <w14:textFill>
            <w14:solidFill>
              <w14:schemeClr w14:val="tx1"/>
            </w14:solidFill>
          </w14:textFill>
        </w:rPr>
        <w:t>3.4-</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6</w:t>
      </w:r>
      <w:r>
        <w:rPr>
          <w:rFonts w:hint="eastAsia" w:ascii="Times New Roman" w:hAnsi="Times New Roman" w:cs="Times New Roman"/>
          <w:bCs/>
          <w:color w:val="000000" w:themeColor="text1"/>
          <w:w w:val="99"/>
          <w:sz w:val="24"/>
          <w:szCs w:val="20"/>
          <w:highlight w:val="none"/>
          <w:lang w:val="de-DE"/>
          <w14:textFill>
            <w14:solidFill>
              <w14:schemeClr w14:val="tx1"/>
            </w14:solidFill>
          </w14:textFill>
        </w:rPr>
        <w:t>。</w:t>
      </w:r>
    </w:p>
    <w:p>
      <w:pPr>
        <w:jc w:val="center"/>
        <w:rPr>
          <w:rFonts w:hint="eastAsia" w:ascii="Times New Roman" w:hAnsi="Times New Roman" w:eastAsia="宋体" w:cs="Times New Roman"/>
          <w:bCs/>
          <w:color w:val="000000" w:themeColor="text1"/>
          <w:w w:val="99"/>
          <w:sz w:val="24"/>
          <w:szCs w:val="20"/>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w w:val="99"/>
          <w:sz w:val="24"/>
          <w:szCs w:val="20"/>
          <w:highlight w:val="none"/>
          <w:lang w:val="en-US" w:eastAsia="zh-CN"/>
          <w14:textFill>
            <w14:solidFill>
              <w14:schemeClr w14:val="tx1"/>
            </w14:solidFill>
          </w14:textFill>
        </w:rPr>
        <w:drawing>
          <wp:inline distT="0" distB="0" distL="114300" distR="114300">
            <wp:extent cx="4991100" cy="1438275"/>
            <wp:effectExtent l="0" t="0" r="0" b="0"/>
            <wp:docPr id="71" name="图片 71" descr="未命名文件(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未命名文件(5)"/>
                    <pic:cNvPicPr>
                      <a:picLocks noChangeAspect="1"/>
                    </pic:cNvPicPr>
                  </pic:nvPicPr>
                  <pic:blipFill>
                    <a:blip r:embed="rId28"/>
                    <a:stretch>
                      <a:fillRect/>
                    </a:stretch>
                  </pic:blipFill>
                  <pic:spPr>
                    <a:xfrm>
                      <a:off x="0" y="0"/>
                      <a:ext cx="4991100" cy="1438275"/>
                    </a:xfrm>
                    <a:prstGeom prst="rect">
                      <a:avLst/>
                    </a:prstGeom>
                  </pic:spPr>
                </pic:pic>
              </a:graphicData>
            </a:graphic>
          </wp:inline>
        </w:drawing>
      </w:r>
    </w:p>
    <w:p>
      <w:pPr>
        <w:spacing w:line="440" w:lineRule="exact"/>
        <w:jc w:val="center"/>
        <w:rPr>
          <w:rFonts w:ascii="Times New Roman" w:hAnsi="Times New Roman" w:cs="Times New Roman"/>
          <w:b/>
          <w:bCs w:val="0"/>
          <w:color w:val="000000" w:themeColor="text1"/>
          <w:w w:val="99"/>
          <w:sz w:val="24"/>
          <w:szCs w:val="20"/>
          <w:highlight w:val="none"/>
          <w:lang w:val="en-US"/>
          <w14:textFill>
            <w14:solidFill>
              <w14:schemeClr w14:val="tx1"/>
            </w14:solidFill>
          </w14:textFill>
        </w:rPr>
      </w:pPr>
      <w:r>
        <w:rPr>
          <w:rFonts w:ascii="Times New Roman" w:hAnsi="Times New Roman" w:cs="Times New Roman"/>
          <w:b/>
          <w:bCs w:val="0"/>
          <w:color w:val="000000" w:themeColor="text1"/>
          <w:w w:val="99"/>
          <w:sz w:val="24"/>
          <w:szCs w:val="20"/>
          <w:highlight w:val="none"/>
          <w:lang w:val="en-US"/>
          <w14:textFill>
            <w14:solidFill>
              <w14:schemeClr w14:val="tx1"/>
            </w14:solidFill>
          </w14:textFill>
        </w:rPr>
        <w:t>图3.4-</w:t>
      </w:r>
      <w:r>
        <w:rPr>
          <w:rFonts w:hint="eastAsia" w:ascii="Times New Roman" w:hAnsi="Times New Roman" w:cs="Times New Roman"/>
          <w:b/>
          <w:bCs w:val="0"/>
          <w:color w:val="000000" w:themeColor="text1"/>
          <w:w w:val="99"/>
          <w:sz w:val="24"/>
          <w:szCs w:val="20"/>
          <w:highlight w:val="none"/>
          <w:lang w:val="en-US" w:eastAsia="zh-CN"/>
          <w14:textFill>
            <w14:solidFill>
              <w14:schemeClr w14:val="tx1"/>
            </w14:solidFill>
          </w14:textFill>
        </w:rPr>
        <w:t>6</w:t>
      </w:r>
      <w:r>
        <w:rPr>
          <w:rFonts w:hint="eastAsia" w:ascii="Times New Roman" w:hAnsi="Times New Roman" w:cs="Times New Roman"/>
          <w:b/>
          <w:bCs w:val="0"/>
          <w:color w:val="000000" w:themeColor="text1"/>
          <w:w w:val="99"/>
          <w:sz w:val="24"/>
          <w:szCs w:val="20"/>
          <w:highlight w:val="none"/>
          <w:lang w:val="en-US"/>
          <w14:textFill>
            <w14:solidFill>
              <w14:schemeClr w14:val="tx1"/>
            </w14:solidFill>
          </w14:textFill>
        </w:rPr>
        <w:t xml:space="preserve">   </w:t>
      </w:r>
      <w:r>
        <w:rPr>
          <w:rFonts w:ascii="Times New Roman" w:hAnsi="Times New Roman" w:cs="Times New Roman"/>
          <w:b/>
          <w:bCs w:val="0"/>
          <w:color w:val="000000" w:themeColor="text1"/>
          <w:w w:val="99"/>
          <w:sz w:val="24"/>
          <w:szCs w:val="20"/>
          <w:highlight w:val="none"/>
          <w:lang w:val="en-US"/>
          <w14:textFill>
            <w14:solidFill>
              <w14:schemeClr w14:val="tx1"/>
            </w14:solidFill>
          </w14:textFill>
        </w:rPr>
        <w:t>道路施工流程图</w:t>
      </w:r>
    </w:p>
    <w:p>
      <w:pPr>
        <w:spacing w:line="440" w:lineRule="exact"/>
        <w:outlineLvl w:val="3"/>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default"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3.4.4.2运行期工艺流程和产污节点分析</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hint="eastAsia"/>
          <w:bCs/>
          <w:color w:val="000000" w:themeColor="text1"/>
          <w:w w:val="99"/>
          <w:sz w:val="24"/>
          <w:szCs w:val="20"/>
          <w:highlight w:val="none"/>
          <w:lang w:val="en-US"/>
          <w14:textFill>
            <w14:solidFill>
              <w14:schemeClr w14:val="tx1"/>
            </w14:solidFill>
          </w14:textFill>
        </w:rPr>
        <w:t>①</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正常工况</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本工程运行期正常工况主要环境影响因素为原油集输过程中挥发的烃类气体，</w:t>
      </w:r>
      <w:r>
        <w:rPr>
          <w:rFonts w:hint="eastAsia" w:ascii="Times New Roman" w:hAnsi="Times New Roman" w:cs="Times New Roman"/>
          <w:color w:val="000000" w:themeColor="text1"/>
          <w:w w:val="99"/>
          <w:kern w:val="2"/>
          <w:sz w:val="24"/>
          <w:szCs w:val="24"/>
          <w:highlight w:val="none"/>
          <w:lang w:bidi="ar-SA"/>
          <w14:textFill>
            <w14:solidFill>
              <w14:schemeClr w14:val="tx1"/>
            </w14:solidFill>
          </w14:textFill>
        </w:rPr>
        <w:t>依托场站</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加热炉烟气；井场抽油机产生的噪声</w:t>
      </w:r>
      <w:r>
        <w:rPr>
          <w:rFonts w:hint="eastAsia" w:ascii="Times New Roman" w:hAnsi="Times New Roman" w:cs="Times New Roman"/>
          <w:color w:val="000000" w:themeColor="text1"/>
          <w:w w:val="99"/>
          <w:kern w:val="2"/>
          <w:sz w:val="24"/>
          <w:szCs w:val="24"/>
          <w:highlight w:val="none"/>
          <w:lang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依托场站机泵噪声；油气集输产液脱水处理后产生的含油污泥等。</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hint="eastAsia"/>
          <w:bCs/>
          <w:color w:val="000000" w:themeColor="text1"/>
          <w:w w:val="99"/>
          <w:sz w:val="24"/>
          <w:szCs w:val="20"/>
          <w:highlight w:val="none"/>
          <w:lang w:val="en-US"/>
          <w14:textFill>
            <w14:solidFill>
              <w14:schemeClr w14:val="tx1"/>
            </w14:solidFill>
          </w14:textFill>
        </w:rPr>
        <w:t>②</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非正常工况</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本工程运行期非正常工况主要环境影响因素为油井作业产生的</w:t>
      </w:r>
      <w:r>
        <w:rPr>
          <w:rFonts w:hint="eastAsia" w:ascii="Times New Roman" w:hAnsi="Times New Roman" w:cs="Times New Roman"/>
          <w:color w:val="000000" w:themeColor="text1"/>
          <w:w w:val="99"/>
          <w:kern w:val="2"/>
          <w:sz w:val="24"/>
          <w:szCs w:val="24"/>
          <w:highlight w:val="none"/>
          <w:lang w:bidi="ar-SA"/>
          <w14:textFill>
            <w14:solidFill>
              <w14:schemeClr w14:val="tx1"/>
            </w14:solidFill>
          </w14:textFill>
        </w:rPr>
        <w:t>作业废水</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，油井清防蜡废水、</w:t>
      </w:r>
      <w:r>
        <w:rPr>
          <w:rFonts w:hint="eastAsia" w:ascii="Times New Roman" w:hAnsi="Times New Roman" w:cs="Times New Roman"/>
          <w:color w:val="000000" w:themeColor="text1"/>
          <w:w w:val="99"/>
          <w:kern w:val="2"/>
          <w:sz w:val="24"/>
          <w:szCs w:val="24"/>
          <w:highlight w:val="none"/>
          <w:lang w:bidi="ar-SA"/>
          <w14:textFill>
            <w14:solidFill>
              <w14:schemeClr w14:val="tx1"/>
            </w14:solidFill>
          </w14:textFill>
        </w:rPr>
        <w:t>井场</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落地油等。</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本项目运营期工艺流程及产污节点见图</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3.4-</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7</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adjustRightInd w:val="0"/>
        <w:snapToGrid w:val="0"/>
        <w:jc w:val="center"/>
        <w:rPr>
          <w:rFonts w:hint="eastAsia" w:ascii="Times New Roman" w:hAnsi="Times New Roman" w:eastAsia="宋体" w:cs="Times New Roman"/>
          <w:color w:val="000000" w:themeColor="text1"/>
          <w:w w:val="99"/>
          <w:kern w:val="2"/>
          <w:sz w:val="24"/>
          <w:szCs w:val="24"/>
          <w:highlight w:val="none"/>
          <w:lang w:eastAsia="zh-CN" w:bidi="ar-SA"/>
          <w14:textFill>
            <w14:solidFill>
              <w14:schemeClr w14:val="tx1"/>
            </w14:solidFill>
          </w14:textFill>
        </w:rPr>
      </w:pPr>
      <w:r>
        <w:rPr>
          <w:rFonts w:hint="eastAsia" w:ascii="Times New Roman" w:hAnsi="Times New Roman" w:eastAsia="宋体" w:cs="Times New Roman"/>
          <w:color w:val="000000" w:themeColor="text1"/>
          <w:w w:val="99"/>
          <w:kern w:val="2"/>
          <w:sz w:val="24"/>
          <w:szCs w:val="24"/>
          <w:highlight w:val="none"/>
          <w:lang w:eastAsia="zh-CN" w:bidi="ar-SA"/>
          <w14:textFill>
            <w14:solidFill>
              <w14:schemeClr w14:val="tx1"/>
            </w14:solidFill>
          </w14:textFill>
        </w:rPr>
        <w:drawing>
          <wp:inline distT="0" distB="0" distL="114300" distR="114300">
            <wp:extent cx="5758815" cy="1958975"/>
            <wp:effectExtent l="0" t="0" r="13335" b="3175"/>
            <wp:docPr id="2" name="图片 2"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艺流程图"/>
                    <pic:cNvPicPr>
                      <a:picLocks noChangeAspect="1"/>
                    </pic:cNvPicPr>
                  </pic:nvPicPr>
                  <pic:blipFill>
                    <a:blip r:embed="rId29"/>
                    <a:stretch>
                      <a:fillRect/>
                    </a:stretch>
                  </pic:blipFill>
                  <pic:spPr>
                    <a:xfrm>
                      <a:off x="0" y="0"/>
                      <a:ext cx="5758815" cy="1958975"/>
                    </a:xfrm>
                    <a:prstGeom prst="rect">
                      <a:avLst/>
                    </a:prstGeom>
                  </pic:spPr>
                </pic:pic>
              </a:graphicData>
            </a:graphic>
          </wp:inline>
        </w:drawing>
      </w:r>
    </w:p>
    <w:p>
      <w:pPr>
        <w:autoSpaceDE/>
        <w:autoSpaceDN/>
        <w:adjustRightInd w:val="0"/>
        <w:snapToGrid w:val="0"/>
        <w:spacing w:line="440" w:lineRule="exact"/>
        <w:jc w:val="center"/>
        <w:rPr>
          <w:rFonts w:hint="default" w:ascii="Times New Roman" w:hAnsi="Times New Roman" w:cs="Times New Roman"/>
          <w:b/>
          <w:bCs/>
          <w:color w:val="000000" w:themeColor="text1"/>
          <w:w w:val="99"/>
          <w:kern w:val="2"/>
          <w:sz w:val="24"/>
          <w:szCs w:val="24"/>
          <w:highlight w:val="none"/>
          <w:lang w:bidi="ar-SA"/>
          <w14:textFill>
            <w14:solidFill>
              <w14:schemeClr w14:val="tx1"/>
            </w14:solidFill>
          </w14:textFill>
        </w:rPr>
      </w:pPr>
      <w:r>
        <w:rPr>
          <w:rFonts w:hint="default" w:ascii="Times New Roman" w:hAnsi="Times New Roman" w:cs="Times New Roman"/>
          <w:b/>
          <w:bCs/>
          <w:color w:val="000000" w:themeColor="text1"/>
          <w:w w:val="99"/>
          <w:kern w:val="2"/>
          <w:sz w:val="24"/>
          <w:szCs w:val="24"/>
          <w:highlight w:val="none"/>
          <w:lang w:bidi="ar-SA"/>
          <w14:textFill>
            <w14:solidFill>
              <w14:schemeClr w14:val="tx1"/>
            </w14:solidFill>
          </w14:textFill>
        </w:rPr>
        <w:t>图</w:t>
      </w:r>
      <w:r>
        <w:rPr>
          <w:rFonts w:hint="default" w:ascii="Times New Roman" w:hAnsi="Times New Roman" w:cs="Times New Roman"/>
          <w:b/>
          <w:bCs/>
          <w:color w:val="000000" w:themeColor="text1"/>
          <w:w w:val="99"/>
          <w:kern w:val="2"/>
          <w:sz w:val="24"/>
          <w:szCs w:val="24"/>
          <w:highlight w:val="none"/>
          <w:lang w:val="en-US" w:bidi="ar-SA"/>
          <w14:textFill>
            <w14:solidFill>
              <w14:schemeClr w14:val="tx1"/>
            </w14:solidFill>
          </w14:textFill>
        </w:rPr>
        <w:t>3.4-</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7</w:t>
      </w:r>
      <w:r>
        <w:rPr>
          <w:rFonts w:hint="default"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default" w:ascii="Times New Roman" w:hAnsi="Times New Roman" w:cs="Times New Roman"/>
          <w:b/>
          <w:bCs/>
          <w:color w:val="000000" w:themeColor="text1"/>
          <w:w w:val="99"/>
          <w:kern w:val="2"/>
          <w:sz w:val="24"/>
          <w:szCs w:val="24"/>
          <w:highlight w:val="none"/>
          <w:lang w:bidi="ar-SA"/>
          <w14:textFill>
            <w14:solidFill>
              <w14:schemeClr w14:val="tx1"/>
            </w14:solidFill>
          </w14:textFill>
        </w:rPr>
        <w:t>运营期总工艺流程及产污节点</w:t>
      </w:r>
    </w:p>
    <w:p>
      <w:pPr>
        <w:pStyle w:val="45"/>
        <w:tabs>
          <w:tab w:val="left" w:pos="930"/>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3.4.5 环境影响因素识别</w:t>
      </w:r>
    </w:p>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3.4.5.1污染影响因素识别</w:t>
      </w:r>
    </w:p>
    <w:p>
      <w:pPr>
        <w:widowControl/>
        <w:autoSpaceDE/>
        <w:autoSpaceDN/>
        <w:spacing w:line="500" w:lineRule="exact"/>
        <w:ind w:firstLine="474" w:firstLineChars="200"/>
        <w:jc w:val="both"/>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ascii="Times New Roman" w:hAnsi="Times New Roman" w:cs="Times New Roman"/>
          <w:color w:val="000000" w:themeColor="text1"/>
          <w:w w:val="99"/>
          <w:sz w:val="24"/>
          <w:szCs w:val="24"/>
          <w:highlight w:val="none"/>
          <w:lang w:val="en-US" w:bidi="ar-SA"/>
          <w14:textFill>
            <w14:solidFill>
              <w14:schemeClr w14:val="tx1"/>
            </w14:solidFill>
          </w14:textFill>
        </w:rPr>
        <w:t>根据</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项目</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施工</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活动</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施工期</w:t>
      </w:r>
      <w:r>
        <w:rPr>
          <w:rFonts w:ascii="Times New Roman" w:hAnsi="Times New Roman" w:cs="Times New Roman"/>
          <w:color w:val="000000" w:themeColor="text1"/>
          <w:w w:val="99"/>
          <w:sz w:val="24"/>
          <w:szCs w:val="24"/>
          <w:highlight w:val="none"/>
          <w:lang w:val="en-US" w:bidi="ar-SA"/>
          <w14:textFill>
            <w14:solidFill>
              <w14:schemeClr w14:val="tx1"/>
            </w14:solidFill>
          </w14:textFill>
        </w:rPr>
        <w:t>环境影响识别见表3.4-</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8</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p>
    <w:p>
      <w:pPr>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表3.4-</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8</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施工</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期</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环境影响识别</w:t>
      </w:r>
    </w:p>
    <w:tbl>
      <w:tblPr>
        <w:tblStyle w:val="32"/>
        <w:tblW w:w="908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3119"/>
        <w:gridCol w:w="3118"/>
        <w:gridCol w:w="15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4" w:hRule="atLeast"/>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时段</w:t>
            </w:r>
          </w:p>
        </w:tc>
        <w:tc>
          <w:tcPr>
            <w:tcW w:w="311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主要</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内容</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主要环境影响因素</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影响因子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管线</w:t>
            </w:r>
          </w:p>
        </w:tc>
        <w:tc>
          <w:tcPr>
            <w:tcW w:w="311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注入管线</w:t>
            </w:r>
            <w:r>
              <w:rPr>
                <w:rFonts w:ascii="Times New Roman" w:hAnsi="Times New Roman" w:cs="Times New Roman"/>
                <w:color w:val="000000" w:themeColor="text1"/>
                <w:w w:val="99"/>
                <w:sz w:val="21"/>
                <w:szCs w:val="21"/>
                <w:highlight w:val="none"/>
                <w:lang w:val="en-US" w:bidi="ar-SA"/>
                <w14:textFill>
                  <w14:solidFill>
                    <w14:schemeClr w14:val="tx1"/>
                  </w14:solidFill>
                </w14:textFill>
              </w:rPr>
              <w:t>管沟开挖</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、管线</w:t>
            </w:r>
            <w:r>
              <w:rPr>
                <w:rFonts w:ascii="Times New Roman" w:hAnsi="Times New Roman" w:cs="Times New Roman"/>
                <w:color w:val="000000" w:themeColor="text1"/>
                <w:w w:val="99"/>
                <w:sz w:val="21"/>
                <w:szCs w:val="21"/>
                <w:highlight w:val="none"/>
                <w:lang w:val="en-US" w:bidi="ar-SA"/>
                <w14:textFill>
                  <w14:solidFill>
                    <w14:schemeClr w14:val="tx1"/>
                  </w14:solidFill>
                </w14:textFill>
              </w:rPr>
              <w:t>敷设、回填等</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活动，</w:t>
            </w:r>
            <w:r>
              <w:rPr>
                <w:rFonts w:ascii="Times New Roman" w:hAnsi="Times New Roman" w:cs="Times New Roman"/>
                <w:color w:val="000000" w:themeColor="text1"/>
                <w:w w:val="99"/>
                <w:sz w:val="21"/>
                <w:szCs w:val="21"/>
                <w:highlight w:val="none"/>
                <w:lang w:val="en-US" w:bidi="ar-SA"/>
                <w14:textFill>
                  <w14:solidFill>
                    <w14:schemeClr w14:val="tx1"/>
                  </w14:solidFill>
                </w14:textFill>
              </w:rPr>
              <w:t>管线焊接和试压</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产生</w:t>
            </w:r>
            <w:r>
              <w:rPr>
                <w:rFonts w:ascii="Times New Roman" w:hAnsi="Times New Roman" w:cs="Times New Roman"/>
                <w:color w:val="000000" w:themeColor="text1"/>
                <w:w w:val="99"/>
                <w:sz w:val="21"/>
                <w:szCs w:val="21"/>
                <w:highlight w:val="none"/>
                <w:lang w:val="en-US" w:bidi="ar-SA"/>
                <w14:textFill>
                  <w14:solidFill>
                    <w14:schemeClr w14:val="tx1"/>
                  </w14:solidFill>
                </w14:textFill>
              </w:rPr>
              <w:t>扬尘</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、焊接烟尘</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、废水和噪声污染</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TSP、SS、</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噪声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2" w:hRule="atLeast"/>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道路</w:t>
            </w:r>
          </w:p>
        </w:tc>
        <w:tc>
          <w:tcPr>
            <w:tcW w:w="311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原有</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通井土路改造</w:t>
            </w:r>
            <w:r>
              <w:rPr>
                <w:rFonts w:ascii="Times New Roman" w:hAnsi="Times New Roman" w:cs="Times New Roman"/>
                <w:color w:val="000000" w:themeColor="text1"/>
                <w:w w:val="99"/>
                <w:sz w:val="21"/>
                <w:szCs w:val="21"/>
                <w:highlight w:val="none"/>
                <w:lang w:val="en-US" w:bidi="ar-SA"/>
                <w14:textFill>
                  <w14:solidFill>
                    <w14:schemeClr w14:val="tx1"/>
                  </w14:solidFill>
                </w14:textFill>
              </w:rPr>
              <w:t>等施工活动</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产生</w:t>
            </w:r>
            <w:r>
              <w:rPr>
                <w:rFonts w:ascii="Times New Roman" w:hAnsi="Times New Roman" w:cs="Times New Roman"/>
                <w:color w:val="000000" w:themeColor="text1"/>
                <w:w w:val="99"/>
                <w:sz w:val="21"/>
                <w:szCs w:val="21"/>
                <w:highlight w:val="none"/>
                <w:lang w:val="en-US" w:bidi="ar-SA"/>
                <w14:textFill>
                  <w14:solidFill>
                    <w14:schemeClr w14:val="tx1"/>
                  </w14:solidFill>
                </w14:textFill>
              </w:rPr>
              <w:t>扬尘</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噪声</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和</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建筑垃圾</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TSP、</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噪声</w:t>
            </w:r>
          </w:p>
        </w:tc>
      </w:tr>
    </w:tbl>
    <w:p>
      <w:pPr>
        <w:widowControl/>
        <w:autoSpaceDE/>
        <w:autoSpaceDN/>
        <w:spacing w:line="500" w:lineRule="exact"/>
        <w:ind w:firstLine="474" w:firstLineChars="200"/>
        <w:jc w:val="both"/>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ascii="Times New Roman" w:hAnsi="Times New Roman" w:cs="Times New Roman"/>
          <w:color w:val="000000" w:themeColor="text1"/>
          <w:w w:val="99"/>
          <w:sz w:val="24"/>
          <w:szCs w:val="24"/>
          <w:highlight w:val="none"/>
          <w:lang w:val="en-US" w:bidi="ar-SA"/>
          <w14:textFill>
            <w14:solidFill>
              <w14:schemeClr w14:val="tx1"/>
            </w14:solidFill>
          </w14:textFill>
        </w:rPr>
        <w:t>根据</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工程运行状况</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项运营期</w:t>
      </w:r>
      <w:r>
        <w:rPr>
          <w:rFonts w:ascii="Times New Roman" w:hAnsi="Times New Roman" w:cs="Times New Roman"/>
          <w:color w:val="000000" w:themeColor="text1"/>
          <w:w w:val="99"/>
          <w:sz w:val="24"/>
          <w:szCs w:val="24"/>
          <w:highlight w:val="none"/>
          <w:lang w:val="en-US" w:bidi="ar-SA"/>
          <w14:textFill>
            <w14:solidFill>
              <w14:schemeClr w14:val="tx1"/>
            </w14:solidFill>
          </w14:textFill>
        </w:rPr>
        <w:t>环境影响识别见表3.4-</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9</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p>
    <w:p>
      <w:pPr>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表3.4-</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9</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运营期</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环境影响识别</w:t>
      </w:r>
    </w:p>
    <w:tbl>
      <w:tblPr>
        <w:tblStyle w:val="32"/>
        <w:tblW w:w="908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3119"/>
        <w:gridCol w:w="3118"/>
        <w:gridCol w:w="15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4" w:hRule="atLeast"/>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时段</w:t>
            </w:r>
          </w:p>
        </w:tc>
        <w:tc>
          <w:tcPr>
            <w:tcW w:w="311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主要</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内容</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主要环境影响因素</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影响因子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1" w:hRule="atLeast"/>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井场</w:t>
            </w:r>
          </w:p>
        </w:tc>
        <w:tc>
          <w:tcPr>
            <w:tcW w:w="3119"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挥发非甲烷总烃</w:t>
            </w:r>
            <w:r>
              <w:rPr>
                <w:rFonts w:ascii="Times New Roman" w:hAnsi="Times New Roman" w:cs="Times New Roman"/>
                <w:color w:val="000000" w:themeColor="text1"/>
                <w:w w:val="99"/>
                <w:sz w:val="21"/>
                <w:szCs w:val="21"/>
                <w:highlight w:val="none"/>
                <w:lang w:val="en-US" w:bidi="ar-SA"/>
                <w14:textFill>
                  <w14:solidFill>
                    <w14:schemeClr w14:val="tx1"/>
                  </w14:solidFill>
                </w14:textFill>
              </w:rPr>
              <w:t>、作业废水、</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抽油机噪声</w:t>
            </w:r>
            <w:r>
              <w:rPr>
                <w:rFonts w:ascii="Times New Roman" w:hAnsi="Times New Roman" w:cs="Times New Roman"/>
                <w:color w:val="000000" w:themeColor="text1"/>
                <w:w w:val="99"/>
                <w:sz w:val="21"/>
                <w:szCs w:val="21"/>
                <w:highlight w:val="none"/>
                <w:lang w:val="en-US" w:bidi="ar-SA"/>
                <w14:textFill>
                  <w14:solidFill>
                    <w14:schemeClr w14:val="tx1"/>
                  </w14:solidFill>
                </w14:textFill>
              </w:rPr>
              <w:t>、井场落地油等</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产生废气、废水</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、噪声污染</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非甲烷总烃、石油类</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、噪声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2" w:hRule="atLeast"/>
        </w:trPr>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依托场站</w:t>
            </w:r>
          </w:p>
        </w:tc>
        <w:tc>
          <w:tcPr>
            <w:tcW w:w="311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加热炉烟气、</w:t>
            </w:r>
            <w:r>
              <w:rPr>
                <w:rFonts w:ascii="Times New Roman" w:hAnsi="Times New Roman" w:cs="Times New Roman"/>
                <w:color w:val="000000" w:themeColor="text1"/>
                <w:w w:val="99"/>
                <w:sz w:val="21"/>
                <w:szCs w:val="21"/>
                <w:highlight w:val="none"/>
                <w:lang w:val="en-US" w:bidi="ar-SA"/>
                <w14:textFill>
                  <w14:solidFill>
                    <w14:schemeClr w14:val="tx1"/>
                  </w14:solidFill>
                </w14:textFill>
              </w:rPr>
              <w:t>无组织非甲烷总烃</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、机泵</w:t>
            </w:r>
            <w:r>
              <w:rPr>
                <w:rFonts w:ascii="Times New Roman" w:hAnsi="Times New Roman" w:cs="Times New Roman"/>
                <w:color w:val="000000" w:themeColor="text1"/>
                <w:w w:val="99"/>
                <w:sz w:val="21"/>
                <w:szCs w:val="21"/>
                <w:highlight w:val="none"/>
                <w:lang w:val="en-US" w:bidi="ar-SA"/>
                <w14:textFill>
                  <w14:solidFill>
                    <w14:schemeClr w14:val="tx1"/>
                  </w14:solidFill>
                </w14:textFill>
              </w:rPr>
              <w:t>等设备噪声</w:t>
            </w:r>
          </w:p>
        </w:tc>
        <w:tc>
          <w:tcPr>
            <w:tcW w:w="311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产生废气、</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噪声</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非甲烷总烃、石油类</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、噪声</w:t>
            </w:r>
          </w:p>
        </w:tc>
      </w:tr>
    </w:tbl>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3.4.5.2 生态影响因素识别</w:t>
      </w:r>
    </w:p>
    <w:p>
      <w:pPr>
        <w:keepNext w:val="0"/>
        <w:keepLines w:val="0"/>
        <w:pageBreakBefore w:val="0"/>
        <w:widowControl w:val="0"/>
        <w:kinsoku/>
        <w:wordWrap/>
        <w:overflowPunct/>
        <w:topLinePunct w:val="0"/>
        <w:autoSpaceDE/>
        <w:autoSpaceDN/>
        <w:bidi w:val="0"/>
        <w:adjustRightInd w:val="0"/>
        <w:snapToGrid w:val="0"/>
        <w:spacing w:line="440" w:lineRule="exact"/>
        <w:ind w:firstLine="474" w:firstLineChars="200"/>
        <w:jc w:val="both"/>
        <w:textAlignment w:val="auto"/>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本工程建设对生态的影响主要在施工期，其不利影响主要表现为：场地平整、管沟开挖、施工机械、车辆和人员践踏等活动造成土壤扰动和植被的破坏。这种影响是短期可逆的。</w:t>
      </w:r>
    </w:p>
    <w:p>
      <w:pPr>
        <w:keepNext w:val="0"/>
        <w:keepLines w:val="0"/>
        <w:pageBreakBefore w:val="0"/>
        <w:widowControl w:val="0"/>
        <w:kinsoku/>
        <w:wordWrap/>
        <w:overflowPunct/>
        <w:topLinePunct w:val="0"/>
        <w:autoSpaceDE/>
        <w:autoSpaceDN/>
        <w:bidi w:val="0"/>
        <w:adjustRightInd w:val="0"/>
        <w:snapToGrid w:val="0"/>
        <w:spacing w:line="440" w:lineRule="exact"/>
        <w:ind w:firstLine="474" w:firstLineChars="200"/>
        <w:jc w:val="both"/>
        <w:textAlignment w:val="auto"/>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）管道敷设</w:t>
      </w:r>
    </w:p>
    <w:p>
      <w:pPr>
        <w:keepNext w:val="0"/>
        <w:keepLines w:val="0"/>
        <w:pageBreakBefore w:val="0"/>
        <w:widowControl w:val="0"/>
        <w:kinsoku/>
        <w:wordWrap/>
        <w:overflowPunct/>
        <w:topLinePunct w:val="0"/>
        <w:autoSpaceDE/>
        <w:autoSpaceDN/>
        <w:bidi w:val="0"/>
        <w:adjustRightInd w:val="0"/>
        <w:snapToGrid w:val="0"/>
        <w:spacing w:line="440" w:lineRule="exact"/>
        <w:ind w:firstLine="474" w:firstLineChars="200"/>
        <w:jc w:val="both"/>
        <w:textAlignment w:val="auto"/>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施工过程对环境的影响主要来自管道施工作业带清理、开挖管沟等施工活动中施工机械、车辆、人员践踏等对土壤的扰动和植被的破坏，对沿途的动物形成惊扰，造成的土地裸露加剧水土流失。本工程管道施工作业带宽度约10m，其范围内的土壤和植被都可能受到扰动和破坏，尤其是管沟两侧2-3m内的植被破坏严重，土壤的结构、组成和理化性质发生改变，影响土壤和植被的恢复。</w:t>
      </w:r>
    </w:p>
    <w:p>
      <w:pPr>
        <w:keepNext w:val="0"/>
        <w:keepLines w:val="0"/>
        <w:pageBreakBefore w:val="0"/>
        <w:widowControl w:val="0"/>
        <w:kinsoku/>
        <w:wordWrap/>
        <w:overflowPunct/>
        <w:topLinePunct w:val="0"/>
        <w:autoSpaceDE/>
        <w:autoSpaceDN/>
        <w:bidi w:val="0"/>
        <w:adjustRightInd w:val="0"/>
        <w:snapToGrid w:val="0"/>
        <w:spacing w:line="440" w:lineRule="exact"/>
        <w:ind w:firstLine="474" w:firstLineChars="200"/>
        <w:jc w:val="both"/>
        <w:textAlignment w:val="auto"/>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）对土壤侵蚀的影响</w:t>
      </w:r>
    </w:p>
    <w:p>
      <w:pPr>
        <w:keepNext w:val="0"/>
        <w:keepLines w:val="0"/>
        <w:pageBreakBefore w:val="0"/>
        <w:widowControl w:val="0"/>
        <w:kinsoku/>
        <w:wordWrap/>
        <w:overflowPunct/>
        <w:topLinePunct w:val="0"/>
        <w:autoSpaceDE/>
        <w:autoSpaceDN/>
        <w:bidi w:val="0"/>
        <w:adjustRightInd w:val="0"/>
        <w:snapToGrid w:val="0"/>
        <w:spacing w:line="440" w:lineRule="exact"/>
        <w:ind w:firstLine="474" w:firstLineChars="200"/>
        <w:jc w:val="both"/>
        <w:textAlignment w:val="auto"/>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施工对土地的开挖，造成土地裸露，加剧沿线的土壤风蚀。</w:t>
      </w:r>
    </w:p>
    <w:p>
      <w:pPr>
        <w:keepNext w:val="0"/>
        <w:keepLines w:val="0"/>
        <w:pageBreakBefore w:val="0"/>
        <w:widowControl w:val="0"/>
        <w:kinsoku/>
        <w:wordWrap/>
        <w:overflowPunct/>
        <w:topLinePunct w:val="0"/>
        <w:autoSpaceDE/>
        <w:autoSpaceDN/>
        <w:bidi w:val="0"/>
        <w:adjustRightInd w:val="0"/>
        <w:snapToGrid w:val="0"/>
        <w:spacing w:line="440" w:lineRule="exact"/>
        <w:ind w:firstLine="474" w:firstLineChars="200"/>
        <w:jc w:val="both"/>
        <w:textAlignment w:val="auto"/>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）对植被的影响</w:t>
      </w:r>
    </w:p>
    <w:p>
      <w:pPr>
        <w:keepNext w:val="0"/>
        <w:keepLines w:val="0"/>
        <w:pageBreakBefore w:val="0"/>
        <w:widowControl w:val="0"/>
        <w:kinsoku/>
        <w:wordWrap/>
        <w:overflowPunct/>
        <w:topLinePunct w:val="0"/>
        <w:autoSpaceDE/>
        <w:autoSpaceDN/>
        <w:bidi w:val="0"/>
        <w:adjustRightInd w:val="0"/>
        <w:snapToGrid w:val="0"/>
        <w:spacing w:line="440" w:lineRule="exact"/>
        <w:ind w:firstLine="474" w:firstLineChars="200"/>
        <w:jc w:val="both"/>
        <w:textAlignment w:val="auto"/>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对植被最主要的影响是施工期占地范围内对植被破坏，另外土地开挖、车辆运输带起的扬尘自然沉降在周围植物的叶片上，阻塞气孔，影响植物呼吸作用和光合作用，有碍作物生长，还有车辆运行和施工机械的尾气含有NO</w:t>
      </w:r>
      <w:r>
        <w:rPr>
          <w:rFonts w:ascii="Times New Roman" w:hAnsi="Times New Roman" w:cs="Times New Roman"/>
          <w:color w:val="000000" w:themeColor="text1"/>
          <w:w w:val="99"/>
          <w:kern w:val="2"/>
          <w:sz w:val="24"/>
          <w:szCs w:val="24"/>
          <w:highlight w:val="none"/>
          <w:vertAlign w:val="subscript"/>
          <w:lang w:bidi="ar-SA"/>
          <w14:textFill>
            <w14:solidFill>
              <w14:schemeClr w14:val="tx1"/>
            </w14:solidFill>
          </w14:textFill>
        </w:rPr>
        <w:t>x</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等气体，可破坏敏感植物的叶组织，造成褪色伤斑。不过以上这些不利影响主要是短期的，随着施工期结束，这些影响也随之消失。</w:t>
      </w:r>
    </w:p>
    <w:p>
      <w:pPr>
        <w:pStyle w:val="45"/>
        <w:tabs>
          <w:tab w:val="left" w:pos="930"/>
        </w:tabs>
        <w:spacing w:before="60" w:after="60" w:line="440" w:lineRule="exact"/>
        <w:ind w:left="0" w:firstLine="0"/>
        <w:jc w:val="both"/>
        <w:outlineLvl w:val="2"/>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w w:val="99"/>
          <w:sz w:val="24"/>
          <w:szCs w:val="24"/>
          <w:highlight w:val="none"/>
          <w:lang w:val="en-US"/>
          <w14:textFill>
            <w14:solidFill>
              <w14:schemeClr w14:val="tx1"/>
            </w14:solidFill>
          </w14:textFill>
        </w:rPr>
        <w:t>3.4.6 污染源源强核算</w:t>
      </w:r>
    </w:p>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3.4.6.1 施工期污染源源强核算</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）废气</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hint="eastAsia"/>
          <w:color w:val="000000" w:themeColor="text1"/>
          <w:w w:val="99"/>
          <w:kern w:val="2"/>
          <w:sz w:val="24"/>
          <w:szCs w:val="24"/>
          <w:highlight w:val="none"/>
          <w:lang w:bidi="ar-SA"/>
          <w14:textFill>
            <w14:solidFill>
              <w14:schemeClr w14:val="tx1"/>
            </w14:solidFill>
          </w14:textFill>
        </w:rPr>
        <w:t>①</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运输车辆扬尘</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建设项目井场地面工程、新建</w:t>
      </w:r>
      <w:r>
        <w:rPr>
          <w:rFonts w:hint="eastAsia" w:ascii="Times New Roman" w:hAnsi="Times New Roman" w:cs="Times New Roman"/>
          <w:color w:val="000000" w:themeColor="text1"/>
          <w:w w:val="99"/>
          <w:kern w:val="2"/>
          <w:sz w:val="24"/>
          <w:szCs w:val="24"/>
          <w:highlight w:val="none"/>
          <w:lang w:eastAsia="zh-CN" w:bidi="ar-SA"/>
          <w14:textFill>
            <w14:solidFill>
              <w14:schemeClr w14:val="tx1"/>
            </w14:solidFill>
          </w14:textFill>
        </w:rPr>
        <w:t>注入</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管道</w:t>
      </w:r>
      <w:r>
        <w:rPr>
          <w:rFonts w:hint="eastAsia" w:ascii="Times New Roman" w:hAnsi="Times New Roman" w:cs="Times New Roman"/>
          <w:color w:val="000000" w:themeColor="text1"/>
          <w:w w:val="99"/>
          <w:kern w:val="2"/>
          <w:sz w:val="24"/>
          <w:szCs w:val="24"/>
          <w:highlight w:val="none"/>
          <w:lang w:eastAsia="zh-CN" w:bidi="ar-SA"/>
          <w14:textFill>
            <w14:solidFill>
              <w14:schemeClr w14:val="tx1"/>
            </w14:solidFill>
          </w14:textFill>
        </w:rPr>
        <w:t>、配注站场地平整</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及道路工程施工作业时，车辆物料运输过程中将产生扬尘。根据相关工程的现场模拟数据调查，施工时运输车辆下风向50m处的浓度约为1</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.15</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mg/m</w:t>
      </w:r>
      <w:r>
        <w:rPr>
          <w:rFonts w:ascii="Times New Roman" w:hAnsi="Times New Roman" w:cs="Times New Roman"/>
          <w:color w:val="000000" w:themeColor="text1"/>
          <w:w w:val="99"/>
          <w:kern w:val="2"/>
          <w:sz w:val="24"/>
          <w:szCs w:val="24"/>
          <w:highlight w:val="none"/>
          <w:vertAlign w:val="superscript"/>
          <w:lang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hint="eastAsia"/>
          <w:color w:val="000000" w:themeColor="text1"/>
          <w:w w:val="99"/>
          <w:kern w:val="2"/>
          <w:sz w:val="24"/>
          <w:szCs w:val="24"/>
          <w:highlight w:val="none"/>
          <w:lang w:bidi="ar-SA"/>
          <w14:textFill>
            <w14:solidFill>
              <w14:schemeClr w14:val="tx1"/>
            </w14:solidFill>
          </w14:textFill>
        </w:rPr>
        <w:t>②</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管线、道路</w:t>
      </w:r>
      <w:r>
        <w:rPr>
          <w:rFonts w:hint="eastAsia" w:ascii="Times New Roman" w:hAnsi="Times New Roman" w:cs="Times New Roman"/>
          <w:color w:val="000000" w:themeColor="text1"/>
          <w:w w:val="99"/>
          <w:kern w:val="2"/>
          <w:sz w:val="24"/>
          <w:szCs w:val="24"/>
          <w:highlight w:val="none"/>
          <w:lang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eastAsia="zh-CN" w:bidi="ar-SA"/>
          <w14:textFill>
            <w14:solidFill>
              <w14:schemeClr w14:val="tx1"/>
            </w14:solidFill>
          </w14:textFill>
        </w:rPr>
        <w:t>配注站</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施工扬尘</w:t>
      </w:r>
    </w:p>
    <w:p>
      <w:pPr>
        <w:spacing w:line="440" w:lineRule="exact"/>
        <w:ind w:firstLine="474" w:firstLineChars="200"/>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本项目新建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注入管线4.7</w:t>
      </w:r>
      <w:r>
        <w:rPr>
          <w:rFonts w:ascii="Times New Roman" w:hAnsi="Times New Roman" w:cs="Times New Roman"/>
          <w:bCs/>
          <w:color w:val="000000" w:themeColor="text1"/>
          <w:w w:val="99"/>
          <w:sz w:val="24"/>
          <w:szCs w:val="20"/>
          <w:highlight w:val="none"/>
          <w:lang w:val="en-US"/>
          <w14:textFill>
            <w14:solidFill>
              <w14:schemeClr w14:val="tx1"/>
            </w14:solidFill>
          </w14:textFill>
        </w:rPr>
        <w:t>2km，</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 xml:space="preserve">新建 </w:t>
      </w:r>
      <w:r>
        <w:rPr>
          <w:rFonts w:ascii="Times New Roman" w:hAnsi="Times New Roman" w:cs="Times New Roman"/>
          <w:bCs/>
          <w:color w:val="000000" w:themeColor="text1"/>
          <w:w w:val="99"/>
          <w:sz w:val="24"/>
          <w:szCs w:val="20"/>
          <w:highlight w:val="none"/>
          <w:lang w:val="en-US"/>
          <w14:textFill>
            <w14:solidFill>
              <w14:schemeClr w14:val="tx1"/>
            </w14:solidFill>
          </w14:textFill>
        </w:rPr>
        <w:t>道路</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0.1</w:t>
      </w:r>
      <w:r>
        <w:rPr>
          <w:rFonts w:ascii="Times New Roman" w:hAnsi="Times New Roman" w:cs="Times New Roman"/>
          <w:bCs/>
          <w:color w:val="000000" w:themeColor="text1"/>
          <w:w w:val="99"/>
          <w:sz w:val="24"/>
          <w:szCs w:val="20"/>
          <w:highlight w:val="none"/>
          <w:lang w:val="en-US"/>
          <w14:textFill>
            <w14:solidFill>
              <w14:schemeClr w14:val="tx1"/>
            </w14:solidFill>
          </w14:textFill>
        </w:rPr>
        <w:t>km，管线施工临时占地面积</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47200</w:t>
      </w:r>
      <w:r>
        <w:rPr>
          <w:rFonts w:ascii="Times New Roman" w:hAnsi="Times New Roman" w:cs="Times New Roman"/>
          <w:bCs/>
          <w:color w:val="000000" w:themeColor="text1"/>
          <w:w w:val="99"/>
          <w:sz w:val="24"/>
          <w:szCs w:val="20"/>
          <w:highlight w:val="none"/>
          <w:lang w:val="en-US"/>
          <w14:textFill>
            <w14:solidFill>
              <w14:schemeClr w14:val="tx1"/>
            </w14:solidFill>
          </w14:textFill>
        </w:rPr>
        <w:t>m</w:t>
      </w:r>
      <w:r>
        <w:rPr>
          <w:rFonts w:ascii="Times New Roman" w:hAnsi="Times New Roman" w:cs="Times New Roman"/>
          <w:bCs/>
          <w:color w:val="000000" w:themeColor="text1"/>
          <w:w w:val="99"/>
          <w:sz w:val="24"/>
          <w:szCs w:val="20"/>
          <w:highlight w:val="none"/>
          <w:vertAlign w:val="superscript"/>
          <w:lang w:val="en-US"/>
          <w14:textFill>
            <w14:solidFill>
              <w14:schemeClr w14:val="tx1"/>
            </w14:solidFill>
          </w14:textFill>
        </w:rPr>
        <w:t>2</w:t>
      </w:r>
      <w:r>
        <w:rPr>
          <w:rFonts w:ascii="Times New Roman" w:hAnsi="Times New Roman" w:cs="Times New Roman"/>
          <w:bCs/>
          <w:color w:val="000000" w:themeColor="text1"/>
          <w:w w:val="99"/>
          <w:sz w:val="24"/>
          <w:szCs w:val="20"/>
          <w:highlight w:val="none"/>
          <w:lang w:val="en-US"/>
          <w14:textFill>
            <w14:solidFill>
              <w14:schemeClr w14:val="tx1"/>
            </w14:solidFill>
          </w14:textFill>
        </w:rPr>
        <w:t>，道路占地面积为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600</w:t>
      </w:r>
      <w:r>
        <w:rPr>
          <w:rFonts w:ascii="Times New Roman" w:hAnsi="Times New Roman" w:cs="Times New Roman"/>
          <w:bCs/>
          <w:color w:val="000000" w:themeColor="text1"/>
          <w:w w:val="99"/>
          <w:sz w:val="24"/>
          <w:szCs w:val="20"/>
          <w:highlight w:val="none"/>
          <w:lang w:val="en-US"/>
          <w14:textFill>
            <w14:solidFill>
              <w14:schemeClr w14:val="tx1"/>
            </w14:solidFill>
          </w14:textFill>
        </w:rPr>
        <w:t>m</w:t>
      </w:r>
      <w:r>
        <w:rPr>
          <w:rFonts w:ascii="Times New Roman" w:hAnsi="Times New Roman" w:cs="Times New Roman"/>
          <w:bCs/>
          <w:color w:val="000000" w:themeColor="text1"/>
          <w:w w:val="99"/>
          <w:sz w:val="24"/>
          <w:szCs w:val="20"/>
          <w:highlight w:val="none"/>
          <w:vertAlign w:val="superscript"/>
          <w:lang w:val="en-US"/>
          <w14:textFill>
            <w14:solidFill>
              <w14:schemeClr w14:val="tx1"/>
            </w14:solidFill>
          </w14:textFill>
        </w:rPr>
        <w:t>2</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参考对土建工程现场扬尘实地监测结果，TSP产生系数为0.01-0.05mg/m</w:t>
      </w:r>
      <w:r>
        <w:rPr>
          <w:rFonts w:ascii="Times New Roman" w:hAnsi="Times New Roman" w:cs="Times New Roman"/>
          <w:bCs/>
          <w:color w:val="000000" w:themeColor="text1"/>
          <w:w w:val="99"/>
          <w:sz w:val="24"/>
          <w:szCs w:val="20"/>
          <w:highlight w:val="none"/>
          <w:vertAlign w:val="superscript"/>
          <w:lang w:val="en-US"/>
          <w14:textFill>
            <w14:solidFill>
              <w14:schemeClr w14:val="tx1"/>
            </w14:solidFill>
          </w14:textFill>
        </w:rPr>
        <w:t>2</w:t>
      </w:r>
      <w:r>
        <w:rPr>
          <w:rFonts w:ascii="Times New Roman" w:hAnsi="Times New Roman" w:cs="Times New Roman"/>
          <w:bCs/>
          <w:color w:val="000000" w:themeColor="text1"/>
          <w:w w:val="99"/>
          <w:sz w:val="24"/>
          <w:szCs w:val="20"/>
          <w:highlight w:val="none"/>
          <w:lang w:val="en-US"/>
          <w14:textFill>
            <w14:solidFill>
              <w14:schemeClr w14:val="tx1"/>
            </w14:solidFill>
          </w14:textFill>
        </w:rPr>
        <w:t>·s，考虑本项目实际情况，TSP产生系数取0.03mg/m</w:t>
      </w:r>
      <w:r>
        <w:rPr>
          <w:rFonts w:ascii="Times New Roman" w:hAnsi="Times New Roman" w:cs="Times New Roman"/>
          <w:bCs/>
          <w:color w:val="000000" w:themeColor="text1"/>
          <w:w w:val="99"/>
          <w:sz w:val="24"/>
          <w:szCs w:val="20"/>
          <w:highlight w:val="none"/>
          <w:vertAlign w:val="superscript"/>
          <w:lang w:val="en-US"/>
          <w14:textFill>
            <w14:solidFill>
              <w14:schemeClr w14:val="tx1"/>
            </w14:solidFill>
          </w14:textFill>
        </w:rPr>
        <w:t>2</w:t>
      </w:r>
      <w:r>
        <w:rPr>
          <w:rFonts w:ascii="Times New Roman" w:hAnsi="Times New Roman" w:cs="Times New Roman"/>
          <w:bCs/>
          <w:color w:val="000000" w:themeColor="text1"/>
          <w:w w:val="99"/>
          <w:sz w:val="24"/>
          <w:szCs w:val="20"/>
          <w:highlight w:val="none"/>
          <w:lang w:val="en-US"/>
          <w14:textFill>
            <w14:solidFill>
              <w14:schemeClr w14:val="tx1"/>
            </w14:solidFill>
          </w14:textFill>
        </w:rPr>
        <w:t>·s，取施工现场的扰动面积比为70%，按每天施工时间8h计算，管线</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道路</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及井场</w:t>
      </w:r>
      <w:r>
        <w:rPr>
          <w:rFonts w:ascii="Times New Roman" w:hAnsi="Times New Roman" w:cs="Times New Roman"/>
          <w:bCs/>
          <w:color w:val="000000" w:themeColor="text1"/>
          <w:w w:val="99"/>
          <w:sz w:val="24"/>
          <w:szCs w:val="20"/>
          <w:highlight w:val="none"/>
          <w:lang w:val="en-US"/>
          <w14:textFill>
            <w14:solidFill>
              <w14:schemeClr w14:val="tx1"/>
            </w14:solidFill>
          </w14:textFill>
        </w:rPr>
        <w:t>施工产生的扬尘为</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28.9</w:t>
      </w:r>
      <w:r>
        <w:rPr>
          <w:rFonts w:ascii="Times New Roman" w:hAnsi="Times New Roman" w:cs="Times New Roman"/>
          <w:bCs/>
          <w:color w:val="000000" w:themeColor="text1"/>
          <w:w w:val="99"/>
          <w:sz w:val="24"/>
          <w:szCs w:val="20"/>
          <w:highlight w:val="none"/>
          <w:lang w:val="en-US"/>
          <w14:textFill>
            <w14:solidFill>
              <w14:schemeClr w14:val="tx1"/>
            </w14:solidFill>
          </w14:textFill>
        </w:rPr>
        <w:t>kg/d。</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24"/>
          <w:highlight w:val="none"/>
          <w:lang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施工机械、运输车辆排放的尾气</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在工程施工期间，使用液体燃料的施工机械及运输车辆的发动机排放的尾气在含有NO</w:t>
      </w:r>
      <w:r>
        <w:rPr>
          <w:rFonts w:ascii="Times New Roman" w:hAnsi="Times New Roman" w:cs="Times New Roman"/>
          <w:color w:val="000000" w:themeColor="text1"/>
          <w:w w:val="99"/>
          <w:kern w:val="2"/>
          <w:sz w:val="24"/>
          <w:szCs w:val="24"/>
          <w:highlight w:val="none"/>
          <w:vertAlign w:val="subscript"/>
          <w:lang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CO、HC等污染物，一般情况下，各种污染物的排放量不大，对周围环境的影响较小。如果采用清洁燃料，在车辆及机械设备排气口加装废气过滤器，同时保持车辆及有关设备化油器、空气滤清器等部分设备的清洁，废气污染的影响基本上是可以接受的。</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bidi="ar-SA"/>
          <w14:textFill>
            <w14:solidFill>
              <w14:schemeClr w14:val="tx1"/>
            </w14:solidFill>
          </w14:textFill>
        </w:rPr>
        <w:instrText xml:space="preserve"> = 4 \* GB3 \* MERGEFORMAT </w:instrTex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fldChar w:fldCharType="separate"/>
      </w:r>
      <w:r>
        <w:rPr>
          <w:rFonts w:hint="eastAsia"/>
          <w:color w:val="000000" w:themeColor="text1"/>
          <w:w w:val="99"/>
          <w:kern w:val="2"/>
          <w:sz w:val="24"/>
          <w:szCs w:val="24"/>
          <w:highlight w:val="none"/>
          <w:lang w:bidi="ar-SA"/>
          <w14:textFill>
            <w14:solidFill>
              <w14:schemeClr w14:val="tx1"/>
            </w14:solidFill>
          </w14:textFill>
        </w:rPr>
        <w:t>④</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焊接烟尘</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项目管道焊接主要方式为电焊，焊接过程中会产生少量焊接烟尘，焊接烟气中有毒有害气体的成份主要为CO、CO</w:t>
      </w:r>
      <w:r>
        <w:rPr>
          <w:rFonts w:ascii="Times New Roman" w:hAnsi="Times New Roman" w:cs="Times New Roman"/>
          <w:color w:val="000000" w:themeColor="text1"/>
          <w:w w:val="99"/>
          <w:kern w:val="2"/>
          <w:sz w:val="24"/>
          <w:szCs w:val="24"/>
          <w:highlight w:val="none"/>
          <w:vertAlign w:val="subscript"/>
          <w:lang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、O</w:t>
      </w:r>
      <w:r>
        <w:rPr>
          <w:rFonts w:ascii="Times New Roman" w:hAnsi="Times New Roman" w:cs="Times New Roman"/>
          <w:color w:val="000000" w:themeColor="text1"/>
          <w:w w:val="99"/>
          <w:kern w:val="2"/>
          <w:sz w:val="24"/>
          <w:szCs w:val="24"/>
          <w:highlight w:val="none"/>
          <w:vertAlign w:val="subscript"/>
          <w:lang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、NO</w:t>
      </w:r>
      <w:r>
        <w:rPr>
          <w:rFonts w:ascii="Times New Roman" w:hAnsi="Times New Roman" w:cs="Times New Roman"/>
          <w:color w:val="000000" w:themeColor="text1"/>
          <w:w w:val="99"/>
          <w:kern w:val="2"/>
          <w:sz w:val="24"/>
          <w:szCs w:val="24"/>
          <w:highlight w:val="none"/>
          <w:vertAlign w:val="subscript"/>
          <w:lang w:bidi="ar-SA"/>
          <w14:textFill>
            <w14:solidFill>
              <w14:schemeClr w14:val="tx1"/>
            </w14:solidFill>
          </w14:textFill>
        </w:rPr>
        <w:t>X</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、CH</w:t>
      </w:r>
      <w:r>
        <w:rPr>
          <w:rFonts w:ascii="Times New Roman" w:hAnsi="Times New Roman" w:cs="Times New Roman"/>
          <w:color w:val="000000" w:themeColor="text1"/>
          <w:w w:val="99"/>
          <w:kern w:val="2"/>
          <w:sz w:val="24"/>
          <w:szCs w:val="24"/>
          <w:highlight w:val="none"/>
          <w:vertAlign w:val="subscript"/>
          <w:lang w:bidi="ar-SA"/>
          <w14:textFill>
            <w14:solidFill>
              <w14:schemeClr w14:val="tx1"/>
            </w14:solidFill>
          </w14:textFill>
        </w:rPr>
        <w:t>4</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等，其中以CO所占的比例最大，但由于项目焊接点较少，产生的焊接烟尘量较小，且项目位于室外，空气扩散条件较好，对大气环境影响较小。</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（2）废水</w:t>
      </w:r>
    </w:p>
    <w:p>
      <w:pPr>
        <w:autoSpaceDE/>
        <w:autoSpaceDN/>
        <w:spacing w:line="440" w:lineRule="exact"/>
        <w:ind w:firstLine="474" w:firstLineChars="200"/>
        <w:jc w:val="both"/>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建设项目施工期用水主要为管线试压用水和施工人员的生活用水。</w:t>
      </w:r>
    </w:p>
    <w:p>
      <w:pPr>
        <w:autoSpaceDE/>
        <w:autoSpaceDN/>
        <w:spacing w:line="440" w:lineRule="exact"/>
        <w:ind w:firstLine="474" w:firstLineChars="200"/>
        <w:jc w:val="both"/>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color w:val="000000" w:themeColor="text1"/>
          <w:w w:val="99"/>
          <w:kern w:val="2"/>
          <w:sz w:val="24"/>
          <w:highlight w:val="none"/>
          <w:lang w:bidi="ar-SA"/>
          <w14:textFill>
            <w14:solidFill>
              <w14:schemeClr w14:val="tx1"/>
            </w14:solidFill>
          </w14:textFill>
        </w:rPr>
        <w:fldChar w:fldCharType="begin"/>
      </w:r>
      <w:r>
        <w:rPr>
          <w:color w:val="000000" w:themeColor="text1"/>
          <w:w w:val="99"/>
          <w:kern w:val="2"/>
          <w:sz w:val="24"/>
          <w:highlight w:val="none"/>
          <w:lang w:bidi="ar-SA"/>
          <w14:textFill>
            <w14:solidFill>
              <w14:schemeClr w14:val="tx1"/>
            </w14:solidFill>
          </w14:textFill>
        </w:rPr>
        <w:instrText xml:space="preserve"> </w:instrText>
      </w:r>
      <w:r>
        <w:rPr>
          <w:rFonts w:hint="eastAsia"/>
          <w:color w:val="000000" w:themeColor="text1"/>
          <w:w w:val="99"/>
          <w:kern w:val="2"/>
          <w:sz w:val="24"/>
          <w:highlight w:val="none"/>
          <w:lang w:bidi="ar-SA"/>
          <w14:textFill>
            <w14:solidFill>
              <w14:schemeClr w14:val="tx1"/>
            </w14:solidFill>
          </w14:textFill>
        </w:rPr>
        <w:instrText xml:space="preserve">eq \o\ac(○,</w:instrText>
      </w:r>
      <w:r>
        <w:rPr>
          <w:rFonts w:hint="eastAsia"/>
          <w:color w:val="000000" w:themeColor="text1"/>
          <w:w w:val="99"/>
          <w:kern w:val="2"/>
          <w:position w:val="3"/>
          <w:sz w:val="16"/>
          <w:highlight w:val="none"/>
          <w:lang w:bidi="ar-SA"/>
          <w14:textFill>
            <w14:solidFill>
              <w14:schemeClr w14:val="tx1"/>
            </w14:solidFill>
          </w14:textFill>
        </w:rPr>
        <w:instrText xml:space="preserve">1</w:instrText>
      </w:r>
      <w:r>
        <w:rPr>
          <w:rFonts w:hint="eastAsia"/>
          <w:color w:val="000000" w:themeColor="text1"/>
          <w:w w:val="99"/>
          <w:kern w:val="2"/>
          <w:sz w:val="24"/>
          <w:highlight w:val="none"/>
          <w:lang w:bidi="ar-SA"/>
          <w14:textFill>
            <w14:solidFill>
              <w14:schemeClr w14:val="tx1"/>
            </w14:solidFill>
          </w14:textFill>
        </w:rPr>
        <w:instrText xml:space="preserve">)</w:instrText>
      </w:r>
      <w:r>
        <w:rPr>
          <w:color w:val="000000" w:themeColor="text1"/>
          <w:w w:val="99"/>
          <w:kern w:val="2"/>
          <w:sz w:val="24"/>
          <w:highlight w:val="none"/>
          <w:lang w:bidi="ar-SA"/>
          <w14:textFill>
            <w14:solidFill>
              <w14:schemeClr w14:val="tx1"/>
            </w14:solidFill>
          </w14:textFill>
        </w:rPr>
        <w:fldChar w:fldCharType="end"/>
      </w:r>
      <w:r>
        <w:rPr>
          <w:rFonts w:ascii="Times New Roman" w:hAnsi="Times New Roman" w:cs="Times New Roman"/>
          <w:color w:val="000000" w:themeColor="text1"/>
          <w:w w:val="99"/>
          <w:kern w:val="2"/>
          <w:sz w:val="24"/>
          <w:highlight w:val="none"/>
          <w:lang w:val="en-US" w:bidi="ar-SA"/>
          <w14:textFill>
            <w14:solidFill>
              <w14:schemeClr w14:val="tx1"/>
            </w14:solidFill>
          </w14:textFill>
        </w:rPr>
        <w:t>试压废水</w:t>
      </w:r>
    </w:p>
    <w:p>
      <w:pPr>
        <w:autoSpaceDE/>
        <w:autoSpaceDN/>
        <w:spacing w:line="440" w:lineRule="exact"/>
        <w:ind w:firstLine="474" w:firstLineChars="200"/>
        <w:jc w:val="both"/>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本工程新建</w:t>
      </w:r>
      <w:r>
        <w:rPr>
          <w:rFonts w:hint="eastAsia" w:ascii="Times New Roman" w:hAnsi="Times New Roman" w:cs="Times New Roman"/>
          <w:color w:val="000000" w:themeColor="text1"/>
          <w:w w:val="99"/>
          <w:kern w:val="2"/>
          <w:sz w:val="24"/>
          <w:highlight w:val="none"/>
          <w:lang w:val="en-US" w:eastAsia="zh-CN" w:bidi="ar-SA"/>
          <w14:textFill>
            <w14:solidFill>
              <w14:schemeClr w14:val="tx1"/>
            </w14:solidFill>
          </w14:textFill>
        </w:rPr>
        <w:t>注入管线</w:t>
      </w:r>
      <w:r>
        <w:rPr>
          <w:rFonts w:ascii="Times New Roman" w:hAnsi="Times New Roman" w:cs="Times New Roman"/>
          <w:color w:val="000000" w:themeColor="text1"/>
          <w:w w:val="99"/>
          <w:kern w:val="2"/>
          <w:sz w:val="24"/>
          <w:highlight w:val="none"/>
          <w:lang w:val="en-US" w:bidi="ar-SA"/>
          <w14:textFill>
            <w14:solidFill>
              <w14:schemeClr w14:val="tx1"/>
            </w14:solidFill>
          </w14:textFill>
        </w:rPr>
        <w:t>采取</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水</w:t>
      </w:r>
      <w:r>
        <w:rPr>
          <w:rFonts w:ascii="Times New Roman" w:hAnsi="Times New Roman" w:cs="Times New Roman"/>
          <w:color w:val="000000" w:themeColor="text1"/>
          <w:w w:val="99"/>
          <w:kern w:val="2"/>
          <w:sz w:val="24"/>
          <w:highlight w:val="none"/>
          <w:lang w:val="en-US" w:bidi="ar-SA"/>
          <w14:textFill>
            <w14:solidFill>
              <w14:schemeClr w14:val="tx1"/>
            </w14:solidFill>
          </w14:textFill>
        </w:rPr>
        <w:t>试压的方式，根据新建管线截面面积及长度，项目试压用水总量为</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47.4</w:t>
      </w:r>
      <w:r>
        <w:rPr>
          <w:rFonts w:ascii="Times New Roman" w:hAnsi="Times New Roman" w:cs="Times New Roman"/>
          <w:color w:val="000000" w:themeColor="text1"/>
          <w:w w:val="99"/>
          <w:kern w:val="2"/>
          <w:sz w:val="24"/>
          <w:highlight w:val="none"/>
          <w:lang w:val="en-US" w:bidi="ar-SA"/>
          <w14:textFill>
            <w14:solidFill>
              <w14:schemeClr w14:val="tx1"/>
            </w14:solidFill>
          </w14:textFill>
        </w:rPr>
        <w:t>t，试压废水按用水量的95%计算，试压废水产生量为</w:t>
      </w:r>
      <w:r>
        <w:rPr>
          <w:rFonts w:hint="eastAsia" w:ascii="Times New Roman" w:hAnsi="Times New Roman" w:cs="Times New Roman"/>
          <w:color w:val="000000" w:themeColor="text1"/>
          <w:w w:val="99"/>
          <w:kern w:val="2"/>
          <w:sz w:val="24"/>
          <w:highlight w:val="none"/>
          <w:lang w:val="en-US" w:eastAsia="zh-CN" w:bidi="ar-SA"/>
          <w14:textFill>
            <w14:solidFill>
              <w14:schemeClr w14:val="tx1"/>
            </w14:solidFill>
          </w14:textFill>
        </w:rPr>
        <w:t>45.03</w:t>
      </w:r>
      <w:r>
        <w:rPr>
          <w:rFonts w:ascii="Times New Roman" w:hAnsi="Times New Roman" w:cs="Times New Roman"/>
          <w:color w:val="000000" w:themeColor="text1"/>
          <w:w w:val="99"/>
          <w:kern w:val="2"/>
          <w:sz w:val="24"/>
          <w:highlight w:val="none"/>
          <w:lang w:val="en-US" w:bidi="ar-SA"/>
          <w14:textFill>
            <w14:solidFill>
              <w14:schemeClr w14:val="tx1"/>
            </w14:solidFill>
          </w14:textFill>
        </w:rPr>
        <w:t>t，主要污染因子为SS，管道试压废水</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由罐车收集</w:t>
      </w:r>
      <w:r>
        <w:rPr>
          <w:rFonts w:ascii="Times New Roman" w:hAnsi="Times New Roman" w:cs="Times New Roman"/>
          <w:color w:val="000000" w:themeColor="text1"/>
          <w:w w:val="99"/>
          <w:kern w:val="2"/>
          <w:sz w:val="24"/>
          <w:highlight w:val="none"/>
          <w:lang w:val="en-US" w:bidi="ar-SA"/>
          <w14:textFill>
            <w14:solidFill>
              <w14:schemeClr w14:val="tx1"/>
            </w14:solidFill>
          </w14:textFill>
        </w:rPr>
        <w:t>拉运至</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葡二联</w:t>
      </w:r>
      <w:r>
        <w:rPr>
          <w:rFonts w:ascii="Times New Roman" w:hAnsi="Times New Roman" w:cs="Times New Roman"/>
          <w:color w:val="000000" w:themeColor="text1"/>
          <w:w w:val="99"/>
          <w:kern w:val="2"/>
          <w:sz w:val="24"/>
          <w:highlight w:val="none"/>
          <w:lang w:val="en-US" w:bidi="ar-SA"/>
          <w14:textFill>
            <w14:solidFill>
              <w14:schemeClr w14:val="tx1"/>
            </w14:solidFill>
          </w14:textFill>
        </w:rPr>
        <w:t>含油污水处理站处理后回注</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油层</w:t>
      </w:r>
      <w:r>
        <w:rPr>
          <w:rFonts w:ascii="Times New Roman" w:hAnsi="Times New Roman" w:cs="Times New Roman"/>
          <w:color w:val="000000" w:themeColor="text1"/>
          <w:w w:val="99"/>
          <w:kern w:val="2"/>
          <w:sz w:val="24"/>
          <w:highlight w:val="none"/>
          <w:lang w:val="en-US" w:bidi="ar-SA"/>
          <w14:textFill>
            <w14:solidFill>
              <w14:schemeClr w14:val="tx1"/>
            </w14:solidFill>
          </w14:textFill>
        </w:rPr>
        <w:t>，不外排。</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color w:val="000000" w:themeColor="text1"/>
          <w:w w:val="99"/>
          <w:kern w:val="2"/>
          <w:sz w:val="24"/>
          <w:szCs w:val="24"/>
          <w:highlight w:val="none"/>
          <w:lang w:bidi="ar-SA"/>
          <w14:textFill>
            <w14:solidFill>
              <w14:schemeClr w14:val="tx1"/>
            </w14:solidFill>
          </w14:textFill>
        </w:rPr>
        <w:fldChar w:fldCharType="begin"/>
      </w:r>
      <w:r>
        <w:rPr>
          <w:color w:val="000000" w:themeColor="text1"/>
          <w:w w:val="99"/>
          <w:kern w:val="2"/>
          <w:sz w:val="24"/>
          <w:szCs w:val="24"/>
          <w:highlight w:val="none"/>
          <w:lang w:bidi="ar-SA"/>
          <w14:textFill>
            <w14:solidFill>
              <w14:schemeClr w14:val="tx1"/>
            </w14:solidFill>
          </w14:textFill>
        </w:rPr>
        <w:instrText xml:space="preserve"> </w:instrText>
      </w:r>
      <w:r>
        <w:rPr>
          <w:rFonts w:hint="eastAsia"/>
          <w:color w:val="000000" w:themeColor="text1"/>
          <w:w w:val="99"/>
          <w:kern w:val="2"/>
          <w:sz w:val="24"/>
          <w:szCs w:val="24"/>
          <w:highlight w:val="none"/>
          <w:lang w:bidi="ar-SA"/>
          <w14:textFill>
            <w14:solidFill>
              <w14:schemeClr w14:val="tx1"/>
            </w14:solidFill>
          </w14:textFill>
        </w:rPr>
        <w:instrText xml:space="preserve">eq \o\ac(○,</w:instrText>
      </w:r>
      <w:r>
        <w:rPr>
          <w:rFonts w:hint="eastAsia"/>
          <w:color w:val="000000" w:themeColor="text1"/>
          <w:w w:val="99"/>
          <w:kern w:val="2"/>
          <w:position w:val="3"/>
          <w:sz w:val="16"/>
          <w:szCs w:val="24"/>
          <w:highlight w:val="none"/>
          <w:lang w:bidi="ar-SA"/>
          <w14:textFill>
            <w14:solidFill>
              <w14:schemeClr w14:val="tx1"/>
            </w14:solidFill>
          </w14:textFill>
        </w:rPr>
        <w:instrText xml:space="preserve">2</w:instrText>
      </w:r>
      <w:r>
        <w:rPr>
          <w:rFonts w:hint="eastAsia"/>
          <w:color w:val="000000" w:themeColor="text1"/>
          <w:w w:val="99"/>
          <w:kern w:val="2"/>
          <w:sz w:val="24"/>
          <w:szCs w:val="24"/>
          <w:highlight w:val="none"/>
          <w:lang w:bidi="ar-SA"/>
          <w14:textFill>
            <w14:solidFill>
              <w14:schemeClr w14:val="tx1"/>
            </w14:solidFill>
          </w14:textFill>
        </w:rPr>
        <w:instrText xml:space="preserve">)</w:instrText>
      </w:r>
      <w:r>
        <w:rPr>
          <w:color w:val="000000" w:themeColor="text1"/>
          <w:w w:val="99"/>
          <w:kern w:val="2"/>
          <w:sz w:val="24"/>
          <w:szCs w:val="24"/>
          <w:highlight w:val="none"/>
          <w:lang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生活污水</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shd w:val="clear" w:color="auto" w:fill="FFFFFF"/>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地面建设期施工人员</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20</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人，每人每天用水</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80</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L，生活污水按用水量的80%计算，建设项目施工期约</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60</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d，则生活污水产生量为</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76.8</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t。施工人员产生的生活污水</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排入</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本项目</w:t>
      </w:r>
      <w:r>
        <w:rPr>
          <w:rFonts w:hint="eastAsia" w:ascii="Times New Roman" w:hAnsi="Times New Roman" w:cs="Times New Roman"/>
          <w:color w:val="000000" w:themeColor="text1"/>
          <w:w w:val="99"/>
          <w:kern w:val="2"/>
          <w:sz w:val="24"/>
          <w:szCs w:val="24"/>
          <w:highlight w:val="none"/>
          <w:lang w:bidi="ar-SA"/>
          <w14:textFill>
            <w14:solidFill>
              <w14:schemeClr w14:val="tx1"/>
            </w14:solidFill>
          </w14:textFill>
        </w:rPr>
        <w:t>施工现场附近</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阀组间内已建防渗旱厕</w:t>
      </w:r>
      <w:r>
        <w:rPr>
          <w:rFonts w:hint="eastAsia" w:ascii="Times New Roman" w:hAnsi="Times New Roman" w:cs="Times New Roman"/>
          <w:color w:val="000000" w:themeColor="text1"/>
          <w:w w:val="99"/>
          <w:kern w:val="2"/>
          <w:sz w:val="24"/>
          <w:szCs w:val="24"/>
          <w:highlight w:val="none"/>
          <w:lang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定期进行清掏堆肥</w:t>
      </w:r>
      <w:r>
        <w:rPr>
          <w:rFonts w:ascii="Times New Roman" w:hAnsi="Times New Roman" w:cs="Times New Roman"/>
          <w:color w:val="000000" w:themeColor="text1"/>
          <w:w w:val="99"/>
          <w:kern w:val="2"/>
          <w:sz w:val="24"/>
          <w:highlight w:val="none"/>
          <w:lang w:val="en-US" w:bidi="ar-SA"/>
          <w14:textFill>
            <w14:solidFill>
              <w14:schemeClr w14:val="tx1"/>
            </w14:solidFill>
          </w14:textFill>
        </w:rPr>
        <w:t>。</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bidi="ar-SA"/>
          <w14:textFill>
            <w14:solidFill>
              <w14:schemeClr w14:val="tx1"/>
            </w14:solidFill>
          </w14:textFill>
        </w:rPr>
        <w:t>建设项目废水产生及排放情况详见表</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3.4-</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10</w:t>
      </w:r>
      <w:r>
        <w:rPr>
          <w:rFonts w:ascii="Times New Roman" w:hAnsi="Times New Roman" w:cs="Times New Roman"/>
          <w:color w:val="000000" w:themeColor="text1"/>
          <w:w w:val="99"/>
          <w:kern w:val="2"/>
          <w:sz w:val="24"/>
          <w:szCs w:val="24"/>
          <w:highlight w:val="none"/>
          <w:lang w:bidi="ar-SA"/>
          <w14:textFill>
            <w14:solidFill>
              <w14:schemeClr w14:val="tx1"/>
            </w14:solidFill>
          </w14:textFill>
        </w:rPr>
        <w:t>。</w:t>
      </w:r>
    </w:p>
    <w:p>
      <w:pPr>
        <w:autoSpaceDE/>
        <w:autoSpaceDN/>
        <w:adjustRightInd w:val="0"/>
        <w:snapToGrid w:val="0"/>
        <w:spacing w:line="440" w:lineRule="exact"/>
        <w:ind w:firstLine="476" w:firstLineChars="200"/>
        <w:jc w:val="both"/>
        <w:rPr>
          <w:rFonts w:ascii="Times New Roman" w:hAnsi="Times New Roman" w:cs="Times New Roman"/>
          <w:b/>
          <w:bCs/>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bidi="ar-SA"/>
          <w14:textFill>
            <w14:solidFill>
              <w14:schemeClr w14:val="tx1"/>
            </w14:solidFill>
          </w14:textFill>
        </w:rPr>
        <w:t>表</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3.4-</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10</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bidi="ar-SA"/>
          <w14:textFill>
            <w14:solidFill>
              <w14:schemeClr w14:val="tx1"/>
            </w14:solidFill>
          </w14:textFill>
        </w:rPr>
        <w:t>施工期废水污染物排放量表</w:t>
      </w:r>
    </w:p>
    <w:tbl>
      <w:tblPr>
        <w:tblStyle w:val="32"/>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405"/>
        <w:gridCol w:w="1268"/>
        <w:gridCol w:w="1028"/>
        <w:gridCol w:w="4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1405"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污染物名称</w:t>
            </w:r>
          </w:p>
        </w:tc>
        <w:tc>
          <w:tcPr>
            <w:tcW w:w="1268"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排放量</w:t>
            </w:r>
          </w:p>
        </w:tc>
        <w:tc>
          <w:tcPr>
            <w:tcW w:w="1028"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主要污染物</w:t>
            </w:r>
          </w:p>
        </w:tc>
        <w:tc>
          <w:tcPr>
            <w:tcW w:w="4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去向及措施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1405"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试压废水</w:t>
            </w:r>
          </w:p>
        </w:tc>
        <w:tc>
          <w:tcPr>
            <w:tcW w:w="1268"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45.03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w:t>
            </w:r>
          </w:p>
        </w:tc>
        <w:tc>
          <w:tcPr>
            <w:tcW w:w="1028"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SS</w:t>
            </w:r>
          </w:p>
        </w:tc>
        <w:tc>
          <w:tcPr>
            <w:tcW w:w="4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由罐车收集</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拉运至葡二联含油污水处理站处理后回注，不外排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1405"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生活污水</w:t>
            </w:r>
          </w:p>
        </w:tc>
        <w:tc>
          <w:tcPr>
            <w:tcW w:w="1268"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76.8t</w:t>
            </w:r>
          </w:p>
        </w:tc>
        <w:tc>
          <w:tcPr>
            <w:tcW w:w="1028" w:type="dxa"/>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COD、NH</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w:t>
            </w:r>
          </w:p>
        </w:tc>
        <w:tc>
          <w:tcPr>
            <w:tcW w:w="49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施工人员产生的生活污水</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排入</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本项目</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施工现场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附</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近</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阀组间内已建防渗旱厕</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，定期进行清掏堆肥</w:t>
            </w:r>
          </w:p>
        </w:tc>
      </w:tr>
    </w:tbl>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（3）噪声</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施工期产生的噪声主要施工机械和运输车辆噪声，具体排放情况见表3.4-1</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1</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adjustRightInd w:val="0"/>
        <w:snapToGrid w:val="0"/>
        <w:spacing w:line="440" w:lineRule="exact"/>
        <w:ind w:firstLine="476" w:firstLineChars="200"/>
        <w:jc w:val="both"/>
        <w:rPr>
          <w:rFonts w:ascii="Times New Roman" w:hAnsi="Times New Roman" w:cs="Times New Roman"/>
          <w:b/>
          <w:bCs/>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bidi="ar-SA"/>
          <w14:textFill>
            <w14:solidFill>
              <w14:schemeClr w14:val="tx1"/>
            </w14:solidFill>
          </w14:textFill>
        </w:rPr>
        <w:t>表</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3.4-1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1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bidi="ar-SA"/>
          <w14:textFill>
            <w14:solidFill>
              <w14:schemeClr w14:val="tx1"/>
            </w14:solidFill>
          </w14:textFill>
        </w:rPr>
        <w:t>本工程施工期噪声源统计表</w:t>
      </w:r>
    </w:p>
    <w:tbl>
      <w:tblPr>
        <w:tblStyle w:val="32"/>
        <w:tblW w:w="4987" w:type="pct"/>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950"/>
        <w:gridCol w:w="3659"/>
        <w:gridCol w:w="365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52"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设备名称</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声源性质</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噪声值dB(A)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52"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挖掘机</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非连续稳态声源</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110～120dB(A)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52"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推土机</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非连续稳态声源</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100～110dB(A)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52"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运输车</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非连续稳态声源</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100～110dB(A)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52"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14:textFill>
                  <w14:solidFill>
                    <w14:schemeClr w14:val="tx1"/>
                  </w14:solidFill>
                </w14:textFill>
              </w:rPr>
              <w:t>压路机</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非连续稳态声源</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100～110dB(A)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52"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14:textFill>
                  <w14:solidFill>
                    <w14:schemeClr w14:val="tx1"/>
                  </w14:solidFill>
                </w14:textFill>
              </w:rPr>
              <w:t>电焊机</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非连续稳态声源</w:t>
            </w:r>
          </w:p>
        </w:tc>
        <w:tc>
          <w:tcPr>
            <w:tcW w:w="1973" w:type="pct"/>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ascii="Times New Roman" w:hAnsi="Times New Roman" w:cs="Times New Roman"/>
                <w:snapToGrid w:val="0"/>
                <w:color w:val="000000" w:themeColor="text1"/>
                <w:w w:val="99"/>
                <w:sz w:val="21"/>
                <w:szCs w:val="21"/>
                <w:highlight w:val="none"/>
                <w14:textFill>
                  <w14:solidFill>
                    <w14:schemeClr w14:val="tx1"/>
                  </w14:solidFill>
                </w14:textFill>
              </w:rPr>
            </w:pPr>
            <w:r>
              <w:rPr>
                <w:rFonts w:ascii="Times New Roman" w:hAnsi="Times New Roman" w:cs="Times New Roman"/>
                <w:snapToGrid w:val="0"/>
                <w:color w:val="000000" w:themeColor="text1"/>
                <w:w w:val="99"/>
                <w:sz w:val="21"/>
                <w:szCs w:val="21"/>
                <w:highlight w:val="none"/>
                <w14:textFill>
                  <w14:solidFill>
                    <w14:schemeClr w14:val="tx1"/>
                  </w14:solidFill>
                </w14:textFill>
              </w:rPr>
              <w:t>90～100dB(A)</w:t>
            </w:r>
          </w:p>
        </w:tc>
      </w:tr>
    </w:tbl>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（4）固体废物</w:t>
      </w:r>
    </w:p>
    <w:p>
      <w:pPr>
        <w:autoSpaceDE/>
        <w:autoSpaceDN/>
        <w:spacing w:line="440" w:lineRule="exact"/>
        <w:ind w:firstLine="474" w:firstLineChars="200"/>
        <w:jc w:val="both"/>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施工期产生的固体废弃物主要有</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管线</w:t>
      </w:r>
      <w:r>
        <w:rPr>
          <w:rFonts w:ascii="Times New Roman" w:hAnsi="Times New Roman" w:cs="Times New Roman"/>
          <w:color w:val="000000" w:themeColor="text1"/>
          <w:w w:val="99"/>
          <w:kern w:val="2"/>
          <w:sz w:val="24"/>
          <w:highlight w:val="none"/>
          <w:lang w:val="en-US" w:bidi="ar-SA"/>
          <w14:textFill>
            <w14:solidFill>
              <w14:schemeClr w14:val="tx1"/>
            </w14:solidFill>
          </w14:textFill>
        </w:rPr>
        <w:t>施工废料及施工人员产生的生活垃圾。</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施工废料</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本项目施工废料主要为管道铺设施工过程中产生的施工废料；管道施工废料产生量以20kg/km管道计，本项目新建管道</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4.72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km，因此，施工废料产生量为0.</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094</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t，统一回收后送至第</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七</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采油厂工业固废填埋场。</w:t>
      </w:r>
    </w:p>
    <w:p>
      <w:pPr>
        <w:autoSpaceDE/>
        <w:autoSpaceDN/>
        <w:adjustRightInd w:val="0"/>
        <w:snapToGrid w:val="0"/>
        <w:spacing w:line="440" w:lineRule="exact"/>
        <w:ind w:firstLine="480"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hAnsi="Times New Roman"/>
          <w:color w:val="000000" w:themeColor="text1"/>
          <w:sz w:val="24"/>
          <w:szCs w:val="24"/>
          <w:highlight w:val="none"/>
          <w:lang w:val="en-US" w:bidi="ar-SA"/>
          <w14:textFill>
            <w14:solidFill>
              <w14:schemeClr w14:val="tx1"/>
            </w14:solidFill>
          </w14:textFill>
        </w:rPr>
        <w:t xml:space="preserve"> </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生活垃圾</w:t>
      </w:r>
    </w:p>
    <w:p>
      <w:pPr>
        <w:autoSpaceDE/>
        <w:autoSpaceDN/>
        <w:adjustRightInd w:val="0"/>
        <w:snapToGrid w:val="0"/>
        <w:spacing w:line="440" w:lineRule="exact"/>
        <w:ind w:firstLine="474"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地面建设期间施工人员</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会产生生活垃圾</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，类比同类工程，每人每天产生生活垃圾0.5kg/d 计，生活垃圾产生量为0.6t。</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由</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施工单位集中收集</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委托</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环卫部门拉运至大庆市生活垃圾综合处理厂进行处理。</w:t>
      </w:r>
    </w:p>
    <w:p>
      <w:pPr>
        <w:autoSpaceDE/>
        <w:autoSpaceDN/>
        <w:adjustRightInd w:val="0"/>
        <w:snapToGrid w:val="0"/>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bidi="ar-SA"/>
          <w14:textFill>
            <w14:solidFill>
              <w14:schemeClr w14:val="tx1"/>
            </w14:solidFill>
          </w14:textFill>
        </w:rPr>
        <w:t>表</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3.4-1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2</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bidi="ar-SA"/>
          <w14:textFill>
            <w14:solidFill>
              <w14:schemeClr w14:val="tx1"/>
            </w14:solidFill>
          </w14:textFill>
        </w:rPr>
        <w:t>本工程固体废物产生量统计表</w:t>
      </w:r>
    </w:p>
    <w:tbl>
      <w:tblPr>
        <w:tblStyle w:val="3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2285"/>
        <w:gridCol w:w="1024"/>
        <w:gridCol w:w="1276"/>
        <w:gridCol w:w="3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22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污染物名称</w:t>
            </w:r>
          </w:p>
        </w:tc>
        <w:tc>
          <w:tcPr>
            <w:tcW w:w="10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产生量</w:t>
            </w:r>
          </w:p>
        </w:tc>
        <w:tc>
          <w:tcPr>
            <w:tcW w:w="12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废物类型</w:t>
            </w:r>
          </w:p>
        </w:tc>
        <w:tc>
          <w:tcPr>
            <w:tcW w:w="3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22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施工废料</w:t>
            </w:r>
          </w:p>
        </w:tc>
        <w:tc>
          <w:tcPr>
            <w:tcW w:w="10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094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w:t>
            </w:r>
          </w:p>
        </w:tc>
        <w:tc>
          <w:tcPr>
            <w:tcW w:w="12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一般废物</w:t>
            </w:r>
          </w:p>
        </w:tc>
        <w:tc>
          <w:tcPr>
            <w:tcW w:w="3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统一回收后送至第</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七</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采油厂工业固废填埋场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22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生活垃圾</w:t>
            </w:r>
          </w:p>
        </w:tc>
        <w:tc>
          <w:tcPr>
            <w:tcW w:w="10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0.6t</w:t>
            </w:r>
          </w:p>
        </w:tc>
        <w:tc>
          <w:tcPr>
            <w:tcW w:w="12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37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由</w:t>
            </w:r>
            <w:r>
              <w:rPr>
                <w:rFonts w:ascii="Times New Roman" w:hAnsi="Times New Roman" w:cs="Times New Roman"/>
                <w:color w:val="000000" w:themeColor="text1"/>
                <w:w w:val="99"/>
                <w:sz w:val="21"/>
                <w:szCs w:val="21"/>
                <w:highlight w:val="none"/>
                <w:lang w:val="en-US" w:bidi="ar"/>
                <w14:textFill>
                  <w14:solidFill>
                    <w14:schemeClr w14:val="tx1"/>
                  </w14:solidFill>
                </w14:textFill>
              </w:rPr>
              <w:t>施工单位集中收集</w:t>
            </w: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委托</w:t>
            </w:r>
            <w:r>
              <w:rPr>
                <w:rFonts w:ascii="Times New Roman" w:hAnsi="Times New Roman" w:cs="Times New Roman"/>
                <w:color w:val="000000" w:themeColor="text1"/>
                <w:w w:val="99"/>
                <w:sz w:val="21"/>
                <w:szCs w:val="21"/>
                <w:highlight w:val="none"/>
                <w:lang w:val="en-US" w:bidi="ar"/>
                <w14:textFill>
                  <w14:solidFill>
                    <w14:schemeClr w14:val="tx1"/>
                  </w14:solidFill>
                </w14:textFill>
              </w:rPr>
              <w:t>环卫部门拉运至大庆市生活垃圾综合处理厂进行处理</w:t>
            </w:r>
          </w:p>
        </w:tc>
      </w:tr>
    </w:tbl>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w:t>
      </w:r>
      <w:r>
        <w:rPr>
          <w:rFonts w:hint="eastAsia" w:ascii="Times New Roman" w:hAnsi="Times New Roman" w:cs="Times New Roman" w:eastAsiaTheme="minorEastAsia"/>
          <w:b/>
          <w:color w:val="000000" w:themeColor="text1"/>
          <w:w w:val="99"/>
          <w:sz w:val="24"/>
          <w:szCs w:val="24"/>
          <w:highlight w:val="none"/>
          <w:lang w:val="en-US" w:eastAsia="zh-CN"/>
          <w14:textFill>
            <w14:solidFill>
              <w14:schemeClr w14:val="tx1"/>
            </w14:solidFill>
          </w14:textFill>
        </w:rPr>
        <w:t>6</w:t>
      </w: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.2 运营期污染源源强核算</w:t>
      </w:r>
    </w:p>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（1）废气</w:t>
      </w:r>
    </w:p>
    <w:p>
      <w:pPr>
        <w:keepNext w:val="0"/>
        <w:keepLines w:val="0"/>
        <w:pageBreakBefore w:val="0"/>
        <w:widowControl w:val="0"/>
        <w:kinsoku/>
        <w:wordWrap/>
        <w:overflowPunct/>
        <w:topLinePunct w:val="0"/>
        <w:autoSpaceDE/>
        <w:autoSpaceDN/>
        <w:bidi w:val="0"/>
        <w:adjustRightInd w:val="0"/>
        <w:snapToGrid w:val="0"/>
        <w:spacing w:line="440" w:lineRule="exact"/>
        <w:ind w:firstLine="474" w:firstLineChars="200"/>
        <w:jc w:val="both"/>
        <w:textAlignment w:val="auto"/>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无组织</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挥发烃类气体</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由于本工程油气集输全部采用密闭集油工艺流程，烃类气体的排放主要是管线及依托场站的油气挥发所致，主要排放地点为采油井场、转油站</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及</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脱水站等场站。</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建设项目共部署</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21</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口油井，建成后总计产能为</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1.71</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×10</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4</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t/a。本项目无组织非甲烷总烃主要是井场、管道的小部分挥发产生，根据《大气挥发性有机物源排放清单编制技术指南（试行）》中石油化工业天然原油和天然气开采，石油开采挥发性有机物产生系数1.4175g/kg原油，建设项目运营期非甲烷总烃无组织排放量为</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24.24</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/a</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pStyle w:val="40"/>
        <w:keepNext w:val="0"/>
        <w:keepLines w:val="0"/>
        <w:pageBreakBefore w:val="0"/>
        <w:widowControl w:val="0"/>
        <w:kinsoku/>
        <w:wordWrap/>
        <w:overflowPunct/>
        <w:topLinePunct w:val="0"/>
        <w:autoSpaceDE w:val="0"/>
        <w:autoSpaceDN w:val="0"/>
        <w:bidi w:val="0"/>
        <w:adjustRightInd w:val="0"/>
        <w:snapToGrid/>
        <w:spacing w:beforeLines="0" w:afterLines="0" w:line="440" w:lineRule="exact"/>
        <w:jc w:val="left"/>
        <w:textAlignment w:val="auto"/>
        <w:rPr>
          <w:rFonts w:ascii="Times New Roman" w:cs="Times New Roman"/>
          <w:color w:val="000000" w:themeColor="text1"/>
          <w:w w:val="99"/>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rFonts w:ascii="Times New Roman" w:hAnsi="Times New Roman" w:eastAsia="宋体" w:cs="Times New Roman"/>
          <w:b w:val="0"/>
          <w:bCs/>
          <w:color w:val="000000" w:themeColor="text1"/>
          <w:w w:val="99"/>
          <w:kern w:val="2"/>
          <w:sz w:val="24"/>
          <w:szCs w:val="24"/>
          <w:highlight w:val="none"/>
          <w:lang w:val="en-US" w:eastAsia="zh-CN" w:bidi="ar-SA"/>
          <w14:textFill>
            <w14:solidFill>
              <w14:schemeClr w14:val="tx1"/>
            </w14:solidFill>
          </w14:textFill>
        </w:rPr>
        <w:fldChar w:fldCharType="begin"/>
      </w:r>
      <w:r>
        <w:rPr>
          <w:rFonts w:ascii="Times New Roman" w:hAnsi="Times New Roman" w:eastAsia="宋体" w:cs="Times New Roman"/>
          <w:b w:val="0"/>
          <w:bCs/>
          <w:color w:val="000000" w:themeColor="text1"/>
          <w:w w:val="99"/>
          <w:kern w:val="2"/>
          <w:sz w:val="24"/>
          <w:szCs w:val="24"/>
          <w:highlight w:val="none"/>
          <w:lang w:val="en-US" w:eastAsia="zh-CN" w:bidi="ar-SA"/>
          <w14:textFill>
            <w14:solidFill>
              <w14:schemeClr w14:val="tx1"/>
            </w14:solidFill>
          </w14:textFill>
        </w:rPr>
        <w:instrText xml:space="preserve"> </w:instrText>
      </w:r>
      <w:r>
        <w:rPr>
          <w:rFonts w:hint="eastAsia" w:ascii="Times New Roman" w:hAnsi="Times New Roman" w:eastAsia="宋体" w:cs="Times New Roman"/>
          <w:b w:val="0"/>
          <w:bCs/>
          <w:color w:val="000000" w:themeColor="text1"/>
          <w:w w:val="99"/>
          <w:kern w:val="2"/>
          <w:sz w:val="24"/>
          <w:szCs w:val="24"/>
          <w:highlight w:val="none"/>
          <w:lang w:val="en-US" w:eastAsia="zh-CN" w:bidi="ar-SA"/>
          <w14:textFill>
            <w14:solidFill>
              <w14:schemeClr w14:val="tx1"/>
            </w14:solidFill>
          </w14:textFill>
        </w:rPr>
        <w:instrText xml:space="preserve">eq \o\ac(○,2)</w:instrText>
      </w:r>
      <w:r>
        <w:rPr>
          <w:rFonts w:ascii="Times New Roman" w:hAnsi="Times New Roman" w:eastAsia="宋体" w:cs="Times New Roman"/>
          <w:b w:val="0"/>
          <w:bCs/>
          <w:color w:val="000000" w:themeColor="text1"/>
          <w:w w:val="99"/>
          <w:kern w:val="2"/>
          <w:sz w:val="24"/>
          <w:szCs w:val="24"/>
          <w:highlight w:val="none"/>
          <w:lang w:val="en-US" w:eastAsia="zh-CN" w:bidi="ar-SA"/>
          <w14:textFill>
            <w14:solidFill>
              <w14:schemeClr w14:val="tx1"/>
            </w14:solidFill>
          </w14:textFill>
        </w:rPr>
        <w:fldChar w:fldCharType="end"/>
      </w:r>
      <w:r>
        <w:rPr>
          <w:rFonts w:ascii="Times New Roman" w:hAnsi="Times New Roman" w:eastAsia="宋体" w:cs="Times New Roman"/>
          <w:b w:val="0"/>
          <w:bCs/>
          <w:color w:val="000000" w:themeColor="text1"/>
          <w:w w:val="99"/>
          <w:kern w:val="2"/>
          <w:sz w:val="24"/>
          <w:szCs w:val="24"/>
          <w:highlight w:val="none"/>
          <w:lang w:val="en-US" w:eastAsia="zh-CN" w:bidi="ar-SA"/>
          <w14:textFill>
            <w14:solidFill>
              <w14:schemeClr w14:val="tx1"/>
            </w14:solidFill>
          </w14:textFill>
        </w:rPr>
        <w:t>加热炉烟气</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项目运行期产生的废气主要为依托站场加热炉产生的燃烧烟气，站场加热炉均以天然气为燃料</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根据</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采油七厂</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加热炉隐患治理工程》</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中监测</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数据</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大庆中环评价检测有限公司</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监测时间</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20</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21</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年</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3</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月</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10</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日-</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11</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日</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葡二联合站加热炉烟气</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中</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污染物平均</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浓度颗粒物为11.6mg/m</w:t>
      </w:r>
      <w:r>
        <w:rPr>
          <w:rFonts w:ascii="Times New Roman" w:hAnsi="Times New Roman" w:cs="Times New Roman"/>
          <w:bCs/>
          <w:color w:val="000000" w:themeColor="text1"/>
          <w:w w:val="99"/>
          <w:kern w:val="2"/>
          <w:sz w:val="24"/>
          <w:szCs w:val="24"/>
          <w:highlight w:val="none"/>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，NOx83.8mg/m</w:t>
      </w:r>
      <w:r>
        <w:rPr>
          <w:rFonts w:ascii="Times New Roman" w:hAnsi="Times New Roman" w:cs="Times New Roman"/>
          <w:bCs/>
          <w:color w:val="000000" w:themeColor="text1"/>
          <w:w w:val="99"/>
          <w:kern w:val="2"/>
          <w:sz w:val="24"/>
          <w:szCs w:val="24"/>
          <w:highlight w:val="none"/>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，SO</w:t>
      </w:r>
      <w:r>
        <w:rPr>
          <w:rFonts w:ascii="Times New Roman" w:hAnsi="Times New Roman" w:cs="Times New Roman"/>
          <w:bCs/>
          <w:color w:val="000000" w:themeColor="text1"/>
          <w:w w:val="99"/>
          <w:kern w:val="2"/>
          <w:sz w:val="24"/>
          <w:szCs w:val="24"/>
          <w:highlight w:val="none"/>
          <w:vertAlign w:val="subscript"/>
          <w:lang w:val="en-US" w:bidi="ar-SA"/>
          <w14:textFill>
            <w14:solidFill>
              <w14:schemeClr w14:val="tx1"/>
            </w14:solidFill>
          </w14:textFill>
        </w:rPr>
        <w:t>2</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 xml:space="preserve"> 18.5mg/m</w:t>
      </w:r>
      <w:r>
        <w:rPr>
          <w:rFonts w:ascii="Times New Roman" w:hAnsi="Times New Roman" w:cs="Times New Roman"/>
          <w:bCs/>
          <w:color w:val="000000" w:themeColor="text1"/>
          <w:w w:val="99"/>
          <w:kern w:val="2"/>
          <w:sz w:val="24"/>
          <w:szCs w:val="24"/>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，符合</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《锅炉大气污染物排放标准》（GB13271-2014）中在用</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燃</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气锅炉的标准要求。</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根据</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场站分布</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和</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气源</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情况</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葡北</w:t>
      </w:r>
      <w:r>
        <w:rPr>
          <w:rFonts w:hint="eastAsia" w:ascii="Times New Roman" w:hAnsi="Times New Roman" w:cs="Times New Roman"/>
          <w:bCs/>
          <w:color w:val="000000" w:themeColor="text1"/>
          <w:w w:val="99"/>
          <w:kern w:val="2"/>
          <w:sz w:val="24"/>
          <w:szCs w:val="24"/>
          <w:highlight w:val="none"/>
          <w:lang w:val="en-US" w:eastAsia="zh-CN" w:bidi="ar-SA"/>
          <w14:textFill>
            <w14:solidFill>
              <w14:schemeClr w14:val="tx1"/>
            </w14:solidFill>
          </w14:textFill>
        </w:rPr>
        <w:t>9</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#转油站</w:t>
      </w: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、葡北</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10#转油站加热炉烟气浓度参照葡二联加热炉数据，</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均能够</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满足《锅炉大气污染物排放标准》（GB13271-2014）中在用锅炉（燃气锅炉）的标准要求。</w:t>
      </w:r>
    </w:p>
    <w:p>
      <w:pPr>
        <w:autoSpaceDE/>
        <w:autoSpaceDN/>
        <w:adjustRightInd w:val="0"/>
        <w:snapToGrid w:val="0"/>
        <w:spacing w:line="440" w:lineRule="exact"/>
        <w:ind w:firstLine="474" w:firstLineChars="200"/>
        <w:jc w:val="both"/>
        <w:rPr>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根据</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建设单位提供各场站耗气量、处理液量、</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本项目处理液量</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，类比计算依托站场</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分担</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耗气量，</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具体见表3.4-</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3</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adjustRightInd w:val="0"/>
        <w:snapToGrid w:val="0"/>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表3.4-1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3</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项目</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依托场站现有</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与</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本项目分担</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耗气量一览表</w:t>
      </w:r>
    </w:p>
    <w:tbl>
      <w:tblPr>
        <w:tblStyle w:val="32"/>
        <w:tblW w:w="90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2500"/>
        <w:gridCol w:w="1266"/>
        <w:gridCol w:w="1317"/>
        <w:gridCol w:w="1433"/>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9"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14:textFill>
                  <w14:solidFill>
                    <w14:schemeClr w14:val="tx1"/>
                  </w14:solidFill>
                </w14:textFill>
              </w:rPr>
              <w:t>场站</w:t>
            </w:r>
            <w:r>
              <w:rPr>
                <w:rFonts w:ascii="Times New Roman" w:hAnsi="Times New Roman" w:cs="Times New Roman"/>
                <w:color w:val="000000" w:themeColor="text1"/>
                <w:w w:val="99"/>
                <w:kern w:val="2"/>
                <w:sz w:val="21"/>
                <w:szCs w:val="21"/>
                <w:highlight w:val="none"/>
                <w14:textFill>
                  <w14:solidFill>
                    <w14:schemeClr w14:val="tx1"/>
                  </w14:solidFill>
                </w14:textFill>
              </w:rPr>
              <w:t>名称</w:t>
            </w:r>
          </w:p>
        </w:tc>
        <w:tc>
          <w:tcPr>
            <w:tcW w:w="25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14:textFill>
                  <w14:solidFill>
                    <w14:schemeClr w14:val="tx1"/>
                  </w14:solidFill>
                </w14:textFill>
              </w:rPr>
              <w:t>目前处理情况</w:t>
            </w:r>
          </w:p>
        </w:tc>
        <w:tc>
          <w:tcPr>
            <w:tcW w:w="300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本项目分担量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9" w:type="dxa"/>
            <w:gridSpan w:val="2"/>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6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处理液量10</w:t>
            </w:r>
            <w:r>
              <w:rPr>
                <w:rFonts w:hint="eastAsia"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/a</w:t>
            </w:r>
          </w:p>
        </w:tc>
        <w:tc>
          <w:tcPr>
            <w:tcW w:w="13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14:textFill>
                  <w14:solidFill>
                    <w14:schemeClr w14:val="tx1"/>
                  </w14:solidFill>
                </w14:textFill>
              </w:rPr>
            </w:pPr>
            <w:r>
              <w:rPr>
                <w:rFonts w:hint="eastAsia" w:ascii="Times New Roman" w:hAnsi="Times New Roman" w:cs="Times New Roman"/>
                <w:color w:val="000000" w:themeColor="text1"/>
                <w:w w:val="99"/>
                <w:kern w:val="2"/>
                <w:sz w:val="21"/>
                <w:szCs w:val="21"/>
                <w:highlight w:val="none"/>
                <w14:textFill>
                  <w14:solidFill>
                    <w14:schemeClr w14:val="tx1"/>
                  </w14:solidFill>
                </w14:textFill>
              </w:rPr>
              <w:t>耗气量</w:t>
            </w:r>
          </w:p>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14:textFill>
                  <w14:solidFill>
                    <w14:schemeClr w14:val="tx1"/>
                  </w14:solidFill>
                </w14:textFill>
              </w:rPr>
              <w:t>1</w:t>
            </w:r>
            <w:r>
              <w:rPr>
                <w:rFonts w:ascii="Times New Roman" w:hAnsi="Times New Roman" w:cs="Times New Roman"/>
                <w:color w:val="000000" w:themeColor="text1"/>
                <w:w w:val="99"/>
                <w:kern w:val="2"/>
                <w:sz w:val="21"/>
                <w:szCs w:val="21"/>
                <w:highlight w:val="none"/>
                <w14:textFill>
                  <w14:solidFill>
                    <w14:schemeClr w14:val="tx1"/>
                  </w14:solidFill>
                </w14:textFill>
              </w:rPr>
              <w:t>0</w:t>
            </w:r>
            <w:r>
              <w:rPr>
                <w:rFonts w:ascii="Times New Roman" w:hAnsi="Times New Roman" w:cs="Times New Roman"/>
                <w:color w:val="000000" w:themeColor="text1"/>
                <w:w w:val="99"/>
                <w:kern w:val="2"/>
                <w:sz w:val="21"/>
                <w:szCs w:val="21"/>
                <w:highlight w:val="none"/>
                <w:vertAlign w:val="superscript"/>
                <w14:textFill>
                  <w14:solidFill>
                    <w14:schemeClr w14:val="tx1"/>
                  </w14:solidFill>
                </w14:textFill>
              </w:rPr>
              <w:t>4</w:t>
            </w:r>
            <w:r>
              <w:rPr>
                <w:rFonts w:ascii="Times New Roman" w:hAnsi="Times New Roman" w:cs="Times New Roman"/>
                <w:color w:val="000000" w:themeColor="text1"/>
                <w:w w:val="99"/>
                <w:kern w:val="2"/>
                <w:sz w:val="21"/>
                <w:szCs w:val="21"/>
                <w:highlight w:val="none"/>
                <w14:textFill>
                  <w14:solidFill>
                    <w14:schemeClr w14:val="tx1"/>
                  </w14:solidFill>
                </w14:textFill>
              </w:rPr>
              <w:t>m</w:t>
            </w:r>
            <w:r>
              <w:rPr>
                <w:rFonts w:ascii="Times New Roman" w:hAnsi="Times New Roman" w:cs="Times New Roman"/>
                <w:color w:val="000000" w:themeColor="text1"/>
                <w:w w:val="99"/>
                <w:kern w:val="2"/>
                <w:sz w:val="21"/>
                <w:szCs w:val="21"/>
                <w:highlight w:val="none"/>
                <w:vertAlign w:val="superscript"/>
                <w:lang w:val="en-US"/>
                <w14:textFill>
                  <w14:solidFill>
                    <w14:schemeClr w14:val="tx1"/>
                  </w14:solidFill>
                </w14:textFill>
              </w:rPr>
              <w:t>3</w:t>
            </w:r>
            <w:r>
              <w:rPr>
                <w:rFonts w:ascii="Times New Roman" w:hAnsi="Times New Roman" w:cs="Times New Roman"/>
                <w:color w:val="000000" w:themeColor="text1"/>
                <w:w w:val="99"/>
                <w:kern w:val="2"/>
                <w:sz w:val="21"/>
                <w:szCs w:val="21"/>
                <w:highlight w:val="none"/>
                <w14:textFill>
                  <w14:solidFill>
                    <w14:schemeClr w14:val="tx1"/>
                  </w14:solidFill>
                </w14:textFill>
              </w:rPr>
              <w:t>/a</w:t>
            </w:r>
          </w:p>
        </w:tc>
        <w:tc>
          <w:tcPr>
            <w:tcW w:w="143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处理液量10</w:t>
            </w:r>
            <w:r>
              <w:rPr>
                <w:rFonts w:hint="eastAsia"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/a</w:t>
            </w:r>
          </w:p>
        </w:tc>
        <w:tc>
          <w:tcPr>
            <w:tcW w:w="157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14:textFill>
                  <w14:solidFill>
                    <w14:schemeClr w14:val="tx1"/>
                  </w14:solidFill>
                </w14:textFill>
              </w:rPr>
            </w:pPr>
            <w:r>
              <w:rPr>
                <w:rFonts w:hint="eastAsia" w:ascii="Times New Roman" w:hAnsi="Times New Roman" w:cs="Times New Roman"/>
                <w:color w:val="000000" w:themeColor="text1"/>
                <w:w w:val="99"/>
                <w:kern w:val="2"/>
                <w:sz w:val="21"/>
                <w:szCs w:val="21"/>
                <w:highlight w:val="none"/>
                <w14:textFill>
                  <w14:solidFill>
                    <w14:schemeClr w14:val="tx1"/>
                  </w14:solidFill>
                </w14:textFill>
              </w:rPr>
              <w:t>耗气量</w:t>
            </w:r>
          </w:p>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14:textFill>
                  <w14:solidFill>
                    <w14:schemeClr w14:val="tx1"/>
                  </w14:solidFill>
                </w14:textFill>
              </w:rPr>
            </w:pPr>
            <w:r>
              <w:rPr>
                <w:rFonts w:hint="eastAsia" w:ascii="Times New Roman" w:hAnsi="Times New Roman" w:cs="Times New Roman"/>
                <w:color w:val="000000" w:themeColor="text1"/>
                <w:w w:val="99"/>
                <w:kern w:val="2"/>
                <w:sz w:val="21"/>
                <w:szCs w:val="21"/>
                <w:highlight w:val="none"/>
                <w14:textFill>
                  <w14:solidFill>
                    <w14:schemeClr w14:val="tx1"/>
                  </w14:solidFill>
                </w14:textFill>
              </w:rPr>
              <w:t>1</w:t>
            </w:r>
            <w:r>
              <w:rPr>
                <w:rFonts w:ascii="Times New Roman" w:hAnsi="Times New Roman" w:cs="Times New Roman"/>
                <w:color w:val="000000" w:themeColor="text1"/>
                <w:w w:val="99"/>
                <w:kern w:val="2"/>
                <w:sz w:val="21"/>
                <w:szCs w:val="21"/>
                <w:highlight w:val="none"/>
                <w14:textFill>
                  <w14:solidFill>
                    <w14:schemeClr w14:val="tx1"/>
                  </w14:solidFill>
                </w14:textFill>
              </w:rPr>
              <w:t>0</w:t>
            </w:r>
            <w:r>
              <w:rPr>
                <w:rFonts w:ascii="Times New Roman" w:hAnsi="Times New Roman" w:cs="Times New Roman"/>
                <w:color w:val="000000" w:themeColor="text1"/>
                <w:w w:val="99"/>
                <w:kern w:val="2"/>
                <w:sz w:val="21"/>
                <w:szCs w:val="21"/>
                <w:highlight w:val="none"/>
                <w:vertAlign w:val="superscript"/>
                <w14:textFill>
                  <w14:solidFill>
                    <w14:schemeClr w14:val="tx1"/>
                  </w14:solidFill>
                </w14:textFill>
              </w:rPr>
              <w:t>4</w:t>
            </w:r>
            <w:r>
              <w:rPr>
                <w:rFonts w:ascii="Times New Roman" w:hAnsi="Times New Roman" w:cs="Times New Roman"/>
                <w:color w:val="000000" w:themeColor="text1"/>
                <w:w w:val="99"/>
                <w:kern w:val="2"/>
                <w:sz w:val="21"/>
                <w:szCs w:val="21"/>
                <w:highlight w:val="none"/>
                <w14:textFill>
                  <w14:solidFill>
                    <w14:schemeClr w14:val="tx1"/>
                  </w14:solidFill>
                </w14:textFill>
              </w:rPr>
              <w:t>m</w:t>
            </w:r>
            <w:r>
              <w:rPr>
                <w:rFonts w:ascii="Times New Roman" w:hAnsi="Times New Roman" w:cs="Times New Roman"/>
                <w:color w:val="000000" w:themeColor="text1"/>
                <w:w w:val="99"/>
                <w:kern w:val="2"/>
                <w:sz w:val="21"/>
                <w:szCs w:val="21"/>
                <w:highlight w:val="none"/>
                <w:vertAlign w:val="superscript"/>
                <w:lang w:val="en-US"/>
                <w14:textFill>
                  <w14:solidFill>
                    <w14:schemeClr w14:val="tx1"/>
                  </w14:solidFill>
                </w14:textFill>
              </w:rPr>
              <w:t>3</w:t>
            </w:r>
            <w:r>
              <w:rPr>
                <w:rFonts w:ascii="Times New Roman" w:hAnsi="Times New Roman" w:cs="Times New Roman"/>
                <w:color w:val="000000" w:themeColor="text1"/>
                <w:w w:val="99"/>
                <w:kern w:val="2"/>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葡北</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#转油站</w:t>
            </w:r>
          </w:p>
        </w:tc>
        <w:tc>
          <w:tcPr>
            <w:tcW w:w="2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1#“四合一”装置排气筒</w:t>
            </w:r>
          </w:p>
        </w:tc>
        <w:tc>
          <w:tcPr>
            <w:tcW w:w="12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60.83</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52</w:t>
            </w:r>
          </w:p>
        </w:tc>
        <w:tc>
          <w:tcPr>
            <w:tcW w:w="14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1.254</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2#“四合一”装置排气筒</w:t>
            </w:r>
          </w:p>
        </w:tc>
        <w:tc>
          <w:tcPr>
            <w:tcW w:w="12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60.83</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52</w:t>
            </w:r>
          </w:p>
        </w:tc>
        <w:tc>
          <w:tcPr>
            <w:tcW w:w="14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1.254</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3#“四合一”装置排气筒</w:t>
            </w:r>
          </w:p>
        </w:tc>
        <w:tc>
          <w:tcPr>
            <w:tcW w:w="12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60.83</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52</w:t>
            </w:r>
          </w:p>
        </w:tc>
        <w:tc>
          <w:tcPr>
            <w:tcW w:w="14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1.254</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葡北</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10#转油站</w:t>
            </w:r>
          </w:p>
        </w:tc>
        <w:tc>
          <w:tcPr>
            <w:tcW w:w="2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w:t>
            </w:r>
            <w:r>
              <w:rPr>
                <w:rFonts w:ascii="Times New Roman" w:hAnsi="Times New Roman" w:cs="Times New Roman"/>
                <w:bCs/>
                <w:color w:val="000000" w:themeColor="text1"/>
                <w:w w:val="99"/>
                <w:sz w:val="24"/>
                <w:szCs w:val="20"/>
                <w:highlight w:val="none"/>
                <w:lang w:val="en-US"/>
                <w14:textFill>
                  <w14:solidFill>
                    <w14:schemeClr w14:val="tx1"/>
                  </w14:solidFill>
                </w14:textFill>
              </w:rPr>
              <w:t>掺水热洗炉</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排气筒</w:t>
            </w:r>
          </w:p>
        </w:tc>
        <w:tc>
          <w:tcPr>
            <w:tcW w:w="12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70.0</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70.02</w:t>
            </w:r>
          </w:p>
        </w:tc>
        <w:tc>
          <w:tcPr>
            <w:tcW w:w="14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4.96</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w:t>
            </w:r>
            <w:r>
              <w:rPr>
                <w:rFonts w:ascii="Times New Roman" w:hAnsi="Times New Roman" w:cs="Times New Roman"/>
                <w:bCs/>
                <w:color w:val="000000" w:themeColor="text1"/>
                <w:w w:val="99"/>
                <w:sz w:val="24"/>
                <w:szCs w:val="20"/>
                <w:highlight w:val="none"/>
                <w:lang w:val="en-US"/>
                <w14:textFill>
                  <w14:solidFill>
                    <w14:schemeClr w14:val="tx1"/>
                  </w14:solidFill>
                </w14:textFill>
              </w:rPr>
              <w:t>掺水热洗炉</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排气筒</w:t>
            </w:r>
          </w:p>
        </w:tc>
        <w:tc>
          <w:tcPr>
            <w:tcW w:w="12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70.0</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82.26</w:t>
            </w:r>
          </w:p>
        </w:tc>
        <w:tc>
          <w:tcPr>
            <w:tcW w:w="14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4.96</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3#加热炉排气筒</w:t>
            </w:r>
          </w:p>
        </w:tc>
        <w:tc>
          <w:tcPr>
            <w:tcW w:w="12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93.24</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70.02</w:t>
            </w:r>
          </w:p>
        </w:tc>
        <w:tc>
          <w:tcPr>
            <w:tcW w:w="14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6.07</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5.8</w:t>
            </w:r>
          </w:p>
        </w:tc>
      </w:tr>
    </w:tbl>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根据上述</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分析，</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本次</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工程场站加热炉污染物浓度参照折算浓度最大值计算，</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加热炉烟气量参照</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《纳入排污许可管理的火电等17个行业污染物实际排放量计算方法（含排污系数、物料衡算方法）（试行）》中常压工业锅炉的废气产排污系数</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13.6</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万</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立方米/万立方米-原料）</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本项目分担</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燃烧</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烟气污染物排放量见表</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3.4-</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4</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adjustRightInd w:val="0"/>
        <w:snapToGrid w:val="0"/>
        <w:spacing w:line="440" w:lineRule="exact"/>
        <w:ind w:firstLine="476" w:firstLineChars="200"/>
        <w:jc w:val="both"/>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bookmarkStart w:id="117" w:name="_Hlk71194908"/>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表3.4-1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4</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加热炉烟气排放情况一览表</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分担</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负荷</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w:t>
      </w:r>
    </w:p>
    <w:tbl>
      <w:tblPr>
        <w:tblStyle w:val="32"/>
        <w:tblW w:w="492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49"/>
        <w:gridCol w:w="1062"/>
        <w:gridCol w:w="1182"/>
        <w:gridCol w:w="1790"/>
        <w:gridCol w:w="2361"/>
        <w:gridCol w:w="19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6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序号</w:t>
            </w:r>
          </w:p>
        </w:tc>
        <w:tc>
          <w:tcPr>
            <w:tcW w:w="1253" w:type="pct"/>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排放口编号</w:t>
            </w:r>
          </w:p>
        </w:tc>
        <w:tc>
          <w:tcPr>
            <w:tcW w:w="1000"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污染物</w:t>
            </w:r>
          </w:p>
        </w:tc>
        <w:tc>
          <w:tcPr>
            <w:tcW w:w="131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核算排放浓度</w:t>
            </w:r>
          </w:p>
        </w:tc>
        <w:tc>
          <w:tcPr>
            <w:tcW w:w="106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核算年排放量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000" w:type="pct"/>
            <w:gridSpan w:val="6"/>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有组织排放口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363" w:type="pct"/>
            <w:vMerge w:val="restart"/>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w:t>
            </w:r>
          </w:p>
        </w:tc>
        <w:tc>
          <w:tcPr>
            <w:tcW w:w="593" w:type="pct"/>
            <w:vMerge w:val="restar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葡北9#转油站</w:t>
            </w:r>
          </w:p>
        </w:tc>
        <w:tc>
          <w:tcPr>
            <w:tcW w:w="660" w:type="pct"/>
            <w:vMerge w:val="restar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eastAsia="宋体"/>
                <w:color w:val="000000" w:themeColor="text1"/>
                <w:w w:val="10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1#“四合一”装置排气筒</w:t>
            </w:r>
          </w:p>
        </w:tc>
        <w:tc>
          <w:tcPr>
            <w:tcW w:w="1000"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SO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2</w:t>
            </w:r>
          </w:p>
        </w:tc>
        <w:tc>
          <w:tcPr>
            <w:tcW w:w="1319"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18.5mg/m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0.0027t/a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36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593" w:type="pct"/>
            <w:vMerge w:val="continue"/>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60" w:type="pct"/>
            <w:vMerge w:val="continue"/>
            <w:tcBorders>
              <w:top w:val="single" w:color="000000" w:sz="2" w:space="0"/>
              <w:left w:val="single" w:color="000000" w:sz="2" w:space="0"/>
              <w:bottom w:val="single" w:color="000000" w:sz="2" w:space="0"/>
              <w:right w:val="single" w:color="000000" w:sz="2" w:space="0"/>
            </w:tcBorders>
            <w:vAlign w:val="center"/>
          </w:tcPr>
          <w:p>
            <w:pPr>
              <w:tabs>
                <w:tab w:val="left" w:pos="4154"/>
                <w:tab w:val="center" w:pos="8305"/>
              </w:tabs>
              <w:jc w:val="center"/>
              <w:rPr>
                <w:rFonts w:hint="eastAsia" w:ascii="Times New Roman"/>
                <w:color w:val="000000" w:themeColor="text1"/>
                <w:w w:val="100"/>
                <w:sz w:val="21"/>
                <w:szCs w:val="21"/>
                <w:highlight w:val="none"/>
                <w:lang w:val="en-US"/>
                <w14:textFill>
                  <w14:solidFill>
                    <w14:schemeClr w14:val="tx1"/>
                  </w14:solidFill>
                </w14:textFill>
              </w:rPr>
            </w:pPr>
          </w:p>
        </w:tc>
        <w:tc>
          <w:tcPr>
            <w:tcW w:w="1000"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NO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x</w:t>
            </w:r>
          </w:p>
        </w:tc>
        <w:tc>
          <w:tcPr>
            <w:tcW w:w="1319"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83.8mg/m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0.0122t/a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36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593" w:type="pct"/>
            <w:vMerge w:val="continue"/>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60" w:type="pct"/>
            <w:vMerge w:val="continue"/>
            <w:tcBorders>
              <w:top w:val="single" w:color="000000" w:sz="2" w:space="0"/>
              <w:left w:val="single" w:color="000000" w:sz="2" w:space="0"/>
              <w:bottom w:val="single" w:color="000000" w:sz="2" w:space="0"/>
              <w:right w:val="single" w:color="000000" w:sz="2" w:space="0"/>
            </w:tcBorders>
            <w:vAlign w:val="center"/>
          </w:tcPr>
          <w:p>
            <w:pPr>
              <w:tabs>
                <w:tab w:val="left" w:pos="4154"/>
                <w:tab w:val="center" w:pos="8305"/>
              </w:tabs>
              <w:jc w:val="center"/>
              <w:rPr>
                <w:rFonts w:hint="eastAsia" w:ascii="Times New Roman"/>
                <w:color w:val="000000" w:themeColor="text1"/>
                <w:w w:val="100"/>
                <w:sz w:val="21"/>
                <w:szCs w:val="21"/>
                <w:highlight w:val="none"/>
                <w:lang w:val="en-US"/>
                <w14:textFill>
                  <w14:solidFill>
                    <w14:schemeClr w14:val="tx1"/>
                  </w14:solidFill>
                </w14:textFill>
              </w:rPr>
            </w:pPr>
          </w:p>
        </w:tc>
        <w:tc>
          <w:tcPr>
            <w:tcW w:w="1000"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颗粒物</w:t>
            </w:r>
          </w:p>
        </w:tc>
        <w:tc>
          <w:tcPr>
            <w:tcW w:w="1319"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11.6mg/m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0.0017t/a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36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593" w:type="pct"/>
            <w:vMerge w:val="continue"/>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60" w:type="pct"/>
            <w:vMerge w:val="restar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color w:val="000000" w:themeColor="text1"/>
                <w:w w:val="100"/>
                <w:sz w:val="21"/>
                <w:szCs w:val="21"/>
                <w:highlight w:val="none"/>
                <w:lang w:val="en-US"/>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2#“四合一”装置排气筒</w:t>
            </w: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SO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2</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18.5mg/m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0.0027t/a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36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593" w:type="pct"/>
            <w:vMerge w:val="continue"/>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60" w:type="pct"/>
            <w:vMerge w:val="continue"/>
            <w:tcBorders>
              <w:top w:val="single" w:color="000000" w:sz="2" w:space="0"/>
              <w:left w:val="single" w:color="000000" w:sz="2" w:space="0"/>
              <w:bottom w:val="single" w:color="000000" w:sz="2" w:space="0"/>
              <w:right w:val="single" w:color="000000" w:sz="2" w:space="0"/>
            </w:tcBorders>
            <w:vAlign w:val="center"/>
          </w:tcPr>
          <w:p>
            <w:pPr>
              <w:tabs>
                <w:tab w:val="left" w:pos="4154"/>
                <w:tab w:val="center" w:pos="8305"/>
              </w:tabs>
              <w:jc w:val="center"/>
              <w:rPr>
                <w:rFonts w:hint="eastAsia" w:ascii="Times New Roman"/>
                <w:color w:val="000000" w:themeColor="text1"/>
                <w:w w:val="100"/>
                <w:sz w:val="21"/>
                <w:szCs w:val="21"/>
                <w:highlight w:val="none"/>
                <w:lang w:val="en-US"/>
                <w14:textFill>
                  <w14:solidFill>
                    <w14:schemeClr w14:val="tx1"/>
                  </w14:solidFill>
                </w14:textFill>
              </w:rPr>
            </w:pP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NO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x</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83.8mg/m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0.0122t/a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1" w:hRule="atLeast"/>
        </w:trPr>
        <w:tc>
          <w:tcPr>
            <w:tcW w:w="36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59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60" w:type="pct"/>
            <w:vMerge w:val="continue"/>
            <w:tcBorders>
              <w:top w:val="single" w:color="000000" w:sz="2" w:space="0"/>
              <w:left w:val="single" w:color="000000" w:sz="2" w:space="0"/>
              <w:bottom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颗粒物</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11.6mg/m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0.0017t/a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36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59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60" w:type="pct"/>
            <w:vMerge w:val="restar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100"/>
                <w:sz w:val="21"/>
                <w:szCs w:val="21"/>
                <w:highlight w:val="none"/>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3#“四合一”装置排气筒</w:t>
            </w: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SO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2</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18.5mg/m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0.0027t/a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36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59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60" w:type="pct"/>
            <w:vMerge w:val="continue"/>
            <w:tcBorders>
              <w:top w:val="single" w:color="000000" w:sz="2" w:space="0"/>
              <w:left w:val="single" w:color="000000" w:sz="2" w:space="0"/>
              <w:bottom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NO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x</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83.8mg/m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0.0122t/a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36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593" w:type="pct"/>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60" w:type="pct"/>
            <w:vMerge w:val="continue"/>
            <w:tcBorders>
              <w:top w:val="single" w:color="000000" w:sz="2" w:space="0"/>
              <w:left w:val="single" w:color="000000" w:sz="2" w:space="0"/>
              <w:bottom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颗粒物</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11.6mg/m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0.0017t/a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363" w:type="pct"/>
            <w:vMerge w:val="restart"/>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w:t>
            </w:r>
          </w:p>
        </w:tc>
        <w:tc>
          <w:tcPr>
            <w:tcW w:w="593"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葡北10#转油站</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60" w:type="pct"/>
            <w:vMerge w:val="restar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100"/>
                <w:sz w:val="21"/>
                <w:szCs w:val="21"/>
                <w:highlight w:val="none"/>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w:t>
            </w:r>
            <w:r>
              <w:rPr>
                <w:rFonts w:ascii="Times New Roman" w:hAnsi="Times New Roman" w:cs="Times New Roman"/>
                <w:bCs/>
                <w:color w:val="000000" w:themeColor="text1"/>
                <w:w w:val="99"/>
                <w:sz w:val="24"/>
                <w:szCs w:val="20"/>
                <w:highlight w:val="none"/>
                <w:lang w:val="en-US"/>
                <w14:textFill>
                  <w14:solidFill>
                    <w14:schemeClr w14:val="tx1"/>
                  </w14:solidFill>
                </w14:textFill>
              </w:rPr>
              <w:t>掺水热洗炉</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排气筒</w:t>
            </w: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SO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2</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18.5mg/m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0.0119t/a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1" w:hRule="atLeast"/>
        </w:trPr>
        <w:tc>
          <w:tcPr>
            <w:tcW w:w="36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59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660" w:type="pct"/>
            <w:vMerge w:val="continue"/>
            <w:tcBorders>
              <w:top w:val="single" w:color="000000" w:sz="2" w:space="0"/>
              <w:left w:val="single" w:color="000000" w:sz="2" w:space="0"/>
              <w:bottom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NO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x</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83.8mg/m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0.0537t/a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1" w:hRule="atLeast"/>
        </w:trPr>
        <w:tc>
          <w:tcPr>
            <w:tcW w:w="36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59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660" w:type="pct"/>
            <w:vMerge w:val="continue"/>
            <w:tcBorders>
              <w:top w:val="single" w:color="000000" w:sz="2" w:space="0"/>
              <w:left w:val="single" w:color="000000" w:sz="2" w:space="0"/>
              <w:bottom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颗粒物</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11.6mg/m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0.00744t/a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36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59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660" w:type="pct"/>
            <w:vMerge w:val="restar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100"/>
                <w:sz w:val="21"/>
                <w:szCs w:val="21"/>
                <w:highlight w:val="none"/>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w:t>
            </w:r>
            <w:r>
              <w:rPr>
                <w:rFonts w:ascii="Times New Roman" w:hAnsi="Times New Roman" w:cs="Times New Roman"/>
                <w:bCs/>
                <w:color w:val="000000" w:themeColor="text1"/>
                <w:w w:val="99"/>
                <w:sz w:val="24"/>
                <w:szCs w:val="20"/>
                <w:highlight w:val="none"/>
                <w:lang w:val="en-US"/>
                <w14:textFill>
                  <w14:solidFill>
                    <w14:schemeClr w14:val="tx1"/>
                  </w14:solidFill>
                </w14:textFill>
              </w:rPr>
              <w:t>掺水热洗炉</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排气筒</w:t>
            </w: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SO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2</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18.5mg/m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0.0119t/a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36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59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660" w:type="pct"/>
            <w:vMerge w:val="continue"/>
            <w:tcBorders>
              <w:top w:val="single" w:color="000000" w:sz="2" w:space="0"/>
              <w:left w:val="single" w:color="000000" w:sz="2" w:space="0"/>
              <w:bottom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NO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x</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83.8mg/m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0.0537t/a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1" w:hRule="atLeast"/>
        </w:trPr>
        <w:tc>
          <w:tcPr>
            <w:tcW w:w="36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59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660" w:type="pct"/>
            <w:vMerge w:val="continue"/>
            <w:tcBorders>
              <w:top w:val="single" w:color="000000" w:sz="2" w:space="0"/>
              <w:left w:val="single" w:color="000000" w:sz="2" w:space="0"/>
              <w:bottom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颗粒物</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11.6mg/m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0.00744t/a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1" w:hRule="atLeast"/>
        </w:trPr>
        <w:tc>
          <w:tcPr>
            <w:tcW w:w="36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59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660" w:type="pct"/>
            <w:vMerge w:val="restart"/>
            <w:tcBorders>
              <w:top w:val="single" w:color="000000" w:sz="2" w:space="0"/>
              <w:left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100"/>
                <w:sz w:val="21"/>
                <w:szCs w:val="21"/>
                <w:highlight w:val="none"/>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3#加热炉排气筒</w:t>
            </w: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SO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2</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18.5mg/m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0.0145t/a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36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593"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660" w:type="pct"/>
            <w:vMerge w:val="continue"/>
            <w:tcBorders>
              <w:left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NO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x</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83.8mg/m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0.0661t/a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363" w:type="pct"/>
            <w:vMerge w:val="continue"/>
            <w:tcBorders>
              <w:left w:val="single" w:color="000000" w:sz="2" w:space="0"/>
              <w:bottom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593" w:type="pct"/>
            <w:vMerge w:val="continue"/>
            <w:tcBorders>
              <w:left w:val="single" w:color="000000" w:sz="2" w:space="0"/>
              <w:bottom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660" w:type="pct"/>
            <w:vMerge w:val="continue"/>
            <w:tcBorders>
              <w:left w:val="single" w:color="000000" w:sz="2" w:space="0"/>
              <w:bottom w:val="single" w:color="000000" w:sz="2" w:space="0"/>
              <w:right w:val="single" w:color="000000" w:sz="2" w:space="0"/>
            </w:tcBorders>
          </w:tcPr>
          <w:p>
            <w:pPr>
              <w:spacing w:line="360" w:lineRule="exact"/>
              <w:jc w:val="center"/>
              <w:rPr>
                <w:rFonts w:ascii="Times New Roman" w:hAnsi="Times New Roman" w:cs="Times New Roman"/>
                <w:color w:val="000000" w:themeColor="text1"/>
                <w:w w:val="100"/>
                <w:sz w:val="21"/>
                <w:szCs w:val="21"/>
                <w:highlight w:val="none"/>
                <w14:textFill>
                  <w14:solidFill>
                    <w14:schemeClr w14:val="tx1"/>
                  </w14:solidFill>
                </w14:textFill>
              </w:rPr>
            </w:pPr>
          </w:p>
        </w:tc>
        <w:tc>
          <w:tcPr>
            <w:tcW w:w="1790"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zh-CN"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颗粒物</w:t>
            </w:r>
          </w:p>
        </w:tc>
        <w:tc>
          <w:tcPr>
            <w:tcW w:w="2361" w:type="dxa"/>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11.6mg/m</w:t>
            </w:r>
            <w:r>
              <w:rPr>
                <w:rFonts w:hint="eastAsia"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c>
          <w:tcPr>
            <w:tcW w:w="1064" w:type="pct"/>
            <w:tcBorders>
              <w:top w:val="single" w:color="000000" w:sz="2" w:space="0"/>
              <w:left w:val="single" w:color="000000" w:sz="2" w:space="0"/>
              <w:bottom w:val="single" w:color="000000" w:sz="2" w:space="0"/>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0.00915t/a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935" w:type="pct"/>
            <w:gridSpan w:val="5"/>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有组织排放总计</w:t>
            </w:r>
          </w:p>
        </w:tc>
        <w:tc>
          <w:tcPr>
            <w:tcW w:w="1064" w:type="pct"/>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616" w:type="pct"/>
            <w:gridSpan w:val="3"/>
            <w:vMerge w:val="restart"/>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有组织排放总计</w:t>
            </w:r>
          </w:p>
        </w:tc>
        <w:tc>
          <w:tcPr>
            <w:tcW w:w="2319" w:type="pct"/>
            <w:gridSpan w:val="2"/>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SO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2</w:t>
            </w:r>
          </w:p>
        </w:tc>
        <w:tc>
          <w:tcPr>
            <w:tcW w:w="1064" w:type="pct"/>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0.0464t/a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616" w:type="pct"/>
            <w:gridSpan w:val="3"/>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2319" w:type="pct"/>
            <w:gridSpan w:val="2"/>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NO</w:t>
            </w:r>
            <w:r>
              <w:rPr>
                <w:rFonts w:hint="eastAsia" w:ascii="Times New Roman" w:hAnsi="Times New Roman" w:cs="Times New Roman"/>
                <w:color w:val="000000" w:themeColor="text1"/>
                <w:w w:val="99"/>
                <w:kern w:val="2"/>
                <w:sz w:val="21"/>
                <w:szCs w:val="21"/>
                <w:highlight w:val="none"/>
                <w:vertAlign w:val="subscript"/>
                <w:lang w:val="en-US" w:eastAsia="zh-CN" w:bidi="ar-SA"/>
                <w14:textFill>
                  <w14:solidFill>
                    <w14:schemeClr w14:val="tx1"/>
                  </w14:solidFill>
                </w14:textFill>
              </w:rPr>
              <w:t>x</w:t>
            </w:r>
          </w:p>
        </w:tc>
        <w:tc>
          <w:tcPr>
            <w:tcW w:w="1064" w:type="pct"/>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0.2106t/a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616" w:type="pct"/>
            <w:gridSpan w:val="3"/>
            <w:vMerge w:val="continue"/>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2319" w:type="pct"/>
            <w:gridSpan w:val="2"/>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颗粒物</w:t>
            </w:r>
          </w:p>
        </w:tc>
        <w:tc>
          <w:tcPr>
            <w:tcW w:w="1064" w:type="pct"/>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0.0291t/a</w:t>
            </w:r>
          </w:p>
        </w:tc>
      </w:tr>
      <w:bookmarkEnd w:id="117"/>
    </w:tbl>
    <w:p>
      <w:pPr>
        <w:widowControl/>
        <w:autoSpaceDE/>
        <w:autoSpaceDN/>
        <w:spacing w:line="500" w:lineRule="exact"/>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本项目运营期废气污染源源强核算结果及相关参数一览表见表3.4-1</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5</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spacing w:line="500" w:lineRule="exact"/>
        <w:ind w:firstLine="476" w:firstLineChars="200"/>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表3.4</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5</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废气污染源源强核算结果及相关参数一览表</w:t>
      </w:r>
    </w:p>
    <w:tbl>
      <w:tblPr>
        <w:tblStyle w:val="32"/>
        <w:tblW w:w="907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36"/>
        <w:gridCol w:w="696"/>
        <w:gridCol w:w="600"/>
        <w:gridCol w:w="735"/>
        <w:gridCol w:w="810"/>
        <w:gridCol w:w="615"/>
        <w:gridCol w:w="744"/>
        <w:gridCol w:w="726"/>
        <w:gridCol w:w="390"/>
        <w:gridCol w:w="435"/>
        <w:gridCol w:w="540"/>
        <w:gridCol w:w="570"/>
        <w:gridCol w:w="561"/>
        <w:gridCol w:w="744"/>
        <w:gridCol w:w="5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3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工序</w:t>
            </w:r>
          </w:p>
        </w:tc>
        <w:tc>
          <w:tcPr>
            <w:tcW w:w="69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装置</w:t>
            </w:r>
          </w:p>
        </w:tc>
        <w:tc>
          <w:tcPr>
            <w:tcW w:w="60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污染源</w:t>
            </w:r>
          </w:p>
        </w:tc>
        <w:tc>
          <w:tcPr>
            <w:tcW w:w="73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污染物</w:t>
            </w:r>
          </w:p>
        </w:tc>
        <w:tc>
          <w:tcPr>
            <w:tcW w:w="2895" w:type="dxa"/>
            <w:gridSpan w:val="4"/>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污染物产生</w:t>
            </w:r>
          </w:p>
        </w:tc>
        <w:tc>
          <w:tcPr>
            <w:tcW w:w="825" w:type="dxa"/>
            <w:gridSpan w:val="2"/>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治理措施</w:t>
            </w:r>
          </w:p>
        </w:tc>
        <w:tc>
          <w:tcPr>
            <w:tcW w:w="2415" w:type="dxa"/>
            <w:gridSpan w:val="4"/>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污染物</w:t>
            </w: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排放</w:t>
            </w:r>
          </w:p>
        </w:tc>
        <w:tc>
          <w:tcPr>
            <w:tcW w:w="570" w:type="dxa"/>
            <w:vMerge w:val="restart"/>
            <w:vAlign w:val="center"/>
          </w:tcPr>
          <w:p>
            <w:pPr>
              <w:keepNext/>
              <w:autoSpaceDE/>
              <w:autoSpaceDN/>
              <w:adjustRightInd w:val="0"/>
              <w:jc w:val="cente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排放时间h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3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9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0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73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81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核算方法</w:t>
            </w:r>
          </w:p>
        </w:tc>
        <w:tc>
          <w:tcPr>
            <w:tcW w:w="61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废气产生量万m</w:t>
            </w:r>
            <w:r>
              <w:rPr>
                <w:rFonts w:ascii="Times New Roman" w:hAnsi="Times New Roman" w:cs="Times New Roman"/>
                <w:color w:val="000000" w:themeColor="text1"/>
                <w:w w:val="99"/>
                <w:kern w:val="2"/>
                <w:sz w:val="18"/>
                <w:szCs w:val="15"/>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/a</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产生</w:t>
            </w:r>
          </w:p>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浓度mg/m</w:t>
            </w:r>
            <w:r>
              <w:rPr>
                <w:rFonts w:ascii="Times New Roman" w:hAnsi="Times New Roman" w:cs="Times New Roman"/>
                <w:color w:val="000000" w:themeColor="text1"/>
                <w:w w:val="99"/>
                <w:kern w:val="2"/>
                <w:sz w:val="18"/>
                <w:szCs w:val="15"/>
                <w:highlight w:val="none"/>
                <w:vertAlign w:val="superscript"/>
                <w:lang w:val="en-US" w:bidi="ar-SA"/>
                <w14:textFill>
                  <w14:solidFill>
                    <w14:schemeClr w14:val="tx1"/>
                  </w14:solidFill>
                </w14:textFill>
              </w:rPr>
              <w:t>3</w:t>
            </w:r>
          </w:p>
        </w:tc>
        <w:tc>
          <w:tcPr>
            <w:tcW w:w="726"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产生量t/a</w:t>
            </w:r>
          </w:p>
        </w:tc>
        <w:tc>
          <w:tcPr>
            <w:tcW w:w="39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工艺</w:t>
            </w:r>
          </w:p>
        </w:tc>
        <w:tc>
          <w:tcPr>
            <w:tcW w:w="4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效率%</w:t>
            </w:r>
          </w:p>
        </w:tc>
        <w:tc>
          <w:tcPr>
            <w:tcW w:w="54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核算方法</w:t>
            </w:r>
          </w:p>
        </w:tc>
        <w:tc>
          <w:tcPr>
            <w:tcW w:w="57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废气排放量万m</w:t>
            </w:r>
            <w:r>
              <w:rPr>
                <w:rFonts w:ascii="Times New Roman" w:hAnsi="Times New Roman" w:cs="Times New Roman"/>
                <w:color w:val="000000" w:themeColor="text1"/>
                <w:w w:val="99"/>
                <w:kern w:val="2"/>
                <w:sz w:val="18"/>
                <w:szCs w:val="15"/>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/a</w:t>
            </w:r>
          </w:p>
        </w:tc>
        <w:tc>
          <w:tcPr>
            <w:tcW w:w="561"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浓度mg/m</w:t>
            </w:r>
            <w:r>
              <w:rPr>
                <w:rFonts w:ascii="Times New Roman" w:hAnsi="Times New Roman" w:cs="Times New Roman"/>
                <w:color w:val="000000" w:themeColor="text1"/>
                <w:w w:val="99"/>
                <w:kern w:val="2"/>
                <w:sz w:val="18"/>
                <w:szCs w:val="15"/>
                <w:highlight w:val="none"/>
                <w:vertAlign w:val="superscript"/>
                <w:lang w:val="en-US" w:bidi="ar-SA"/>
                <w14:textFill>
                  <w14:solidFill>
                    <w14:schemeClr w14:val="tx1"/>
                  </w14:solidFill>
                </w14:textFill>
              </w:rPr>
              <w:t>3</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排放量</w:t>
            </w:r>
          </w:p>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t/a</w:t>
            </w:r>
          </w:p>
        </w:tc>
        <w:tc>
          <w:tcPr>
            <w:tcW w:w="570" w:type="dxa"/>
            <w:vMerge w:val="continue"/>
            <w:vAlign w:val="center"/>
          </w:tcPr>
          <w:p>
            <w:pPr>
              <w:keepNext/>
              <w:autoSpaceDE/>
              <w:autoSpaceDN/>
              <w:adjustRightInd w:val="0"/>
              <w:jc w:val="cente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36"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原油集输</w:t>
            </w:r>
          </w:p>
        </w:tc>
        <w:tc>
          <w:tcPr>
            <w:tcW w:w="696"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油田区域</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井场、集油间、转油站、集输系统等</w:t>
            </w:r>
          </w:p>
        </w:tc>
        <w:tc>
          <w:tcPr>
            <w:tcW w:w="7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非甲烷总烃</w:t>
            </w:r>
          </w:p>
        </w:tc>
        <w:tc>
          <w:tcPr>
            <w:tcW w:w="81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产污系数法</w:t>
            </w:r>
          </w:p>
        </w:tc>
        <w:tc>
          <w:tcPr>
            <w:tcW w:w="61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726"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24.24</w:t>
            </w:r>
          </w:p>
        </w:tc>
        <w:tc>
          <w:tcPr>
            <w:tcW w:w="39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4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0</w:t>
            </w:r>
          </w:p>
        </w:tc>
        <w:tc>
          <w:tcPr>
            <w:tcW w:w="54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排污系数法</w:t>
            </w:r>
          </w:p>
        </w:tc>
        <w:tc>
          <w:tcPr>
            <w:tcW w:w="57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561"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24.24</w:t>
            </w:r>
          </w:p>
        </w:tc>
        <w:tc>
          <w:tcPr>
            <w:tcW w:w="570" w:type="dxa"/>
            <w:vAlign w:val="center"/>
          </w:tcPr>
          <w:p>
            <w:pPr>
              <w:keepNext/>
              <w:autoSpaceDE/>
              <w:autoSpaceDN/>
              <w:adjustRightInd w:val="0"/>
              <w:jc w:val="cente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8760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3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原油</w:t>
            </w: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脱水</w:t>
            </w:r>
          </w:p>
        </w:tc>
        <w:tc>
          <w:tcPr>
            <w:tcW w:w="69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葡北</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9</w:t>
            </w: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#转油站</w:t>
            </w:r>
          </w:p>
        </w:tc>
        <w:tc>
          <w:tcPr>
            <w:tcW w:w="60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现有</w:t>
            </w: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加热装置</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4</w:t>
            </w: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台</w:t>
            </w:r>
          </w:p>
        </w:tc>
        <w:tc>
          <w:tcPr>
            <w:tcW w:w="7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颗粒物</w:t>
            </w:r>
          </w:p>
        </w:tc>
        <w:tc>
          <w:tcPr>
            <w:tcW w:w="81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实测法、产污系数发</w:t>
            </w:r>
          </w:p>
        </w:tc>
        <w:tc>
          <w:tcPr>
            <w:tcW w:w="61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8"/>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18"/>
                <w:szCs w:val="18"/>
                <w:highlight w:val="none"/>
                <w:lang w:val="en-US" w:eastAsia="zh-CN" w:bidi="ar-SA"/>
                <w14:textFill>
                  <w14:solidFill>
                    <w14:schemeClr w14:val="tx1"/>
                  </w14:solidFill>
                </w14:textFill>
              </w:rPr>
              <w:t>43.724</w:t>
            </w:r>
            <w:r>
              <w:rPr>
                <w:rFonts w:hint="eastAsia" w:ascii="Times New Roman" w:hAnsi="Times New Roman" w:cs="Times New Roman"/>
                <w:color w:val="000000" w:themeColor="text1"/>
                <w:w w:val="99"/>
                <w:kern w:val="2"/>
                <w:sz w:val="18"/>
                <w:szCs w:val="18"/>
                <w:highlight w:val="none"/>
                <w:lang w:val="en-US" w:bidi="ar-SA"/>
                <w14:textFill>
                  <w14:solidFill>
                    <w14:schemeClr w14:val="tx1"/>
                  </w14:solidFill>
                </w14:textFill>
              </w:rPr>
              <w:t>（分担量）</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11.6</w:t>
            </w:r>
          </w:p>
        </w:tc>
        <w:tc>
          <w:tcPr>
            <w:tcW w:w="726"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0.00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51</w:t>
            </w:r>
          </w:p>
        </w:tc>
        <w:tc>
          <w:tcPr>
            <w:tcW w:w="39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4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0</w:t>
            </w:r>
          </w:p>
        </w:tc>
        <w:tc>
          <w:tcPr>
            <w:tcW w:w="54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排污系数法</w:t>
            </w:r>
          </w:p>
        </w:tc>
        <w:tc>
          <w:tcPr>
            <w:tcW w:w="57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8"/>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18"/>
                <w:szCs w:val="18"/>
                <w:highlight w:val="none"/>
                <w:lang w:val="en-US" w:eastAsia="zh-CN" w:bidi="ar-SA"/>
                <w14:textFill>
                  <w14:solidFill>
                    <w14:schemeClr w14:val="tx1"/>
                  </w14:solidFill>
                </w14:textFill>
              </w:rPr>
              <w:t>43.724</w:t>
            </w:r>
          </w:p>
        </w:tc>
        <w:tc>
          <w:tcPr>
            <w:tcW w:w="561"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11.6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0.00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51</w:t>
            </w:r>
          </w:p>
        </w:tc>
        <w:tc>
          <w:tcPr>
            <w:tcW w:w="570" w:type="dxa"/>
            <w:vMerge w:val="restart"/>
            <w:vAlign w:val="center"/>
          </w:tcPr>
          <w:p>
            <w:pPr>
              <w:keepNext/>
              <w:autoSpaceDE/>
              <w:autoSpaceDN/>
              <w:adjustRightInd w:val="0"/>
              <w:jc w:val="center"/>
              <w:rPr>
                <w:rFonts w:ascii="Times New Roman" w:hAnsi="Times New Roman" w:eastAsia="仿宋_GB2312" w:cs="Times New Roman"/>
                <w:color w:val="000000" w:themeColor="text1"/>
                <w:w w:val="99"/>
                <w:sz w:val="18"/>
                <w:szCs w:val="16"/>
                <w:highlight w:val="none"/>
                <w:lang w:val="en-US" w:bidi="ar-SA"/>
                <w14:textFill>
                  <w14:solidFill>
                    <w14:schemeClr w14:val="tx1"/>
                  </w14:solidFill>
                </w14:textFill>
              </w:rPr>
            </w:pPr>
            <w:r>
              <w:rPr>
                <w:rFonts w:ascii="Times New Roman" w:hAnsi="Times New Roman" w:eastAsia="仿宋_GB2312" w:cs="Times New Roman"/>
                <w:color w:val="000000" w:themeColor="text1"/>
                <w:w w:val="99"/>
                <w:sz w:val="18"/>
                <w:szCs w:val="16"/>
                <w:highlight w:val="none"/>
                <w:lang w:val="en-US" w:bidi="ar-SA"/>
                <w14:textFill>
                  <w14:solidFill>
                    <w14:schemeClr w14:val="tx1"/>
                  </w14:solidFill>
                </w14:textFill>
              </w:rPr>
              <w:t>8760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3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9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0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7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SO</w:t>
            </w:r>
            <w:r>
              <w:rPr>
                <w:rFonts w:ascii="Times New Roman" w:hAnsi="Times New Roman" w:cs="Times New Roman"/>
                <w:color w:val="000000" w:themeColor="text1"/>
                <w:w w:val="99"/>
                <w:kern w:val="2"/>
                <w:sz w:val="18"/>
                <w:szCs w:val="15"/>
                <w:highlight w:val="none"/>
                <w:vertAlign w:val="subscript"/>
                <w:lang w:val="en-US" w:bidi="ar-SA"/>
                <w14:textFill>
                  <w14:solidFill>
                    <w14:schemeClr w14:val="tx1"/>
                  </w14:solidFill>
                </w14:textFill>
              </w:rPr>
              <w:t>2</w:t>
            </w:r>
          </w:p>
        </w:tc>
        <w:tc>
          <w:tcPr>
            <w:tcW w:w="81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1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8"/>
                <w:highlight w:val="none"/>
                <w:lang w:val="en-US" w:bidi="ar-SA"/>
                <w14:textFill>
                  <w14:solidFill>
                    <w14:schemeClr w14:val="tx1"/>
                  </w14:solidFill>
                </w14:textFill>
              </w:rPr>
            </w:pP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18.5</w:t>
            </w:r>
          </w:p>
        </w:tc>
        <w:tc>
          <w:tcPr>
            <w:tcW w:w="726"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081</w:t>
            </w:r>
          </w:p>
        </w:tc>
        <w:tc>
          <w:tcPr>
            <w:tcW w:w="39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4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0</w:t>
            </w:r>
          </w:p>
        </w:tc>
        <w:tc>
          <w:tcPr>
            <w:tcW w:w="54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57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8"/>
                <w:highlight w:val="none"/>
                <w:lang w:val="en-US" w:bidi="ar-SA"/>
                <w14:textFill>
                  <w14:solidFill>
                    <w14:schemeClr w14:val="tx1"/>
                  </w14:solidFill>
                </w14:textFill>
              </w:rPr>
            </w:pPr>
          </w:p>
        </w:tc>
        <w:tc>
          <w:tcPr>
            <w:tcW w:w="561"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18.5</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081</w:t>
            </w:r>
          </w:p>
        </w:tc>
        <w:tc>
          <w:tcPr>
            <w:tcW w:w="570" w:type="dxa"/>
            <w:vMerge w:val="continue"/>
            <w:vAlign w:val="center"/>
          </w:tcPr>
          <w:p>
            <w:pPr>
              <w:keepNext/>
              <w:autoSpaceDE/>
              <w:autoSpaceDN/>
              <w:adjustRightInd w:val="0"/>
              <w:jc w:val="center"/>
              <w:rPr>
                <w:rFonts w:ascii="Times New Roman" w:hAnsi="Times New Roman" w:eastAsia="仿宋_GB2312" w:cs="Times New Roman"/>
                <w:color w:val="000000" w:themeColor="text1"/>
                <w:w w:val="99"/>
                <w:sz w:val="18"/>
                <w:szCs w:val="16"/>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3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9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0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7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NO</w:t>
            </w:r>
            <w:r>
              <w:rPr>
                <w:rFonts w:ascii="Times New Roman" w:hAnsi="Times New Roman" w:cs="Times New Roman"/>
                <w:color w:val="000000" w:themeColor="text1"/>
                <w:w w:val="99"/>
                <w:kern w:val="2"/>
                <w:sz w:val="18"/>
                <w:szCs w:val="15"/>
                <w:highlight w:val="none"/>
                <w:vertAlign w:val="subscript"/>
                <w:lang w:val="en-US" w:bidi="ar-SA"/>
                <w14:textFill>
                  <w14:solidFill>
                    <w14:schemeClr w14:val="tx1"/>
                  </w14:solidFill>
                </w14:textFill>
              </w:rPr>
              <w:t>X</w:t>
            </w:r>
          </w:p>
        </w:tc>
        <w:tc>
          <w:tcPr>
            <w:tcW w:w="81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1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8"/>
                <w:highlight w:val="none"/>
                <w:lang w:val="en-US" w:bidi="ar-SA"/>
                <w14:textFill>
                  <w14:solidFill>
                    <w14:schemeClr w14:val="tx1"/>
                  </w14:solidFill>
                </w14:textFill>
              </w:rPr>
            </w:pP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83.8</w:t>
            </w:r>
          </w:p>
        </w:tc>
        <w:tc>
          <w:tcPr>
            <w:tcW w:w="726"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366</w:t>
            </w:r>
          </w:p>
        </w:tc>
        <w:tc>
          <w:tcPr>
            <w:tcW w:w="39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4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0</w:t>
            </w:r>
          </w:p>
        </w:tc>
        <w:tc>
          <w:tcPr>
            <w:tcW w:w="54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57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8"/>
                <w:highlight w:val="none"/>
                <w:lang w:val="en-US" w:bidi="ar-SA"/>
                <w14:textFill>
                  <w14:solidFill>
                    <w14:schemeClr w14:val="tx1"/>
                  </w14:solidFill>
                </w14:textFill>
              </w:rPr>
            </w:pPr>
          </w:p>
        </w:tc>
        <w:tc>
          <w:tcPr>
            <w:tcW w:w="561"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83.8</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366</w:t>
            </w:r>
          </w:p>
        </w:tc>
        <w:tc>
          <w:tcPr>
            <w:tcW w:w="570" w:type="dxa"/>
            <w:vMerge w:val="continue"/>
            <w:vAlign w:val="center"/>
          </w:tcPr>
          <w:p>
            <w:pPr>
              <w:keepNext/>
              <w:autoSpaceDE/>
              <w:autoSpaceDN/>
              <w:adjustRightInd w:val="0"/>
              <w:jc w:val="center"/>
              <w:rPr>
                <w:rFonts w:ascii="Times New Roman" w:hAnsi="Times New Roman" w:eastAsia="仿宋_GB2312" w:cs="Times New Roman"/>
                <w:color w:val="000000" w:themeColor="text1"/>
                <w:w w:val="99"/>
                <w:sz w:val="18"/>
                <w:szCs w:val="16"/>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3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9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葡北</w:t>
            </w: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10#转油站</w:t>
            </w:r>
          </w:p>
        </w:tc>
        <w:tc>
          <w:tcPr>
            <w:tcW w:w="60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现有</w:t>
            </w: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加热装置4台</w:t>
            </w:r>
          </w:p>
        </w:tc>
        <w:tc>
          <w:tcPr>
            <w:tcW w:w="7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颗粒物</w:t>
            </w:r>
          </w:p>
        </w:tc>
        <w:tc>
          <w:tcPr>
            <w:tcW w:w="81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实测法、产污系数法</w:t>
            </w:r>
          </w:p>
        </w:tc>
        <w:tc>
          <w:tcPr>
            <w:tcW w:w="61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8"/>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18"/>
                <w:szCs w:val="18"/>
                <w:highlight w:val="none"/>
                <w:lang w:val="en-US" w:eastAsia="zh-CN" w:bidi="ar-SA"/>
                <w14:textFill>
                  <w14:solidFill>
                    <w14:schemeClr w14:val="tx1"/>
                  </w14:solidFill>
                </w14:textFill>
              </w:rPr>
              <w:t>207.264</w:t>
            </w:r>
            <w:r>
              <w:rPr>
                <w:rFonts w:hint="eastAsia" w:ascii="Times New Roman" w:hAnsi="Times New Roman" w:cs="Times New Roman"/>
                <w:color w:val="000000" w:themeColor="text1"/>
                <w:w w:val="99"/>
                <w:kern w:val="2"/>
                <w:sz w:val="18"/>
                <w:szCs w:val="18"/>
                <w:highlight w:val="none"/>
                <w:lang w:val="en-US" w:bidi="ar-SA"/>
                <w14:textFill>
                  <w14:solidFill>
                    <w14:schemeClr w14:val="tx1"/>
                  </w14:solidFill>
                </w14:textFill>
              </w:rPr>
              <w:t>（分担量）</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11.6</w:t>
            </w:r>
          </w:p>
        </w:tc>
        <w:tc>
          <w:tcPr>
            <w:tcW w:w="726"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24</w:t>
            </w:r>
          </w:p>
        </w:tc>
        <w:tc>
          <w:tcPr>
            <w:tcW w:w="39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4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0</w:t>
            </w:r>
          </w:p>
        </w:tc>
        <w:tc>
          <w:tcPr>
            <w:tcW w:w="54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排污系数法</w:t>
            </w:r>
          </w:p>
        </w:tc>
        <w:tc>
          <w:tcPr>
            <w:tcW w:w="57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8"/>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18"/>
                <w:szCs w:val="18"/>
                <w:highlight w:val="none"/>
                <w:lang w:val="en-US" w:eastAsia="zh-CN" w:bidi="ar-SA"/>
                <w14:textFill>
                  <w14:solidFill>
                    <w14:schemeClr w14:val="tx1"/>
                  </w14:solidFill>
                </w14:textFill>
              </w:rPr>
              <w:t>207.264</w:t>
            </w:r>
          </w:p>
        </w:tc>
        <w:tc>
          <w:tcPr>
            <w:tcW w:w="561"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11.6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24</w:t>
            </w:r>
          </w:p>
        </w:tc>
        <w:tc>
          <w:tcPr>
            <w:tcW w:w="570" w:type="dxa"/>
            <w:vMerge w:val="restart"/>
            <w:vAlign w:val="center"/>
          </w:tcPr>
          <w:p>
            <w:pPr>
              <w:keepNext/>
              <w:autoSpaceDE/>
              <w:autoSpaceDN/>
              <w:adjustRightInd w:val="0"/>
              <w:jc w:val="center"/>
              <w:rPr>
                <w:rFonts w:ascii="Times New Roman" w:hAnsi="Times New Roman" w:eastAsia="仿宋_GB2312" w:cs="Times New Roman"/>
                <w:color w:val="000000" w:themeColor="text1"/>
                <w:w w:val="99"/>
                <w:sz w:val="18"/>
                <w:szCs w:val="16"/>
                <w:highlight w:val="none"/>
                <w:lang w:val="en-US" w:bidi="ar-SA"/>
                <w14:textFill>
                  <w14:solidFill>
                    <w14:schemeClr w14:val="tx1"/>
                  </w14:solidFill>
                </w14:textFill>
              </w:rPr>
            </w:pPr>
            <w:r>
              <w:rPr>
                <w:rFonts w:ascii="Times New Roman" w:hAnsi="Times New Roman" w:eastAsia="仿宋_GB2312" w:cs="Times New Roman"/>
                <w:color w:val="000000" w:themeColor="text1"/>
                <w:w w:val="99"/>
                <w:sz w:val="18"/>
                <w:szCs w:val="16"/>
                <w:highlight w:val="none"/>
                <w:lang w:val="en-US" w:bidi="ar-SA"/>
                <w14:textFill>
                  <w14:solidFill>
                    <w14:schemeClr w14:val="tx1"/>
                  </w14:solidFill>
                </w14:textFill>
              </w:rPr>
              <w:t>8760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3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9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0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7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SO</w:t>
            </w:r>
            <w:r>
              <w:rPr>
                <w:rFonts w:ascii="Times New Roman" w:hAnsi="Times New Roman" w:cs="Times New Roman"/>
                <w:color w:val="000000" w:themeColor="text1"/>
                <w:w w:val="99"/>
                <w:kern w:val="2"/>
                <w:sz w:val="18"/>
                <w:szCs w:val="15"/>
                <w:highlight w:val="none"/>
                <w:vertAlign w:val="subscript"/>
                <w:lang w:val="en-US" w:bidi="ar-SA"/>
                <w14:textFill>
                  <w14:solidFill>
                    <w14:schemeClr w14:val="tx1"/>
                  </w14:solidFill>
                </w14:textFill>
              </w:rPr>
              <w:t>2</w:t>
            </w:r>
          </w:p>
        </w:tc>
        <w:tc>
          <w:tcPr>
            <w:tcW w:w="81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1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18.5</w:t>
            </w:r>
          </w:p>
        </w:tc>
        <w:tc>
          <w:tcPr>
            <w:tcW w:w="726"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383</w:t>
            </w:r>
          </w:p>
        </w:tc>
        <w:tc>
          <w:tcPr>
            <w:tcW w:w="39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4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0</w:t>
            </w:r>
          </w:p>
        </w:tc>
        <w:tc>
          <w:tcPr>
            <w:tcW w:w="54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57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561"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18.5</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383</w:t>
            </w:r>
          </w:p>
        </w:tc>
        <w:tc>
          <w:tcPr>
            <w:tcW w:w="570" w:type="dxa"/>
            <w:vMerge w:val="continue"/>
            <w:vAlign w:val="center"/>
          </w:tcPr>
          <w:p>
            <w:pPr>
              <w:keepNext/>
              <w:autoSpaceDE/>
              <w:autoSpaceDN/>
              <w:adjustRightInd w:val="0"/>
              <w:jc w:val="center"/>
              <w:rPr>
                <w:rFonts w:ascii="Times New Roman" w:hAnsi="Times New Roman" w:eastAsia="仿宋_GB2312" w:cs="Times New Roman"/>
                <w:color w:val="000000" w:themeColor="text1"/>
                <w:w w:val="99"/>
                <w:sz w:val="18"/>
                <w:szCs w:val="16"/>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3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9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0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7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NO</w:t>
            </w:r>
            <w:r>
              <w:rPr>
                <w:rFonts w:ascii="Times New Roman" w:hAnsi="Times New Roman" w:cs="Times New Roman"/>
                <w:color w:val="000000" w:themeColor="text1"/>
                <w:w w:val="99"/>
                <w:kern w:val="2"/>
                <w:sz w:val="18"/>
                <w:szCs w:val="15"/>
                <w:highlight w:val="none"/>
                <w:vertAlign w:val="subscript"/>
                <w:lang w:val="en-US" w:bidi="ar-SA"/>
                <w14:textFill>
                  <w14:solidFill>
                    <w14:schemeClr w14:val="tx1"/>
                  </w14:solidFill>
                </w14:textFill>
              </w:rPr>
              <w:t>X</w:t>
            </w:r>
          </w:p>
        </w:tc>
        <w:tc>
          <w:tcPr>
            <w:tcW w:w="81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61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83.8</w:t>
            </w:r>
          </w:p>
        </w:tc>
        <w:tc>
          <w:tcPr>
            <w:tcW w:w="726"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174</w:t>
            </w:r>
          </w:p>
        </w:tc>
        <w:tc>
          <w:tcPr>
            <w:tcW w:w="390"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w:t>
            </w:r>
          </w:p>
        </w:tc>
        <w:tc>
          <w:tcPr>
            <w:tcW w:w="435"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t>0</w:t>
            </w:r>
          </w:p>
        </w:tc>
        <w:tc>
          <w:tcPr>
            <w:tcW w:w="54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57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Times New Roman" w:hAnsi="Times New Roman" w:cs="Times New Roman"/>
                <w:color w:val="000000" w:themeColor="text1"/>
                <w:w w:val="99"/>
                <w:kern w:val="2"/>
                <w:sz w:val="18"/>
                <w:szCs w:val="15"/>
                <w:highlight w:val="none"/>
                <w:lang w:val="en-US" w:bidi="ar-SA"/>
                <w14:textFill>
                  <w14:solidFill>
                    <w14:schemeClr w14:val="tx1"/>
                  </w14:solidFill>
                </w14:textFill>
              </w:rPr>
            </w:pPr>
          </w:p>
        </w:tc>
        <w:tc>
          <w:tcPr>
            <w:tcW w:w="561"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83.8</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w w:val="99"/>
                <w:kern w:val="2"/>
                <w:sz w:val="18"/>
                <w:szCs w:val="15"/>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18"/>
                <w:szCs w:val="15"/>
                <w:highlight w:val="none"/>
                <w:lang w:val="en-US" w:bidi="ar-SA"/>
                <w14:textFill>
                  <w14:solidFill>
                    <w14:schemeClr w14:val="tx1"/>
                  </w14:solidFill>
                </w14:textFill>
              </w:rPr>
              <w:t>0.</w:t>
            </w:r>
            <w:r>
              <w:rPr>
                <w:rFonts w:hint="eastAsia" w:ascii="Times New Roman" w:hAnsi="Times New Roman" w:cs="Times New Roman"/>
                <w:color w:val="000000" w:themeColor="text1"/>
                <w:w w:val="99"/>
                <w:kern w:val="2"/>
                <w:sz w:val="18"/>
                <w:szCs w:val="15"/>
                <w:highlight w:val="none"/>
                <w:lang w:val="en-US" w:eastAsia="zh-CN" w:bidi="ar-SA"/>
                <w14:textFill>
                  <w14:solidFill>
                    <w14:schemeClr w14:val="tx1"/>
                  </w14:solidFill>
                </w14:textFill>
              </w:rPr>
              <w:t>174</w:t>
            </w:r>
          </w:p>
        </w:tc>
        <w:tc>
          <w:tcPr>
            <w:tcW w:w="570" w:type="dxa"/>
            <w:vMerge w:val="continue"/>
            <w:vAlign w:val="center"/>
          </w:tcPr>
          <w:p>
            <w:pPr>
              <w:keepNext/>
              <w:autoSpaceDE/>
              <w:autoSpaceDN/>
              <w:adjustRightInd w:val="0"/>
              <w:jc w:val="center"/>
              <w:rPr>
                <w:rFonts w:ascii="Times New Roman" w:hAnsi="Times New Roman" w:eastAsia="仿宋_GB2312" w:cs="Times New Roman"/>
                <w:color w:val="000000" w:themeColor="text1"/>
                <w:w w:val="99"/>
                <w:sz w:val="18"/>
                <w:szCs w:val="16"/>
                <w:highlight w:val="none"/>
                <w:lang w:val="en-US" w:bidi="ar-SA"/>
                <w14:textFill>
                  <w14:solidFill>
                    <w14:schemeClr w14:val="tx1"/>
                  </w14:solidFill>
                </w14:textFill>
              </w:rPr>
            </w:pPr>
          </w:p>
        </w:tc>
      </w:tr>
    </w:tbl>
    <w:p>
      <w:pPr>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bCs/>
          <w:color w:val="000000" w:themeColor="text1"/>
          <w:w w:val="99"/>
          <w:sz w:val="24"/>
          <w:szCs w:val="20"/>
          <w:highlight w:val="none"/>
          <w:lang w:val="en-US"/>
          <w14:textFill>
            <w14:solidFill>
              <w14:schemeClr w14:val="tx1"/>
            </w14:solidFill>
          </w14:textFill>
        </w:rPr>
        <w:t>（2）废水</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运营期产生的废水主要为油井</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作业</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废水、</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清防蜡</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废水及油井采出液分离出的含油污水。</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油井</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作业</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废水</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油井作业周期为1.5年，结合建设单位多年运营作业结果可知，油井</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作业</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废水产生量4m</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/井·次，</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21</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口油井共产生</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作业污水</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量约</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56</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m</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/a</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其主要污染物为石油类、悬浮物。作业时需铺设防渗布，产生的废水</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由罐车分别拉运至葡二联含油</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污水站进行处理</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，处理达标后回注油层</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8"/>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清防蜡</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废水</w:t>
      </w:r>
    </w:p>
    <w:p>
      <w:pPr>
        <w:autoSpaceDE/>
        <w:autoSpaceDN/>
        <w:adjustRightInd w:val="0"/>
        <w:snapToGrid w:val="0"/>
        <w:spacing w:line="440" w:lineRule="exact"/>
        <w:ind w:firstLine="474" w:firstLineChars="200"/>
        <w:jc w:val="both"/>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项目油井清防蜡方式为热洗，热洗周期为</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156</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d，热洗强度为20m</w:t>
      </w:r>
      <w:r>
        <w:rPr>
          <w:rFonts w:hint="eastAsia"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/h，单口井洗井时间为2.5-3h，则单口井热洗1次产生最大废水量为60m</w:t>
      </w:r>
      <w:r>
        <w:rPr>
          <w:rFonts w:hint="eastAsia"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，项目油井共21口，共产生热洗废水量约为1260m</w:t>
      </w:r>
      <w:r>
        <w:rPr>
          <w:rFonts w:hint="eastAsia"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/次（</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2665.4</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t/a），热洗废水通过集输系统最终进入葡二联含油污水站处理达标后回注油层。</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8"/>
          <w:highlight w:val="none"/>
          <w:lang w:val="en-US"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油田采出水</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油井井场</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采出液</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依托</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葡二联脱水站</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根据</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工程方案</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开发预测</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指标，本项目</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21</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口油井</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全年</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含油污水产生</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最大</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量</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为</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160400</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t/a，</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分离出</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的污水由管线输送至</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葡二联含油</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污水处理站</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处理达标后回注油层</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，不外排。</w:t>
      </w:r>
    </w:p>
    <w:p>
      <w:pPr>
        <w:autoSpaceDE/>
        <w:autoSpaceDN/>
        <w:adjustRightInd w:val="0"/>
        <w:snapToGrid w:val="0"/>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表3.4-1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6</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废水污染源强核算结果及相关参数一览表</w:t>
      </w:r>
    </w:p>
    <w:tbl>
      <w:tblPr>
        <w:tblStyle w:val="3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738"/>
        <w:gridCol w:w="434"/>
        <w:gridCol w:w="434"/>
        <w:gridCol w:w="547"/>
        <w:gridCol w:w="860"/>
        <w:gridCol w:w="943"/>
        <w:gridCol w:w="708"/>
        <w:gridCol w:w="1573"/>
        <w:gridCol w:w="431"/>
        <w:gridCol w:w="568"/>
        <w:gridCol w:w="431"/>
        <w:gridCol w:w="435"/>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restart"/>
            <w:tcBorders>
              <w:tl2br w:val="nil"/>
              <w:tr2bl w:val="nil"/>
            </w:tcBorders>
            <w:vAlign w:val="center"/>
          </w:tcPr>
          <w:p>
            <w:pPr>
              <w:rPr>
                <w:color w:val="000000" w:themeColor="text1"/>
                <w:w w:val="99"/>
                <w:sz w:val="21"/>
                <w:highlight w:val="none"/>
                <w14:textFill>
                  <w14:solidFill>
                    <w14:schemeClr w14:val="tx1"/>
                  </w14:solidFill>
                </w14:textFill>
              </w:rPr>
            </w:pPr>
            <w:r>
              <w:rPr>
                <w:color w:val="000000" w:themeColor="text1"/>
                <w:w w:val="99"/>
                <w:sz w:val="21"/>
                <w:highlight w:val="none"/>
                <w14:textFill>
                  <w14:solidFill>
                    <w14:schemeClr w14:val="tx1"/>
                  </w14:solidFill>
                </w14:textFill>
              </w:rPr>
              <w:t>工序</w:t>
            </w:r>
          </w:p>
        </w:tc>
        <w:tc>
          <w:tcPr>
            <w:tcW w:w="738" w:type="dxa"/>
            <w:vMerge w:val="restart"/>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装置</w:t>
            </w:r>
          </w:p>
        </w:tc>
        <w:tc>
          <w:tcPr>
            <w:tcW w:w="434" w:type="dxa"/>
            <w:vMerge w:val="restart"/>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污染源</w:t>
            </w:r>
          </w:p>
        </w:tc>
        <w:tc>
          <w:tcPr>
            <w:tcW w:w="434" w:type="dxa"/>
            <w:vMerge w:val="restart"/>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w:t>
            </w:r>
          </w:p>
        </w:tc>
        <w:tc>
          <w:tcPr>
            <w:tcW w:w="3058" w:type="dxa"/>
            <w:gridSpan w:val="4"/>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污染物产生</w:t>
            </w:r>
          </w:p>
        </w:tc>
        <w:tc>
          <w:tcPr>
            <w:tcW w:w="1573" w:type="dxa"/>
            <w:vMerge w:val="restart"/>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治理措施</w:t>
            </w:r>
          </w:p>
        </w:tc>
        <w:tc>
          <w:tcPr>
            <w:tcW w:w="1865" w:type="dxa"/>
            <w:gridSpan w:val="4"/>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污染物排放</w:t>
            </w:r>
          </w:p>
        </w:tc>
        <w:tc>
          <w:tcPr>
            <w:tcW w:w="750" w:type="dxa"/>
            <w:vMerge w:val="restart"/>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p>
        </w:tc>
        <w:tc>
          <w:tcPr>
            <w:tcW w:w="738" w:type="dxa"/>
            <w:vMerge w:val="continue"/>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kern w:val="2"/>
                <w:sz w:val="24"/>
                <w:szCs w:val="24"/>
                <w:highlight w:val="none"/>
                <w:lang w:val="en-US" w:bidi="ar-SA"/>
                <w14:textFill>
                  <w14:solidFill>
                    <w14:schemeClr w14:val="tx1"/>
                  </w14:solidFill>
                </w14:textFill>
              </w:rPr>
            </w:pPr>
          </w:p>
        </w:tc>
        <w:tc>
          <w:tcPr>
            <w:tcW w:w="434" w:type="dxa"/>
            <w:vMerge w:val="continue"/>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kern w:val="2"/>
                <w:sz w:val="24"/>
                <w:szCs w:val="24"/>
                <w:highlight w:val="none"/>
                <w:lang w:val="en-US" w:bidi="ar-SA"/>
                <w14:textFill>
                  <w14:solidFill>
                    <w14:schemeClr w14:val="tx1"/>
                  </w14:solidFill>
                </w14:textFill>
              </w:rPr>
            </w:pPr>
          </w:p>
        </w:tc>
        <w:tc>
          <w:tcPr>
            <w:tcW w:w="434" w:type="dxa"/>
            <w:vMerge w:val="continue"/>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kern w:val="2"/>
                <w:sz w:val="24"/>
                <w:szCs w:val="24"/>
                <w:highlight w:val="none"/>
                <w:lang w:val="en-US" w:bidi="ar-SA"/>
                <w14:textFill>
                  <w14:solidFill>
                    <w14:schemeClr w14:val="tx1"/>
                  </w14:solidFill>
                </w14:textFill>
              </w:rPr>
            </w:pPr>
          </w:p>
        </w:tc>
        <w:tc>
          <w:tcPr>
            <w:tcW w:w="547"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核算方法</w:t>
            </w:r>
          </w:p>
        </w:tc>
        <w:tc>
          <w:tcPr>
            <w:tcW w:w="860"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废水产生量（t/a）</w:t>
            </w:r>
          </w:p>
        </w:tc>
        <w:tc>
          <w:tcPr>
            <w:tcW w:w="943"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w:t>
            </w:r>
          </w:p>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浓度（mg/L）</w:t>
            </w:r>
          </w:p>
        </w:tc>
        <w:tc>
          <w:tcPr>
            <w:tcW w:w="70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产生量（t/a）</w:t>
            </w:r>
          </w:p>
        </w:tc>
        <w:tc>
          <w:tcPr>
            <w:tcW w:w="1573" w:type="dxa"/>
            <w:vMerge w:val="continue"/>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31"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核算方法</w:t>
            </w:r>
          </w:p>
        </w:tc>
        <w:tc>
          <w:tcPr>
            <w:tcW w:w="56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排放废水量</w:t>
            </w:r>
          </w:p>
        </w:tc>
        <w:tc>
          <w:tcPr>
            <w:tcW w:w="431"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排放浓度</w:t>
            </w:r>
          </w:p>
        </w:tc>
        <w:tc>
          <w:tcPr>
            <w:tcW w:w="435"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排放量</w:t>
            </w:r>
          </w:p>
        </w:tc>
        <w:tc>
          <w:tcPr>
            <w:tcW w:w="750" w:type="dxa"/>
            <w:vMerge w:val="continue"/>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tcBorders>
              <w:tl2br w:val="nil"/>
              <w:tr2bl w:val="nil"/>
            </w:tcBorders>
            <w:vAlign w:val="center"/>
          </w:tcPr>
          <w:p>
            <w:pPr>
              <w:rPr>
                <w:color w:val="000000" w:themeColor="text1"/>
                <w:w w:val="99"/>
                <w:sz w:val="21"/>
                <w:highlight w:val="none"/>
                <w14:textFill>
                  <w14:solidFill>
                    <w14:schemeClr w14:val="tx1"/>
                  </w14:solidFill>
                </w14:textFill>
              </w:rPr>
            </w:pPr>
            <w:r>
              <w:rPr>
                <w:color w:val="000000" w:themeColor="text1"/>
                <w:w w:val="99"/>
                <w:sz w:val="21"/>
                <w:highlight w:val="none"/>
                <w14:textFill>
                  <w14:solidFill>
                    <w14:schemeClr w14:val="tx1"/>
                  </w14:solidFill>
                </w14:textFill>
              </w:rPr>
              <w:t>原油集输</w:t>
            </w:r>
          </w:p>
        </w:tc>
        <w:tc>
          <w:tcPr>
            <w:tcW w:w="73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原油处理装置</w:t>
            </w:r>
          </w:p>
        </w:tc>
        <w:tc>
          <w:tcPr>
            <w:tcW w:w="434"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油田采出水</w:t>
            </w:r>
          </w:p>
        </w:tc>
        <w:tc>
          <w:tcPr>
            <w:tcW w:w="434"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547"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物料核算</w:t>
            </w:r>
          </w:p>
        </w:tc>
        <w:tc>
          <w:tcPr>
            <w:tcW w:w="860" w:type="dxa"/>
            <w:tcBorders>
              <w:tl2br w:val="nil"/>
              <w:tr2bl w:val="nil"/>
            </w:tcBorders>
            <w:vAlign w:val="center"/>
          </w:tcPr>
          <w:p>
            <w:pPr>
              <w:keepNext/>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160400</w:t>
            </w:r>
          </w:p>
        </w:tc>
        <w:tc>
          <w:tcPr>
            <w:tcW w:w="943"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0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573"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输送至</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葡二联含油</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污水站</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处理</w:t>
            </w:r>
          </w:p>
        </w:tc>
        <w:tc>
          <w:tcPr>
            <w:tcW w:w="431"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56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431"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435"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0"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tcBorders>
              <w:tl2br w:val="nil"/>
              <w:tr2bl w:val="nil"/>
            </w:tcBorders>
            <w:vAlign w:val="center"/>
          </w:tcPr>
          <w:p>
            <w:pPr>
              <w:rPr>
                <w:color w:val="000000" w:themeColor="text1"/>
                <w:w w:val="99"/>
                <w:sz w:val="21"/>
                <w:highlight w:val="none"/>
                <w14:textFill>
                  <w14:solidFill>
                    <w14:schemeClr w14:val="tx1"/>
                  </w14:solidFill>
                </w14:textFill>
              </w:rPr>
            </w:pPr>
            <w:r>
              <w:rPr>
                <w:color w:val="000000" w:themeColor="text1"/>
                <w:w w:val="99"/>
                <w:sz w:val="21"/>
                <w:highlight w:val="none"/>
                <w14:textFill>
                  <w14:solidFill>
                    <w14:schemeClr w14:val="tx1"/>
                  </w14:solidFill>
                </w14:textFill>
              </w:rPr>
              <w:t>井下作业</w:t>
            </w:r>
          </w:p>
        </w:tc>
        <w:tc>
          <w:tcPr>
            <w:tcW w:w="73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w:t>
            </w:r>
          </w:p>
        </w:tc>
        <w:tc>
          <w:tcPr>
            <w:tcW w:w="434"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作业</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废水</w:t>
            </w:r>
          </w:p>
        </w:tc>
        <w:tc>
          <w:tcPr>
            <w:tcW w:w="434"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547"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类比法</w:t>
            </w:r>
          </w:p>
        </w:tc>
        <w:tc>
          <w:tcPr>
            <w:tcW w:w="860" w:type="dxa"/>
            <w:tcBorders>
              <w:tl2br w:val="nil"/>
              <w:tr2bl w:val="nil"/>
            </w:tcBorders>
            <w:vAlign w:val="center"/>
          </w:tcPr>
          <w:p>
            <w:pPr>
              <w:keepNext/>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56</w:t>
            </w:r>
          </w:p>
        </w:tc>
        <w:tc>
          <w:tcPr>
            <w:tcW w:w="943"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0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573"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罐车</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拉运</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至葡二联含油</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污水站</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处理</w:t>
            </w:r>
          </w:p>
        </w:tc>
        <w:tc>
          <w:tcPr>
            <w:tcW w:w="431"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56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431"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435"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0"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tcBorders>
              <w:tl2br w:val="nil"/>
              <w:tr2bl w:val="nil"/>
            </w:tcBorders>
            <w:vAlign w:val="center"/>
          </w:tcPr>
          <w:p>
            <w:pPr>
              <w:rPr>
                <w:color w:val="000000" w:themeColor="text1"/>
                <w:w w:val="99"/>
                <w:sz w:val="21"/>
                <w:highlight w:val="none"/>
                <w14:textFill>
                  <w14:solidFill>
                    <w14:schemeClr w14:val="tx1"/>
                  </w14:solidFill>
                </w14:textFill>
              </w:rPr>
            </w:pPr>
            <w:r>
              <w:rPr>
                <w:rFonts w:hint="eastAsia"/>
                <w:color w:val="000000" w:themeColor="text1"/>
                <w:w w:val="99"/>
                <w:sz w:val="21"/>
                <w:highlight w:val="none"/>
                <w14:textFill>
                  <w14:solidFill>
                    <w14:schemeClr w14:val="tx1"/>
                  </w14:solidFill>
                </w14:textFill>
              </w:rPr>
              <w:t>洗井</w:t>
            </w:r>
          </w:p>
        </w:tc>
        <w:tc>
          <w:tcPr>
            <w:tcW w:w="73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油井</w:t>
            </w:r>
          </w:p>
        </w:tc>
        <w:tc>
          <w:tcPr>
            <w:tcW w:w="434"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热洗</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废水</w:t>
            </w:r>
          </w:p>
        </w:tc>
        <w:tc>
          <w:tcPr>
            <w:tcW w:w="434"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547"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类比法</w:t>
            </w:r>
          </w:p>
        </w:tc>
        <w:tc>
          <w:tcPr>
            <w:tcW w:w="860" w:type="dxa"/>
            <w:tcBorders>
              <w:tl2br w:val="nil"/>
              <w:tr2bl w:val="nil"/>
            </w:tcBorders>
            <w:vAlign w:val="center"/>
          </w:tcPr>
          <w:p>
            <w:pPr>
              <w:keepNext/>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2665.4</w:t>
            </w:r>
          </w:p>
        </w:tc>
        <w:tc>
          <w:tcPr>
            <w:tcW w:w="943"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0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573"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输送至</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葡二联含油</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污水站</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、处理</w:t>
            </w:r>
          </w:p>
        </w:tc>
        <w:tc>
          <w:tcPr>
            <w:tcW w:w="431"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568"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431"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435"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0" w:type="dxa"/>
            <w:tcBorders>
              <w:tl2br w:val="nil"/>
              <w:tr2bl w:val="nil"/>
            </w:tcBorders>
            <w:vAlign w:val="center"/>
          </w:tcPr>
          <w:p>
            <w:pPr>
              <w:keepNext/>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bl>
    <w:p>
      <w:pPr>
        <w:spacing w:line="440" w:lineRule="exact"/>
        <w:ind w:firstLine="474" w:firstLineChars="200"/>
        <w:jc w:val="both"/>
        <w:rPr>
          <w:rFonts w:ascii="Times New Roman" w:hAnsi="Times New Roman" w:cs="Times New Roman"/>
          <w:bCs/>
          <w:color w:val="000000" w:themeColor="text1"/>
          <w:w w:val="99"/>
          <w:sz w:val="24"/>
          <w:szCs w:val="24"/>
          <w:highlight w:val="none"/>
          <w:lang w:val="en-US"/>
          <w14:textFill>
            <w14:solidFill>
              <w14:schemeClr w14:val="tx1"/>
            </w14:solidFill>
          </w14:textFill>
        </w:rPr>
      </w:pPr>
      <w:r>
        <w:rPr>
          <w:rFonts w:ascii="Times New Roman" w:hAnsi="Times New Roman" w:cs="Times New Roman"/>
          <w:bCs/>
          <w:color w:val="000000" w:themeColor="text1"/>
          <w:w w:val="99"/>
          <w:sz w:val="24"/>
          <w:szCs w:val="24"/>
          <w:highlight w:val="none"/>
          <w:lang w:val="en-US"/>
          <w14:textFill>
            <w14:solidFill>
              <w14:schemeClr w14:val="tx1"/>
            </w14:solidFill>
          </w14:textFill>
        </w:rPr>
        <w:t>（3）噪声</w:t>
      </w:r>
    </w:p>
    <w:p>
      <w:pPr>
        <w:spacing w:line="440" w:lineRule="exact"/>
        <w:ind w:firstLine="474" w:firstLineChars="200"/>
        <w:rPr>
          <w:rFonts w:ascii="Times New Roman" w:hAnsi="Times New Roman" w:cs="Times New Roman"/>
          <w:color w:val="000000" w:themeColor="text1"/>
          <w:w w:val="99"/>
          <w:sz w:val="24"/>
          <w:szCs w:val="24"/>
          <w:highlight w:val="none"/>
          <w:lang w:val="en-US" w:bidi="ar-SA"/>
          <w14:textFill>
            <w14:solidFill>
              <w14:schemeClr w14:val="tx1"/>
            </w14:solidFill>
          </w14:textFill>
        </w:rPr>
      </w:pPr>
      <w:bookmarkStart w:id="118" w:name="_Toc25"/>
      <w:r>
        <w:rPr>
          <w:rFonts w:ascii="Times New Roman" w:hAnsi="Times New Roman" w:cs="Times New Roman"/>
          <w:color w:val="000000" w:themeColor="text1"/>
          <w:w w:val="99"/>
          <w:sz w:val="24"/>
          <w:szCs w:val="24"/>
          <w:highlight w:val="none"/>
          <w:lang w:val="en-US" w:bidi="ar-SA"/>
          <w14:textFill>
            <w14:solidFill>
              <w14:schemeClr w14:val="tx1"/>
            </w14:solidFill>
          </w14:textFill>
        </w:rPr>
        <w:t>建设项目运营期噪声源主要是井场抽油机机械噪声，</w:t>
      </w:r>
      <w:r>
        <w:rPr>
          <w:rFonts w:ascii="Times New Roman" w:hAnsi="Times New Roman" w:cs="Times New Roman"/>
          <w:color w:val="000000" w:themeColor="text1"/>
          <w:w w:val="99"/>
          <w:sz w:val="24"/>
          <w:szCs w:val="24"/>
          <w:highlight w:val="none"/>
          <w:lang w:val="en-US"/>
          <w14:textFill>
            <w14:solidFill>
              <w14:schemeClr w14:val="tx1"/>
            </w14:solidFill>
          </w14:textFill>
        </w:rPr>
        <w:t>本项目依托场站无新增设备， 无新增噪声源。</w:t>
      </w:r>
      <w:r>
        <w:rPr>
          <w:rFonts w:ascii="Times New Roman" w:hAnsi="Times New Roman" w:cs="Times New Roman"/>
          <w:color w:val="000000" w:themeColor="text1"/>
          <w:w w:val="99"/>
          <w:sz w:val="24"/>
          <w:szCs w:val="24"/>
          <w:highlight w:val="none"/>
          <w:lang w:val="en-US" w:bidi="ar-SA"/>
          <w14:textFill>
            <w14:solidFill>
              <w14:schemeClr w14:val="tx1"/>
            </w14:solidFill>
          </w14:textFill>
        </w:rPr>
        <w:t>主要噪声污染源强核算结果及相关参数一览表见表3.4-1</w:t>
      </w:r>
      <w:r>
        <w:rPr>
          <w:rFonts w:hint="eastAsia" w:ascii="Times New Roman" w:hAnsi="Times New Roman" w:cs="Times New Roman"/>
          <w:color w:val="000000" w:themeColor="text1"/>
          <w:w w:val="99"/>
          <w:sz w:val="24"/>
          <w:szCs w:val="24"/>
          <w:highlight w:val="none"/>
          <w:lang w:val="en-US" w:eastAsia="zh-CN" w:bidi="ar-SA"/>
          <w14:textFill>
            <w14:solidFill>
              <w14:schemeClr w14:val="tx1"/>
            </w14:solidFill>
          </w14:textFill>
        </w:rPr>
        <w:t>7</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bookmarkEnd w:id="118"/>
    </w:p>
    <w:p>
      <w:pPr>
        <w:spacing w:line="440" w:lineRule="exact"/>
        <w:ind w:firstLine="476" w:firstLineChars="200"/>
        <w:rPr>
          <w:rFonts w:ascii="Times New Roman" w:hAnsi="Times New Roman" w:cs="Times New Roman"/>
          <w:color w:val="000000" w:themeColor="text1"/>
          <w:w w:val="99"/>
          <w:sz w:val="24"/>
          <w:szCs w:val="24"/>
          <w:highlight w:val="none"/>
          <w:lang w:val="en-US" w:bidi="ar-SA"/>
          <w14:textFill>
            <w14:solidFill>
              <w14:schemeClr w14:val="tx1"/>
            </w14:solidFill>
          </w14:textFill>
        </w:rPr>
      </w:pPr>
      <w:bookmarkStart w:id="119" w:name="_Toc26269"/>
      <w:bookmarkStart w:id="120" w:name="_Toc8737115"/>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表3.4-1</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7</w:t>
      </w: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 xml:space="preserve">      噪声污染源源强核算结果及相关参数一览表</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 xml:space="preserve">    单位：dB(A</w:t>
      </w:r>
      <w:r>
        <w:rPr>
          <w:rFonts w:ascii="Times New Roman" w:hAnsi="Times New Roman" w:cs="Times New Roman"/>
          <w:color w:val="000000" w:themeColor="text1"/>
          <w:w w:val="99"/>
          <w:sz w:val="24"/>
          <w:szCs w:val="24"/>
          <w:highlight w:val="none"/>
          <w:lang w:val="en-US" w:bidi="ar-SA"/>
          <w14:textFill>
            <w14:solidFill>
              <w14:schemeClr w14:val="tx1"/>
            </w14:solidFill>
          </w14:textFill>
        </w:rPr>
        <w:t>)</w:t>
      </w:r>
      <w:bookmarkEnd w:id="119"/>
      <w:bookmarkEnd w:id="120"/>
    </w:p>
    <w:tbl>
      <w:tblPr>
        <w:tblStyle w:val="32"/>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5"/>
        <w:gridCol w:w="682"/>
        <w:gridCol w:w="690"/>
        <w:gridCol w:w="719"/>
        <w:gridCol w:w="684"/>
        <w:gridCol w:w="900"/>
        <w:gridCol w:w="1345"/>
        <w:gridCol w:w="993"/>
        <w:gridCol w:w="884"/>
        <w:gridCol w:w="85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5"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工序/生产线</w:t>
            </w:r>
          </w:p>
        </w:tc>
        <w:tc>
          <w:tcPr>
            <w:tcW w:w="682"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装置</w:t>
            </w:r>
          </w:p>
        </w:tc>
        <w:tc>
          <w:tcPr>
            <w:tcW w:w="690"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噪声源</w:t>
            </w:r>
          </w:p>
        </w:tc>
        <w:tc>
          <w:tcPr>
            <w:tcW w:w="719"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声源类型</w:t>
            </w:r>
          </w:p>
        </w:tc>
        <w:tc>
          <w:tcPr>
            <w:tcW w:w="1584" w:type="dxa"/>
            <w:gridSpan w:val="2"/>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噪声声源</w:t>
            </w:r>
          </w:p>
        </w:tc>
        <w:tc>
          <w:tcPr>
            <w:tcW w:w="2338" w:type="dxa"/>
            <w:gridSpan w:val="2"/>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降噪措施</w:t>
            </w:r>
          </w:p>
        </w:tc>
        <w:tc>
          <w:tcPr>
            <w:tcW w:w="1734" w:type="dxa"/>
            <w:gridSpan w:val="2"/>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噪声排放值</w:t>
            </w:r>
          </w:p>
        </w:tc>
        <w:tc>
          <w:tcPr>
            <w:tcW w:w="679"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持续时间（h）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5"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2"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90"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719"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核算方法</w:t>
            </w:r>
          </w:p>
        </w:tc>
        <w:tc>
          <w:tcPr>
            <w:tcW w:w="90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噪声值</w:t>
            </w:r>
          </w:p>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dB（A）</w:t>
            </w:r>
          </w:p>
        </w:tc>
        <w:tc>
          <w:tcPr>
            <w:tcW w:w="1345"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工艺</w:t>
            </w:r>
          </w:p>
        </w:tc>
        <w:tc>
          <w:tcPr>
            <w:tcW w:w="99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降噪效果</w:t>
            </w:r>
          </w:p>
        </w:tc>
        <w:tc>
          <w:tcPr>
            <w:tcW w:w="88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核算方法</w:t>
            </w:r>
          </w:p>
        </w:tc>
        <w:tc>
          <w:tcPr>
            <w:tcW w:w="85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噪声值</w:t>
            </w:r>
          </w:p>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dB（A）</w:t>
            </w:r>
          </w:p>
        </w:tc>
        <w:tc>
          <w:tcPr>
            <w:tcW w:w="679"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5"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井场</w:t>
            </w:r>
          </w:p>
        </w:tc>
        <w:tc>
          <w:tcPr>
            <w:tcW w:w="68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抽油机</w:t>
            </w:r>
          </w:p>
        </w:tc>
        <w:tc>
          <w:tcPr>
            <w:tcW w:w="69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抽油机</w:t>
            </w:r>
          </w:p>
        </w:tc>
        <w:tc>
          <w:tcPr>
            <w:tcW w:w="71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连续</w:t>
            </w:r>
          </w:p>
        </w:tc>
        <w:tc>
          <w:tcPr>
            <w:tcW w:w="68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类比法</w:t>
            </w:r>
          </w:p>
        </w:tc>
        <w:tc>
          <w:tcPr>
            <w:tcW w:w="90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65-75</w:t>
            </w:r>
          </w:p>
        </w:tc>
        <w:tc>
          <w:tcPr>
            <w:tcW w:w="1345"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低噪声设备</w:t>
            </w:r>
          </w:p>
        </w:tc>
        <w:tc>
          <w:tcPr>
            <w:tcW w:w="99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88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类比法</w:t>
            </w:r>
          </w:p>
        </w:tc>
        <w:tc>
          <w:tcPr>
            <w:tcW w:w="85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＜75</w:t>
            </w:r>
          </w:p>
        </w:tc>
        <w:tc>
          <w:tcPr>
            <w:tcW w:w="67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24</w:t>
            </w:r>
          </w:p>
        </w:tc>
      </w:tr>
    </w:tbl>
    <w:p>
      <w:pPr>
        <w:spacing w:line="440" w:lineRule="exact"/>
        <w:ind w:firstLine="474" w:firstLineChars="200"/>
        <w:jc w:val="both"/>
        <w:rPr>
          <w:rFonts w:ascii="Times New Roman" w:hAnsi="Times New Roman" w:cs="Times New Roman"/>
          <w:bCs/>
          <w:color w:val="000000" w:themeColor="text1"/>
          <w:w w:val="99"/>
          <w:sz w:val="24"/>
          <w:szCs w:val="24"/>
          <w:highlight w:val="none"/>
          <w:lang w:val="en-US"/>
          <w14:textFill>
            <w14:solidFill>
              <w14:schemeClr w14:val="tx1"/>
            </w14:solidFill>
          </w14:textFill>
        </w:rPr>
      </w:pPr>
      <w:r>
        <w:rPr>
          <w:rFonts w:ascii="Times New Roman" w:hAnsi="Times New Roman" w:cs="Times New Roman"/>
          <w:bCs/>
          <w:color w:val="000000" w:themeColor="text1"/>
          <w:w w:val="99"/>
          <w:sz w:val="24"/>
          <w:szCs w:val="24"/>
          <w:highlight w:val="none"/>
          <w:lang w:val="en-US"/>
          <w14:textFill>
            <w14:solidFill>
              <w14:schemeClr w14:val="tx1"/>
            </w14:solidFill>
          </w14:textFill>
        </w:rPr>
        <w:t>（4）固体废物</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bookmarkStart w:id="121" w:name="_Toc4725"/>
      <w:r>
        <w:rPr>
          <w:rFonts w:ascii="Times New Roman" w:hAnsi="Times New Roman" w:cs="Times New Roman"/>
          <w:color w:val="000000" w:themeColor="text1"/>
          <w:w w:val="99"/>
          <w:sz w:val="24"/>
          <w:szCs w:val="24"/>
          <w:highlight w:val="none"/>
          <w14:textFill>
            <w14:solidFill>
              <w14:schemeClr w14:val="tx1"/>
            </w14:solidFill>
          </w14:textFill>
        </w:rPr>
        <w:t>项目运营期产生的固体废物主要有含油污泥、落地油、含油废防渗布。</w:t>
      </w:r>
      <w:bookmarkEnd w:id="121"/>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bookmarkStart w:id="122" w:name="_Toc12698"/>
      <w:r>
        <w:rPr>
          <w:rFonts w:ascii="Times New Roman" w:hAnsi="Times New Roman" w:cs="Times New Roman"/>
          <w:color w:val="000000" w:themeColor="text1"/>
          <w:w w:val="99"/>
          <w:sz w:val="24"/>
          <w:szCs w:val="24"/>
          <w:highlight w:val="none"/>
          <w14:textFill>
            <w14:solidFill>
              <w14:schemeClr w14:val="tx1"/>
            </w14:solidFill>
          </w14:textFill>
        </w:rPr>
        <w:fldChar w:fldCharType="begin"/>
      </w:r>
      <w:r>
        <w:rPr>
          <w:rFonts w:ascii="Times New Roman" w:hAnsi="Times New Roman" w:cs="Times New Roman"/>
          <w:color w:val="000000" w:themeColor="text1"/>
          <w:w w:val="99"/>
          <w:sz w:val="24"/>
          <w:szCs w:val="24"/>
          <w:highlight w:val="none"/>
          <w14:textFill>
            <w14:solidFill>
              <w14:schemeClr w14:val="tx1"/>
            </w14:solidFill>
          </w14:textFill>
        </w:rPr>
        <w:instrText xml:space="preserve"> </w:instrText>
      </w:r>
      <w:r>
        <w:rPr>
          <w:rFonts w:hint="eastAsia" w:ascii="Times New Roman" w:hAnsi="Times New Roman" w:cs="Times New Roman"/>
          <w:color w:val="000000" w:themeColor="text1"/>
          <w:w w:val="99"/>
          <w:sz w:val="24"/>
          <w:szCs w:val="24"/>
          <w:highlight w:val="none"/>
          <w14:textFill>
            <w14:solidFill>
              <w14:schemeClr w14:val="tx1"/>
            </w14:solidFill>
          </w14:textFill>
        </w:rPr>
        <w:instrText xml:space="preserve">eq \o\ac(○,</w:instrText>
      </w:r>
      <w:r>
        <w:rPr>
          <w:rFonts w:hint="eastAsia" w:ascii="Times New Roman" w:hAnsi="Times New Roman" w:cs="Times New Roman"/>
          <w:color w:val="000000" w:themeColor="text1"/>
          <w:w w:val="99"/>
          <w:position w:val="3"/>
          <w:sz w:val="16"/>
          <w:szCs w:val="24"/>
          <w:highlight w:val="none"/>
          <w14:textFill>
            <w14:solidFill>
              <w14:schemeClr w14:val="tx1"/>
            </w14:solidFill>
          </w14:textFill>
        </w:rPr>
        <w:instrText xml:space="preserve">1</w:instrText>
      </w:r>
      <w:r>
        <w:rPr>
          <w:rFonts w:hint="eastAsia" w:ascii="Times New Roman" w:hAnsi="Times New Roman" w:cs="Times New Roman"/>
          <w:color w:val="000000" w:themeColor="text1"/>
          <w:w w:val="99"/>
          <w:sz w:val="24"/>
          <w:szCs w:val="24"/>
          <w:highlight w:val="none"/>
          <w14:textFill>
            <w14:solidFill>
              <w14:schemeClr w14:val="tx1"/>
            </w14:solidFill>
          </w14:textFill>
        </w:rPr>
        <w:instrText xml:space="preserve">)</w:instrText>
      </w:r>
      <w:r>
        <w:rPr>
          <w:rFonts w:ascii="Times New Roman" w:hAnsi="Times New Roman" w:cs="Times New Roman"/>
          <w:color w:val="000000" w:themeColor="text1"/>
          <w:w w:val="99"/>
          <w:sz w:val="24"/>
          <w:szCs w:val="24"/>
          <w:highlight w:val="none"/>
          <w14:textFill>
            <w14:solidFill>
              <w14:schemeClr w14:val="tx1"/>
            </w14:solidFill>
          </w14:textFill>
        </w:rPr>
        <w:fldChar w:fldCharType="end"/>
      </w:r>
      <w:r>
        <w:rPr>
          <w:rFonts w:ascii="Times New Roman" w:hAnsi="Times New Roman" w:cs="Times New Roman"/>
          <w:color w:val="000000" w:themeColor="text1"/>
          <w:w w:val="99"/>
          <w:sz w:val="24"/>
          <w:szCs w:val="24"/>
          <w:highlight w:val="none"/>
          <w14:textFill>
            <w14:solidFill>
              <w14:schemeClr w14:val="tx1"/>
            </w14:solidFill>
          </w14:textFill>
        </w:rPr>
        <w:t>含油污泥</w:t>
      </w:r>
      <w:bookmarkEnd w:id="122"/>
    </w:p>
    <w:p>
      <w:pPr>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bookmarkStart w:id="123" w:name="_Toc14718"/>
      <w:r>
        <w:rPr>
          <w:rFonts w:ascii="Times New Roman" w:hAnsi="Times New Roman" w:cs="Times New Roman"/>
          <w:color w:val="000000" w:themeColor="text1"/>
          <w:w w:val="99"/>
          <w:sz w:val="24"/>
          <w:szCs w:val="24"/>
          <w:highlight w:val="none"/>
          <w14:textFill>
            <w14:solidFill>
              <w14:schemeClr w14:val="tx1"/>
            </w14:solidFill>
          </w14:textFill>
        </w:rPr>
        <w:t>运营期含油污泥主要来自依托场站定期清淤，油田区块一般生产万吨原油排泥砂（固相）约0.2-0.4t（本工程以0.3t计）。本</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项目深部调区驱油实施</w:t>
      </w:r>
      <w:r>
        <w:rPr>
          <w:rFonts w:ascii="Times New Roman" w:hAnsi="Times New Roman" w:cs="Times New Roman"/>
          <w:color w:val="000000" w:themeColor="text1"/>
          <w:w w:val="99"/>
          <w:sz w:val="24"/>
          <w:szCs w:val="24"/>
          <w:highlight w:val="none"/>
          <w14:textFill>
            <w14:solidFill>
              <w14:schemeClr w14:val="tx1"/>
            </w14:solidFill>
          </w14:textFill>
        </w:rPr>
        <w:t>后年产原油</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由</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0.64</w:t>
      </w:r>
      <w:r>
        <w:rPr>
          <w:rFonts w:ascii="Times New Roman" w:hAnsi="Times New Roman" w:cs="Times New Roman"/>
          <w:color w:val="000000" w:themeColor="text1"/>
          <w:w w:val="99"/>
          <w:sz w:val="24"/>
          <w:szCs w:val="24"/>
          <w:highlight w:val="none"/>
          <w14:textFill>
            <w14:solidFill>
              <w14:schemeClr w14:val="tx1"/>
            </w14:solidFill>
          </w14:textFill>
        </w:rPr>
        <w:t>×10</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t</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增加到</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1.71</w:t>
      </w:r>
      <w:r>
        <w:rPr>
          <w:rFonts w:ascii="Times New Roman" w:hAnsi="Times New Roman" w:cs="Times New Roman"/>
          <w:color w:val="000000" w:themeColor="text1"/>
          <w:w w:val="99"/>
          <w:sz w:val="24"/>
          <w:szCs w:val="24"/>
          <w:highlight w:val="none"/>
          <w14:textFill>
            <w14:solidFill>
              <w14:schemeClr w14:val="tx1"/>
            </w14:solidFill>
          </w14:textFill>
        </w:rPr>
        <w:t>×10</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t，则本</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工程实施后</w:t>
      </w:r>
      <w:r>
        <w:rPr>
          <w:rFonts w:ascii="Times New Roman" w:hAnsi="Times New Roman" w:cs="Times New Roman"/>
          <w:color w:val="000000" w:themeColor="text1"/>
          <w:w w:val="99"/>
          <w:sz w:val="24"/>
          <w:szCs w:val="24"/>
          <w:highlight w:val="none"/>
          <w14:textFill>
            <w14:solidFill>
              <w14:schemeClr w14:val="tx1"/>
            </w14:solidFill>
          </w14:textFill>
        </w:rPr>
        <w:t>年产油泥（砂）</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0.513</w:t>
      </w:r>
      <w:r>
        <w:rPr>
          <w:rFonts w:ascii="Times New Roman" w:hAnsi="Times New Roman" w:cs="Times New Roman"/>
          <w:color w:val="000000" w:themeColor="text1"/>
          <w:w w:val="99"/>
          <w:sz w:val="24"/>
          <w:szCs w:val="24"/>
          <w:highlight w:val="none"/>
          <w14:textFill>
            <w14:solidFill>
              <w14:schemeClr w14:val="tx1"/>
            </w14:solidFill>
          </w14:textFill>
        </w:rPr>
        <w:t>t</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（比深部调区实施前增加</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0.321t</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，统一收集送葡萄花含油污泥处理站处理，处理后的泥饼满足《油田含油污泥综合利用污染控制标准》（DB23/T1413-2010）后用于铺垫井场及通井路。</w:t>
      </w:r>
    </w:p>
    <w:bookmarkEnd w:id="123"/>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bookmarkStart w:id="124" w:name="_Toc29517"/>
      <w:r>
        <w:rPr>
          <w:rFonts w:ascii="Times New Roman" w:hAnsi="Times New Roman" w:cs="Times New Roman"/>
          <w:color w:val="000000" w:themeColor="text1"/>
          <w:w w:val="99"/>
          <w:sz w:val="24"/>
          <w:szCs w:val="24"/>
          <w:highlight w:val="none"/>
          <w14:textFill>
            <w14:solidFill>
              <w14:schemeClr w14:val="tx1"/>
            </w14:solidFill>
          </w14:textFill>
        </w:rPr>
        <w:fldChar w:fldCharType="begin"/>
      </w:r>
      <w:r>
        <w:rPr>
          <w:rFonts w:ascii="Times New Roman" w:hAnsi="Times New Roman" w:cs="Times New Roman"/>
          <w:color w:val="000000" w:themeColor="text1"/>
          <w:w w:val="99"/>
          <w:sz w:val="24"/>
          <w:szCs w:val="24"/>
          <w:highlight w:val="none"/>
          <w14:textFill>
            <w14:solidFill>
              <w14:schemeClr w14:val="tx1"/>
            </w14:solidFill>
          </w14:textFill>
        </w:rPr>
        <w:instrText xml:space="preserve"> </w:instrText>
      </w:r>
      <w:r>
        <w:rPr>
          <w:rFonts w:hint="eastAsia" w:ascii="Times New Roman" w:hAnsi="Times New Roman" w:cs="Times New Roman"/>
          <w:color w:val="000000" w:themeColor="text1"/>
          <w:w w:val="99"/>
          <w:sz w:val="24"/>
          <w:szCs w:val="24"/>
          <w:highlight w:val="none"/>
          <w14:textFill>
            <w14:solidFill>
              <w14:schemeClr w14:val="tx1"/>
            </w14:solidFill>
          </w14:textFill>
        </w:rPr>
        <w:instrText xml:space="preserve">eq \o\ac(○,</w:instrText>
      </w:r>
      <w:r>
        <w:rPr>
          <w:rFonts w:hint="eastAsia" w:ascii="Times New Roman" w:hAnsi="Times New Roman" w:cs="Times New Roman"/>
          <w:color w:val="000000" w:themeColor="text1"/>
          <w:w w:val="99"/>
          <w:position w:val="3"/>
          <w:sz w:val="16"/>
          <w:szCs w:val="24"/>
          <w:highlight w:val="none"/>
          <w14:textFill>
            <w14:solidFill>
              <w14:schemeClr w14:val="tx1"/>
            </w14:solidFill>
          </w14:textFill>
        </w:rPr>
        <w:instrText xml:space="preserve">2</w:instrText>
      </w:r>
      <w:r>
        <w:rPr>
          <w:rFonts w:hint="eastAsia" w:ascii="Times New Roman" w:hAnsi="Times New Roman" w:cs="Times New Roman"/>
          <w:color w:val="000000" w:themeColor="text1"/>
          <w:w w:val="99"/>
          <w:sz w:val="24"/>
          <w:szCs w:val="24"/>
          <w:highlight w:val="none"/>
          <w14:textFill>
            <w14:solidFill>
              <w14:schemeClr w14:val="tx1"/>
            </w14:solidFill>
          </w14:textFill>
        </w:rPr>
        <w:instrText xml:space="preserve">)</w:instrText>
      </w:r>
      <w:r>
        <w:rPr>
          <w:rFonts w:ascii="Times New Roman" w:hAnsi="Times New Roman" w:cs="Times New Roman"/>
          <w:color w:val="000000" w:themeColor="text1"/>
          <w:w w:val="99"/>
          <w:sz w:val="24"/>
          <w:szCs w:val="24"/>
          <w:highlight w:val="none"/>
          <w14:textFill>
            <w14:solidFill>
              <w14:schemeClr w14:val="tx1"/>
            </w14:solidFill>
          </w14:textFill>
        </w:rPr>
        <w:fldChar w:fldCharType="end"/>
      </w:r>
      <w:r>
        <w:rPr>
          <w:rFonts w:ascii="Times New Roman" w:hAnsi="Times New Roman" w:cs="Times New Roman"/>
          <w:color w:val="000000" w:themeColor="text1"/>
          <w:w w:val="99"/>
          <w:sz w:val="24"/>
          <w:szCs w:val="24"/>
          <w:highlight w:val="none"/>
          <w14:textFill>
            <w14:solidFill>
              <w14:schemeClr w14:val="tx1"/>
            </w14:solidFill>
          </w14:textFill>
        </w:rPr>
        <w:t>落地油</w:t>
      </w:r>
      <w:bookmarkEnd w:id="124"/>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bookmarkStart w:id="125" w:name="_Toc10656"/>
      <w:bookmarkStart w:id="126" w:name="_Toc3357"/>
      <w:r>
        <w:rPr>
          <w:rFonts w:ascii="Times New Roman" w:hAnsi="Times New Roman" w:cs="Times New Roman"/>
          <w:color w:val="000000" w:themeColor="text1"/>
          <w:w w:val="99"/>
          <w:sz w:val="24"/>
          <w:szCs w:val="24"/>
          <w:highlight w:val="none"/>
          <w14:textFill>
            <w14:solidFill>
              <w14:schemeClr w14:val="tx1"/>
            </w14:solidFill>
          </w14:textFill>
        </w:rPr>
        <w:t>考虑意外情况，一般每口井作业期间产生的落地油可按50kg/井·次，作业频率一般1.5年，</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本项目深部调区驱油实施后</w:t>
      </w:r>
      <w:r>
        <w:rPr>
          <w:rFonts w:ascii="Times New Roman" w:hAnsi="Times New Roman" w:cs="Times New Roman"/>
          <w:color w:val="000000" w:themeColor="text1"/>
          <w:w w:val="99"/>
          <w:sz w:val="24"/>
          <w:szCs w:val="24"/>
          <w:highlight w:val="none"/>
          <w14:textFill>
            <w14:solidFill>
              <w14:schemeClr w14:val="tx1"/>
            </w14:solidFill>
          </w14:textFill>
        </w:rPr>
        <w:t>落地油共产生</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0.7</w:t>
      </w:r>
      <w:r>
        <w:rPr>
          <w:rFonts w:ascii="Times New Roman" w:hAnsi="Times New Roman" w:cs="Times New Roman"/>
          <w:color w:val="000000" w:themeColor="text1"/>
          <w:w w:val="99"/>
          <w:sz w:val="24"/>
          <w:szCs w:val="24"/>
          <w:highlight w:val="none"/>
          <w14:textFill>
            <w14:solidFill>
              <w14:schemeClr w14:val="tx1"/>
            </w14:solidFill>
          </w14:textFill>
        </w:rPr>
        <w:t>t/a，</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与实施前相比未发生变化。</w:t>
      </w:r>
      <w:r>
        <w:rPr>
          <w:rFonts w:ascii="Times New Roman" w:hAnsi="Times New Roman" w:cs="Times New Roman"/>
          <w:color w:val="000000" w:themeColor="text1"/>
          <w:w w:val="99"/>
          <w:sz w:val="24"/>
          <w:szCs w:val="24"/>
          <w:highlight w:val="none"/>
          <w14:textFill>
            <w14:solidFill>
              <w14:schemeClr w14:val="tx1"/>
            </w14:solidFill>
          </w14:textFill>
        </w:rPr>
        <w:t>落地油全部回收处理，回收处理率为100%。根据《国家危险废物名录》，落地油属于HW08类危险废物，危险废物代码为071-001-08，统一收集后送至葡萄花含油污泥处理站处理</w:t>
      </w:r>
      <w:bookmarkEnd w:id="125"/>
      <w:bookmarkEnd w:id="126"/>
      <w:r>
        <w:rPr>
          <w:rFonts w:ascii="Times New Roman" w:hAnsi="Times New Roman" w:cs="Times New Roman"/>
          <w:color w:val="000000" w:themeColor="text1"/>
          <w:w w:val="99"/>
          <w:sz w:val="24"/>
          <w:szCs w:val="24"/>
          <w:highlight w:val="none"/>
          <w14:textFill>
            <w14:solidFill>
              <w14:schemeClr w14:val="tx1"/>
            </w14:solidFill>
          </w14:textFill>
        </w:rPr>
        <w:t>，处理后的泥饼满足《油田含油污泥综合利用污染控制标准》（DB23/T1413-2010）后用于铺垫井场及通井路。</w:t>
      </w:r>
    </w:p>
    <w:p>
      <w:pPr>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bookmarkStart w:id="127" w:name="_Toc9700"/>
      <w:bookmarkStart w:id="128" w:name="_Toc30433"/>
      <w:r>
        <w:rPr>
          <w:rFonts w:ascii="Times New Roman" w:hAnsi="Times New Roman" w:cs="Times New Roman"/>
          <w:color w:val="000000" w:themeColor="text1"/>
          <w:w w:val="99"/>
          <w:sz w:val="24"/>
          <w:szCs w:val="24"/>
          <w:highlight w:val="none"/>
          <w14:textFill>
            <w14:solidFill>
              <w14:schemeClr w14:val="tx1"/>
            </w14:solidFill>
          </w14:textFill>
        </w:rPr>
        <w:fldChar w:fldCharType="begin"/>
      </w:r>
      <w:r>
        <w:rPr>
          <w:rFonts w:ascii="Times New Roman" w:hAnsi="Times New Roman" w:cs="Times New Roman"/>
          <w:color w:val="000000" w:themeColor="text1"/>
          <w:w w:val="99"/>
          <w:sz w:val="24"/>
          <w:szCs w:val="24"/>
          <w:highlight w:val="none"/>
          <w14:textFill>
            <w14:solidFill>
              <w14:schemeClr w14:val="tx1"/>
            </w14:solidFill>
          </w14:textFill>
        </w:rPr>
        <w:instrText xml:space="preserve"> </w:instrText>
      </w:r>
      <w:r>
        <w:rPr>
          <w:rFonts w:hint="eastAsia" w:ascii="Times New Roman" w:hAnsi="Times New Roman" w:cs="Times New Roman"/>
          <w:color w:val="000000" w:themeColor="text1"/>
          <w:w w:val="99"/>
          <w:sz w:val="24"/>
          <w:szCs w:val="24"/>
          <w:highlight w:val="none"/>
          <w14:textFill>
            <w14:solidFill>
              <w14:schemeClr w14:val="tx1"/>
            </w14:solidFill>
          </w14:textFill>
        </w:rPr>
        <w:instrText xml:space="preserve">eq \o\ac(○,</w:instrText>
      </w:r>
      <w:r>
        <w:rPr>
          <w:rFonts w:hint="eastAsia" w:ascii="Times New Roman" w:hAnsi="Times New Roman" w:cs="Times New Roman"/>
          <w:color w:val="000000" w:themeColor="text1"/>
          <w:w w:val="99"/>
          <w:position w:val="3"/>
          <w:sz w:val="16"/>
          <w:szCs w:val="24"/>
          <w:highlight w:val="none"/>
          <w14:textFill>
            <w14:solidFill>
              <w14:schemeClr w14:val="tx1"/>
            </w14:solidFill>
          </w14:textFill>
        </w:rPr>
        <w:instrText xml:space="preserve">3</w:instrText>
      </w:r>
      <w:r>
        <w:rPr>
          <w:rFonts w:hint="eastAsia" w:ascii="Times New Roman" w:hAnsi="Times New Roman" w:cs="Times New Roman"/>
          <w:color w:val="000000" w:themeColor="text1"/>
          <w:w w:val="99"/>
          <w:sz w:val="24"/>
          <w:szCs w:val="24"/>
          <w:highlight w:val="none"/>
          <w14:textFill>
            <w14:solidFill>
              <w14:schemeClr w14:val="tx1"/>
            </w14:solidFill>
          </w14:textFill>
        </w:rPr>
        <w:instrText xml:space="preserve">)</w:instrText>
      </w:r>
      <w:r>
        <w:rPr>
          <w:rFonts w:ascii="Times New Roman" w:hAnsi="Times New Roman" w:cs="Times New Roman"/>
          <w:color w:val="000000" w:themeColor="text1"/>
          <w:w w:val="99"/>
          <w:sz w:val="24"/>
          <w:szCs w:val="24"/>
          <w:highlight w:val="none"/>
          <w14:textFill>
            <w14:solidFill>
              <w14:schemeClr w14:val="tx1"/>
            </w14:solidFill>
          </w14:textFill>
        </w:rPr>
        <w:fldChar w:fldCharType="end"/>
      </w:r>
      <w:r>
        <w:rPr>
          <w:rFonts w:ascii="Times New Roman" w:hAnsi="Times New Roman" w:cs="Times New Roman"/>
          <w:color w:val="000000" w:themeColor="text1"/>
          <w:w w:val="99"/>
          <w:sz w:val="24"/>
          <w:szCs w:val="24"/>
          <w:highlight w:val="none"/>
          <w14:textFill>
            <w14:solidFill>
              <w14:schemeClr w14:val="tx1"/>
            </w14:solidFill>
          </w14:textFill>
        </w:rPr>
        <w:t>含油废防渗布</w:t>
      </w:r>
      <w:bookmarkEnd w:id="127"/>
      <w:bookmarkEnd w:id="128"/>
    </w:p>
    <w:p>
      <w:pPr>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bookmarkStart w:id="129" w:name="_Toc11560"/>
      <w:bookmarkStart w:id="130" w:name="_Toc22996"/>
      <w:r>
        <w:rPr>
          <w:rFonts w:ascii="Times New Roman" w:hAnsi="Times New Roman" w:cs="Times New Roman"/>
          <w:color w:val="000000" w:themeColor="text1"/>
          <w:w w:val="99"/>
          <w:sz w:val="24"/>
          <w:szCs w:val="24"/>
          <w:highlight w:val="none"/>
          <w14:textFill>
            <w14:solidFill>
              <w14:schemeClr w14:val="tx1"/>
            </w14:solidFill>
          </w14:textFill>
        </w:rPr>
        <w:t>井场作业过程中铺设防渗布，工程作业期间产生的落地油滴落到防渗布上，会产生含油废防渗布，一般每口井作业期间产生含油废防渗布可按25kg/井·次，作业频率一般1.5年，</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本项目深部调区驱油实施后</w:t>
      </w:r>
      <w:r>
        <w:rPr>
          <w:rFonts w:ascii="Times New Roman" w:hAnsi="Times New Roman" w:cs="Times New Roman"/>
          <w:color w:val="000000" w:themeColor="text1"/>
          <w:w w:val="99"/>
          <w:sz w:val="24"/>
          <w:szCs w:val="24"/>
          <w:highlight w:val="none"/>
          <w14:textFill>
            <w14:solidFill>
              <w14:schemeClr w14:val="tx1"/>
            </w14:solidFill>
          </w14:textFill>
        </w:rPr>
        <w:t>含油废防渗布共产生</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0.35</w:t>
      </w:r>
      <w:r>
        <w:rPr>
          <w:rFonts w:ascii="Times New Roman" w:hAnsi="Times New Roman" w:cs="Times New Roman"/>
          <w:color w:val="000000" w:themeColor="text1"/>
          <w:w w:val="99"/>
          <w:sz w:val="24"/>
          <w:szCs w:val="24"/>
          <w:highlight w:val="none"/>
          <w14:textFill>
            <w14:solidFill>
              <w14:schemeClr w14:val="tx1"/>
            </w14:solidFill>
          </w14:textFill>
        </w:rPr>
        <w:t>t/a。</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与实施前相比未发生变化。</w:t>
      </w:r>
      <w:r>
        <w:rPr>
          <w:rFonts w:ascii="Times New Roman" w:hAnsi="Times New Roman" w:cs="Times New Roman"/>
          <w:color w:val="000000" w:themeColor="text1"/>
          <w:w w:val="99"/>
          <w:sz w:val="24"/>
          <w:szCs w:val="24"/>
          <w:highlight w:val="none"/>
          <w14:textFill>
            <w14:solidFill>
              <w14:schemeClr w14:val="tx1"/>
            </w14:solidFill>
          </w14:textFill>
        </w:rPr>
        <w:t>根据《国家危险废物名录》，含油防渗布属于HW49类危险废物，危险废物代码为900-041-49。由建设单位收集后委托有资质单位处置。</w:t>
      </w:r>
      <w:bookmarkEnd w:id="129"/>
      <w:bookmarkEnd w:id="130"/>
    </w:p>
    <w:p>
      <w:pPr>
        <w:autoSpaceDE/>
        <w:autoSpaceDN/>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表3.4-1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8</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本项目运行期</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固体废物排放情况</w:t>
      </w:r>
    </w:p>
    <w:tbl>
      <w:tblPr>
        <w:tblStyle w:val="32"/>
        <w:tblW w:w="907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9"/>
        <w:gridCol w:w="931"/>
        <w:gridCol w:w="814"/>
        <w:gridCol w:w="891"/>
        <w:gridCol w:w="1747"/>
        <w:gridCol w:w="937"/>
        <w:gridCol w:w="988"/>
        <w:gridCol w:w="975"/>
        <w:gridCol w:w="1067"/>
        <w:gridCol w:w="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3" w:type="dxa"/>
        </w:trPr>
        <w:tc>
          <w:tcPr>
            <w:tcW w:w="709" w:type="dxa"/>
            <w:vMerge w:val="restart"/>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工程</w:t>
            </w:r>
          </w:p>
        </w:tc>
        <w:tc>
          <w:tcPr>
            <w:tcW w:w="931" w:type="dxa"/>
            <w:vMerge w:val="restart"/>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装置</w:t>
            </w:r>
          </w:p>
        </w:tc>
        <w:tc>
          <w:tcPr>
            <w:tcW w:w="814" w:type="dxa"/>
            <w:vMerge w:val="restart"/>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固体废物名称</w:t>
            </w:r>
          </w:p>
        </w:tc>
        <w:tc>
          <w:tcPr>
            <w:tcW w:w="891" w:type="dxa"/>
            <w:vMerge w:val="restart"/>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固废</w:t>
            </w:r>
          </w:p>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属性</w:t>
            </w:r>
          </w:p>
        </w:tc>
        <w:tc>
          <w:tcPr>
            <w:tcW w:w="1747" w:type="dxa"/>
            <w:vMerge w:val="restart"/>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危废编码</w:t>
            </w:r>
          </w:p>
        </w:tc>
        <w:tc>
          <w:tcPr>
            <w:tcW w:w="1925" w:type="dxa"/>
            <w:gridSpan w:val="2"/>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产生情况</w:t>
            </w:r>
          </w:p>
        </w:tc>
        <w:tc>
          <w:tcPr>
            <w:tcW w:w="975"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处置</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措施</w:t>
            </w:r>
          </w:p>
        </w:tc>
        <w:tc>
          <w:tcPr>
            <w:tcW w:w="1067" w:type="dxa"/>
            <w:vAlign w:val="center"/>
          </w:tcPr>
          <w:p>
            <w:pPr>
              <w:keepNext/>
              <w:autoSpaceDE/>
              <w:autoSpaceDN/>
              <w:adjustRightInd w:val="0"/>
              <w:jc w:val="center"/>
              <w:rPr>
                <w:rFonts w:ascii="Times New Roman" w:hAnsi="Times New Roman" w:eastAsia="仿宋_GB2312"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最终去向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09" w:type="dxa"/>
            <w:vMerge w:val="continue"/>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31" w:type="dxa"/>
            <w:vMerge w:val="continue"/>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4" w:type="dxa"/>
            <w:vMerge w:val="continue"/>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91" w:type="dxa"/>
            <w:vMerge w:val="continue"/>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47" w:type="dxa"/>
            <w:vMerge w:val="continue"/>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37"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核算方法</w:t>
            </w:r>
          </w:p>
        </w:tc>
        <w:tc>
          <w:tcPr>
            <w:tcW w:w="988"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产生量</w:t>
            </w:r>
          </w:p>
        </w:tc>
        <w:tc>
          <w:tcPr>
            <w:tcW w:w="975"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处置量</w:t>
            </w:r>
          </w:p>
        </w:tc>
        <w:tc>
          <w:tcPr>
            <w:tcW w:w="1080" w:type="dxa"/>
            <w:gridSpan w:val="2"/>
            <w:vMerge w:val="restart"/>
            <w:vAlign w:val="center"/>
          </w:tcPr>
          <w:p>
            <w:pPr>
              <w:keepNext/>
              <w:autoSpaceDE/>
              <w:autoSpaceDN/>
              <w:adjustRightInd w:val="0"/>
              <w:jc w:val="center"/>
              <w:rPr>
                <w:rFonts w:ascii="Times New Roman" w:hAnsi="Times New Roman" w:eastAsia="仿宋_GB2312"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送</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葡萄花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含油污泥处理站处理</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后用于</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铺垫井排路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3" w:hRule="atLeast"/>
        </w:trPr>
        <w:tc>
          <w:tcPr>
            <w:tcW w:w="709" w:type="dxa"/>
            <w:vAlign w:val="center"/>
          </w:tcPr>
          <w:p>
            <w:pPr>
              <w:tabs>
                <w:tab w:val="center" w:pos="4153"/>
                <w:tab w:val="right" w:pos="8306"/>
              </w:tabs>
              <w:autoSpaceDE/>
              <w:autoSpaceDN/>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油井作业</w:t>
            </w:r>
          </w:p>
        </w:tc>
        <w:tc>
          <w:tcPr>
            <w:tcW w:w="931" w:type="dxa"/>
            <w:vAlign w:val="center"/>
          </w:tcPr>
          <w:p>
            <w:pPr>
              <w:keepNext/>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w:t>
            </w:r>
          </w:p>
          <w:p>
            <w:pPr>
              <w:keepNext/>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井场</w:t>
            </w:r>
          </w:p>
        </w:tc>
        <w:tc>
          <w:tcPr>
            <w:tcW w:w="814" w:type="dxa"/>
            <w:vAlign w:val="center"/>
          </w:tcPr>
          <w:p>
            <w:pPr>
              <w:keepNext/>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落地油</w:t>
            </w:r>
          </w:p>
        </w:tc>
        <w:tc>
          <w:tcPr>
            <w:tcW w:w="891" w:type="dxa"/>
            <w:vMerge w:val="restart"/>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危险废物HW08废矿物油与含矿物油废物</w:t>
            </w:r>
          </w:p>
        </w:tc>
        <w:tc>
          <w:tcPr>
            <w:tcW w:w="1747" w:type="dxa"/>
            <w:vMerge w:val="restart"/>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071-001-08石油开采和炼制产生的油泥和油脚</w:t>
            </w:r>
          </w:p>
        </w:tc>
        <w:tc>
          <w:tcPr>
            <w:tcW w:w="937" w:type="dxa"/>
            <w:vMerge w:val="restart"/>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产污系数法</w:t>
            </w:r>
          </w:p>
        </w:tc>
        <w:tc>
          <w:tcPr>
            <w:tcW w:w="988" w:type="dxa"/>
            <w:vAlign w:val="center"/>
          </w:tcPr>
          <w:p>
            <w:pPr>
              <w:keepNext/>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0.7t/a</w:t>
            </w:r>
          </w:p>
        </w:tc>
        <w:tc>
          <w:tcPr>
            <w:tcW w:w="975" w:type="dxa"/>
            <w:vAlign w:val="center"/>
          </w:tcPr>
          <w:p>
            <w:pPr>
              <w:keepNext/>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0.7t/a</w:t>
            </w:r>
          </w:p>
        </w:tc>
        <w:tc>
          <w:tcPr>
            <w:tcW w:w="1080" w:type="dxa"/>
            <w:gridSpan w:val="2"/>
            <w:vMerge w:val="continue"/>
            <w:vAlign w:val="center"/>
          </w:tcPr>
          <w:p>
            <w:pPr>
              <w:keepNext/>
              <w:autoSpaceDE/>
              <w:autoSpaceDN/>
              <w:adjustRightInd w:val="0"/>
              <w:jc w:val="center"/>
              <w:rPr>
                <w:rFonts w:ascii="Times New Roman" w:hAnsi="Times New Roman" w:eastAsia="仿宋_GB2312" w:cs="Times New Roman"/>
                <w:color w:val="000000" w:themeColor="text1"/>
                <w:w w:val="99"/>
                <w:sz w:val="21"/>
                <w:szCs w:val="21"/>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709" w:type="dxa"/>
            <w:vAlign w:val="center"/>
          </w:tcPr>
          <w:p>
            <w:pPr>
              <w:tabs>
                <w:tab w:val="center" w:pos="4153"/>
                <w:tab w:val="right" w:pos="8306"/>
              </w:tabs>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井场作业、场站清淤</w:t>
            </w:r>
          </w:p>
        </w:tc>
        <w:tc>
          <w:tcPr>
            <w:tcW w:w="931" w:type="dxa"/>
            <w:vAlign w:val="center"/>
          </w:tcPr>
          <w:p>
            <w:pPr>
              <w:keepNext/>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井场、油气处理设备</w:t>
            </w:r>
          </w:p>
        </w:tc>
        <w:tc>
          <w:tcPr>
            <w:tcW w:w="814" w:type="dxa"/>
            <w:vAlign w:val="center"/>
          </w:tcPr>
          <w:p>
            <w:pPr>
              <w:keepNext/>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w:t>
            </w:r>
          </w:p>
          <w:p>
            <w:pPr>
              <w:keepNext/>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污泥</w:t>
            </w:r>
          </w:p>
        </w:tc>
        <w:tc>
          <w:tcPr>
            <w:tcW w:w="891" w:type="dxa"/>
            <w:vMerge w:val="continue"/>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47" w:type="dxa"/>
            <w:vMerge w:val="continue"/>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37" w:type="dxa"/>
            <w:vMerge w:val="continue"/>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88" w:type="dxa"/>
            <w:vAlign w:val="center"/>
          </w:tcPr>
          <w:p>
            <w:pPr>
              <w:keepNext/>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0.513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975" w:type="dxa"/>
            <w:vAlign w:val="center"/>
          </w:tcPr>
          <w:p>
            <w:pPr>
              <w:keepNext/>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0.513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080" w:type="dxa"/>
            <w:gridSpan w:val="2"/>
            <w:vMerge w:val="continue"/>
            <w:vAlign w:val="center"/>
          </w:tcPr>
          <w:p>
            <w:pPr>
              <w:keepNext/>
              <w:autoSpaceDE/>
              <w:autoSpaceDN/>
              <w:adjustRightInd w:val="0"/>
              <w:jc w:val="center"/>
              <w:rPr>
                <w:rFonts w:ascii="Times New Roman" w:hAnsi="Times New Roman" w:eastAsia="仿宋_GB2312" w:cs="Times New Roman"/>
                <w:color w:val="000000" w:themeColor="text1"/>
                <w:w w:val="99"/>
                <w:sz w:val="21"/>
                <w:szCs w:val="21"/>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709" w:type="dxa"/>
            <w:vAlign w:val="center"/>
          </w:tcPr>
          <w:p>
            <w:pPr>
              <w:tabs>
                <w:tab w:val="center" w:pos="4153"/>
                <w:tab w:val="right" w:pos="8306"/>
              </w:tabs>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井场</w:t>
            </w:r>
          </w:p>
        </w:tc>
        <w:tc>
          <w:tcPr>
            <w:tcW w:w="931" w:type="dxa"/>
            <w:vAlign w:val="center"/>
          </w:tcPr>
          <w:p>
            <w:pPr>
              <w:tabs>
                <w:tab w:val="center" w:pos="4153"/>
                <w:tab w:val="right" w:pos="8306"/>
              </w:tabs>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油井作业</w:t>
            </w:r>
          </w:p>
        </w:tc>
        <w:tc>
          <w:tcPr>
            <w:tcW w:w="814" w:type="dxa"/>
            <w:vAlign w:val="center"/>
          </w:tcPr>
          <w:p>
            <w:pPr>
              <w:tabs>
                <w:tab w:val="center" w:pos="4153"/>
                <w:tab w:val="right" w:pos="8306"/>
              </w:tabs>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含油防渗布</w:t>
            </w:r>
          </w:p>
        </w:tc>
        <w:tc>
          <w:tcPr>
            <w:tcW w:w="891" w:type="dxa"/>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HW49其他废物</w:t>
            </w:r>
          </w:p>
        </w:tc>
        <w:tc>
          <w:tcPr>
            <w:tcW w:w="1747" w:type="dxa"/>
            <w:vAlign w:val="center"/>
          </w:tcPr>
          <w:p>
            <w:pPr>
              <w:widowControl/>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900-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041-49</w:t>
            </w:r>
          </w:p>
          <w:p>
            <w:pPr>
              <w:widowControl/>
              <w:autoSpaceDE/>
              <w:autoSpaceDN/>
              <w:adjustRightInd w:val="0"/>
              <w:jc w:val="center"/>
              <w:rPr>
                <w:rFonts w:ascii="Times New Roman" w:hAnsi="Times New Roman" w:cs="Times New Roman"/>
                <w:color w:val="000000" w:themeColor="text1"/>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含有或沾染毒性、感染性危险废物的废弃包装物、容器、过滤吸附介质</w:t>
            </w:r>
          </w:p>
        </w:tc>
        <w:tc>
          <w:tcPr>
            <w:tcW w:w="937"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产污系数法</w:t>
            </w:r>
          </w:p>
        </w:tc>
        <w:tc>
          <w:tcPr>
            <w:tcW w:w="988" w:type="dxa"/>
            <w:vAlign w:val="center"/>
          </w:tcPr>
          <w:p>
            <w:pPr>
              <w:tabs>
                <w:tab w:val="center" w:pos="4153"/>
                <w:tab w:val="right" w:pos="8306"/>
              </w:tabs>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0.35t/a</w:t>
            </w:r>
          </w:p>
        </w:tc>
        <w:tc>
          <w:tcPr>
            <w:tcW w:w="975" w:type="dxa"/>
            <w:vAlign w:val="center"/>
          </w:tcPr>
          <w:p>
            <w:pPr>
              <w:tabs>
                <w:tab w:val="center" w:pos="4153"/>
                <w:tab w:val="right" w:pos="8306"/>
              </w:tabs>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0.35t/a</w:t>
            </w:r>
          </w:p>
        </w:tc>
        <w:tc>
          <w:tcPr>
            <w:tcW w:w="1080" w:type="dxa"/>
            <w:gridSpan w:val="2"/>
            <w:vAlign w:val="center"/>
          </w:tcPr>
          <w:p>
            <w:pPr>
              <w:keepNext/>
              <w:autoSpaceDE/>
              <w:autoSpaceDN/>
              <w:adjustRightInd w:val="0"/>
              <w:jc w:val="center"/>
              <w:rPr>
                <w:rFonts w:ascii="Times New Roman" w:hAnsi="Times New Roman" w:eastAsia="仿宋_GB2312"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委托资质单位拉运处理</w:t>
            </w:r>
          </w:p>
        </w:tc>
      </w:tr>
    </w:tbl>
    <w:p>
      <w:pPr>
        <w:tabs>
          <w:tab w:val="left" w:pos="850"/>
        </w:tabs>
        <w:spacing w:line="440" w:lineRule="exact"/>
        <w:jc w:val="both"/>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3.4.3.3 危险废物分析</w:t>
      </w:r>
    </w:p>
    <w:p>
      <w:pPr>
        <w:spacing w:line="440" w:lineRule="exact"/>
        <w:ind w:firstLine="595" w:firstLineChars="250"/>
        <w:rPr>
          <w:rFonts w:ascii="Times New Roman" w:hAnsi="Times New Roman" w:cs="Times New Roman"/>
          <w:color w:val="000000" w:themeColor="text1"/>
          <w:w w:val="99"/>
          <w:sz w:val="24"/>
          <w:highlight w:val="none"/>
          <w14:textFill>
            <w14:solidFill>
              <w14:schemeClr w14:val="tx1"/>
            </w14:solidFill>
          </w14:textFill>
        </w:rPr>
      </w:pPr>
      <w:r>
        <w:rPr>
          <w:rFonts w:ascii="Times New Roman" w:hAnsi="Times New Roman" w:cs="Times New Roman"/>
          <w:b/>
          <w:bCs/>
          <w:color w:val="000000" w:themeColor="text1"/>
          <w:w w:val="99"/>
          <w:sz w:val="24"/>
          <w:highlight w:val="none"/>
          <w14:textFill>
            <w14:solidFill>
              <w14:schemeClr w14:val="tx1"/>
            </w14:solidFill>
          </w14:textFill>
        </w:rPr>
        <w:t>表3.4-1</w:t>
      </w:r>
      <w:r>
        <w:rPr>
          <w:rFonts w:hint="eastAsia" w:ascii="Times New Roman" w:hAnsi="Times New Roman" w:cs="Times New Roman"/>
          <w:b/>
          <w:bCs/>
          <w:color w:val="000000" w:themeColor="text1"/>
          <w:w w:val="99"/>
          <w:sz w:val="24"/>
          <w:highlight w:val="none"/>
          <w:lang w:val="en-US" w:eastAsia="zh-CN"/>
          <w14:textFill>
            <w14:solidFill>
              <w14:schemeClr w14:val="tx1"/>
            </w14:solidFill>
          </w14:textFill>
        </w:rPr>
        <w:t>9</w:t>
      </w:r>
      <w:r>
        <w:rPr>
          <w:rFonts w:ascii="Times New Roman" w:hAnsi="Times New Roman" w:cs="Times New Roman"/>
          <w:b/>
          <w:bCs/>
          <w:color w:val="000000" w:themeColor="text1"/>
          <w:w w:val="99"/>
          <w:sz w:val="24"/>
          <w:highlight w:val="none"/>
          <w14:textFill>
            <w14:solidFill>
              <w14:schemeClr w14:val="tx1"/>
            </w14:solidFill>
          </w14:textFill>
        </w:rPr>
        <w:t xml:space="preserve">        运行期危险废物产生情况汇总表</w:t>
      </w:r>
    </w:p>
    <w:tbl>
      <w:tblPr>
        <w:tblStyle w:val="32"/>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2822"/>
        <w:gridCol w:w="2537"/>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34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名称</w:t>
            </w:r>
          </w:p>
        </w:tc>
        <w:tc>
          <w:tcPr>
            <w:tcW w:w="28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落地油</w:t>
            </w:r>
          </w:p>
        </w:tc>
        <w:tc>
          <w:tcPr>
            <w:tcW w:w="253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含油污泥</w:t>
            </w:r>
          </w:p>
        </w:tc>
        <w:tc>
          <w:tcPr>
            <w:tcW w:w="2378" w:type="dxa"/>
            <w:tcBorders>
              <w:right w:val="single" w:color="auto" w:sz="2"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废防渗布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34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类别</w:t>
            </w:r>
          </w:p>
        </w:tc>
        <w:tc>
          <w:tcPr>
            <w:tcW w:w="28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HW08废矿物油与含矿物油废物</w:t>
            </w:r>
          </w:p>
        </w:tc>
        <w:tc>
          <w:tcPr>
            <w:tcW w:w="253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HW08废矿物油与含矿物油废物</w:t>
            </w:r>
          </w:p>
        </w:tc>
        <w:tc>
          <w:tcPr>
            <w:tcW w:w="2378" w:type="dxa"/>
            <w:tcBorders>
              <w:right w:val="single" w:color="auto" w:sz="2"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HW49其他废物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34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代码</w:t>
            </w:r>
          </w:p>
        </w:tc>
        <w:tc>
          <w:tcPr>
            <w:tcW w:w="28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071-001-08</w:t>
            </w:r>
          </w:p>
        </w:tc>
        <w:tc>
          <w:tcPr>
            <w:tcW w:w="253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071-001-08</w:t>
            </w:r>
          </w:p>
        </w:tc>
        <w:tc>
          <w:tcPr>
            <w:tcW w:w="2378" w:type="dxa"/>
            <w:tcBorders>
              <w:right w:val="single" w:color="auto" w:sz="2"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34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产生量</w:t>
            </w:r>
          </w:p>
        </w:tc>
        <w:tc>
          <w:tcPr>
            <w:tcW w:w="28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0.7t/a</w:t>
            </w:r>
          </w:p>
        </w:tc>
        <w:tc>
          <w:tcPr>
            <w:tcW w:w="253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0.513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2378" w:type="dxa"/>
            <w:tcBorders>
              <w:right w:val="single" w:color="auto" w:sz="2"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34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产生工序</w:t>
            </w:r>
          </w:p>
        </w:tc>
        <w:tc>
          <w:tcPr>
            <w:tcW w:w="28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油井修井作业</w:t>
            </w:r>
          </w:p>
        </w:tc>
        <w:tc>
          <w:tcPr>
            <w:tcW w:w="253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井场作业、场站清淤</w:t>
            </w:r>
          </w:p>
        </w:tc>
        <w:tc>
          <w:tcPr>
            <w:tcW w:w="2378" w:type="dxa"/>
            <w:tcBorders>
              <w:right w:val="single" w:color="auto" w:sz="2"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油井修井作业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34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主要成分</w:t>
            </w:r>
          </w:p>
        </w:tc>
        <w:tc>
          <w:tcPr>
            <w:tcW w:w="28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油泥砂</w:t>
            </w:r>
          </w:p>
        </w:tc>
        <w:tc>
          <w:tcPr>
            <w:tcW w:w="253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油泥砂</w:t>
            </w:r>
          </w:p>
        </w:tc>
        <w:tc>
          <w:tcPr>
            <w:tcW w:w="2378" w:type="dxa"/>
            <w:tcBorders>
              <w:right w:val="single" w:color="auto" w:sz="2"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34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有害成分</w:t>
            </w:r>
          </w:p>
        </w:tc>
        <w:tc>
          <w:tcPr>
            <w:tcW w:w="28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253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2378" w:type="dxa"/>
            <w:tcBorders>
              <w:right w:val="single" w:color="auto" w:sz="2"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34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产废周期</w:t>
            </w:r>
          </w:p>
        </w:tc>
        <w:tc>
          <w:tcPr>
            <w:tcW w:w="28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油井作业</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次/1.5年，场站分离器清淤每年一次</w:t>
            </w:r>
          </w:p>
        </w:tc>
        <w:tc>
          <w:tcPr>
            <w:tcW w:w="253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万吨原油排泥砂0.3t</w:t>
            </w:r>
          </w:p>
        </w:tc>
        <w:tc>
          <w:tcPr>
            <w:tcW w:w="2378" w:type="dxa"/>
            <w:tcBorders>
              <w:right w:val="single" w:color="auto" w:sz="2"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油井作业</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次/1.5年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34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危险特性</w:t>
            </w:r>
          </w:p>
        </w:tc>
        <w:tc>
          <w:tcPr>
            <w:tcW w:w="28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I</w:t>
            </w:r>
          </w:p>
        </w:tc>
        <w:tc>
          <w:tcPr>
            <w:tcW w:w="253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I</w:t>
            </w:r>
          </w:p>
        </w:tc>
        <w:tc>
          <w:tcPr>
            <w:tcW w:w="2378" w:type="dxa"/>
            <w:tcBorders>
              <w:right w:val="single" w:color="auto" w:sz="2"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，I</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34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污染防治措施</w:t>
            </w:r>
          </w:p>
        </w:tc>
        <w:tc>
          <w:tcPr>
            <w:tcW w:w="28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送</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葡萄花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含油污泥处理站处理</w:t>
            </w:r>
          </w:p>
        </w:tc>
        <w:tc>
          <w:tcPr>
            <w:tcW w:w="253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送</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葡萄花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含油污泥处理站处理</w:t>
            </w:r>
          </w:p>
        </w:tc>
        <w:tc>
          <w:tcPr>
            <w:tcW w:w="2378" w:type="dxa"/>
            <w:tcBorders>
              <w:right w:val="single" w:color="auto" w:sz="2" w:space="0"/>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送至有资质单位进行处置</w:t>
            </w:r>
          </w:p>
        </w:tc>
      </w:tr>
    </w:tbl>
    <w:p>
      <w:pPr>
        <w:pStyle w:val="45"/>
        <w:tabs>
          <w:tab w:val="left" w:pos="930"/>
        </w:tabs>
        <w:spacing w:before="60" w:after="60" w:line="440" w:lineRule="exact"/>
        <w:ind w:left="0" w:firstLine="0"/>
        <w:jc w:val="both"/>
        <w:outlineLvl w:val="2"/>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3.4.7 污染物</w:t>
      </w:r>
      <w:r>
        <w:rPr>
          <w:rFonts w:hint="eastAsia" w:ascii="Times New Roman" w:hAnsi="Times New Roman" w:eastAsia="黑体" w:cs="Times New Roman"/>
          <w:b/>
          <w:bCs/>
          <w:color w:val="000000" w:themeColor="text1"/>
          <w:w w:val="99"/>
          <w:sz w:val="24"/>
          <w:szCs w:val="24"/>
          <w:highlight w:val="none"/>
          <w:lang w:val="en-US"/>
          <w14:textFill>
            <w14:solidFill>
              <w14:schemeClr w14:val="tx1"/>
            </w14:solidFill>
          </w14:textFill>
        </w:rPr>
        <w:t>产排</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情况及“三本帐”汇总</w:t>
      </w:r>
    </w:p>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3.4.4.1污染物产生及排放情况</w:t>
      </w:r>
    </w:p>
    <w:p>
      <w:pPr>
        <w:spacing w:line="500" w:lineRule="exact"/>
        <w:ind w:firstLine="474" w:firstLineChars="200"/>
        <w:jc w:val="both"/>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本项目</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施工期和运营期污染物产生及排放情况见表</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3.4</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-20</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36" w:firstLineChars="200"/>
        <w:jc w:val="both"/>
        <w:textAlignment w:val="auto"/>
        <w:rPr>
          <w:rFonts w:ascii="Times New Roman" w:cs="Times New Roman"/>
          <w:b/>
          <w:bCs/>
          <w:snapToGrid w:val="0"/>
          <w:color w:val="000000" w:themeColor="text1"/>
          <w:w w:val="99"/>
          <w:kern w:val="2"/>
          <w:highlight w:val="none"/>
          <w14:textFill>
            <w14:solidFill>
              <w14:schemeClr w14:val="tx1"/>
            </w14:solidFill>
          </w14:textFill>
        </w:rPr>
      </w:pPr>
      <w:r>
        <w:rPr>
          <w:rFonts w:hint="eastAsia" w:ascii="Times New Roman" w:cs="Times New Roman"/>
          <w:b/>
          <w:bCs/>
          <w:snapToGrid w:val="0"/>
          <w:color w:val="000000" w:themeColor="text1"/>
          <w:w w:val="99"/>
          <w:kern w:val="2"/>
          <w:highlight w:val="none"/>
          <w14:textFill>
            <w14:solidFill>
              <w14:schemeClr w14:val="tx1"/>
            </w14:solidFill>
          </w14:textFill>
        </w:rPr>
        <w:t>表3.4-</w:t>
      </w:r>
      <w:r>
        <w:rPr>
          <w:rFonts w:hint="eastAsia" w:ascii="Times New Roman" w:cs="Times New Roman"/>
          <w:b/>
          <w:bCs/>
          <w:snapToGrid w:val="0"/>
          <w:color w:val="000000" w:themeColor="text1"/>
          <w:w w:val="99"/>
          <w:kern w:val="2"/>
          <w:highlight w:val="none"/>
          <w:lang w:val="en-US" w:eastAsia="zh-CN"/>
          <w14:textFill>
            <w14:solidFill>
              <w14:schemeClr w14:val="tx1"/>
            </w14:solidFill>
          </w14:textFill>
        </w:rPr>
        <w:t>20</w:t>
      </w:r>
      <w:r>
        <w:rPr>
          <w:rFonts w:ascii="Times New Roman" w:cs="Times New Roman"/>
          <w:b/>
          <w:bCs/>
          <w:snapToGrid w:val="0"/>
          <w:color w:val="000000" w:themeColor="text1"/>
          <w:w w:val="99"/>
          <w:kern w:val="2"/>
          <w:highlight w:val="none"/>
          <w14:textFill>
            <w14:solidFill>
              <w14:schemeClr w14:val="tx1"/>
            </w14:solidFill>
          </w14:textFill>
        </w:rPr>
        <w:t xml:space="preserve">  </w:t>
      </w:r>
      <w:r>
        <w:rPr>
          <w:rFonts w:hint="eastAsia" w:ascii="Times New Roman" w:cs="Times New Roman"/>
          <w:b/>
          <w:bCs/>
          <w:snapToGrid w:val="0"/>
          <w:color w:val="000000" w:themeColor="text1"/>
          <w:w w:val="99"/>
          <w:kern w:val="2"/>
          <w:highlight w:val="none"/>
          <w14:textFill>
            <w14:solidFill>
              <w14:schemeClr w14:val="tx1"/>
            </w14:solidFill>
          </w14:textFill>
        </w:rPr>
        <w:t xml:space="preserve">      污染物</w:t>
      </w:r>
      <w:r>
        <w:rPr>
          <w:rFonts w:ascii="Times New Roman" w:cs="Times New Roman"/>
          <w:b/>
          <w:bCs/>
          <w:snapToGrid w:val="0"/>
          <w:color w:val="000000" w:themeColor="text1"/>
          <w:w w:val="99"/>
          <w:kern w:val="2"/>
          <w:highlight w:val="none"/>
          <w14:textFill>
            <w14:solidFill>
              <w14:schemeClr w14:val="tx1"/>
            </w14:solidFill>
          </w14:textFill>
        </w:rPr>
        <w:t>产生及排放情况一览表</w:t>
      </w:r>
    </w:p>
    <w:tbl>
      <w:tblPr>
        <w:tblStyle w:val="32"/>
        <w:tblW w:w="911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6"/>
        <w:gridCol w:w="816"/>
        <w:gridCol w:w="1550"/>
        <w:gridCol w:w="1583"/>
        <w:gridCol w:w="1067"/>
        <w:gridCol w:w="1183"/>
        <w:gridCol w:w="233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5" w:hRule="atLeast"/>
        </w:trPr>
        <w:tc>
          <w:tcPr>
            <w:tcW w:w="1402" w:type="dxa"/>
            <w:gridSpan w:val="2"/>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类别</w:t>
            </w:r>
          </w:p>
        </w:tc>
        <w:tc>
          <w:tcPr>
            <w:tcW w:w="1550"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污染源</w:t>
            </w:r>
          </w:p>
        </w:tc>
        <w:tc>
          <w:tcPr>
            <w:tcW w:w="1583"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w:t>
            </w:r>
          </w:p>
        </w:tc>
        <w:tc>
          <w:tcPr>
            <w:tcW w:w="1067"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产生量</w:t>
            </w:r>
          </w:p>
        </w:tc>
        <w:tc>
          <w:tcPr>
            <w:tcW w:w="1183"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排放量</w:t>
            </w:r>
          </w:p>
        </w:tc>
        <w:tc>
          <w:tcPr>
            <w:tcW w:w="2332"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处理措施</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及去向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5" w:hRule="atLeast"/>
        </w:trPr>
        <w:tc>
          <w:tcPr>
            <w:tcW w:w="586" w:type="dxa"/>
            <w:vMerge w:val="restart"/>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施工期</w:t>
            </w:r>
          </w:p>
        </w:tc>
        <w:tc>
          <w:tcPr>
            <w:tcW w:w="816"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废气</w:t>
            </w:r>
          </w:p>
        </w:tc>
        <w:tc>
          <w:tcPr>
            <w:tcW w:w="1550"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道路</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管线等施工</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现场</w:t>
            </w:r>
          </w:p>
        </w:tc>
        <w:tc>
          <w:tcPr>
            <w:tcW w:w="1583"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扬尘（颗粒物）</w:t>
            </w:r>
          </w:p>
        </w:tc>
        <w:tc>
          <w:tcPr>
            <w:tcW w:w="1067"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2.2t</w:t>
            </w:r>
          </w:p>
        </w:tc>
        <w:tc>
          <w:tcPr>
            <w:tcW w:w="1183"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2.2t</w:t>
            </w:r>
          </w:p>
        </w:tc>
        <w:tc>
          <w:tcPr>
            <w:tcW w:w="2332"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洒水抑尘</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、原料苫盖、无组织排放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4"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Merge w:val="restart"/>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废水</w:t>
            </w:r>
          </w:p>
        </w:tc>
        <w:tc>
          <w:tcPr>
            <w:tcW w:w="1550"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试压废水</w:t>
            </w:r>
          </w:p>
        </w:tc>
        <w:tc>
          <w:tcPr>
            <w:tcW w:w="1583"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67"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45.03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w:t>
            </w:r>
          </w:p>
        </w:tc>
        <w:tc>
          <w:tcPr>
            <w:tcW w:w="1183"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2332"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由罐车</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收集拉运至葡二联含油污水处理站处理后回注，不外排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4"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Merge w:val="continue"/>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生活污水</w:t>
            </w:r>
          </w:p>
        </w:tc>
        <w:tc>
          <w:tcPr>
            <w:tcW w:w="15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COD、NH</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w:t>
            </w:r>
          </w:p>
        </w:tc>
        <w:tc>
          <w:tcPr>
            <w:tcW w:w="1067"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76.8t</w:t>
            </w:r>
          </w:p>
        </w:tc>
        <w:tc>
          <w:tcPr>
            <w:tcW w:w="11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2332"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施工人员产生的生活污水</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排入施工现场附近</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阀组间内已建防渗旱厕</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，定期进行清掏堆肥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4"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Merge w:val="restart"/>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固废</w:t>
            </w: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施工废料</w:t>
            </w:r>
          </w:p>
        </w:tc>
        <w:tc>
          <w:tcPr>
            <w:tcW w:w="15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废泡沫</w:t>
            </w:r>
          </w:p>
        </w:tc>
        <w:tc>
          <w:tcPr>
            <w:tcW w:w="1067"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0.094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w:t>
            </w:r>
          </w:p>
        </w:tc>
        <w:tc>
          <w:tcPr>
            <w:tcW w:w="1183" w:type="dxa"/>
            <w:vAlign w:val="center"/>
          </w:tcPr>
          <w:p>
            <w:pPr>
              <w:autoSpaceDE/>
              <w:autoSpaceDN/>
              <w:spacing w:line="360" w:lineRule="auto"/>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2332"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统一回收后送至第</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七</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采油厂工业固废填埋场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4"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Merge w:val="continue"/>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生活垃圾</w:t>
            </w:r>
          </w:p>
        </w:tc>
        <w:tc>
          <w:tcPr>
            <w:tcW w:w="1583"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生活垃圾</w:t>
            </w:r>
          </w:p>
        </w:tc>
        <w:tc>
          <w:tcPr>
            <w:tcW w:w="1067"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0.6t</w:t>
            </w:r>
          </w:p>
        </w:tc>
        <w:tc>
          <w:tcPr>
            <w:tcW w:w="11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0.6t</w:t>
            </w:r>
          </w:p>
        </w:tc>
        <w:tc>
          <w:tcPr>
            <w:tcW w:w="2332"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由环卫部门拉运至大庆市生活垃圾综合处理厂进行处理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4"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噪声</w:t>
            </w: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施工机械</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运输</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车辆等</w:t>
            </w:r>
          </w:p>
        </w:tc>
        <w:tc>
          <w:tcPr>
            <w:tcW w:w="1583"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施工机械</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运输</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车辆等</w:t>
            </w:r>
          </w:p>
        </w:tc>
        <w:tc>
          <w:tcPr>
            <w:tcW w:w="1067"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60～90dB(A)</w:t>
            </w:r>
          </w:p>
        </w:tc>
        <w:tc>
          <w:tcPr>
            <w:tcW w:w="11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＜65dB(A)</w:t>
            </w:r>
          </w:p>
        </w:tc>
        <w:tc>
          <w:tcPr>
            <w:tcW w:w="2332"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使用</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低噪声机械设备、合理布局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5" w:hRule="atLeast"/>
        </w:trPr>
        <w:tc>
          <w:tcPr>
            <w:tcW w:w="586" w:type="dxa"/>
            <w:vMerge w:val="restart"/>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运营期</w:t>
            </w:r>
          </w:p>
        </w:tc>
        <w:tc>
          <w:tcPr>
            <w:tcW w:w="816" w:type="dxa"/>
            <w:vMerge w:val="restart"/>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废气</w:t>
            </w: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、场站等</w:t>
            </w:r>
          </w:p>
        </w:tc>
        <w:tc>
          <w:tcPr>
            <w:tcW w:w="1583"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非甲烷总烃</w:t>
            </w:r>
          </w:p>
        </w:tc>
        <w:tc>
          <w:tcPr>
            <w:tcW w:w="1067"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24.24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183"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24.24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2332"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color w:val="000000" w:themeColor="text1"/>
                <w:w w:val="99"/>
                <w:kern w:val="2"/>
                <w:sz w:val="21"/>
                <w:szCs w:val="21"/>
                <w:highlight w:val="none"/>
                <w:lang w:val="en-US" w:bidi="ar-SA"/>
                <w14:textFill>
                  <w14:solidFill>
                    <w14:schemeClr w14:val="tx1"/>
                  </w14:solidFill>
                </w14:textFill>
              </w:rPr>
              <w:t>油气</w:t>
            </w:r>
            <w:r>
              <w:rPr>
                <w:color w:val="000000" w:themeColor="text1"/>
                <w:w w:val="99"/>
                <w:kern w:val="2"/>
                <w:sz w:val="21"/>
                <w:szCs w:val="21"/>
                <w:highlight w:val="none"/>
                <w:lang w:val="en-US" w:bidi="ar-SA"/>
                <w14:textFill>
                  <w14:solidFill>
                    <w14:schemeClr w14:val="tx1"/>
                  </w14:solidFill>
                </w14:textFill>
              </w:rPr>
              <w:t>密闭集输，</w:t>
            </w:r>
            <w:r>
              <w:rPr>
                <w:rFonts w:hint="eastAsia"/>
                <w:color w:val="000000" w:themeColor="text1"/>
                <w:w w:val="99"/>
                <w:kern w:val="2"/>
                <w:sz w:val="21"/>
                <w:szCs w:val="21"/>
                <w:highlight w:val="none"/>
                <w:lang w:val="en-US" w:bidi="ar-SA"/>
                <w14:textFill>
                  <w14:solidFill>
                    <w14:schemeClr w14:val="tx1"/>
                  </w14:solidFill>
                </w14:textFill>
              </w:rPr>
              <w:t>井场</w:t>
            </w:r>
            <w:r>
              <w:rPr>
                <w:color w:val="000000" w:themeColor="text1"/>
                <w:w w:val="99"/>
                <w:kern w:val="2"/>
                <w:sz w:val="21"/>
                <w:szCs w:val="21"/>
                <w:highlight w:val="none"/>
                <w:lang w:val="en-US" w:bidi="ar-SA"/>
                <w14:textFill>
                  <w14:solidFill>
                    <w14:schemeClr w14:val="tx1"/>
                  </w14:solidFill>
                </w14:textFill>
              </w:rPr>
              <w:t>和场站无组织挥发非甲烷总烃排入大气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5" w:hRule="atLeast"/>
        </w:trPr>
        <w:tc>
          <w:tcPr>
            <w:tcW w:w="586" w:type="dxa"/>
            <w:vMerge w:val="continue"/>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816" w:type="dxa"/>
            <w:vMerge w:val="continue"/>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1550" w:type="dxa"/>
            <w:vMerge w:val="restart"/>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场站</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加热炉</w:t>
            </w:r>
          </w:p>
        </w:tc>
        <w:tc>
          <w:tcPr>
            <w:tcW w:w="1583"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颗粒物</w:t>
            </w:r>
          </w:p>
        </w:tc>
        <w:tc>
          <w:tcPr>
            <w:tcW w:w="1067"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0.0291</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183"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0.0291</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2332" w:type="dxa"/>
            <w:vMerge w:val="restart"/>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color w:val="000000" w:themeColor="text1"/>
                <w:w w:val="99"/>
                <w:kern w:val="2"/>
                <w:sz w:val="21"/>
                <w:szCs w:val="21"/>
                <w:highlight w:val="none"/>
                <w:lang w:val="en-US" w:bidi="ar-SA"/>
                <w14:textFill>
                  <w14:solidFill>
                    <w14:schemeClr w14:val="tx1"/>
                  </w14:solidFill>
                </w14:textFill>
              </w:rPr>
              <w:t>经</w:t>
            </w:r>
            <w:r>
              <w:rPr>
                <w:color w:val="000000" w:themeColor="text1"/>
                <w:w w:val="99"/>
                <w:kern w:val="2"/>
                <w:sz w:val="21"/>
                <w:szCs w:val="21"/>
                <w:highlight w:val="none"/>
                <w:lang w:val="en-US" w:bidi="ar-SA"/>
                <w14:textFill>
                  <w14:solidFill>
                    <w14:schemeClr w14:val="tx1"/>
                  </w14:solidFill>
                </w14:textFill>
              </w:rPr>
              <w:t>加热炉</w:t>
            </w:r>
            <w:r>
              <w:rPr>
                <w:rFonts w:hint="eastAsia"/>
                <w:color w:val="000000" w:themeColor="text1"/>
                <w:w w:val="99"/>
                <w:kern w:val="2"/>
                <w:sz w:val="21"/>
                <w:szCs w:val="21"/>
                <w:highlight w:val="none"/>
                <w:lang w:val="en-US" w:bidi="ar-SA"/>
                <w14:textFill>
                  <w14:solidFill>
                    <w14:schemeClr w14:val="tx1"/>
                  </w14:solidFill>
                </w14:textFill>
              </w:rPr>
              <w:t>8</w:t>
            </w:r>
            <w:r>
              <w:rPr>
                <w:color w:val="000000" w:themeColor="text1"/>
                <w:w w:val="99"/>
                <w:kern w:val="2"/>
                <w:sz w:val="21"/>
                <w:szCs w:val="21"/>
                <w:highlight w:val="none"/>
                <w:lang w:val="en-US" w:bidi="ar-SA"/>
                <w14:textFill>
                  <w14:solidFill>
                    <w14:schemeClr w14:val="tx1"/>
                  </w14:solidFill>
                </w14:textFill>
              </w:rPr>
              <w:t>m以上排气筒</w:t>
            </w:r>
            <w:r>
              <w:rPr>
                <w:rFonts w:hint="eastAsia"/>
                <w:color w:val="000000" w:themeColor="text1"/>
                <w:w w:val="99"/>
                <w:kern w:val="2"/>
                <w:sz w:val="21"/>
                <w:szCs w:val="21"/>
                <w:highlight w:val="none"/>
                <w:lang w:val="en-US" w:bidi="ar-SA"/>
                <w14:textFill>
                  <w14:solidFill>
                    <w14:schemeClr w14:val="tx1"/>
                  </w14:solidFill>
                </w14:textFill>
              </w:rPr>
              <w:t>达标</w:t>
            </w:r>
            <w:r>
              <w:rPr>
                <w:color w:val="000000" w:themeColor="text1"/>
                <w:w w:val="99"/>
                <w:kern w:val="2"/>
                <w:sz w:val="21"/>
                <w:szCs w:val="21"/>
                <w:highlight w:val="none"/>
                <w:lang w:val="en-US" w:bidi="ar-SA"/>
                <w14:textFill>
                  <w14:solidFill>
                    <w14:schemeClr w14:val="tx1"/>
                  </w14:solidFill>
                </w14:textFill>
              </w:rPr>
              <w:t>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5" w:hRule="atLeast"/>
        </w:trPr>
        <w:tc>
          <w:tcPr>
            <w:tcW w:w="586" w:type="dxa"/>
            <w:vMerge w:val="continue"/>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816" w:type="dxa"/>
            <w:vMerge w:val="continue"/>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1550"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83"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hint="eastAsia"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p>
        </w:tc>
        <w:tc>
          <w:tcPr>
            <w:tcW w:w="1067"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0.0464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183"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0.0464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2332" w:type="dxa"/>
            <w:vMerge w:val="continue"/>
            <w:vAlign w:val="center"/>
          </w:tcPr>
          <w:p>
            <w:pPr>
              <w:autoSpaceDE/>
              <w:autoSpaceDN/>
              <w:spacing w:line="320" w:lineRule="exact"/>
              <w:jc w:val="center"/>
              <w:rPr>
                <w:color w:val="000000" w:themeColor="text1"/>
                <w:w w:val="99"/>
                <w:kern w:val="2"/>
                <w:sz w:val="21"/>
                <w:szCs w:val="21"/>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5" w:hRule="atLeast"/>
        </w:trPr>
        <w:tc>
          <w:tcPr>
            <w:tcW w:w="586" w:type="dxa"/>
            <w:vMerge w:val="continue"/>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816" w:type="dxa"/>
            <w:vMerge w:val="continue"/>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1550"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83"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NO</w:t>
            </w:r>
            <w:r>
              <w:rPr>
                <w:rFonts w:hint="eastAsia"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X</w:t>
            </w:r>
          </w:p>
        </w:tc>
        <w:tc>
          <w:tcPr>
            <w:tcW w:w="1067"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0.2106</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183"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0.2106</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2332" w:type="dxa"/>
            <w:vMerge w:val="continue"/>
            <w:vAlign w:val="center"/>
          </w:tcPr>
          <w:p>
            <w:pPr>
              <w:autoSpaceDE/>
              <w:autoSpaceDN/>
              <w:spacing w:line="320" w:lineRule="exact"/>
              <w:jc w:val="center"/>
              <w:rPr>
                <w:color w:val="000000" w:themeColor="text1"/>
                <w:w w:val="99"/>
                <w:kern w:val="2"/>
                <w:sz w:val="21"/>
                <w:szCs w:val="21"/>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4"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Merge w:val="restart"/>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废水</w:t>
            </w: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油田采出水</w:t>
            </w:r>
          </w:p>
        </w:tc>
        <w:tc>
          <w:tcPr>
            <w:tcW w:w="1583" w:type="dxa"/>
            <w:vAlign w:val="center"/>
          </w:tcPr>
          <w:p>
            <w:pPr>
              <w:autoSpaceDE/>
              <w:autoSpaceDN/>
              <w:jc w:val="center"/>
              <w:rPr>
                <w:rFonts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1067" w:type="dxa"/>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160400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183" w:type="dxa"/>
            <w:vAlign w:val="center"/>
          </w:tcPr>
          <w:p>
            <w:pPr>
              <w:autoSpaceDE/>
              <w:autoSpaceDN/>
              <w:jc w:val="center"/>
              <w:rPr>
                <w:rFonts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0</w:t>
            </w:r>
          </w:p>
        </w:tc>
        <w:tc>
          <w:tcPr>
            <w:tcW w:w="2332" w:type="dxa"/>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输送至</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葡二联含油</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污水站</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处理后</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回注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4"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作业</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废水</w:t>
            </w:r>
          </w:p>
        </w:tc>
        <w:tc>
          <w:tcPr>
            <w:tcW w:w="1583" w:type="dxa"/>
            <w:vAlign w:val="center"/>
          </w:tcPr>
          <w:p>
            <w:pPr>
              <w:autoSpaceDE/>
              <w:autoSpaceDN/>
              <w:jc w:val="center"/>
              <w:rPr>
                <w:rFonts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1067" w:type="dxa"/>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56</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183" w:type="dxa"/>
            <w:vAlign w:val="center"/>
          </w:tcPr>
          <w:p>
            <w:pPr>
              <w:autoSpaceDE/>
              <w:autoSpaceDN/>
              <w:jc w:val="center"/>
              <w:rPr>
                <w:rFonts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0</w:t>
            </w:r>
          </w:p>
        </w:tc>
        <w:tc>
          <w:tcPr>
            <w:tcW w:w="2332" w:type="dxa"/>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罐车</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拉运</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至葡二联含油</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污水站</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处理后</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回注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4"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清防蜡</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废水</w:t>
            </w:r>
          </w:p>
        </w:tc>
        <w:tc>
          <w:tcPr>
            <w:tcW w:w="1583" w:type="dxa"/>
            <w:vAlign w:val="center"/>
          </w:tcPr>
          <w:p>
            <w:pPr>
              <w:autoSpaceDE/>
              <w:autoSpaceDN/>
              <w:jc w:val="center"/>
              <w:rPr>
                <w:rFonts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1067" w:type="dxa"/>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2665.4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 t/a </w:t>
            </w:r>
          </w:p>
        </w:tc>
        <w:tc>
          <w:tcPr>
            <w:tcW w:w="1183" w:type="dxa"/>
            <w:vAlign w:val="center"/>
          </w:tcPr>
          <w:p>
            <w:pPr>
              <w:autoSpaceDE/>
              <w:autoSpaceDN/>
              <w:jc w:val="center"/>
              <w:rPr>
                <w:rFonts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0</w:t>
            </w:r>
          </w:p>
        </w:tc>
        <w:tc>
          <w:tcPr>
            <w:tcW w:w="2332" w:type="dxa"/>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输送至</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葡二联含油</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污水站</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、处理后</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回注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5"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Merge w:val="restart"/>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固废</w:t>
            </w:r>
          </w:p>
        </w:tc>
        <w:tc>
          <w:tcPr>
            <w:tcW w:w="1550" w:type="dxa"/>
            <w:vAlign w:val="center"/>
          </w:tcPr>
          <w:p>
            <w:pPr>
              <w:keepNext/>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油井井场</w:t>
            </w:r>
          </w:p>
        </w:tc>
        <w:tc>
          <w:tcPr>
            <w:tcW w:w="15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落地油</w:t>
            </w:r>
          </w:p>
        </w:tc>
        <w:tc>
          <w:tcPr>
            <w:tcW w:w="1067"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0.7t/a</w:t>
            </w:r>
          </w:p>
        </w:tc>
        <w:tc>
          <w:tcPr>
            <w:tcW w:w="11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2332" w:type="dxa"/>
            <w:vMerge w:val="restart"/>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ascii="Times New Roman" w:hAnsi="Times New Roman" w:cs="Times New Roman"/>
                <w:color w:val="000000" w:themeColor="text1"/>
                <w:w w:val="99"/>
                <w:kern w:val="2"/>
                <w:sz w:val="21"/>
                <w:szCs w:val="18"/>
                <w:highlight w:val="none"/>
                <w:lang w:val="en-US" w:bidi="ar-SA"/>
                <w14:textFill>
                  <w14:solidFill>
                    <w14:schemeClr w14:val="tx1"/>
                  </w14:solidFill>
                </w14:textFill>
              </w:rPr>
              <w:t>送</w:t>
            </w:r>
            <w:r>
              <w:rPr>
                <w:rFonts w:hint="eastAsia" w:ascii="Times New Roman" w:hAnsi="Times New Roman" w:cs="Times New Roman"/>
                <w:color w:val="000000" w:themeColor="text1"/>
                <w:w w:val="99"/>
                <w:kern w:val="2"/>
                <w:sz w:val="21"/>
                <w:szCs w:val="18"/>
                <w:highlight w:val="none"/>
                <w:lang w:val="en-US" w:bidi="ar-SA"/>
                <w14:textFill>
                  <w14:solidFill>
                    <w14:schemeClr w14:val="tx1"/>
                  </w14:solidFill>
                </w14:textFill>
              </w:rPr>
              <w:t>葡萄花</w:t>
            </w:r>
            <w:r>
              <w:rPr>
                <w:rFonts w:ascii="Times New Roman" w:hAnsi="Times New Roman" w:cs="Times New Roman"/>
                <w:color w:val="000000" w:themeColor="text1"/>
                <w:w w:val="99"/>
                <w:kern w:val="2"/>
                <w:sz w:val="21"/>
                <w:szCs w:val="18"/>
                <w:highlight w:val="none"/>
                <w:lang w:val="en-US" w:bidi="ar-SA"/>
                <w14:textFill>
                  <w14:solidFill>
                    <w14:schemeClr w14:val="tx1"/>
                  </w14:solidFill>
                </w14:textFill>
              </w:rPr>
              <w:t>含油污泥处理站处理</w:t>
            </w:r>
            <w:r>
              <w:rPr>
                <w:rFonts w:hint="eastAsia" w:ascii="Times New Roman" w:hAnsi="Times New Roman" w:cs="Times New Roman"/>
                <w:color w:val="000000" w:themeColor="text1"/>
                <w:w w:val="99"/>
                <w:kern w:val="2"/>
                <w:sz w:val="21"/>
                <w:szCs w:val="18"/>
                <w:highlight w:val="none"/>
                <w:lang w:val="en-US" w:bidi="ar-SA"/>
                <w14:textFill>
                  <w14:solidFill>
                    <w14:schemeClr w14:val="tx1"/>
                  </w14:solidFill>
                </w14:textFill>
              </w:rPr>
              <w:t>后用于</w:t>
            </w:r>
            <w:r>
              <w:rPr>
                <w:rFonts w:ascii="Times New Roman" w:hAnsi="Times New Roman" w:cs="Times New Roman"/>
                <w:color w:val="000000" w:themeColor="text1"/>
                <w:w w:val="99"/>
                <w:kern w:val="2"/>
                <w:sz w:val="21"/>
                <w:szCs w:val="18"/>
                <w:highlight w:val="none"/>
                <w:lang w:val="en-US" w:bidi="ar-SA"/>
                <w14:textFill>
                  <w14:solidFill>
                    <w14:schemeClr w14:val="tx1"/>
                  </w14:solidFill>
                </w14:textFill>
              </w:rPr>
              <w:t>铺垫井排路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5"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Merge w:val="continue"/>
            <w:vAlign w:val="center"/>
          </w:tcPr>
          <w:p>
            <w:pPr>
              <w:autoSpaceDE/>
              <w:autoSpaceDN/>
              <w:spacing w:line="320" w:lineRule="exact"/>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井场、油气处理设备</w:t>
            </w:r>
          </w:p>
        </w:tc>
        <w:tc>
          <w:tcPr>
            <w:tcW w:w="1583" w:type="dxa"/>
            <w:vAlign w:val="center"/>
          </w:tcPr>
          <w:p>
            <w:pPr>
              <w:keepNext/>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含油污泥</w:t>
            </w:r>
          </w:p>
        </w:tc>
        <w:tc>
          <w:tcPr>
            <w:tcW w:w="1067"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0.513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1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2332" w:type="dxa"/>
            <w:vMerge w:val="continue"/>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5"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油井作业</w:t>
            </w:r>
          </w:p>
        </w:tc>
        <w:tc>
          <w:tcPr>
            <w:tcW w:w="15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含油防渗布</w:t>
            </w:r>
          </w:p>
        </w:tc>
        <w:tc>
          <w:tcPr>
            <w:tcW w:w="1067"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0.35t/a</w:t>
            </w:r>
          </w:p>
        </w:tc>
        <w:tc>
          <w:tcPr>
            <w:tcW w:w="11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2332"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委托资质单位拉运处理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4" w:hRule="atLeast"/>
        </w:trPr>
        <w:tc>
          <w:tcPr>
            <w:tcW w:w="586" w:type="dxa"/>
            <w:vMerge w:val="continue"/>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 w:type="dxa"/>
            <w:vAlign w:val="center"/>
          </w:tcPr>
          <w:p>
            <w:pPr>
              <w:autoSpaceDE/>
              <w:autoSpaceDN/>
              <w:spacing w:line="32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噪声</w:t>
            </w:r>
          </w:p>
        </w:tc>
        <w:tc>
          <w:tcPr>
            <w:tcW w:w="1550"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井场抽油机</w:t>
            </w:r>
          </w:p>
        </w:tc>
        <w:tc>
          <w:tcPr>
            <w:tcW w:w="2650" w:type="dxa"/>
            <w:gridSpan w:val="2"/>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65～75dB(A)</w:t>
            </w:r>
          </w:p>
        </w:tc>
        <w:tc>
          <w:tcPr>
            <w:tcW w:w="1183"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＜75dB(A)</w:t>
            </w:r>
          </w:p>
        </w:tc>
        <w:tc>
          <w:tcPr>
            <w:tcW w:w="2332" w:type="dxa"/>
            <w:vAlign w:val="center"/>
          </w:tcPr>
          <w:p>
            <w:pPr>
              <w:autoSpaceDE/>
              <w:autoSpaceDN/>
              <w:spacing w:line="32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低噪声设备</w:t>
            </w:r>
          </w:p>
        </w:tc>
      </w:tr>
    </w:tbl>
    <w:p>
      <w:pPr>
        <w:spacing w:line="440" w:lineRule="exact"/>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3.4.4.2污染物“三本账”核算</w:t>
      </w:r>
    </w:p>
    <w:p>
      <w:pPr>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由于本项目施工期产生的各种污染物将随施工活动的结束而消失，</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本项目</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运营期废水</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和</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固体废物不排入外环境，因此本次评价只对运行期</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大气</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污染物排放情况进行核定。</w:t>
      </w:r>
      <w:r>
        <w:rPr>
          <w:rFonts w:hint="eastAsia" w:ascii="Times New Roman" w:hAnsi="Times New Roman" w:cs="Times New Roman"/>
          <w:bCs/>
          <w:color w:val="000000" w:themeColor="text1"/>
          <w:w w:val="99"/>
          <w:kern w:val="2"/>
          <w:sz w:val="24"/>
          <w:szCs w:val="21"/>
          <w:highlight w:val="none"/>
          <w:lang w:val="en-US" w:bidi="ar-SA"/>
          <w14:textFill>
            <w14:solidFill>
              <w14:schemeClr w14:val="tx1"/>
            </w14:solidFill>
          </w14:textFill>
        </w:rPr>
        <w:t>具体内容</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见表3.4-2</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1</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spacing w:line="440" w:lineRule="exact"/>
        <w:ind w:firstLine="476" w:firstLineChars="200"/>
        <w:jc w:val="both"/>
        <w:rPr>
          <w:rFonts w:ascii="Times New Roman" w:hAnsi="Times New Roman" w:cs="Times New Roman"/>
          <w:b/>
          <w:bCs/>
          <w:snapToGrid w:val="0"/>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表3.4-2</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1</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snapToGrid w:val="0"/>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snapToGrid w:val="0"/>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snapToGrid w:val="0"/>
          <w:color w:val="000000" w:themeColor="text1"/>
          <w:w w:val="99"/>
          <w:kern w:val="2"/>
          <w:sz w:val="24"/>
          <w:szCs w:val="24"/>
          <w:highlight w:val="none"/>
          <w:lang w:val="en-US" w:bidi="ar-SA"/>
          <w14:textFill>
            <w14:solidFill>
              <w14:schemeClr w14:val="tx1"/>
            </w14:solidFill>
          </w14:textFill>
        </w:rPr>
        <w:t xml:space="preserve">项目污染物排放“三本账” </w:t>
      </w:r>
      <w:r>
        <w:rPr>
          <w:rFonts w:hint="eastAsia" w:ascii="Times New Roman" w:hAnsi="Times New Roman" w:cs="Times New Roman"/>
          <w:b/>
          <w:bCs/>
          <w:snapToGrid w:val="0"/>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snapToGrid w:val="0"/>
          <w:color w:val="000000" w:themeColor="text1"/>
          <w:w w:val="99"/>
          <w:kern w:val="2"/>
          <w:sz w:val="24"/>
          <w:szCs w:val="24"/>
          <w:highlight w:val="none"/>
          <w:lang w:val="en-US" w:bidi="ar-SA"/>
          <w14:textFill>
            <w14:solidFill>
              <w14:schemeClr w14:val="tx1"/>
            </w14:solidFill>
          </w14:textFill>
        </w:rPr>
        <w:t xml:space="preserve">     单位：t/a</w:t>
      </w:r>
    </w:p>
    <w:tbl>
      <w:tblPr>
        <w:tblStyle w:val="32"/>
        <w:tblW w:w="498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09"/>
        <w:gridCol w:w="1503"/>
        <w:gridCol w:w="2124"/>
        <w:gridCol w:w="1890"/>
        <w:gridCol w:w="1160"/>
        <w:gridCol w:w="12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7" w:type="pct"/>
            <w:vAlign w:val="center"/>
          </w:tcPr>
          <w:p>
            <w:pPr>
              <w:widowControl/>
              <w:autoSpaceDE/>
              <w:autoSpaceDN/>
              <w:adjustRightInd w:val="0"/>
              <w:snapToGri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名称</w:t>
            </w:r>
          </w:p>
        </w:tc>
        <w:tc>
          <w:tcPr>
            <w:tcW w:w="811" w:type="pct"/>
            <w:vAlign w:val="center"/>
          </w:tcPr>
          <w:p>
            <w:pPr>
              <w:widowControl/>
              <w:autoSpaceDE/>
              <w:autoSpaceDN/>
              <w:adjustRightInd w:val="0"/>
              <w:snapToGri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现有</w:t>
            </w:r>
          </w:p>
          <w:p>
            <w:pPr>
              <w:widowControl/>
              <w:autoSpaceDE/>
              <w:autoSpaceDN/>
              <w:adjustRightInd w:val="0"/>
              <w:snapToGri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工程排放量</w:t>
            </w:r>
          </w:p>
        </w:tc>
        <w:tc>
          <w:tcPr>
            <w:tcW w:w="1146" w:type="pct"/>
            <w:vAlign w:val="center"/>
          </w:tcPr>
          <w:p>
            <w:pPr>
              <w:widowControl/>
              <w:autoSpaceDE/>
              <w:autoSpaceDN/>
              <w:adjustRightInd w:val="0"/>
              <w:snapToGri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本</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工程</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分担</w:t>
            </w:r>
            <w:r>
              <w:rPr>
                <w:rFonts w:ascii="Times New Roman" w:hAnsi="Times New Roman" w:cs="Times New Roman"/>
                <w:color w:val="000000" w:themeColor="text1"/>
                <w:w w:val="99"/>
                <w:sz w:val="21"/>
                <w:szCs w:val="21"/>
                <w:highlight w:val="none"/>
                <w:lang w:val="en-US" w:bidi="ar-SA"/>
                <w14:textFill>
                  <w14:solidFill>
                    <w14:schemeClr w14:val="tx1"/>
                  </w14:solidFill>
                </w14:textFill>
              </w:rPr>
              <w:t>量</w:t>
            </w:r>
          </w:p>
        </w:tc>
        <w:tc>
          <w:tcPr>
            <w:tcW w:w="1020" w:type="pct"/>
            <w:vAlign w:val="center"/>
          </w:tcPr>
          <w:p>
            <w:pPr>
              <w:widowControl/>
              <w:autoSpaceDE/>
              <w:autoSpaceDN/>
              <w:adjustRightInd w:val="0"/>
              <w:snapToGri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以新带老削减量</w:t>
            </w:r>
          </w:p>
        </w:tc>
        <w:tc>
          <w:tcPr>
            <w:tcW w:w="626" w:type="pct"/>
            <w:vAlign w:val="center"/>
          </w:tcPr>
          <w:p>
            <w:pPr>
              <w:widowControl/>
              <w:autoSpaceDE/>
              <w:autoSpaceDN/>
              <w:adjustRightInd w:val="0"/>
              <w:snapToGrid w:val="0"/>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排放总量</w:t>
            </w:r>
          </w:p>
        </w:tc>
        <w:tc>
          <w:tcPr>
            <w:tcW w:w="690" w:type="pct"/>
            <w:vAlign w:val="center"/>
          </w:tcPr>
          <w:p>
            <w:pPr>
              <w:widowControl/>
              <w:autoSpaceDE/>
              <w:autoSpaceDN/>
              <w:adjustRightInd w:val="0"/>
              <w:snapToGri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分担</w:t>
            </w:r>
            <w:r>
              <w:rPr>
                <w:rFonts w:ascii="Times New Roman" w:hAnsi="Times New Roman" w:cs="Times New Roman"/>
                <w:color w:val="000000" w:themeColor="text1"/>
                <w:w w:val="99"/>
                <w:sz w:val="21"/>
                <w:szCs w:val="21"/>
                <w:highlight w:val="none"/>
                <w:lang w:val="en-US" w:bidi="ar-SA"/>
                <w14:textFill>
                  <w14:solidFill>
                    <w14:schemeClr w14:val="tx1"/>
                  </w14:solidFill>
                </w14:textFill>
              </w:rPr>
              <w:t>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7" w:type="pct"/>
            <w:vAlign w:val="center"/>
          </w:tcPr>
          <w:p>
            <w:pPr>
              <w:widowControl/>
              <w:autoSpaceDE/>
              <w:autoSpaceDN/>
              <w:adjustRightInd w:val="0"/>
              <w:snapToGri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颗粒物</w:t>
            </w:r>
          </w:p>
        </w:tc>
        <w:tc>
          <w:tcPr>
            <w:tcW w:w="811" w:type="pct"/>
            <w:vAlign w:val="center"/>
          </w:tcPr>
          <w:p>
            <w:pPr>
              <w:widowControl/>
              <w:autoSpaceDE/>
              <w:autoSpaceDN/>
              <w:jc w:val="center"/>
              <w:textAlignment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0.60</w:t>
            </w:r>
          </w:p>
        </w:tc>
        <w:tc>
          <w:tcPr>
            <w:tcW w:w="1146" w:type="pct"/>
            <w:vAlign w:val="center"/>
          </w:tcPr>
          <w:p>
            <w:pPr>
              <w:widowControl/>
              <w:autoSpaceDE/>
              <w:autoSpaceDN/>
              <w:snapToGrid w:val="0"/>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0.0291</w:t>
            </w:r>
          </w:p>
        </w:tc>
        <w:tc>
          <w:tcPr>
            <w:tcW w:w="1020" w:type="pct"/>
            <w:vAlign w:val="center"/>
          </w:tcPr>
          <w:p>
            <w:pPr>
              <w:widowControl/>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0</w:t>
            </w:r>
          </w:p>
        </w:tc>
        <w:tc>
          <w:tcPr>
            <w:tcW w:w="626" w:type="pct"/>
            <w:vAlign w:val="center"/>
          </w:tcPr>
          <w:p>
            <w:pPr>
              <w:widowControl/>
              <w:autoSpaceDE/>
              <w:autoSpaceDN/>
              <w:jc w:val="center"/>
              <w:textAlignment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0.6291</w:t>
            </w:r>
          </w:p>
        </w:tc>
        <w:tc>
          <w:tcPr>
            <w:tcW w:w="690" w:type="pct"/>
            <w:vAlign w:val="center"/>
          </w:tcPr>
          <w:p>
            <w:pPr>
              <w:widowControl/>
              <w:autoSpaceDE/>
              <w:autoSpaceDN/>
              <w:snapToGrid w:val="0"/>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0.0291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7" w:type="pct"/>
            <w:vAlign w:val="center"/>
          </w:tcPr>
          <w:p>
            <w:pPr>
              <w:widowControl/>
              <w:autoSpaceDE/>
              <w:autoSpaceDN/>
              <w:adjustRightInd w:val="0"/>
              <w:snapToGri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sz w:val="21"/>
                <w:szCs w:val="21"/>
                <w:highlight w:val="none"/>
                <w:vertAlign w:val="subscript"/>
                <w:lang w:val="en-US" w:bidi="ar-SA"/>
                <w14:textFill>
                  <w14:solidFill>
                    <w14:schemeClr w14:val="tx1"/>
                  </w14:solidFill>
                </w14:textFill>
              </w:rPr>
              <w:t>2</w:t>
            </w:r>
          </w:p>
        </w:tc>
        <w:tc>
          <w:tcPr>
            <w:tcW w:w="811" w:type="pct"/>
            <w:vAlign w:val="center"/>
          </w:tcPr>
          <w:p>
            <w:pPr>
              <w:widowControl/>
              <w:autoSpaceDE/>
              <w:autoSpaceDN/>
              <w:snapToGrid w:val="0"/>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0.95</w:t>
            </w:r>
          </w:p>
        </w:tc>
        <w:tc>
          <w:tcPr>
            <w:tcW w:w="1146" w:type="pct"/>
            <w:vAlign w:val="center"/>
          </w:tcPr>
          <w:p>
            <w:pPr>
              <w:widowControl/>
              <w:autoSpaceDE/>
              <w:autoSpaceDN/>
              <w:snapToGrid w:val="0"/>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0.0464</w:t>
            </w:r>
          </w:p>
        </w:tc>
        <w:tc>
          <w:tcPr>
            <w:tcW w:w="1020" w:type="pct"/>
            <w:vAlign w:val="center"/>
          </w:tcPr>
          <w:p>
            <w:pPr>
              <w:widowControl/>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0</w:t>
            </w:r>
          </w:p>
        </w:tc>
        <w:tc>
          <w:tcPr>
            <w:tcW w:w="626" w:type="pct"/>
            <w:vAlign w:val="center"/>
          </w:tcPr>
          <w:p>
            <w:pPr>
              <w:widowControl/>
              <w:autoSpaceDE/>
              <w:autoSpaceDN/>
              <w:snapToGrid w:val="0"/>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0.9964</w:t>
            </w:r>
          </w:p>
        </w:tc>
        <w:tc>
          <w:tcPr>
            <w:tcW w:w="690" w:type="pct"/>
            <w:vAlign w:val="center"/>
          </w:tcPr>
          <w:p>
            <w:pPr>
              <w:widowControl/>
              <w:autoSpaceDE/>
              <w:autoSpaceDN/>
              <w:snapToGrid w:val="0"/>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0.0464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7" w:type="pct"/>
            <w:vAlign w:val="center"/>
          </w:tcPr>
          <w:p>
            <w:pPr>
              <w:widowControl/>
              <w:autoSpaceDE/>
              <w:autoSpaceDN/>
              <w:adjustRightInd w:val="0"/>
              <w:snapToGri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NO</w:t>
            </w:r>
            <w:r>
              <w:rPr>
                <w:rFonts w:ascii="Times New Roman" w:hAnsi="Times New Roman" w:cs="Times New Roman"/>
                <w:color w:val="000000" w:themeColor="text1"/>
                <w:w w:val="99"/>
                <w:sz w:val="21"/>
                <w:szCs w:val="21"/>
                <w:highlight w:val="none"/>
                <w:vertAlign w:val="subscript"/>
                <w:lang w:val="en-US" w:bidi="ar-SA"/>
                <w14:textFill>
                  <w14:solidFill>
                    <w14:schemeClr w14:val="tx1"/>
                  </w14:solidFill>
                </w14:textFill>
              </w:rPr>
              <w:t>x</w:t>
            </w:r>
          </w:p>
        </w:tc>
        <w:tc>
          <w:tcPr>
            <w:tcW w:w="811" w:type="pct"/>
            <w:vAlign w:val="center"/>
          </w:tcPr>
          <w:p>
            <w:pPr>
              <w:widowControl/>
              <w:autoSpaceDE/>
              <w:autoSpaceDN/>
              <w:snapToGrid w:val="0"/>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4.312</w:t>
            </w:r>
          </w:p>
        </w:tc>
        <w:tc>
          <w:tcPr>
            <w:tcW w:w="1146" w:type="pct"/>
            <w:vAlign w:val="center"/>
          </w:tcPr>
          <w:p>
            <w:pPr>
              <w:widowControl/>
              <w:autoSpaceDE/>
              <w:autoSpaceDN/>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0.2106</w:t>
            </w:r>
          </w:p>
        </w:tc>
        <w:tc>
          <w:tcPr>
            <w:tcW w:w="1020" w:type="pct"/>
            <w:vAlign w:val="center"/>
          </w:tcPr>
          <w:p>
            <w:pPr>
              <w:widowControl/>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0</w:t>
            </w:r>
          </w:p>
        </w:tc>
        <w:tc>
          <w:tcPr>
            <w:tcW w:w="626" w:type="pct"/>
            <w:vAlign w:val="center"/>
          </w:tcPr>
          <w:p>
            <w:pPr>
              <w:widowControl/>
              <w:autoSpaceDE/>
              <w:autoSpaceDN/>
              <w:snapToGrid w:val="0"/>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4.5226</w:t>
            </w:r>
          </w:p>
        </w:tc>
        <w:tc>
          <w:tcPr>
            <w:tcW w:w="690" w:type="pct"/>
            <w:vAlign w:val="center"/>
          </w:tcPr>
          <w:p>
            <w:pPr>
              <w:widowControl/>
              <w:autoSpaceDE/>
              <w:autoSpaceDN/>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0.2106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7" w:type="pct"/>
            <w:vAlign w:val="center"/>
          </w:tcPr>
          <w:p>
            <w:pPr>
              <w:widowControl/>
              <w:autoSpaceDE/>
              <w:autoSpaceDN/>
              <w:adjustRightInd w:val="0"/>
              <w:snapToGri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非甲烷总烃</w:t>
            </w:r>
          </w:p>
        </w:tc>
        <w:tc>
          <w:tcPr>
            <w:tcW w:w="811" w:type="pct"/>
            <w:vAlign w:val="center"/>
          </w:tcPr>
          <w:p>
            <w:pPr>
              <w:widowControl/>
              <w:autoSpaceDE/>
              <w:autoSpaceDN/>
              <w:snapToGrid w:val="0"/>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592.67</w:t>
            </w:r>
          </w:p>
        </w:tc>
        <w:tc>
          <w:tcPr>
            <w:tcW w:w="1146" w:type="pct"/>
            <w:vAlign w:val="center"/>
          </w:tcPr>
          <w:p>
            <w:pPr>
              <w:widowControl/>
              <w:autoSpaceDE/>
              <w:autoSpaceDN/>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24.24</w:t>
            </w:r>
          </w:p>
        </w:tc>
        <w:tc>
          <w:tcPr>
            <w:tcW w:w="1020" w:type="pct"/>
            <w:vAlign w:val="center"/>
          </w:tcPr>
          <w:p>
            <w:pPr>
              <w:widowControl/>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0</w:t>
            </w:r>
          </w:p>
        </w:tc>
        <w:tc>
          <w:tcPr>
            <w:tcW w:w="626" w:type="pct"/>
            <w:vAlign w:val="center"/>
          </w:tcPr>
          <w:p>
            <w:pPr>
              <w:widowControl/>
              <w:autoSpaceDE/>
              <w:autoSpaceDN/>
              <w:snapToGrid w:val="0"/>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616.91</w:t>
            </w:r>
          </w:p>
        </w:tc>
        <w:tc>
          <w:tcPr>
            <w:tcW w:w="690" w:type="pct"/>
            <w:vAlign w:val="center"/>
          </w:tcPr>
          <w:p>
            <w:pPr>
              <w:widowControl/>
              <w:autoSpaceDE/>
              <w:autoSpaceDN/>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24.24</w:t>
            </w:r>
          </w:p>
        </w:tc>
      </w:tr>
    </w:tbl>
    <w:p>
      <w:pPr>
        <w:keepNext w:val="0"/>
        <w:keepLines w:val="0"/>
        <w:pageBreakBefore w:val="0"/>
        <w:widowControl w:val="0"/>
        <w:kinsoku/>
        <w:wordWrap/>
        <w:overflowPunct/>
        <w:topLinePunct w:val="0"/>
        <w:autoSpaceDE w:val="0"/>
        <w:autoSpaceDN w:val="0"/>
        <w:bidi w:val="0"/>
        <w:adjustRightInd/>
        <w:snapToGrid/>
        <w:spacing w:before="120" w:after="120" w:line="440" w:lineRule="exact"/>
        <w:jc w:val="both"/>
        <w:textAlignment w:val="auto"/>
        <w:outlineLvl w:val="1"/>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pPr>
      <w:bookmarkStart w:id="131" w:name="_Toc2252"/>
      <w:r>
        <w:rPr>
          <w:rFonts w:hint="default" w:ascii="Times New Roman" w:hAnsi="Times New Roman" w:eastAsia="宋体" w:cs="Times New Roman"/>
          <w:b/>
          <w:bCs/>
          <w:color w:val="000000" w:themeColor="text1"/>
          <w:w w:val="99"/>
          <w:sz w:val="28"/>
          <w:szCs w:val="28"/>
          <w:highlight w:val="none"/>
          <w:lang w:val="en-US"/>
          <w14:textFill>
            <w14:solidFill>
              <w14:schemeClr w14:val="tx1"/>
            </w14:solidFill>
          </w14:textFill>
        </w:rPr>
        <w:t>3.5清洁生产分析</w:t>
      </w:r>
      <w:bookmarkEnd w:id="131"/>
    </w:p>
    <w:p>
      <w:pPr>
        <w:pStyle w:val="7"/>
        <w:keepNext w:val="0"/>
        <w:keepLines w:val="0"/>
        <w:pageBreakBefore w:val="0"/>
        <w:widowControl w:val="0"/>
        <w:kinsoku/>
        <w:wordWrap/>
        <w:overflowPunct/>
        <w:topLinePunct w:val="0"/>
        <w:autoSpaceDE w:val="0"/>
        <w:autoSpaceDN w:val="0"/>
        <w:bidi w:val="0"/>
        <w:adjustRightInd/>
        <w:snapToGrid/>
        <w:spacing w:before="60" w:after="60" w:line="440" w:lineRule="exact"/>
        <w:ind w:left="0" w:firstLine="0"/>
        <w:textAlignment w:val="auto"/>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3.5.1井下作业清洁生产工艺</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1）在井场，加强油井井口的密闭，减少井口烃类的无组织挥发，控制分离器压力，杜绝放空，在设备的选型设计时充分考虑其承受的压力，阀门、油泵等设备装置密闭性能高，杜绝烃类气体跑冒等无组织排放。</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（2）起下油管时，安装自封式封井器，避免原油、污水喷出。另外，对运输车辆采取防渗漏、溢流和散落的措施。</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（3）在井下作业过程中，产生的作业废水经区块含油污水处理站处理后回注油</w:t>
      </w:r>
      <w:r>
        <w:rPr>
          <w:rFonts w:hint="eastAsia" w:ascii="Times New Roman" w:hAnsi="Times New Roman" w:cs="Times New Roman"/>
          <w:color w:val="000000" w:themeColor="text1"/>
          <w:w w:val="99"/>
          <w:sz w:val="24"/>
          <w:szCs w:val="24"/>
          <w:highlight w:val="none"/>
          <w14:textFill>
            <w14:solidFill>
              <w14:schemeClr w14:val="tx1"/>
            </w14:solidFill>
          </w14:textFill>
        </w:rPr>
        <w:t>层</w:t>
      </w:r>
      <w:r>
        <w:rPr>
          <w:rFonts w:ascii="Times New Roman" w:hAnsi="Times New Roman" w:cs="Times New Roman"/>
          <w:color w:val="000000" w:themeColor="text1"/>
          <w:w w:val="99"/>
          <w:sz w:val="24"/>
          <w:szCs w:val="24"/>
          <w:highlight w:val="none"/>
          <w14:textFill>
            <w14:solidFill>
              <w14:schemeClr w14:val="tx1"/>
            </w14:solidFill>
          </w14:textFill>
        </w:rPr>
        <w:t>，对作业过程中散落的落地油，采用“铺设作业，带罐上岗” 的作业模式，可使落地油的回收率达到 100%。</w:t>
      </w:r>
    </w:p>
    <w:p>
      <w:pPr>
        <w:pStyle w:val="45"/>
        <w:tabs>
          <w:tab w:val="left" w:pos="930"/>
        </w:tabs>
        <w:spacing w:before="60" w:after="60" w:line="440" w:lineRule="exact"/>
        <w:ind w:left="0" w:firstLine="0"/>
        <w:jc w:val="both"/>
        <w:outlineLvl w:val="2"/>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lang w:val="en-US"/>
          <w14:textFill>
            <w14:solidFill>
              <w14:schemeClr w14:val="tx1"/>
            </w14:solidFill>
          </w14:textFill>
        </w:rPr>
        <w:t>3.5.2 油气集输的清洁生产</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（1） 优化布局</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本工程开发采取总体方案设计、总体布局，结合当地地形地貌特征</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合理确定线路位置和走向，最大限度的减少地面工程建设投资</w:t>
      </w:r>
      <w:r>
        <w:rPr>
          <w:rFonts w:hint="eastAsia" w:ascii="Times New Roman" w:hAnsi="Times New Roman" w:cs="Times New Roman"/>
          <w:color w:val="000000" w:themeColor="text1"/>
          <w:w w:val="99"/>
          <w:sz w:val="24"/>
          <w:szCs w:val="24"/>
          <w:highlight w:val="none"/>
          <w14:textFill>
            <w14:solidFill>
              <w14:schemeClr w14:val="tx1"/>
            </w14:solidFill>
          </w14:textFill>
        </w:rPr>
        <w:t>。油</w:t>
      </w:r>
      <w:r>
        <w:rPr>
          <w:rFonts w:ascii="Times New Roman" w:hAnsi="Times New Roman" w:cs="Times New Roman"/>
          <w:color w:val="000000" w:themeColor="text1"/>
          <w:w w:val="99"/>
          <w:sz w:val="24"/>
          <w:szCs w:val="24"/>
          <w:highlight w:val="none"/>
          <w14:textFill>
            <w14:solidFill>
              <w14:schemeClr w14:val="tx1"/>
            </w14:solidFill>
          </w14:textFill>
        </w:rPr>
        <w:t>井均利旧原有站间</w:t>
      </w:r>
      <w:r>
        <w:rPr>
          <w:rFonts w:hint="eastAsia" w:ascii="Times New Roman" w:hAnsi="Times New Roman" w:cs="Times New Roman"/>
          <w:color w:val="000000" w:themeColor="text1"/>
          <w:w w:val="99"/>
          <w:sz w:val="24"/>
          <w:szCs w:val="24"/>
          <w:highlight w:val="none"/>
          <w14:textFill>
            <w14:solidFill>
              <w14:schemeClr w14:val="tx1"/>
            </w14:solidFill>
          </w14:textFill>
        </w:rPr>
        <w:t>集输</w:t>
      </w:r>
      <w:r>
        <w:rPr>
          <w:rFonts w:ascii="Times New Roman" w:hAnsi="Times New Roman" w:cs="Times New Roman"/>
          <w:color w:val="000000" w:themeColor="text1"/>
          <w:w w:val="99"/>
          <w:sz w:val="24"/>
          <w:szCs w:val="24"/>
          <w:highlight w:val="none"/>
          <w14:textFill>
            <w14:solidFill>
              <w14:schemeClr w14:val="tx1"/>
            </w14:solidFill>
          </w14:textFill>
        </w:rPr>
        <w:t>系统。</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（2）油气集输采用全密闭集输流程</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本项目开发集输管线全密闭，减少</w:t>
      </w:r>
      <w:r>
        <w:rPr>
          <w:rFonts w:hint="eastAsia" w:ascii="Times New Roman" w:hAnsi="Times New Roman" w:cs="Times New Roman"/>
          <w:color w:val="000000" w:themeColor="text1"/>
          <w:w w:val="99"/>
          <w:sz w:val="24"/>
          <w:szCs w:val="24"/>
          <w:highlight w:val="none"/>
          <w14:textFill>
            <w14:solidFill>
              <w14:schemeClr w14:val="tx1"/>
            </w14:solidFill>
          </w14:textFill>
        </w:rPr>
        <w:t>非甲烷总烃</w:t>
      </w:r>
      <w:r>
        <w:rPr>
          <w:rFonts w:ascii="Times New Roman" w:hAnsi="Times New Roman" w:cs="Times New Roman"/>
          <w:color w:val="000000" w:themeColor="text1"/>
          <w:w w:val="99"/>
          <w:sz w:val="24"/>
          <w:szCs w:val="24"/>
          <w:highlight w:val="none"/>
          <w14:textFill>
            <w14:solidFill>
              <w14:schemeClr w14:val="tx1"/>
            </w14:solidFill>
          </w14:textFill>
        </w:rPr>
        <w:t>无组织挥发。</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（3）油田采出水处理</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为了保护环境和节约用水，本项目运行期油田采出水经</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葡二联含油</w:t>
      </w:r>
      <w:r>
        <w:rPr>
          <w:rFonts w:ascii="Times New Roman" w:hAnsi="Times New Roman" w:cs="Times New Roman"/>
          <w:color w:val="000000" w:themeColor="text1"/>
          <w:w w:val="99"/>
          <w:sz w:val="24"/>
          <w:szCs w:val="24"/>
          <w:highlight w:val="none"/>
          <w:lang w:val="en-US"/>
          <w14:textFill>
            <w14:solidFill>
              <w14:schemeClr w14:val="tx1"/>
            </w14:solidFill>
          </w14:textFill>
        </w:rPr>
        <w:t>污水站</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处理后</w:t>
      </w:r>
      <w:r>
        <w:rPr>
          <w:rFonts w:ascii="Times New Roman" w:hAnsi="Times New Roman" w:cs="Times New Roman"/>
          <w:color w:val="000000" w:themeColor="text1"/>
          <w:w w:val="99"/>
          <w:sz w:val="24"/>
          <w:szCs w:val="24"/>
          <w:highlight w:val="none"/>
          <w:lang w:val="en-US"/>
          <w14:textFill>
            <w14:solidFill>
              <w14:schemeClr w14:val="tx1"/>
            </w14:solidFill>
          </w14:textFill>
        </w:rPr>
        <w:t>回注</w:t>
      </w:r>
      <w:r>
        <w:rPr>
          <w:rFonts w:ascii="Times New Roman" w:hAnsi="Times New Roman" w:cs="Times New Roman"/>
          <w:color w:val="000000" w:themeColor="text1"/>
          <w:w w:val="99"/>
          <w:sz w:val="24"/>
          <w:szCs w:val="24"/>
          <w:highlight w:val="none"/>
          <w14:textFill>
            <w14:solidFill>
              <w14:schemeClr w14:val="tx1"/>
            </w14:solidFill>
          </w14:textFill>
        </w:rPr>
        <w:t>油层，不外排。</w:t>
      </w:r>
    </w:p>
    <w:p>
      <w:pPr>
        <w:pStyle w:val="45"/>
        <w:keepNext w:val="0"/>
        <w:keepLines w:val="0"/>
        <w:pageBreakBefore w:val="0"/>
        <w:widowControl w:val="0"/>
        <w:tabs>
          <w:tab w:val="left" w:pos="930"/>
        </w:tabs>
        <w:kinsoku/>
        <w:wordWrap/>
        <w:overflowPunct/>
        <w:topLinePunct w:val="0"/>
        <w:autoSpaceDE w:val="0"/>
        <w:autoSpaceDN w:val="0"/>
        <w:bidi w:val="0"/>
        <w:adjustRightInd/>
        <w:snapToGrid/>
        <w:spacing w:before="60" w:after="60" w:line="440" w:lineRule="exact"/>
        <w:ind w:left="0" w:firstLine="0"/>
        <w:jc w:val="both"/>
        <w:textAlignment w:val="auto"/>
        <w:outlineLvl w:val="2"/>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lang w:val="en-US"/>
          <w14:textFill>
            <w14:solidFill>
              <w14:schemeClr w14:val="tx1"/>
            </w14:solidFill>
          </w14:textFill>
        </w:rPr>
        <w:t>3.5.3 先进的环境管理</w:t>
      </w:r>
    </w:p>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本项目在实施过程中，积极推行 HSE 管理体系，对项目实施 HSE 管理，同时对全体员工进行相应的 HSE 培训，使职工自觉遵守 HSE 管理体系并积极保护其人身安全和周围环境，尽量减少直至杜绝环境污染事故的发生。</w:t>
      </w:r>
    </w:p>
    <w:p>
      <w:pPr>
        <w:pStyle w:val="40"/>
        <w:keepNext w:val="0"/>
        <w:keepLines w:val="0"/>
        <w:pageBreakBefore w:val="0"/>
        <w:widowControl w:val="0"/>
        <w:kinsoku/>
        <w:wordWrap/>
        <w:overflowPunct/>
        <w:topLinePunct w:val="0"/>
        <w:autoSpaceDE w:val="0"/>
        <w:autoSpaceDN w:val="0"/>
        <w:bidi w:val="0"/>
        <w:adjustRightInd w:val="0"/>
        <w:snapToGrid/>
        <w:spacing w:beforeLines="0" w:afterLines="0" w:line="440" w:lineRule="exact"/>
        <w:ind w:firstLine="474" w:firstLineChars="200"/>
        <w:jc w:val="both"/>
        <w:textAlignment w:val="auto"/>
        <w:rPr>
          <w:color w:val="000000" w:themeColor="text1"/>
          <w:highlight w:val="none"/>
          <w:lang w:val="zh-CN"/>
          <w14:textFill>
            <w14:solidFill>
              <w14:schemeClr w14:val="tx1"/>
            </w14:solidFill>
          </w14:textFill>
        </w:rPr>
      </w:pPr>
      <w:r>
        <w:rPr>
          <w:rFonts w:ascii="Times New Roman" w:cs="Times New Roman"/>
          <w:b w:val="0"/>
          <w:bCs/>
          <w:color w:val="000000" w:themeColor="text1"/>
          <w:w w:val="99"/>
          <w:highlight w:val="none"/>
          <w:lang w:val="zh-CN" w:bidi="zh-CN"/>
          <w14:textFill>
            <w14:solidFill>
              <w14:schemeClr w14:val="tx1"/>
            </w14:solidFill>
          </w14:textFill>
        </w:rPr>
        <w:t>通过与《石油天然气开采业污染防治技术政策》</w:t>
      </w:r>
      <w:r>
        <w:rPr>
          <w:rFonts w:hint="eastAsia" w:ascii="Times New Roman" w:cs="Times New Roman"/>
          <w:b w:val="0"/>
          <w:bCs/>
          <w:color w:val="000000" w:themeColor="text1"/>
          <w:w w:val="99"/>
          <w:highlight w:val="none"/>
          <w:lang w:val="zh-CN" w:bidi="zh-CN"/>
          <w14:textFill>
            <w14:solidFill>
              <w14:schemeClr w14:val="tx1"/>
            </w14:solidFill>
          </w14:textFill>
        </w:rPr>
        <w:t>及《</w:t>
      </w:r>
      <w:r>
        <w:rPr>
          <w:rFonts w:ascii="Times New Roman" w:cs="Times New Roman"/>
          <w:b w:val="0"/>
          <w:bCs/>
          <w:color w:val="000000" w:themeColor="text1"/>
          <w:w w:val="99"/>
          <w:highlight w:val="none"/>
          <w:lang w:val="zh-CN" w:bidi="zh-CN"/>
          <w14:textFill>
            <w14:solidFill>
              <w14:schemeClr w14:val="tx1"/>
            </w14:solidFill>
          </w14:textFill>
        </w:rPr>
        <w:t>石油天然气开采清洁生产评价指标体系（试行）</w:t>
      </w:r>
      <w:r>
        <w:rPr>
          <w:rFonts w:hint="eastAsia" w:ascii="Times New Roman" w:cs="Times New Roman"/>
          <w:b w:val="0"/>
          <w:bCs/>
          <w:color w:val="000000" w:themeColor="text1"/>
          <w:w w:val="99"/>
          <w:highlight w:val="none"/>
          <w:lang w:val="zh-CN" w:bidi="zh-CN"/>
          <w14:textFill>
            <w14:solidFill>
              <w14:schemeClr w14:val="tx1"/>
            </w14:solidFill>
          </w14:textFill>
        </w:rPr>
        <w:t>》</w:t>
      </w:r>
      <w:r>
        <w:rPr>
          <w:rFonts w:ascii="Times New Roman" w:cs="Times New Roman"/>
          <w:b w:val="0"/>
          <w:bCs/>
          <w:color w:val="000000" w:themeColor="text1"/>
          <w:w w:val="99"/>
          <w:highlight w:val="none"/>
          <w:lang w:val="zh-CN" w:bidi="zh-CN"/>
          <w14:textFill>
            <w14:solidFill>
              <w14:schemeClr w14:val="tx1"/>
            </w14:solidFill>
          </w14:textFill>
        </w:rPr>
        <w:t xml:space="preserve"> 对比分析本项目清洁生产水平， 本项目与《石油天然气开采业污染防治技术政策》 </w:t>
      </w:r>
      <w:r>
        <w:rPr>
          <w:rFonts w:hint="eastAsia" w:ascii="Times New Roman" w:cs="Times New Roman"/>
          <w:b w:val="0"/>
          <w:bCs/>
          <w:color w:val="000000" w:themeColor="text1"/>
          <w:w w:val="99"/>
          <w:highlight w:val="none"/>
          <w:lang w:val="zh-CN" w:bidi="zh-CN"/>
          <w14:textFill>
            <w14:solidFill>
              <w14:schemeClr w14:val="tx1"/>
            </w14:solidFill>
          </w14:textFill>
        </w:rPr>
        <w:t>、《</w:t>
      </w:r>
      <w:r>
        <w:rPr>
          <w:rFonts w:ascii="Times New Roman" w:cs="Times New Roman"/>
          <w:b w:val="0"/>
          <w:bCs/>
          <w:color w:val="000000" w:themeColor="text1"/>
          <w:w w:val="99"/>
          <w:highlight w:val="none"/>
          <w:lang w:val="zh-CN" w:bidi="zh-CN"/>
          <w14:textFill>
            <w14:solidFill>
              <w14:schemeClr w14:val="tx1"/>
            </w14:solidFill>
          </w14:textFill>
        </w:rPr>
        <w:t>石油天然气开采清洁生产评价指标体系（试行）</w:t>
      </w:r>
      <w:r>
        <w:rPr>
          <w:rFonts w:hint="eastAsia" w:ascii="Times New Roman" w:cs="Times New Roman"/>
          <w:b w:val="0"/>
          <w:bCs/>
          <w:color w:val="000000" w:themeColor="text1"/>
          <w:w w:val="99"/>
          <w:highlight w:val="none"/>
          <w:lang w:val="zh-CN" w:bidi="zh-CN"/>
          <w14:textFill>
            <w14:solidFill>
              <w14:schemeClr w14:val="tx1"/>
            </w14:solidFill>
          </w14:textFill>
        </w:rPr>
        <w:t>》</w:t>
      </w:r>
      <w:r>
        <w:rPr>
          <w:rFonts w:ascii="Times New Roman" w:cs="Times New Roman"/>
          <w:b w:val="0"/>
          <w:bCs/>
          <w:color w:val="000000" w:themeColor="text1"/>
          <w:w w:val="99"/>
          <w:highlight w:val="none"/>
          <w:lang w:val="zh-CN" w:bidi="zh-CN"/>
          <w14:textFill>
            <w14:solidFill>
              <w14:schemeClr w14:val="tx1"/>
            </w14:solidFill>
          </w14:textFill>
        </w:rPr>
        <w:t>中对清洁生产的各项指标对比见下表3.5-1</w:t>
      </w:r>
      <w:r>
        <w:rPr>
          <w:rFonts w:hint="eastAsia" w:ascii="Times New Roman" w:cs="Times New Roman"/>
          <w:b w:val="0"/>
          <w:bCs/>
          <w:color w:val="000000" w:themeColor="text1"/>
          <w:w w:val="99"/>
          <w:highlight w:val="none"/>
          <w:lang w:val="zh-CN" w:bidi="zh-CN"/>
          <w14:textFill>
            <w14:solidFill>
              <w14:schemeClr w14:val="tx1"/>
            </w14:solidFill>
          </w14:textFill>
        </w:rPr>
        <w:t>、表</w:t>
      </w:r>
      <w:r>
        <w:rPr>
          <w:rFonts w:hint="eastAsia" w:ascii="Times New Roman" w:cs="Times New Roman"/>
          <w:b w:val="0"/>
          <w:bCs/>
          <w:color w:val="000000" w:themeColor="text1"/>
          <w:w w:val="99"/>
          <w:highlight w:val="none"/>
          <w:lang w:val="en-US" w:bidi="zh-CN"/>
          <w14:textFill>
            <w14:solidFill>
              <w14:schemeClr w14:val="tx1"/>
            </w14:solidFill>
          </w14:textFill>
        </w:rPr>
        <w:t>3.5-2</w:t>
      </w:r>
      <w:r>
        <w:rPr>
          <w:rFonts w:ascii="Times New Roman" w:cs="Times New Roman"/>
          <w:b w:val="0"/>
          <w:bCs/>
          <w:color w:val="000000" w:themeColor="text1"/>
          <w:w w:val="99"/>
          <w:highlight w:val="none"/>
          <w:lang w:val="zh-CN" w:bidi="zh-CN"/>
          <w14:textFill>
            <w14:solidFill>
              <w14:schemeClr w14:val="tx1"/>
            </w14:solidFill>
          </w14:textFill>
        </w:rPr>
        <w:t>。</w:t>
      </w:r>
    </w:p>
    <w:p>
      <w:pPr>
        <w:ind w:firstLine="595" w:firstLineChars="250"/>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表3.5-</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1</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与</w:t>
      </w:r>
      <w:r>
        <w:rPr>
          <w:rFonts w:hint="default" w:ascii="Times New Roman" w:hAnsi="Times New Roman" w:cs="Times New Roman"/>
          <w:b/>
          <w:bCs/>
          <w:color w:val="000000" w:themeColor="text1"/>
          <w:w w:val="99"/>
          <w:kern w:val="2"/>
          <w:sz w:val="24"/>
          <w:szCs w:val="24"/>
          <w:highlight w:val="none"/>
          <w:lang w:val="en-US" w:bidi="ar-SA"/>
          <w14:textFill>
            <w14:solidFill>
              <w14:schemeClr w14:val="tx1"/>
            </w14:solidFill>
          </w14:textFill>
        </w:rPr>
        <w:t>《石油天然气开采业污染防治技术政策》</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清洁生产</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分析一览表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394"/>
        <w:gridCol w:w="3119"/>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序号</w:t>
            </w:r>
          </w:p>
        </w:tc>
        <w:tc>
          <w:tcPr>
            <w:tcW w:w="439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《石油天然气开采业污染防治技术政策》 有关清洁生产的要求</w:t>
            </w:r>
          </w:p>
        </w:tc>
        <w:tc>
          <w:tcPr>
            <w:tcW w:w="311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本项目处理方式</w:t>
            </w:r>
          </w:p>
        </w:tc>
        <w:tc>
          <w:tcPr>
            <w:tcW w:w="849"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1</w:t>
            </w:r>
          </w:p>
        </w:tc>
        <w:tc>
          <w:tcPr>
            <w:tcW w:w="4394"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油气田建设应总体规划，优化布局， 整体开发，减少占地和油气损失，实现油气和废物的集中收集、处理处置</w:t>
            </w:r>
          </w:p>
        </w:tc>
        <w:tc>
          <w:tcPr>
            <w:tcW w:w="311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本项目油井均为老井，井场不新增永久占地，各种废弃物均得到合理有效集中处理。</w:t>
            </w:r>
          </w:p>
        </w:tc>
        <w:tc>
          <w:tcPr>
            <w:tcW w:w="849"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2</w:t>
            </w:r>
          </w:p>
        </w:tc>
        <w:tc>
          <w:tcPr>
            <w:tcW w:w="439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油气田开发不得使用含有国际公约禁用化学物质的油气田化学剂，逐步淘汰微毒及以上油气田化学剂，鼓励使用无毒油气田化学剂。</w:t>
            </w:r>
          </w:p>
        </w:tc>
        <w:tc>
          <w:tcPr>
            <w:tcW w:w="311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使用无毒无害油气田化学剂。</w:t>
            </w:r>
          </w:p>
        </w:tc>
        <w:tc>
          <w:tcPr>
            <w:tcW w:w="849"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3</w:t>
            </w:r>
          </w:p>
        </w:tc>
        <w:tc>
          <w:tcPr>
            <w:tcW w:w="439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 xml:space="preserve">在勘探开发过程中，应防止产生落地原油。其中井下作业过程中应配备泄油器、刮油器等。落地原油应及时回收，落地原油回收率应达到 </w:t>
            </w:r>
            <w:r>
              <w:rPr>
                <w:rStyle w:val="93"/>
                <w:rFonts w:ascii="Times New Roman" w:hAnsi="Times New Roman" w:cs="Times New Roman"/>
                <w:color w:val="000000" w:themeColor="text1"/>
                <w:w w:val="99"/>
                <w:sz w:val="21"/>
                <w:szCs w:val="21"/>
                <w:highlight w:val="none"/>
                <w14:textFill>
                  <w14:solidFill>
                    <w14:schemeClr w14:val="tx1"/>
                  </w14:solidFill>
                </w14:textFill>
              </w:rPr>
              <w:t>100%。</w:t>
            </w:r>
          </w:p>
        </w:tc>
        <w:tc>
          <w:tcPr>
            <w:tcW w:w="311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配备泄油器、刮油器。落地原油及时回收，回收率达到</w:t>
            </w:r>
            <w:r>
              <w:rPr>
                <w:rStyle w:val="93"/>
                <w:rFonts w:ascii="Times New Roman" w:hAnsi="Times New Roman" w:cs="Times New Roman"/>
                <w:color w:val="000000" w:themeColor="text1"/>
                <w:w w:val="99"/>
                <w:sz w:val="21"/>
                <w:szCs w:val="21"/>
                <w:highlight w:val="none"/>
                <w14:textFill>
                  <w14:solidFill>
                    <w14:schemeClr w14:val="tx1"/>
                  </w14:solidFill>
                </w14:textFill>
              </w:rPr>
              <w:t>100%</w:t>
            </w:r>
            <w:r>
              <w:rPr>
                <w:rStyle w:val="93"/>
                <w:rFonts w:hint="eastAsia" w:ascii="Times New Roman" w:hAnsi="Times New Roman" w:cs="Times New Roman"/>
                <w:color w:val="000000" w:themeColor="text1"/>
                <w:w w:val="99"/>
                <w:sz w:val="21"/>
                <w:szCs w:val="21"/>
                <w:highlight w:val="none"/>
                <w14:textFill>
                  <w14:solidFill>
                    <w14:schemeClr w14:val="tx1"/>
                  </w14:solidFill>
                </w14:textFill>
              </w:rPr>
              <w:t>。</w:t>
            </w:r>
          </w:p>
        </w:tc>
        <w:tc>
          <w:tcPr>
            <w:tcW w:w="849"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4</w:t>
            </w:r>
          </w:p>
        </w:tc>
        <w:tc>
          <w:tcPr>
            <w:tcW w:w="439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在开发过程中，适宜注水开采的油气田，应将采出水处理满足标准后回注；对于稠油注气开采，鼓励采出水处理后回注于注气锅炉。</w:t>
            </w:r>
          </w:p>
        </w:tc>
        <w:tc>
          <w:tcPr>
            <w:tcW w:w="311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采出水经含油污水处理站处理满足标准后回注油层。</w:t>
            </w:r>
          </w:p>
        </w:tc>
        <w:tc>
          <w:tcPr>
            <w:tcW w:w="849"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5</w:t>
            </w:r>
          </w:p>
        </w:tc>
        <w:tc>
          <w:tcPr>
            <w:tcW w:w="439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在油气集输过程中，应采用密闭流程，减少烃类气体排放。新建</w:t>
            </w:r>
            <w:r>
              <w:rPr>
                <w:rStyle w:val="93"/>
                <w:rFonts w:ascii="Times New Roman" w:hAnsi="Times New Roman" w:cs="Times New Roman"/>
                <w:color w:val="000000" w:themeColor="text1"/>
                <w:w w:val="99"/>
                <w:sz w:val="21"/>
                <w:szCs w:val="21"/>
                <w:highlight w:val="none"/>
                <w14:textFill>
                  <w14:solidFill>
                    <w14:schemeClr w14:val="tx1"/>
                  </w14:solidFill>
                </w14:textFill>
              </w:rPr>
              <w:t>3000m</w:t>
            </w:r>
            <w:r>
              <w:rPr>
                <w:rStyle w:val="93"/>
                <w:rFonts w:ascii="Times New Roman" w:hAnsi="Times New Roman" w:cs="Times New Roman"/>
                <w:color w:val="000000" w:themeColor="text1"/>
                <w:w w:val="99"/>
                <w:sz w:val="21"/>
                <w:szCs w:val="21"/>
                <w:highlight w:val="none"/>
                <w:vertAlign w:val="superscript"/>
                <w14:textFill>
                  <w14:solidFill>
                    <w14:schemeClr w14:val="tx1"/>
                  </w14:solidFill>
                </w14:textFill>
              </w:rPr>
              <w:t>3</w:t>
            </w:r>
            <w:r>
              <w:rPr>
                <w:rStyle w:val="92"/>
                <w:rFonts w:hint="default" w:ascii="Times New Roman" w:hAnsi="Times New Roman" w:cs="Times New Roman"/>
                <w:color w:val="000000" w:themeColor="text1"/>
                <w:w w:val="99"/>
                <w:sz w:val="21"/>
                <w:szCs w:val="21"/>
                <w:highlight w:val="none"/>
                <w14:textFill>
                  <w14:solidFill>
                    <w14:schemeClr w14:val="tx1"/>
                  </w14:solidFill>
                </w14:textFill>
              </w:rPr>
              <w:t>及以上原油储罐应采用浮顶型式， 新、改、扩建油气储罐应安装泄漏报警系统。新、改、扩建油气田油气集输损耗不高于</w:t>
            </w:r>
            <w:r>
              <w:rPr>
                <w:rStyle w:val="93"/>
                <w:rFonts w:ascii="Times New Roman" w:hAnsi="Times New Roman" w:cs="Times New Roman"/>
                <w:color w:val="000000" w:themeColor="text1"/>
                <w:w w:val="99"/>
                <w:sz w:val="21"/>
                <w:szCs w:val="21"/>
                <w:highlight w:val="none"/>
                <w14:textFill>
                  <w14:solidFill>
                    <w14:schemeClr w14:val="tx1"/>
                  </w14:solidFill>
                </w14:textFill>
              </w:rPr>
              <w:t>0.5%</w:t>
            </w:r>
            <w:r>
              <w:rPr>
                <w:rStyle w:val="92"/>
                <w:rFonts w:hint="default" w:ascii="Times New Roman" w:hAnsi="Times New Roman" w:cs="Times New Roman"/>
                <w:color w:val="000000" w:themeColor="text1"/>
                <w:w w:val="99"/>
                <w:sz w:val="21"/>
                <w:szCs w:val="21"/>
                <w:highlight w:val="none"/>
                <w14:textFill>
                  <w14:solidFill>
                    <w14:schemeClr w14:val="tx1"/>
                  </w14:solidFill>
                </w14:textFill>
              </w:rPr>
              <w:t>，</w:t>
            </w:r>
            <w:r>
              <w:rPr>
                <w:rStyle w:val="93"/>
                <w:rFonts w:ascii="Times New Roman" w:hAnsi="Times New Roman" w:cs="Times New Roman"/>
                <w:color w:val="000000" w:themeColor="text1"/>
                <w:w w:val="99"/>
                <w:sz w:val="21"/>
                <w:szCs w:val="21"/>
                <w:highlight w:val="none"/>
                <w14:textFill>
                  <w14:solidFill>
                    <w14:schemeClr w14:val="tx1"/>
                  </w14:solidFill>
                </w14:textFill>
              </w:rPr>
              <w:t xml:space="preserve">2010 </w:t>
            </w:r>
            <w:r>
              <w:rPr>
                <w:rStyle w:val="92"/>
                <w:rFonts w:hint="default" w:ascii="Times New Roman" w:hAnsi="Times New Roman" w:cs="Times New Roman"/>
                <w:color w:val="000000" w:themeColor="text1"/>
                <w:w w:val="99"/>
                <w:sz w:val="21"/>
                <w:szCs w:val="21"/>
                <w:highlight w:val="none"/>
                <w14:textFill>
                  <w14:solidFill>
                    <w14:schemeClr w14:val="tx1"/>
                  </w14:solidFill>
                </w14:textFill>
              </w:rPr>
              <w:t>年</w:t>
            </w:r>
            <w:r>
              <w:rPr>
                <w:rStyle w:val="93"/>
                <w:rFonts w:ascii="Times New Roman" w:hAnsi="Times New Roman" w:cs="Times New Roman"/>
                <w:color w:val="000000" w:themeColor="text1"/>
                <w:w w:val="99"/>
                <w:sz w:val="21"/>
                <w:szCs w:val="21"/>
                <w:highlight w:val="none"/>
                <w14:textFill>
                  <w14:solidFill>
                    <w14:schemeClr w14:val="tx1"/>
                  </w14:solidFill>
                </w14:textFill>
              </w:rPr>
              <w:t xml:space="preserve">12 </w:t>
            </w:r>
            <w:r>
              <w:rPr>
                <w:rStyle w:val="92"/>
                <w:rFonts w:hint="default" w:ascii="Times New Roman" w:hAnsi="Times New Roman" w:cs="Times New Roman"/>
                <w:color w:val="000000" w:themeColor="text1"/>
                <w:w w:val="99"/>
                <w:sz w:val="21"/>
                <w:szCs w:val="21"/>
                <w:highlight w:val="none"/>
                <w14:textFill>
                  <w14:solidFill>
                    <w14:schemeClr w14:val="tx1"/>
                  </w14:solidFill>
                </w14:textFill>
              </w:rPr>
              <w:t>月</w:t>
            </w:r>
            <w:r>
              <w:rPr>
                <w:rStyle w:val="93"/>
                <w:rFonts w:ascii="Times New Roman" w:hAnsi="Times New Roman" w:cs="Times New Roman"/>
                <w:color w:val="000000" w:themeColor="text1"/>
                <w:w w:val="99"/>
                <w:sz w:val="21"/>
                <w:szCs w:val="21"/>
                <w:highlight w:val="none"/>
                <w14:textFill>
                  <w14:solidFill>
                    <w14:schemeClr w14:val="tx1"/>
                  </w14:solidFill>
                </w14:textFill>
              </w:rPr>
              <w:t xml:space="preserve">31 </w:t>
            </w:r>
            <w:r>
              <w:rPr>
                <w:rStyle w:val="92"/>
                <w:rFonts w:hint="default" w:ascii="Times New Roman" w:hAnsi="Times New Roman" w:cs="Times New Roman"/>
                <w:color w:val="000000" w:themeColor="text1"/>
                <w:w w:val="99"/>
                <w:sz w:val="21"/>
                <w:szCs w:val="21"/>
                <w:highlight w:val="none"/>
                <w14:textFill>
                  <w14:solidFill>
                    <w14:schemeClr w14:val="tx1"/>
                  </w14:solidFill>
                </w14:textFill>
              </w:rPr>
              <w:t xml:space="preserve">日前建设的油气田油气集输损耗不高于 </w:t>
            </w:r>
            <w:r>
              <w:rPr>
                <w:rStyle w:val="93"/>
                <w:rFonts w:ascii="Times New Roman" w:hAnsi="Times New Roman" w:cs="Times New Roman"/>
                <w:color w:val="000000" w:themeColor="text1"/>
                <w:w w:val="99"/>
                <w:sz w:val="21"/>
                <w:szCs w:val="21"/>
                <w:highlight w:val="none"/>
                <w14:textFill>
                  <w14:solidFill>
                    <w14:schemeClr w14:val="tx1"/>
                  </w14:solidFill>
                </w14:textFill>
              </w:rPr>
              <w:t>0.8%。</w:t>
            </w:r>
          </w:p>
        </w:tc>
        <w:tc>
          <w:tcPr>
            <w:tcW w:w="311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w w:val="99"/>
                <w:sz w:val="21"/>
                <w:szCs w:val="21"/>
                <w:highlight w:val="none"/>
                <w:lang w:val="zh-CN" w:eastAsia="zh-CN" w:bidi="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油气集输采用密闭工艺，油气集输过程中烃类挥发系数为</w:t>
            </w:r>
            <w:r>
              <w:rPr>
                <w:rStyle w:val="93"/>
                <w:rFonts w:ascii="Times New Roman" w:hAnsi="Times New Roman" w:cs="Times New Roman"/>
                <w:color w:val="000000" w:themeColor="text1"/>
                <w:w w:val="99"/>
                <w:sz w:val="21"/>
                <w:szCs w:val="21"/>
                <w:highlight w:val="none"/>
                <w14:textFill>
                  <w14:solidFill>
                    <w14:schemeClr w14:val="tx1"/>
                  </w14:solidFill>
                </w14:textFill>
              </w:rPr>
              <w:t>1.4175</w:t>
            </w:r>
            <w:r>
              <w:rPr>
                <w:rStyle w:val="92"/>
                <w:rFonts w:hint="default" w:ascii="Times New Roman" w:hAnsi="Times New Roman" w:cs="Times New Roman"/>
                <w:color w:val="000000" w:themeColor="text1"/>
                <w:w w:val="99"/>
                <w:sz w:val="21"/>
                <w:szCs w:val="21"/>
                <w:highlight w:val="none"/>
                <w14:textFill>
                  <w14:solidFill>
                    <w14:schemeClr w14:val="tx1"/>
                  </w14:solidFill>
                </w14:textFill>
              </w:rPr>
              <w:t>‰，集输损耗率小于</w:t>
            </w:r>
            <w:r>
              <w:rPr>
                <w:rStyle w:val="93"/>
                <w:rFonts w:ascii="Times New Roman" w:hAnsi="Times New Roman" w:cs="Times New Roman"/>
                <w:color w:val="000000" w:themeColor="text1"/>
                <w:w w:val="99"/>
                <w:sz w:val="21"/>
                <w:szCs w:val="21"/>
                <w:highlight w:val="none"/>
                <w14:textFill>
                  <w14:solidFill>
                    <w14:schemeClr w14:val="tx1"/>
                  </w14:solidFill>
                </w14:textFill>
              </w:rPr>
              <w:t>0.5%</w:t>
            </w:r>
            <w:r>
              <w:rPr>
                <w:rStyle w:val="93"/>
                <w:rFonts w:hint="eastAsia" w:ascii="Times New Roman" w:hAnsi="Times New Roman" w:cs="Times New Roman"/>
                <w:color w:val="000000" w:themeColor="text1"/>
                <w:w w:val="99"/>
                <w:sz w:val="21"/>
                <w:szCs w:val="21"/>
                <w:highlight w:val="none"/>
                <w14:textFill>
                  <w14:solidFill>
                    <w14:schemeClr w14:val="tx1"/>
                  </w14:solidFill>
                </w14:textFill>
              </w:rPr>
              <w:t>。</w:t>
            </w:r>
          </w:p>
        </w:tc>
        <w:tc>
          <w:tcPr>
            <w:tcW w:w="849" w:type="dxa"/>
            <w:vAlign w:val="center"/>
          </w:tcPr>
          <w:p>
            <w:pPr>
              <w:keepNext w:val="0"/>
              <w:keepLines w:val="0"/>
              <w:pageBreakBefore w:val="0"/>
              <w:kinsoku/>
              <w:wordWrap/>
              <w:overflowPunct/>
              <w:topLinePunct w:val="0"/>
              <w:bidi w:val="0"/>
              <w:adjustRightInd/>
              <w:snapToGrid/>
              <w:spacing w:line="360" w:lineRule="exact"/>
              <w:jc w:val="center"/>
              <w:textAlignment w:val="auto"/>
              <w:rPr>
                <w:rFonts w:ascii="Times New Roman" w:hAnsi="Times New Roman" w:cs="Times New Roman"/>
                <w:color w:val="000000" w:themeColor="text1"/>
                <w:w w:val="99"/>
                <w:sz w:val="21"/>
                <w:szCs w:val="21"/>
                <w:highlight w:val="none"/>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符合</w:t>
            </w:r>
          </w:p>
        </w:tc>
      </w:tr>
    </w:tbl>
    <w:p>
      <w:pPr>
        <w:keepNext w:val="0"/>
        <w:keepLines w:val="0"/>
        <w:pageBreakBefore w:val="0"/>
        <w:widowControl w:val="0"/>
        <w:kinsoku/>
        <w:wordWrap/>
        <w:overflowPunct/>
        <w:topLinePunct w:val="0"/>
        <w:autoSpaceDE w:val="0"/>
        <w:autoSpaceDN w:val="0"/>
        <w:bidi w:val="0"/>
        <w:adjustRightInd/>
        <w:snapToGrid/>
        <w:spacing w:line="440" w:lineRule="exact"/>
        <w:ind w:firstLine="238" w:firstLineChars="100"/>
        <w:textAlignment w:val="auto"/>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表3.5-</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2与</w:t>
      </w:r>
      <w:r>
        <w:rPr>
          <w:rFonts w:hint="default" w:ascii="Times New Roman" w:hAnsi="Times New Roman" w:cs="Times New Roman"/>
          <w:b/>
          <w:bCs/>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b/>
          <w:bCs/>
          <w:color w:val="000000" w:themeColor="text1"/>
          <w:w w:val="99"/>
          <w:sz w:val="24"/>
          <w:szCs w:val="24"/>
          <w:highlight w:val="none"/>
          <w14:textFill>
            <w14:solidFill>
              <w14:schemeClr w14:val="tx1"/>
            </w14:solidFill>
          </w14:textFill>
        </w:rPr>
        <w:t>石油天然气开采清洁生产评价指标体系（试行）</w:t>
      </w:r>
      <w:r>
        <w:rPr>
          <w:rFonts w:hint="default" w:ascii="Times New Roman" w:hAnsi="Times New Roman" w:cs="Times New Roman"/>
          <w:b/>
          <w:bCs/>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清洁生产</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分析一览表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2029"/>
        <w:gridCol w:w="1549"/>
        <w:gridCol w:w="1549"/>
        <w:gridCol w:w="1549"/>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序号</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清洁生产指标内容</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本工程</w:t>
            </w:r>
          </w:p>
        </w:tc>
        <w:tc>
          <w:tcPr>
            <w:tcW w:w="4426" w:type="dxa"/>
            <w:gridSpan w:val="3"/>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稠油开采技术指标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一</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生产工艺与装备</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一级</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二级</w:t>
            </w:r>
          </w:p>
        </w:tc>
        <w:tc>
          <w:tcPr>
            <w:tcW w:w="132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1</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井控装置</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防喷器</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具备</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具备</w:t>
            </w:r>
          </w:p>
        </w:tc>
        <w:tc>
          <w:tcPr>
            <w:tcW w:w="132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2</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防止井场落地原油产 生措施</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油水进罐车</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井口具备油回收 设施</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具备防止原油 落地设施</w:t>
            </w:r>
          </w:p>
        </w:tc>
        <w:tc>
          <w:tcPr>
            <w:tcW w:w="132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具备落地原油 回收措施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3</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原油集输流程</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密闭</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密闭，并具备轻 烃回收设施</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密闭</w:t>
            </w:r>
          </w:p>
        </w:tc>
        <w:tc>
          <w:tcPr>
            <w:tcW w:w="132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半密闭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二</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资源能源利用指标</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一级</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二级</w:t>
            </w:r>
          </w:p>
        </w:tc>
        <w:tc>
          <w:tcPr>
            <w:tcW w:w="132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1</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采油综合能耗， kg 标煤/t 采出液</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Style w:val="92"/>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29.047</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≤20</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≤60</w:t>
            </w:r>
          </w:p>
        </w:tc>
        <w:tc>
          <w:tcPr>
            <w:tcW w:w="132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三</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污染物产生指标</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一级</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二级</w:t>
            </w:r>
          </w:p>
        </w:tc>
        <w:tc>
          <w:tcPr>
            <w:tcW w:w="132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1</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落地原油，kg/t 原油</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0.0</w:t>
            </w:r>
            <w:r>
              <w:rPr>
                <w:rStyle w:val="92"/>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7</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≤1</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≤2</w:t>
            </w:r>
          </w:p>
        </w:tc>
        <w:tc>
          <w:tcPr>
            <w:tcW w:w="132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四</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废物回收利用指标</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pP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一级</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二级</w:t>
            </w:r>
          </w:p>
        </w:tc>
        <w:tc>
          <w:tcPr>
            <w:tcW w:w="132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1</w:t>
            </w:r>
          </w:p>
        </w:tc>
        <w:tc>
          <w:tcPr>
            <w:tcW w:w="202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采油废水回用率%</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100</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≥95</w:t>
            </w:r>
          </w:p>
        </w:tc>
        <w:tc>
          <w:tcPr>
            <w:tcW w:w="1549"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≥70</w:t>
            </w:r>
          </w:p>
        </w:tc>
        <w:tc>
          <w:tcPr>
            <w:tcW w:w="1328"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Style w:val="92"/>
                <w:rFonts w:hint="default" w:ascii="Times New Roman" w:hAnsi="Times New Roman" w:cs="Times New Roman"/>
                <w:color w:val="000000" w:themeColor="text1"/>
                <w:w w:val="99"/>
                <w:sz w:val="21"/>
                <w:szCs w:val="21"/>
                <w:highlight w:val="none"/>
                <w:lang w:val="zh-CN" w:eastAsia="zh-CN"/>
                <w14:textFill>
                  <w14:solidFill>
                    <w14:schemeClr w14:val="tx1"/>
                  </w14:solidFill>
                </w14:textFill>
              </w:rPr>
            </w:pPr>
            <w:r>
              <w:rPr>
                <w:rStyle w:val="92"/>
                <w:rFonts w:hint="default" w:ascii="Times New Roman" w:hAnsi="Times New Roman" w:cs="Times New Roman"/>
                <w:color w:val="000000" w:themeColor="text1"/>
                <w:w w:val="99"/>
                <w:sz w:val="21"/>
                <w:szCs w:val="21"/>
                <w:highlight w:val="none"/>
                <w14:textFill>
                  <w14:solidFill>
                    <w14:schemeClr w14:val="tx1"/>
                  </w14:solidFill>
                </w14:textFill>
              </w:rPr>
              <w:t>≥40</w:t>
            </w:r>
          </w:p>
        </w:tc>
      </w:tr>
    </w:tbl>
    <w:p>
      <w:pPr>
        <w:spacing w:line="440" w:lineRule="exact"/>
        <w:ind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根据上表可知，本工程产能建设工程生产工艺与装备指标达到稠油 开采清洁生产指标二级，资源能源利用指标达到稠油开采清洁生产指标二级，污染物产 生指标中落地原油指标达到稠油开采清洁生产指标一级，废物回收利用指标中采油废水回用率达到稠油开采清洁生产指标一级。本项目符合《石油天然气开采清洁生产评价指标体系（试行） 》 要求， 符合清洁生产要求， 清洁生产水平达到国内先进水平。</w:t>
      </w:r>
    </w:p>
    <w:p>
      <w:pPr>
        <w:rPr>
          <w:rFonts w:ascii="Times New Roman" w:hAnsi="Times New Roman" w:cs="Times New Roman"/>
          <w:color w:val="000000" w:themeColor="text1"/>
          <w:sz w:val="16"/>
          <w:szCs w:val="28"/>
          <w:highlight w:val="none"/>
          <w14:textFill>
            <w14:solidFill>
              <w14:schemeClr w14:val="tx1"/>
            </w14:solidFill>
          </w14:textFill>
        </w:rPr>
        <w:sectPr>
          <w:pgSz w:w="11910" w:h="16850"/>
          <w:pgMar w:top="1417" w:right="1417" w:bottom="1417" w:left="1417" w:header="720" w:footer="720" w:gutter="0"/>
          <w:pgBorders>
            <w:top w:val="none" w:sz="0" w:space="0"/>
            <w:left w:val="none" w:sz="0" w:space="0"/>
            <w:bottom w:val="none" w:sz="0" w:space="0"/>
            <w:right w:val="none" w:sz="0" w:space="0"/>
          </w:pgBorders>
          <w:cols w:space="720" w:num="1"/>
        </w:sectPr>
      </w:pPr>
    </w:p>
    <w:p>
      <w:pPr>
        <w:pStyle w:val="4"/>
        <w:keepNext w:val="0"/>
        <w:keepLines w:val="0"/>
        <w:pageBreakBefore w:val="0"/>
        <w:widowControl w:val="0"/>
        <w:kinsoku/>
        <w:wordWrap/>
        <w:overflowPunct/>
        <w:topLinePunct w:val="0"/>
        <w:autoSpaceDE/>
        <w:autoSpaceDN/>
        <w:bidi w:val="0"/>
        <w:adjustRightInd/>
        <w:snapToGrid/>
        <w:spacing w:before="180" w:after="180" w:line="440" w:lineRule="exact"/>
        <w:ind w:left="0" w:firstLine="0"/>
        <w:textAlignment w:val="auto"/>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pPr>
      <w:bookmarkStart w:id="132" w:name="_bookmark25"/>
      <w:bookmarkEnd w:id="132"/>
      <w:bookmarkStart w:id="133" w:name="_Toc9028"/>
      <w:r>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t>4 环境现状调查与评价</w:t>
      </w:r>
      <w:bookmarkEnd w:id="133"/>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34" w:name="_bookmark27"/>
      <w:bookmarkEnd w:id="134"/>
      <w:bookmarkStart w:id="135" w:name="_Toc15184"/>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4.1 自然环境现状调查与评价</w:t>
      </w:r>
      <w:bookmarkEnd w:id="135"/>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4.1.1 地理位置</w:t>
      </w:r>
    </w:p>
    <w:p>
      <w:pPr>
        <w:keepNext w:val="0"/>
        <w:keepLines w:val="0"/>
        <w:pageBreakBefore w:val="0"/>
        <w:kinsoku/>
        <w:wordWrap/>
        <w:overflowPunct/>
        <w:topLinePunct w:val="0"/>
        <w:bidi w:val="0"/>
        <w:adjustRightInd/>
        <w:snapToGrid/>
        <w:spacing w:line="440" w:lineRule="exact"/>
        <w:ind w:firstLine="474" w:firstLineChars="200"/>
        <w:jc w:val="both"/>
        <w:textAlignment w:val="auto"/>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CN" w:bidi="zh-TW"/>
          <w14:textFill>
            <w14:solidFill>
              <w14:schemeClr w14:val="tx1"/>
            </w14:solidFill>
          </w14:textFill>
        </w:rPr>
      </w:pP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CN" w:bidi="zh-TW"/>
          <w14:textFill>
            <w14:solidFill>
              <w14:schemeClr w14:val="tx1"/>
            </w14:solidFill>
          </w14:textFill>
        </w:rPr>
        <w:t>本项目位于</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TW" w:bidi="zh-TW"/>
          <w14:textFill>
            <w14:solidFill>
              <w14:schemeClr w14:val="tx1"/>
            </w14:solidFill>
          </w14:textFill>
        </w:rPr>
        <w:t>大庆市</w:t>
      </w:r>
      <w:r>
        <w:rPr>
          <w:rFonts w:hint="eastAsia" w:ascii="Times New Roman" w:hAnsi="Times New Roman" w:cs="Times New Roman"/>
          <w:color w:val="000000" w:themeColor="text1"/>
          <w:w w:val="99"/>
          <w:sz w:val="24"/>
          <w:szCs w:val="24"/>
          <w:highlight w:val="none"/>
          <w14:textFill>
            <w14:solidFill>
              <w14:schemeClr w14:val="tx1"/>
            </w14:solidFill>
          </w14:textFill>
        </w:rPr>
        <w:t>大同区</w:t>
      </w:r>
      <w:r>
        <w:rPr>
          <w:rFonts w:ascii="Times New Roman" w:hAnsi="Times New Roman" w:cs="Times New Roman"/>
          <w:color w:val="000000" w:themeColor="text1"/>
          <w:w w:val="99"/>
          <w:sz w:val="24"/>
          <w:szCs w:val="24"/>
          <w:highlight w:val="none"/>
          <w14:textFill>
            <w14:solidFill>
              <w14:schemeClr w14:val="tx1"/>
            </w14:solidFill>
          </w14:textFill>
        </w:rPr>
        <w:t>八井子乡</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TW" w:bidi="zh-TW"/>
          <w14:textFill>
            <w14:solidFill>
              <w14:schemeClr w14:val="tx1"/>
            </w14:solidFill>
          </w14:textFill>
        </w:rPr>
        <w:t>，地理坐标为东经124°41′10.96″</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CN" w:bidi="zh-TW"/>
          <w14:textFill>
            <w14:solidFill>
              <w14:schemeClr w14:val="tx1"/>
            </w14:solidFill>
          </w14:textFill>
        </w:rPr>
        <w:t>-124°43′</w:t>
      </w: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ascii="Times New Roman" w:hAnsi="Times New Roman" w:cs="Times New Roman"/>
          <w:bCs/>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CN" w:bidi="zh-TW"/>
          <w14:textFill>
            <w14:solidFill>
              <w14:schemeClr w14:val="tx1"/>
            </w14:solidFill>
          </w14:textFill>
        </w:rPr>
        <w:t>10.96″</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TW" w:bidi="zh-TW"/>
          <w14:textFill>
            <w14:solidFill>
              <w14:schemeClr w14:val="tx1"/>
            </w14:solidFill>
          </w14:textFill>
        </w:rPr>
        <w:t>，</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CN" w:bidi="zh-TW"/>
          <w14:textFill>
            <w14:solidFill>
              <w14:schemeClr w14:val="tx1"/>
            </w14:solidFill>
          </w14:textFill>
        </w:rPr>
        <w:t>45°59′45.65″-</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TW" w:bidi="zh-TW"/>
          <w14:textFill>
            <w14:solidFill>
              <w14:schemeClr w14:val="tx1"/>
            </w14:solidFill>
          </w14:textFill>
        </w:rPr>
        <w:t>46°0′35.65″</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CN" w:bidi="zh-TW"/>
          <w14:textFill>
            <w14:solidFill>
              <w14:schemeClr w14:val="tx1"/>
            </w14:solidFill>
          </w14:textFill>
        </w:rPr>
        <w:t>，</w:t>
      </w:r>
      <w:r>
        <w:rPr>
          <w:rFonts w:ascii="Times New Roman" w:hAnsi="Times New Roman" w:cs="Times New Roman"/>
          <w:bCs/>
          <w:color w:val="000000" w:themeColor="text1"/>
          <w:w w:val="99"/>
          <w:kern w:val="2"/>
          <w:sz w:val="24"/>
          <w:szCs w:val="20"/>
          <w:highlight w:val="none"/>
          <w:lang w:val="en-US"/>
          <w14:textFill>
            <w14:solidFill>
              <w14:schemeClr w14:val="tx1"/>
            </w14:solidFill>
          </w14:textFill>
        </w:rPr>
        <w:t>本项目地理位置见附图1。</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4.1.2 地形地貌</w:t>
      </w:r>
    </w:p>
    <w:p>
      <w:pPr>
        <w:pStyle w:val="14"/>
        <w:keepNext w:val="0"/>
        <w:keepLines w:val="0"/>
        <w:pageBreakBefore w:val="0"/>
        <w:kinsoku/>
        <w:wordWrap/>
        <w:overflowPunct/>
        <w:topLinePunct w:val="0"/>
        <w:bidi w:val="0"/>
        <w:adjustRightInd/>
        <w:snapToGrid/>
        <w:spacing w:line="440" w:lineRule="exact"/>
        <w:ind w:firstLine="474" w:firstLineChars="200"/>
        <w:jc w:val="both"/>
        <w:textAlignment w:val="auto"/>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kern w:val="2"/>
          <w:sz w:val="24"/>
          <w:szCs w:val="20"/>
          <w:highlight w:val="none"/>
          <w:lang w:val="en-US"/>
          <w14:textFill>
            <w14:solidFill>
              <w14:schemeClr w14:val="tx1"/>
            </w14:solidFill>
          </w14:textFill>
        </w:rPr>
        <w:t>开发区域位于松花江、嫩江一级阶地上，境内无山岭，地势由北向南渐低。地貌表现为波状起伏的低平原，稍高处为平缓漫岗，地形起伏较大，地面海拔高度在133m～145m，属冲积性平原地貌，工程所在区域主要为盐碱地和耕地。</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4.1.3 气象气候</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bCs/>
          <w:color w:val="000000" w:themeColor="text1"/>
          <w:w w:val="99"/>
          <w:sz w:val="24"/>
          <w:szCs w:val="24"/>
          <w:highlight w:val="none"/>
          <w:lang w:val="en-US" w:bidi="ar-SA"/>
          <w14:textFill>
            <w14:solidFill>
              <w14:schemeClr w14:val="tx1"/>
            </w14:solidFill>
          </w14:textFill>
        </w:rPr>
      </w:pP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大庆市气象局近20年气象观测资料显示，该地区属北温带大陆性季风气候，四季分明，受蒙古内陆冷空气和海洋暖流季风影响较大，冬季漫长而寒冷干燥，夏季短暂而温湿多雨，春秋季风交替，气温变化大，冰封期长，无霜期短，冻土深达2-2.2m。</w:t>
      </w:r>
    </w:p>
    <w:p>
      <w:pPr>
        <w:widowControl/>
        <w:autoSpaceDE/>
        <w:autoSpaceDN/>
        <w:spacing w:line="440" w:lineRule="exact"/>
        <w:ind w:firstLine="474" w:firstLineChars="200"/>
        <w:jc w:val="both"/>
        <w:rPr>
          <w:rFonts w:ascii="Times New Roman" w:hAnsi="Times New Roman" w:cs="Times New Roman"/>
          <w:bCs/>
          <w:color w:val="000000" w:themeColor="text1"/>
          <w:w w:val="99"/>
          <w:sz w:val="24"/>
          <w:szCs w:val="24"/>
          <w:highlight w:val="none"/>
          <w:lang w:val="en-US" w:bidi="ar-SA"/>
          <w14:textFill>
            <w14:solidFill>
              <w14:schemeClr w14:val="tx1"/>
            </w14:solidFill>
          </w14:textFill>
        </w:rPr>
      </w:pP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气候：属北温带亚欧大陆东缘大陆性季风气候，受蒙古内陆冷空气和海洋暖流季风影响，冬长（11月～2月）寒冷干燥，夏短（6月～8月）温热多雨，春（3月～5月）秋（9月～10月）季风交替，气温变化急剧，多风沙。</w:t>
      </w:r>
    </w:p>
    <w:p>
      <w:pPr>
        <w:widowControl/>
        <w:autoSpaceDE/>
        <w:autoSpaceDN/>
        <w:spacing w:line="440" w:lineRule="exact"/>
        <w:ind w:firstLine="474" w:firstLineChars="200"/>
        <w:jc w:val="both"/>
        <w:rPr>
          <w:rFonts w:ascii="Times New Roman" w:hAnsi="Times New Roman" w:cs="Times New Roman"/>
          <w:bCs/>
          <w:color w:val="000000" w:themeColor="text1"/>
          <w:w w:val="99"/>
          <w:sz w:val="24"/>
          <w:szCs w:val="24"/>
          <w:highlight w:val="none"/>
          <w:lang w:val="en-US" w:bidi="ar-SA"/>
          <w14:textFill>
            <w14:solidFill>
              <w14:schemeClr w14:val="tx1"/>
            </w14:solidFill>
          </w14:textFill>
        </w:rPr>
      </w:pP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气温：夏季雨热同期，冬季寒冷漫长，历年平均气温3.6°C，历年最高气温38.9°C，历年最低气温-36.2°C，一月份平均气温-19.1°C，七月份平均气温22.9°C。</w:t>
      </w:r>
    </w:p>
    <w:p>
      <w:pPr>
        <w:widowControl/>
        <w:autoSpaceDE/>
        <w:autoSpaceDN/>
        <w:spacing w:line="440" w:lineRule="exact"/>
        <w:ind w:firstLine="474" w:firstLineChars="200"/>
        <w:jc w:val="both"/>
        <w:rPr>
          <w:rFonts w:ascii="Times New Roman" w:hAnsi="Times New Roman" w:cs="Times New Roman"/>
          <w:bCs/>
          <w:color w:val="000000" w:themeColor="text1"/>
          <w:w w:val="99"/>
          <w:sz w:val="24"/>
          <w:szCs w:val="24"/>
          <w:highlight w:val="none"/>
          <w:lang w:val="en-US" w:bidi="ar-SA"/>
          <w14:textFill>
            <w14:solidFill>
              <w14:schemeClr w14:val="tx1"/>
            </w14:solidFill>
          </w14:textFill>
        </w:rPr>
      </w:pP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风速：平均风速3.8m/s，年最大风速为22.7m/s，SW。</w:t>
      </w:r>
    </w:p>
    <w:p>
      <w:pPr>
        <w:widowControl/>
        <w:autoSpaceDE/>
        <w:autoSpaceDN/>
        <w:spacing w:line="440" w:lineRule="exact"/>
        <w:ind w:firstLine="474" w:firstLineChars="200"/>
        <w:jc w:val="both"/>
        <w:rPr>
          <w:rFonts w:ascii="Times New Roman" w:hAnsi="Times New Roman" w:cs="Times New Roman"/>
          <w:bCs/>
          <w:color w:val="000000" w:themeColor="text1"/>
          <w:w w:val="99"/>
          <w:sz w:val="24"/>
          <w:szCs w:val="24"/>
          <w:highlight w:val="none"/>
          <w:lang w:val="en-US" w:bidi="ar-SA"/>
          <w14:textFill>
            <w14:solidFill>
              <w14:schemeClr w14:val="tx1"/>
            </w14:solidFill>
          </w14:textFill>
        </w:rPr>
      </w:pP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降水量：年平均445mm，年最大降水量651.2mm。年平均水气压：8.2hpa。</w:t>
      </w:r>
    </w:p>
    <w:p>
      <w:pPr>
        <w:autoSpaceDE/>
        <w:autoSpaceDN/>
        <w:spacing w:line="440" w:lineRule="exact"/>
        <w:ind w:firstLine="480"/>
        <w:jc w:val="both"/>
        <w:rPr>
          <w:rFonts w:ascii="Times New Roman" w:hAnsi="Times New Roman" w:cs="Times New Roman"/>
          <w:bCs/>
          <w:color w:val="000000" w:themeColor="text1"/>
          <w:w w:val="99"/>
          <w:sz w:val="24"/>
          <w:szCs w:val="24"/>
          <w:highlight w:val="none"/>
          <w:lang w:val="en-US" w:bidi="ar-SA"/>
          <w14:textFill>
            <w14:solidFill>
              <w14:schemeClr w14:val="tx1"/>
            </w14:solidFill>
          </w14:textFill>
        </w:rPr>
      </w:pP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降雪量：平均积雪158d，最大积雪深度220.0mm。</w:t>
      </w:r>
    </w:p>
    <w:p>
      <w:pPr>
        <w:spacing w:line="440" w:lineRule="exact"/>
        <w:ind w:firstLine="482"/>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蒸发量：年平均蒸发量1531.4mm，年最大蒸发量1711.0mm，年最小蒸发量1378.4mm。</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4.1.4</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地表水体</w:t>
      </w:r>
    </w:p>
    <w:p>
      <w:pPr>
        <w:widowControl/>
        <w:autoSpaceDE/>
        <w:autoSpaceDN/>
        <w:spacing w:line="440" w:lineRule="exact"/>
        <w:ind w:firstLine="474" w:firstLineChars="200"/>
        <w:jc w:val="both"/>
        <w:rPr>
          <w:rFonts w:ascii="Times New Roman" w:hAnsi="Times New Roman" w:cs="Times New Roman"/>
          <w:bCs/>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本工程</w:t>
      </w:r>
      <w:r>
        <w:rPr>
          <w:rFonts w:hint="eastAsia" w:ascii="Times New Roman" w:hAnsi="Times New Roman" w:cs="Times New Roman"/>
          <w:bCs/>
          <w:color w:val="000000" w:themeColor="text1"/>
          <w:w w:val="99"/>
          <w:sz w:val="24"/>
          <w:szCs w:val="24"/>
          <w:highlight w:val="none"/>
          <w:lang w:val="en-US" w:eastAsia="zh-CN" w:bidi="ar-SA"/>
          <w14:textFill>
            <w14:solidFill>
              <w14:schemeClr w14:val="tx1"/>
            </w14:solidFill>
          </w14:textFill>
        </w:rPr>
        <w:t>井场</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周边主要分布</w:t>
      </w:r>
      <w:r>
        <w:rPr>
          <w:rFonts w:hint="eastAsia" w:ascii="Times New Roman" w:hAnsi="Times New Roman" w:cs="Times New Roman"/>
          <w:bCs/>
          <w:color w:val="000000" w:themeColor="text1"/>
          <w:w w:val="99"/>
          <w:sz w:val="24"/>
          <w:szCs w:val="24"/>
          <w:highlight w:val="none"/>
          <w:lang w:val="en-US" w:eastAsia="zh-CN" w:bidi="ar-SA"/>
          <w14:textFill>
            <w14:solidFill>
              <w14:schemeClr w14:val="tx1"/>
            </w14:solidFill>
          </w14:textFill>
        </w:rPr>
        <w:t>1</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个</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地表水体为</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康家围子泡</w:t>
      </w:r>
      <w:r>
        <w:rPr>
          <w:rFonts w:hint="eastAsia" w:ascii="Times New Roman" w:hAnsi="Times New Roman" w:cs="Times New Roman"/>
          <w:bCs/>
          <w:color w:val="000000" w:themeColor="text1"/>
          <w:w w:val="99"/>
          <w:sz w:val="24"/>
          <w:szCs w:val="24"/>
          <w:highlight w:val="none"/>
          <w:lang w:val="en-US" w:eastAsia="zh-CN" w:bidi="ar-SA"/>
          <w14:textFill>
            <w14:solidFill>
              <w14:schemeClr w14:val="tx1"/>
            </w14:solidFill>
          </w14:textFill>
        </w:rPr>
        <w:t>，葡70-672、葡70-斜682</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井场</w:t>
      </w:r>
      <w:r>
        <w:rPr>
          <w:rFonts w:hint="eastAsia" w:ascii="Times New Roman" w:hAnsi="Times New Roman" w:cs="Times New Roman"/>
          <w:bCs/>
          <w:color w:val="000000" w:themeColor="text1"/>
          <w:w w:val="99"/>
          <w:sz w:val="24"/>
          <w:szCs w:val="24"/>
          <w:highlight w:val="none"/>
          <w:lang w:val="en-US" w:eastAsia="zh-CN" w:bidi="ar-SA"/>
          <w14:textFill>
            <w14:solidFill>
              <w14:schemeClr w14:val="tx1"/>
            </w14:solidFill>
          </w14:textFill>
        </w:rPr>
        <w:t>位于</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康家围子</w:t>
      </w:r>
      <w:r>
        <w:rPr>
          <w:rFonts w:hint="eastAsia" w:ascii="Times New Roman" w:hAnsi="Times New Roman" w:cs="Times New Roman"/>
          <w:bCs/>
          <w:color w:val="000000" w:themeColor="text1"/>
          <w:w w:val="99"/>
          <w:sz w:val="24"/>
          <w:szCs w:val="24"/>
          <w:highlight w:val="none"/>
          <w:lang w:val="en-US" w:eastAsia="zh-CN" w:bidi="ar-SA"/>
          <w14:textFill>
            <w14:solidFill>
              <w14:schemeClr w14:val="tx1"/>
            </w14:solidFill>
          </w14:textFill>
        </w:rPr>
        <w:t>泡东侧</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水域面积约17.4km</w:t>
      </w:r>
      <w:r>
        <w:rPr>
          <w:rFonts w:ascii="Times New Roman" w:hAnsi="Times New Roman" w:cs="Times New Roman"/>
          <w:bCs/>
          <w:color w:val="000000" w:themeColor="text1"/>
          <w:w w:val="99"/>
          <w:sz w:val="24"/>
          <w:szCs w:val="24"/>
          <w:highlight w:val="none"/>
          <w:vertAlign w:val="superscript"/>
          <w:lang w:val="en-US" w:bidi="ar-SA"/>
          <w14:textFill>
            <w14:solidFill>
              <w14:schemeClr w14:val="tx1"/>
            </w14:solidFill>
          </w14:textFill>
        </w:rPr>
        <w:t>2</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，主要</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为</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雨水汇集</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泡</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。项目</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区域地表水系图见附图</w:t>
      </w:r>
      <w:r>
        <w:rPr>
          <w:rFonts w:hint="eastAsia" w:ascii="Times New Roman" w:hAnsi="Times New Roman" w:cs="Times New Roman"/>
          <w:bCs/>
          <w:color w:val="000000" w:themeColor="text1"/>
          <w:w w:val="99"/>
          <w:sz w:val="24"/>
          <w:szCs w:val="24"/>
          <w:highlight w:val="none"/>
          <w:lang w:val="en-US" w:eastAsia="zh-CN" w:bidi="ar-SA"/>
          <w14:textFill>
            <w14:solidFill>
              <w14:schemeClr w14:val="tx1"/>
            </w14:solidFill>
          </w14:textFill>
        </w:rPr>
        <w:t>17</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4.1.4 水文地质</w:t>
      </w:r>
    </w:p>
    <w:p>
      <w:pPr>
        <w:widowControl/>
        <w:autoSpaceDE/>
        <w:autoSpaceDN/>
        <w:spacing w:line="434" w:lineRule="exact"/>
        <w:outlineLvl w:val="3"/>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4.1.4.1</w:t>
      </w:r>
      <w:r>
        <w:rPr>
          <w:rFonts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地质概况</w:t>
      </w:r>
    </w:p>
    <w:p>
      <w:pPr>
        <w:widowControl/>
        <w:overflowPunct w:val="0"/>
        <w:adjustRightInd w:val="0"/>
        <w:snapToGrid w:val="0"/>
        <w:spacing w:line="440" w:lineRule="exact"/>
        <w:ind w:firstLine="474" w:firstLineChars="200"/>
        <w:jc w:val="both"/>
        <w:textAlignment w:val="baseline"/>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区域地质构造位置处于古隆凹陷南部，由于白垩系晚期和第三系以来，大庆长垣以西地区持续下降，而且下降幅度较大，沉积了厚度较大的的第三系和第四系。尤其是第三系上统泰康组比较发育，形成了一套河床相厚层砂砾岩，为地下水的富集创造了良好的空间条件。根据地质钻探资料分析，区域浅部地层从上到下依次为第四系、第三系上统泰康组、白垩系上统明水组。由于区域白垩系上统明水组较深，所以不作为区域主要目的含水层。</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白垩系明水组（K2m）</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地层广泛分布于区域内，由于受地质沉积作用的影响，地层埋藏较深，地层顶部埋深为110～122m，岩性为浅灰、灰绿色泥岩，含砂砾岩与褐红色、砖红色泥岩组成。上为灰黑色泥页岩，下部为灰绿色砂岩、泥治砂岩互层，砂岩。</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第三系上统泰康组（N2t）</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区域泰康组广泛分布，发育良好。地层厚度60～80m，变化趋势向西厚度逐渐变厚，向南厚度逐渐变厚，趋于稳定。泰康组中下部为厚层块状河床相沉积的灰白色砂砾岩。上部为较薄的灰绿色、黄绿色泥岩，局部为砂质泥岩、泥质砂岩或粉砂岩构成厚度不等的交互层。地层结构表现为上细下粗的明显正旋回特征。泰康组地层与下伏白垩系上统明水组呈角度不整合接触。</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第四系（Q）</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全新统冲积层（Q</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主要分布在河漫滩冲积层、低平原内残留湖泡的沉积层及近代风砂层等。厚度不等，只有数米，分布不稳定。</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上更新统齐齐哈尔组（Q</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广泛分布于区域，岩性为粉质粘土和粉细砂。粉质粘土：黄褐色-褐黄色，软塑～可塑，土质不均匀，局部夹有粉土，手捻有砂粒感，含氧化铁斑点，中压缩性，干强度中等，韧性中等，稍有光滑，无摇振反应，地层厚度为15～17.5m。局部夹粉土、粉细砂层，微显层理，裂隙较发育，具有大的孔隙。分布于评价区表层。</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中更新统荒山组（Q</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广泛分布区域，岩性为河湖相沉积的灰黑色粘土，地层厚度较为均匀，微显层理，局部夹有粉细砂层，致密坚硬，局部由铁质浸染，地层厚度为20.0～25.5m。土质致密，渗透性较差，渗透系数一般在1.0×10</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-6</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 xml:space="preserve"> ～1.0×1.0</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- 7</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cm/ s，为区域弱透水层，由铁质浸染的斑点条带，含铁钙质结核及白色钙质斑点。</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4</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白土山组（Q</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1</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区域均有分布，分布不均，岩性为乳白色砂砾石，局部有少量的杂色中粗砂沉积层，埋藏深度及厚度均自东向西、自南向北加深加厚。埋深22.0m～25.0m，地层厚度8.5m～13.5m。</w:t>
      </w:r>
    </w:p>
    <w:p>
      <w:pPr>
        <w:pStyle w:val="14"/>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第四系与下伏第三系依安组地层为不整合接触。区域综合水文地质图见附图</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8</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4</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地质构造</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评价区位于松辽盆地北部的中央拗陷区。松辽盆地是中、新生代形成的一北北东向菱形断拗盆地。沉积岩厚度最大可达6000m以上，由侏罗系、白垩系、第三系、第四系陆相沉积构成。主要构造格局呈“中隆侧凹”形态，即大庆长垣东部三肇凹陷的北部。</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区内上部由第四系松散堆积物所覆盖，未发现断裂构造分布。</w:t>
      </w:r>
    </w:p>
    <w:p>
      <w:pPr>
        <w:pStyle w:val="14"/>
        <w:spacing w:line="440" w:lineRule="exact"/>
        <w:ind w:firstLine="474" w:firstLineChars="200"/>
        <w:jc w:val="both"/>
        <w:rPr>
          <w:rFonts w:ascii="Times New Roman" w:hAnsi="Times New Roman" w:cs="Times New Roman"/>
          <w:color w:val="000000" w:themeColor="text1"/>
          <w:w w:val="99"/>
          <w:sz w:val="32"/>
          <w:szCs w:val="24"/>
          <w:highlight w:val="none"/>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根据《中国地震动参数区划图》(GB18306—2001)，本区地震动峰值加速度为0.05g，相应的地震基本烈度为</w:t>
      </w:r>
      <w:r>
        <w:rPr>
          <w:rFonts w:hint="eastAsia"/>
          <w:color w:val="000000" w:themeColor="text1"/>
          <w:w w:val="99"/>
          <w:kern w:val="2"/>
          <w:sz w:val="24"/>
          <w:szCs w:val="24"/>
          <w:highlight w:val="none"/>
          <w:lang w:val="en-US" w:bidi="ar-SA"/>
          <w14:textFill>
            <w14:solidFill>
              <w14:schemeClr w14:val="tx1"/>
            </w14:solidFill>
          </w14:textFill>
        </w:rPr>
        <w:t>Ⅵ</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度。</w:t>
      </w:r>
    </w:p>
    <w:p>
      <w:pPr>
        <w:widowControl/>
        <w:autoSpaceDE/>
        <w:autoSpaceDN/>
        <w:spacing w:line="434" w:lineRule="exact"/>
        <w:outlineLvl w:val="3"/>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bidi="ar-SA"/>
          <w14:textFill>
            <w14:solidFill>
              <w14:schemeClr w14:val="tx1"/>
            </w14:solidFill>
          </w14:textFill>
        </w:rPr>
        <w:t>4.1.4.2项目区水文地质条件</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1</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）第四系上更新统松散层孔隙潜水</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分布于全区，含水层岩性为上更新统齐齐哈尔组粉细砂组成，厚度1</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.5</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～2.5</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。地下水水位埋深2</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.4</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～4</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.5m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，弱富水性，单井涌水量小于</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100m</w:t>
      </w:r>
      <w:r>
        <w:rPr>
          <w:rFonts w:ascii="Times New Roman" w:hAnsi="Times New Roman" w:cs="Times New Roman"/>
          <w:color w:val="000000" w:themeColor="text1"/>
          <w:w w:val="99"/>
          <w:kern w:val="2"/>
          <w:sz w:val="24"/>
          <w:szCs w:val="20"/>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/d</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，该层水为大气降水的垂直入渗补给，无开采供水条件。</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 xml:space="preserve"> </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2</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）第四系下更新统白土山组松散岩类孔隙承压水</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分布于全区，含水层主要由河湖相沉积的灰白色、杂色砂、砂砾石组成，偶夹粘土透镜体。含水层顶板埋深22.0～25.5</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，含水层厚度8</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.5</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～13.5</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，承压水头高度6～8</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，渗透系数</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5.0</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15.0m/d</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。富水性较强，单井涌水量为</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1</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2</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0</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1</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5</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00m</w:t>
      </w:r>
      <w:r>
        <w:rPr>
          <w:rFonts w:ascii="Times New Roman" w:hAnsi="Times New Roman" w:cs="Times New Roman"/>
          <w:color w:val="000000" w:themeColor="text1"/>
          <w:w w:val="99"/>
          <w:kern w:val="2"/>
          <w:sz w:val="24"/>
          <w:szCs w:val="20"/>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/d</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（3）第三系上统泰康组孔隙裂隙承压水含水层</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泰康组承压含水层其岩性主要是砂砾岩，与上部第四系含水层之间有一层不布不稳定的泥岩，厚度一般在22～30m，成岩性不好，胶结较差，具有一定的透水性。砂砾岩层结构松散，颗粒较粗，分选性较好，透水性强、富水性好，自上而下由细变粗，呈明显河流相沉积，沉积发育比较稳定，区域含水层由东向西逐渐增大，由东向西逐渐变薄，顶板埋深一般在100～120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之间，含水层累计厚度为60～70m，承压水头埋深8.0～12.0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，渗透系数2</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5.0</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～3</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5.0m/d</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4</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）白垩系上统明水组孔隙裂隙承压水含水层</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 xml:space="preserve">按其埋藏条件和含水层特点，分为明水组二段含水层和明水组一段含水层 </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0"/>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明水组二段含水层</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明水组二段含水层主要由中粗砂岩组成。区域均有分布。明二段含水层沉积特征受构造运动的影响较大，分布不稳定，多以较大范围的透镜体分布。含水层单层较多，一般2-10层，单层厚度3.0-12.0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，累计厚度10.0-30.0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，局部最厚可达85.0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 xml:space="preserve"> 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。含水层顶板埋藏深度200.0-205.0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 xml:space="preserve">。 </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明水组二段含水层发育相对较差，层数多，沉积主要以透镜体状分布，含水层岩石颗粒较细，孔隙较小而连通性差，有效孔隙度偏小，富水性略差。区域 273</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管单井出水量430-1700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ascii="Times New Roman" w:hAnsi="Times New Roman" w:cs="Times New Roman"/>
          <w:color w:val="000000" w:themeColor="text1"/>
          <w:w w:val="99"/>
          <w:kern w:val="2"/>
          <w:sz w:val="24"/>
          <w:szCs w:val="20"/>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/d</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 xml:space="preserve">，最大静水位埋深目前已达到38m多。 </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0"/>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 xml:space="preserve">明水组一段含水层 </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明水组一段含水层主要由粗砂岩和含砾砂岩组成。与明水组二段含水层分布一样。明水组一段含水层沉积特征受构造运动的影响很小，含水层分布稳定性较好，特别是明一段上部含水层呈连续分布，沉积发育良好。明水组一段含水层单层数较明二段少，1-8个单层，单层厚度3.0-29.0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。含水层累计厚度20.0-55.0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。含水层顶板埋藏深度350-380.0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，由南向北逐渐增大。</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明水组一段含水层单层厚度较大，区域分布十分稳定，岩石颗粒较粗，有效孔隙度较大，富水性较强。在区域明水组一段含水层273</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井管单井出水量1000-2360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ascii="Times New Roman" w:hAnsi="Times New Roman" w:cs="Times New Roman"/>
          <w:color w:val="000000" w:themeColor="text1"/>
          <w:w w:val="99"/>
          <w:kern w:val="2"/>
          <w:sz w:val="24"/>
          <w:szCs w:val="20"/>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/d</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，含水层由北向南富水性增强，区域水位最大埋深已达43</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。水文地质</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剖面和柱状图见附图</w:t>
      </w: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9</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和</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附图</w:t>
      </w: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10</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w:t>
      </w:r>
    </w:p>
    <w:p>
      <w:pPr>
        <w:pStyle w:val="14"/>
        <w:spacing w:line="440" w:lineRule="exact"/>
        <w:jc w:val="both"/>
        <w:rPr>
          <w:rFonts w:ascii="Times New Roman" w:hAnsi="Times New Roman" w:eastAsia="黑体" w:cs="Times New Roman"/>
          <w:b/>
          <w:bCs/>
          <w:color w:val="000000" w:themeColor="text1"/>
          <w:spacing w:val="-1"/>
          <w:w w:val="99"/>
          <w:sz w:val="24"/>
          <w:szCs w:val="24"/>
          <w:highlight w:val="none"/>
          <w:lang w:val="en-US"/>
          <w14:textFill>
            <w14:solidFill>
              <w14:schemeClr w14:val="tx1"/>
            </w14:solidFill>
          </w14:textFill>
        </w:rPr>
      </w:pPr>
      <w:r>
        <w:rPr>
          <w:rFonts w:hint="eastAsia" w:ascii="Times New Roman" w:hAnsi="Times New Roman" w:eastAsia="黑体" w:cs="Times New Roman"/>
          <w:b/>
          <w:bCs/>
          <w:color w:val="000000" w:themeColor="text1"/>
          <w:spacing w:val="-1"/>
          <w:w w:val="99"/>
          <w:sz w:val="24"/>
          <w:szCs w:val="24"/>
          <w:highlight w:val="none"/>
          <w:lang w:val="en-US"/>
          <w14:textFill>
            <w14:solidFill>
              <w14:schemeClr w14:val="tx1"/>
            </w14:solidFill>
          </w14:textFill>
        </w:rPr>
        <w:t>4.1.4.3</w:t>
      </w:r>
      <w:r>
        <w:rPr>
          <w:rFonts w:ascii="Times New Roman" w:hAnsi="Times New Roman" w:eastAsia="黑体" w:cs="Times New Roman"/>
          <w:b/>
          <w:bCs/>
          <w:color w:val="000000" w:themeColor="text1"/>
          <w:spacing w:val="-1"/>
          <w:w w:val="99"/>
          <w:sz w:val="24"/>
          <w:szCs w:val="24"/>
          <w:highlight w:val="none"/>
          <w:lang w:val="en-US"/>
          <w14:textFill>
            <w14:solidFill>
              <w14:schemeClr w14:val="tx1"/>
            </w14:solidFill>
          </w14:textFill>
        </w:rPr>
        <w:t>地下水的补给、径流和排泄条件</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地质环境决定了地下水的补给、径流、排泄规律。而其补给、径流和排泄构成了含水层地下水流系统的形成条件。</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（1）地下水补给</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0"/>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大气降雨补给</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从区域主要含水层分布可以看出，含水层的补给主要地表水补给和降雨垂向补给上部第四系孔隙潜水含水层，潜水通过透水层越流补给下部的白土山组含水层、明水组含水层。</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0"/>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地表水体的入渗补给</w:t>
      </w:r>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textAlignment w:val="auto"/>
        <w:rPr>
          <w:rFonts w:hint="eastAsia" w:ascii="Times New Roman" w:hAnsi="Times New Roman" w:eastAsia="宋体" w:cs="Times New Roman"/>
          <w:color w:val="000000" w:themeColor="text1"/>
          <w:w w:val="99"/>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
          <w:sz w:val="24"/>
          <w:szCs w:val="20"/>
          <w:highlight w:val="none"/>
          <w:lang w:val="en-US" w:eastAsia="zh-CN" w:bidi="ar-SA"/>
          <w14:textFill>
            <w14:solidFill>
              <w14:schemeClr w14:val="tx1"/>
            </w14:solidFill>
          </w14:textFill>
        </w:rPr>
        <w:t>评价区有康家围子泡，地表水的入渗水量构成了第四系潜水补给的主要来源。</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0"/>
          <w:highlight w:val="none"/>
          <w:lang w:val="en-US"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侧向补给</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在天然条件下，主要来自区域以外广泛连续分布的同一含水层中的地下水，地下水在水动力驱动下，通过水平方向径流补给区域内地下水，但目前区域由于受到开采地下水的形成降落漏斗的影响，天然流场有所改变。潜水由北向南，承压水由东向西都有一定量的地下水侧向补给。</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（2）地下水径流规律</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评价区内地下水的径流方向在不同层位有所不同。上部潜水含水层主要由粉细砂组成，颗粒较细，分布不连续，透水性较差，且受地形影响，地下水径流滞缓，评价区范围内地下水流向不明显，区域上总体流向随地势由东北向西南流，</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区域</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潜水</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等水位线见附图</w:t>
      </w: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11</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。而承压含水层受地下水开采影响，区域水位下降，由于人工流场的形成，改变了地下水的天然径流状态，地下水的径流方向则为由西北向东南，</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区域</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承压水</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等水位线见附图</w:t>
      </w: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12</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（3）地下水排泄</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在人为活动影响条件下，规划区地下水的排泄主要有三种类型，即蒸发排泄、侧向径流排泄、人工开采。</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0"/>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潜水蒸发排泄</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该区属干旱、半干旱季风气候区，区内水面和沼泽湿地较为发育，由于气候干燥，尤其是在多风少雨的春末初夏，降水量小200mm，蒸发强度大（1100～1600mm），因此蒸发是潜水的主要排泄方式。</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0"/>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侧向径流排泄</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潜水地下水通过同一含水层向区域南部径流流出区域，白垩系承压水向南流向了漏斗中心。</w:t>
      </w:r>
    </w:p>
    <w:p>
      <w:pPr>
        <w:pStyle w:val="14"/>
        <w:spacing w:line="440" w:lineRule="exact"/>
        <w:ind w:firstLine="474" w:firstLineChars="200"/>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0"/>
          <w:highlight w:val="none"/>
          <w:lang w:val="en-US"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人工开采</w:t>
      </w:r>
    </w:p>
    <w:p>
      <w:pPr>
        <w:pStyle w:val="14"/>
        <w:spacing w:line="440" w:lineRule="exact"/>
        <w:ind w:firstLine="474" w:firstLineChars="200"/>
        <w:jc w:val="both"/>
        <w:rPr>
          <w:rFonts w:ascii="Times New Roman" w:hAnsi="Times New Roman" w:cs="Times New Roman"/>
          <w:color w:val="000000" w:themeColor="text1"/>
          <w:w w:val="99"/>
          <w:sz w:val="32"/>
          <w:szCs w:val="24"/>
          <w:highlight w:val="none"/>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区域是地下水人工开采主要目的层为白垩系明水含水层，含水层埋深200m-300m。根据统计资料，近年来</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地下水开采</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量呈</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逐年下降</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趋势。</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4.1.5 土壤类型与植被分布</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根据现场踏勘及资料显示，工程所在区域内主要土壤类型为风沙土、草甸土。</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草甸土</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草甸土是温带低洼地区受地下水浸润作用，在腐殖质积累和潴育化过程下形成的具有腐殖质表层和潴育层的半水成土壤。主要分布在东北平原、内蒙古和西北地区的河谷平原或湖盆地区，其自然植被为湿生型与中生型草甸植被。</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草甸土类是区域内比较肥沃的土壤，包含三个亚类：石灰性草甸土，盐化草甸土， 碱化草甸土。</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草甸土的植被，除了农田以外，草原植被以羊草和拂子茅为优势种，伴生有萎菱菜、地榆、胡枝子、蒿属、虎尾草、星星草等。</w:t>
      </w:r>
    </w:p>
    <w:p>
      <w:pPr>
        <w:pStyle w:val="45"/>
        <w:tabs>
          <w:tab w:val="left" w:pos="1041"/>
        </w:tabs>
        <w:spacing w:line="440" w:lineRule="exact"/>
        <w:ind w:left="440" w:leftChars="200" w:firstLine="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风沙土</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风沙土是干旱与半干旱地区，沙化-风蚀-流沙过程形成的幼年土。主要分布在我国华北、东北、西北地区，以及黄河海河平原的古河道和滨海海滩区。风沙土颗粒组成均一，但质地粗，渗水快，漏肥漏水，养分水平低；颗粒团聚差，易被风吹蚀，流动。风沙土是不宜开垦农用，而应该封育植被，逐步提高植被覆盖率。当植被覆盖后，风沙土会逐渐由流动风沙土发育到半固定风沙土，再逐渐发育到固定风沙土阶段。风沙土因为日夜温差大，利于糖分积累，瓜果是适宜的农作物， 花生也是适宜的作物。</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3</w:t>
      </w:r>
      <w:r>
        <w:rPr>
          <w:rFonts w:hint="eastAsia" w:ascii="Times New Roman" w:hAnsi="Times New Roman" w:cs="Times New Roman"/>
          <w:color w:val="000000" w:themeColor="text1"/>
          <w:w w:val="99"/>
          <w:sz w:val="24"/>
          <w:szCs w:val="24"/>
          <w:highlight w:val="none"/>
          <w14:textFill>
            <w14:solidFill>
              <w14:schemeClr w14:val="tx1"/>
            </w14:solidFill>
          </w14:textFill>
        </w:rPr>
        <w:t>）植被分布</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区域内主要是城乡结合区域，植被稀疏，呈镶嵌分布，粮食单产较低。植物资源以草本植物为主体，草原天然植被属于“蒙古植物区系”。在植物方面，目前主要为天然牧草，低洼地范围内生长有芦苇、三菱草、蒲草等植被；在地势较高处草原植被较为繁茂繁杂，羊草、萎菱菜和针茅为优势种，伴生种有蒿属等植物，同时还分布有碱草、碱蒿等耐盐碱植物。区域内农作物主要为玉米、花生其它蔬菜等。</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4.1.6 野生动物分布</w:t>
      </w:r>
    </w:p>
    <w:p>
      <w:pPr>
        <w:widowControl/>
        <w:autoSpaceDE/>
        <w:autoSpaceDN/>
        <w:spacing w:line="440" w:lineRule="exact"/>
        <w:ind w:firstLine="474" w:firstLineChars="200"/>
        <w:jc w:val="both"/>
        <w:rPr>
          <w:rFonts w:ascii="Times New Roman" w:hAnsi="Times New Roman" w:cs="Times New Roman"/>
          <w:bCs/>
          <w:color w:val="000000" w:themeColor="text1"/>
          <w:w w:val="99"/>
          <w:kern w:val="2"/>
          <w:sz w:val="24"/>
          <w:szCs w:val="20"/>
          <w:highlight w:val="none"/>
          <w:lang w:val="en-US" w:bidi="ar-SA"/>
          <w14:textFill>
            <w14:solidFill>
              <w14:schemeClr w14:val="tx1"/>
            </w14:solidFill>
          </w14:textFill>
        </w:rPr>
      </w:pPr>
      <w:r>
        <w:rPr>
          <w:rFonts w:ascii="Times New Roman" w:hAnsi="Times New Roman" w:cs="Times New Roman"/>
          <w:bCs/>
          <w:color w:val="000000" w:themeColor="text1"/>
          <w:w w:val="99"/>
          <w:kern w:val="2"/>
          <w:sz w:val="24"/>
          <w:szCs w:val="20"/>
          <w:highlight w:val="none"/>
          <w:lang w:val="en-US" w:bidi="ar-SA"/>
          <w14:textFill>
            <w14:solidFill>
              <w14:schemeClr w14:val="tx1"/>
            </w14:solidFill>
          </w14:textFill>
        </w:rPr>
        <w:t>区域内野生动物种类和数量均较少，伴随人类生存的农田小型鼠类、麻雀、家燕等种群数量较多，使陆生动物区系具有典型的农田动物群色彩。</w:t>
      </w:r>
    </w:p>
    <w:p>
      <w:pPr>
        <w:widowControl/>
        <w:autoSpaceDE/>
        <w:autoSpaceDN/>
        <w:spacing w:line="440" w:lineRule="exact"/>
        <w:ind w:firstLine="474" w:firstLineChars="200"/>
        <w:jc w:val="both"/>
        <w:rPr>
          <w:rFonts w:ascii="Times New Roman" w:hAnsi="Times New Roman" w:cs="Times New Roman"/>
          <w:bCs/>
          <w:color w:val="000000" w:themeColor="text1"/>
          <w:w w:val="99"/>
          <w:kern w:val="2"/>
          <w:sz w:val="24"/>
          <w:szCs w:val="20"/>
          <w:highlight w:val="none"/>
          <w:lang w:val="en-US" w:bidi="ar-SA"/>
          <w14:textFill>
            <w14:solidFill>
              <w14:schemeClr w14:val="tx1"/>
            </w14:solidFill>
          </w14:textFill>
        </w:rPr>
      </w:pPr>
      <w:r>
        <w:rPr>
          <w:rFonts w:ascii="Times New Roman" w:hAnsi="Times New Roman" w:cs="Times New Roman"/>
          <w:bCs/>
          <w:color w:val="000000" w:themeColor="text1"/>
          <w:w w:val="99"/>
          <w:kern w:val="2"/>
          <w:sz w:val="24"/>
          <w:szCs w:val="20"/>
          <w:highlight w:val="none"/>
          <w:lang w:val="en-US" w:bidi="ar-SA"/>
          <w14:textFill>
            <w14:solidFill>
              <w14:schemeClr w14:val="tx1"/>
            </w14:solidFill>
          </w14:textFill>
        </w:rPr>
        <w:t>项目所在地区内无文物古迹、风景名胜区、自然保护区和珍稀濒危野生动植物分布。</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36" w:name="_Toc27331"/>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4.2</w:t>
      </w:r>
      <w:r>
        <w:rPr>
          <w:rFonts w:hint="eastAsia" w:ascii="Times New Roman" w:hAnsi="Times New Roman" w:cs="Times New Roman" w:eastAsiaTheme="minorEastAsia"/>
          <w:b/>
          <w:bCs/>
          <w:snapToGrid w:val="0"/>
          <w:color w:val="000000" w:themeColor="text1"/>
          <w:w w:val="99"/>
          <w:sz w:val="28"/>
          <w:szCs w:val="32"/>
          <w:highlight w:val="none"/>
          <w:lang w:val="en-US" w:eastAsia="zh-CN" w:bidi="ar-SA"/>
          <w14:textFill>
            <w14:solidFill>
              <w14:schemeClr w14:val="tx1"/>
            </w14:solidFill>
          </w14:textFill>
        </w:rPr>
        <w:t>环境敏感区</w:t>
      </w:r>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调查</w:t>
      </w:r>
      <w:bookmarkEnd w:id="136"/>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本项目位于</w:t>
      </w:r>
      <w:r>
        <w:rPr>
          <w:rFonts w:ascii="Times New Roman" w:hAnsi="Times New Roman" w:cs="Times New Roman"/>
          <w:snapToGrid w:val="0"/>
          <w:color w:val="000000" w:themeColor="text1"/>
          <w:w w:val="99"/>
          <w:sz w:val="24"/>
          <w:szCs w:val="24"/>
          <w:highlight w:val="none"/>
          <w14:textFill>
            <w14:solidFill>
              <w14:schemeClr w14:val="tx1"/>
            </w14:solidFill>
          </w14:textFill>
        </w:rPr>
        <w:t>黑龙江省大庆市</w:t>
      </w:r>
      <w:r>
        <w:rPr>
          <w:rFonts w:hint="eastAsia" w:ascii="Times New Roman" w:hAnsi="Times New Roman" w:cs="Times New Roman"/>
          <w:snapToGrid w:val="0"/>
          <w:color w:val="000000" w:themeColor="text1"/>
          <w:w w:val="99"/>
          <w:sz w:val="24"/>
          <w:szCs w:val="24"/>
          <w:highlight w:val="none"/>
          <w14:textFill>
            <w14:solidFill>
              <w14:schemeClr w14:val="tx1"/>
            </w14:solidFill>
          </w14:textFill>
        </w:rPr>
        <w:t>大同区</w:t>
      </w:r>
      <w:r>
        <w:rPr>
          <w:rFonts w:hint="eastAsia" w:ascii="Times New Roman" w:hAnsi="Times New Roman" w:cs="Times New Roman"/>
          <w:snapToGrid w:val="0"/>
          <w:color w:val="000000" w:themeColor="text1"/>
          <w:w w:val="99"/>
          <w:sz w:val="24"/>
          <w:szCs w:val="24"/>
          <w:highlight w:val="none"/>
          <w:lang w:eastAsia="zh-CN"/>
          <w14:textFill>
            <w14:solidFill>
              <w14:schemeClr w14:val="tx1"/>
            </w14:solidFill>
          </w14:textFill>
        </w:rPr>
        <w:t>八井子乡</w:t>
      </w:r>
      <w:r>
        <w:rPr>
          <w:rFonts w:ascii="Times New Roman" w:hAnsi="Times New Roman" w:cs="Times New Roman"/>
          <w:color w:val="000000" w:themeColor="text1"/>
          <w:w w:val="99"/>
          <w:sz w:val="24"/>
          <w:szCs w:val="24"/>
          <w:highlight w:val="none"/>
          <w14:textFill>
            <w14:solidFill>
              <w14:schemeClr w14:val="tx1"/>
            </w14:solidFill>
          </w14:textFill>
        </w:rPr>
        <w:t>，根据现场勘查，项目区域内无</w:t>
      </w:r>
      <w:bookmarkStart w:id="137" w:name="_Hlk69493645"/>
      <w:r>
        <w:rPr>
          <w:rFonts w:ascii="Times New Roman" w:hAnsi="Times New Roman" w:cs="Times New Roman"/>
          <w:color w:val="000000" w:themeColor="text1"/>
          <w:w w:val="99"/>
          <w:sz w:val="24"/>
          <w:szCs w:val="24"/>
          <w:highlight w:val="none"/>
          <w14:textFill>
            <w14:solidFill>
              <w14:schemeClr w14:val="tx1"/>
            </w14:solidFill>
          </w14:textFill>
        </w:rPr>
        <w:t>国家、省、市级自然保护区、世界文化和自然遗产地等特殊生态敏感区</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无风景名胜区、森林公园、地质公园、重要湿地、原始天然林、珍稀濒危野生动植物天然集中分布区、重要水生生物的自然产卵场及索饵场、越冬场和洄游通道、天然渔场等重要生态敏感区</w:t>
      </w:r>
      <w:bookmarkEnd w:id="137"/>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。本项目深部驱油井区位于</w:t>
      </w:r>
      <w:r>
        <w:rPr>
          <w:rFonts w:hint="eastAsia" w:ascii="Times New Roman" w:hAnsi="Times New Roman" w:cs="Times New Roman"/>
          <w:color w:val="000000" w:themeColor="text1"/>
          <w:w w:val="99"/>
          <w:sz w:val="24"/>
          <w:szCs w:val="24"/>
          <w:highlight w:val="none"/>
          <w:lang w:val="en"/>
          <w14:textFill>
            <w14:solidFill>
              <w14:schemeClr w14:val="tx1"/>
            </w14:solidFill>
          </w14:textFill>
        </w:rPr>
        <w:t>大庆市大同区</w:t>
      </w:r>
      <w:r>
        <w:rPr>
          <w:rFonts w:hint="eastAsia" w:ascii="Times New Roman" w:hAnsi="Times New Roman" w:cs="Times New Roman"/>
          <w:color w:val="000000" w:themeColor="text1"/>
          <w:w w:val="99"/>
          <w:sz w:val="24"/>
          <w:szCs w:val="24"/>
          <w:highlight w:val="none"/>
          <w:lang w:val="en" w:eastAsia="zh-CN"/>
          <w14:textFill>
            <w14:solidFill>
              <w14:schemeClr w14:val="tx1"/>
            </w14:solidFill>
          </w14:textFill>
        </w:rPr>
        <w:t>八井子乡</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境内</w:t>
      </w:r>
      <w:r>
        <w:rPr>
          <w:rFonts w:hint="eastAsia" w:ascii="Times New Roman" w:hAnsi="Times New Roman" w:cs="Times New Roman"/>
          <w:color w:val="000000" w:themeColor="text1"/>
          <w:w w:val="99"/>
          <w:sz w:val="24"/>
          <w:szCs w:val="24"/>
          <w:highlight w:val="none"/>
          <w:lang w:val="en"/>
          <w14:textFill>
            <w14:solidFill>
              <w14:schemeClr w14:val="tx1"/>
            </w14:solidFill>
          </w14:textFill>
        </w:rPr>
        <w:t>，</w:t>
      </w:r>
      <w:r>
        <w:rPr>
          <w:rFonts w:ascii="Times New Roman" w:hAnsi="Times New Roman" w:cs="Times New Roman"/>
          <w:color w:val="000000" w:themeColor="text1"/>
          <w:w w:val="99"/>
          <w:sz w:val="24"/>
          <w:szCs w:val="24"/>
          <w:highlight w:val="none"/>
          <w:lang w:val="en"/>
          <w14:textFill>
            <w14:solidFill>
              <w14:schemeClr w14:val="tx1"/>
            </w14:solidFill>
          </w14:textFill>
        </w:rPr>
        <w:t>八井子乡</w:t>
      </w:r>
      <w:r>
        <w:rPr>
          <w:rFonts w:hint="eastAsia" w:ascii="Times New Roman" w:hAnsi="Times New Roman" w:cs="Times New Roman"/>
          <w:color w:val="000000" w:themeColor="text1"/>
          <w:w w:val="99"/>
          <w:sz w:val="24"/>
          <w:szCs w:val="24"/>
          <w:highlight w:val="none"/>
          <w:lang w:val="en"/>
          <w14:textFill>
            <w14:solidFill>
              <w14:schemeClr w14:val="tx1"/>
            </w14:solidFill>
          </w14:textFill>
        </w:rPr>
        <w:t>属于水土流失重点治理区，</w:t>
      </w:r>
      <w:r>
        <w:rPr>
          <w:rFonts w:hint="eastAsia" w:ascii="Times New Roman" w:hAnsi="Times New Roman" w:cs="Times New Roman"/>
          <w:color w:val="000000" w:themeColor="text1"/>
          <w:w w:val="99"/>
          <w:sz w:val="24"/>
          <w:szCs w:val="24"/>
          <w:highlight w:val="none"/>
          <w14:textFill>
            <w14:solidFill>
              <w14:schemeClr w14:val="tx1"/>
            </w14:solidFill>
          </w14:textFill>
        </w:rPr>
        <w:t>项目工程的开挖和填埋行为将会破坏土壤结构，项目通过对剥离表层土临时堆场地设置截排水沟等严格的水保措施防止水土流失，同时，利用土工布或塑料膜遮盖或采用水泥砂浆抹面的方法来减少水土流失。施工完成后作表层的覆土复植用，对临时堆放场地也进行植被恢复。施工完成后，随着生态保护和临时占地植被恢复措施的进行，管线建设对生态环境的影响将得到尽快恢复。</w:t>
      </w:r>
    </w:p>
    <w:p>
      <w:pPr>
        <w:pStyle w:val="14"/>
        <w:spacing w:line="440" w:lineRule="exact"/>
        <w:ind w:firstLine="474" w:firstLineChars="200"/>
        <w:jc w:val="both"/>
        <w:rPr>
          <w:rFonts w:hint="eastAsia" w:ascii="Times New Roman" w:hAnsi="Times New Roman" w:cs="Times New Roman"/>
          <w:color w:val="000000" w:themeColor="text1"/>
          <w:w w:val="99"/>
          <w:sz w:val="24"/>
          <w:szCs w:val="24"/>
          <w:highlight w:val="none"/>
          <w:lang w:eastAsia="zh-CN"/>
          <w14:textFill>
            <w14:solidFill>
              <w14:schemeClr w14:val="tx1"/>
            </w14:solidFill>
          </w14:textFill>
        </w:rPr>
      </w:pP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综上所述，拟建项目主要环境保护目标分布情况见表</w:t>
      </w:r>
      <w:r>
        <w:rPr>
          <w:rFonts w:ascii="Times New Roman" w:hAnsi="Times New Roman" w:cs="Times New Roman"/>
          <w:color w:val="000000" w:themeColor="text1"/>
          <w:w w:val="99"/>
          <w:sz w:val="24"/>
          <w:szCs w:val="24"/>
          <w:highlight w:val="none"/>
          <w:lang w:val="en-US"/>
          <w14:textFill>
            <w14:solidFill>
              <w14:schemeClr w14:val="tx1"/>
            </w14:solidFill>
          </w14:textFill>
        </w:rPr>
        <w:t>2.6-1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～表2.6-4</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38" w:name="_Toc11221"/>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4.3 环境质量现状调查</w:t>
      </w:r>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与</w:t>
      </w:r>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评价</w:t>
      </w:r>
      <w:bookmarkEnd w:id="138"/>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4.3.1 环境空气质量现状调查与评价</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本项目位于黑龙江省大庆市</w:t>
      </w:r>
      <w:r>
        <w:rPr>
          <w:rFonts w:hint="eastAsia" w:ascii="Times New Roman" w:hAnsi="Times New Roman" w:cs="Times New Roman"/>
          <w:color w:val="000000" w:themeColor="text1"/>
          <w:w w:val="99"/>
          <w:sz w:val="24"/>
          <w:szCs w:val="24"/>
          <w:highlight w:val="none"/>
          <w14:textFill>
            <w14:solidFill>
              <w14:schemeClr w14:val="tx1"/>
            </w14:solidFill>
          </w14:textFill>
        </w:rPr>
        <w:t>大同区</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八井子乡</w:t>
      </w:r>
      <w:r>
        <w:rPr>
          <w:rFonts w:ascii="Times New Roman" w:hAnsi="Times New Roman" w:cs="Times New Roman"/>
          <w:color w:val="000000" w:themeColor="text1"/>
          <w:w w:val="99"/>
          <w:sz w:val="24"/>
          <w:szCs w:val="24"/>
          <w:highlight w:val="none"/>
          <w14:textFill>
            <w14:solidFill>
              <w14:schemeClr w14:val="tx1"/>
            </w14:solidFill>
          </w14:textFill>
        </w:rPr>
        <w:t>境内，根据大庆市生态环境局发布的《2020年大庆市</w:t>
      </w:r>
      <w:r>
        <w:rPr>
          <w:rFonts w:hint="eastAsia" w:ascii="Times New Roman" w:hAnsi="Times New Roman" w:cs="Times New Roman"/>
          <w:color w:val="000000" w:themeColor="text1"/>
          <w:w w:val="99"/>
          <w:sz w:val="24"/>
          <w:szCs w:val="24"/>
          <w:highlight w:val="none"/>
          <w14:textFill>
            <w14:solidFill>
              <w14:schemeClr w14:val="tx1"/>
            </w14:solidFill>
          </w14:textFill>
        </w:rPr>
        <w:t>生态</w:t>
      </w:r>
      <w:r>
        <w:rPr>
          <w:rFonts w:ascii="Times New Roman" w:hAnsi="Times New Roman" w:cs="Times New Roman"/>
          <w:color w:val="000000" w:themeColor="text1"/>
          <w:w w:val="99"/>
          <w:sz w:val="24"/>
          <w:szCs w:val="24"/>
          <w:highlight w:val="none"/>
          <w14:textFill>
            <w14:solidFill>
              <w14:schemeClr w14:val="tx1"/>
            </w14:solidFill>
          </w14:textFill>
        </w:rPr>
        <w:t>环境状况公报》，2020 年大庆市城区环境空气质量优良天数为326天，环境空气质量优良率为89.1%，环境空气质量统计数据见表4.3-1。</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区域空气质量现状评价表</w:t>
      </w:r>
    </w:p>
    <w:tbl>
      <w:tblPr>
        <w:tblStyle w:val="32"/>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068"/>
        <w:gridCol w:w="1167"/>
        <w:gridCol w:w="1313"/>
        <w:gridCol w:w="1021"/>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污染物</w:t>
            </w:r>
          </w:p>
        </w:tc>
        <w:tc>
          <w:tcPr>
            <w:tcW w:w="3068"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年评价指标</w:t>
            </w:r>
          </w:p>
        </w:tc>
        <w:tc>
          <w:tcPr>
            <w:tcW w:w="1167"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现状浓度（μg/m</w:t>
            </w:r>
            <w:r>
              <w:rPr>
                <w:rFonts w:ascii="Times New Roman" w:hAnsi="Times New Roman" w:cs="Times New Roman"/>
                <w:bCs/>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w:t>
            </w:r>
          </w:p>
        </w:tc>
        <w:tc>
          <w:tcPr>
            <w:tcW w:w="1313"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标准值（μg/m</w:t>
            </w:r>
            <w:r>
              <w:rPr>
                <w:rFonts w:ascii="Times New Roman" w:hAnsi="Times New Roman" w:cs="Times New Roman"/>
                <w:bCs/>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w:t>
            </w:r>
          </w:p>
        </w:tc>
        <w:tc>
          <w:tcPr>
            <w:tcW w:w="1021"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占标率</w:t>
            </w:r>
          </w:p>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w:t>
            </w:r>
          </w:p>
        </w:tc>
        <w:tc>
          <w:tcPr>
            <w:tcW w:w="1227"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tcBorders>
              <w:tl2br w:val="nil"/>
              <w:tr2bl w:val="nil"/>
            </w:tcBorders>
            <w:vAlign w:val="center"/>
          </w:tcPr>
          <w:p>
            <w:pPr>
              <w:widowControl/>
              <w:adjustRightInd w:val="0"/>
              <w:snapToGrid w:val="0"/>
              <w:jc w:val="center"/>
              <w:textAlignment w:val="center"/>
              <w:rPr>
                <w:rFonts w:ascii="Times New Roman" w:hAnsi="Times New Roman" w:cs="Times New Roman"/>
                <w:bCs/>
                <w:color w:val="000000" w:themeColor="text1"/>
                <w:w w:val="99"/>
                <w:kern w:val="2"/>
                <w:sz w:val="21"/>
                <w:szCs w:val="21"/>
                <w:highlight w:val="none"/>
                <w:vertAlign w:val="subscript"/>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bCs/>
                <w:color w:val="000000" w:themeColor="text1"/>
                <w:w w:val="99"/>
                <w:kern w:val="2"/>
                <w:sz w:val="21"/>
                <w:szCs w:val="21"/>
                <w:highlight w:val="none"/>
                <w:vertAlign w:val="subscript"/>
                <w:lang w:val="en-US" w:bidi="ar-SA"/>
                <w14:textFill>
                  <w14:solidFill>
                    <w14:schemeClr w14:val="tx1"/>
                  </w14:solidFill>
                </w14:textFill>
              </w:rPr>
              <w:t>2</w:t>
            </w:r>
          </w:p>
        </w:tc>
        <w:tc>
          <w:tcPr>
            <w:tcW w:w="3068"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年平均质量浓度</w:t>
            </w:r>
          </w:p>
        </w:tc>
        <w:tc>
          <w:tcPr>
            <w:tcW w:w="1167"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9</w:t>
            </w:r>
          </w:p>
        </w:tc>
        <w:tc>
          <w:tcPr>
            <w:tcW w:w="1313"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60</w:t>
            </w:r>
          </w:p>
        </w:tc>
        <w:tc>
          <w:tcPr>
            <w:tcW w:w="1021"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15.0</w:t>
            </w:r>
          </w:p>
        </w:tc>
        <w:tc>
          <w:tcPr>
            <w:tcW w:w="1227"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tcBorders>
              <w:tl2br w:val="nil"/>
              <w:tr2bl w:val="nil"/>
            </w:tcBorders>
            <w:vAlign w:val="center"/>
          </w:tcPr>
          <w:p>
            <w:pPr>
              <w:widowControl/>
              <w:adjustRightInd w:val="0"/>
              <w:snapToGrid w:val="0"/>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NO</w:t>
            </w:r>
            <w:r>
              <w:rPr>
                <w:rFonts w:ascii="Times New Roman" w:hAnsi="Times New Roman" w:cs="Times New Roman"/>
                <w:bCs/>
                <w:color w:val="000000" w:themeColor="text1"/>
                <w:w w:val="99"/>
                <w:kern w:val="2"/>
                <w:sz w:val="21"/>
                <w:szCs w:val="21"/>
                <w:highlight w:val="none"/>
                <w:vertAlign w:val="subscript"/>
                <w:lang w:val="en-US" w:bidi="ar-SA"/>
                <w14:textFill>
                  <w14:solidFill>
                    <w14:schemeClr w14:val="tx1"/>
                  </w14:solidFill>
                </w14:textFill>
              </w:rPr>
              <w:t>2</w:t>
            </w:r>
          </w:p>
        </w:tc>
        <w:tc>
          <w:tcPr>
            <w:tcW w:w="3068"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年平均质量浓度</w:t>
            </w:r>
          </w:p>
        </w:tc>
        <w:tc>
          <w:tcPr>
            <w:tcW w:w="1167"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18</w:t>
            </w:r>
          </w:p>
        </w:tc>
        <w:tc>
          <w:tcPr>
            <w:tcW w:w="1313"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40</w:t>
            </w:r>
          </w:p>
        </w:tc>
        <w:tc>
          <w:tcPr>
            <w:tcW w:w="1021"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45.0</w:t>
            </w:r>
          </w:p>
        </w:tc>
        <w:tc>
          <w:tcPr>
            <w:tcW w:w="1227"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tcBorders>
              <w:tl2br w:val="nil"/>
              <w:tr2bl w:val="nil"/>
            </w:tcBorders>
            <w:vAlign w:val="center"/>
          </w:tcPr>
          <w:p>
            <w:pPr>
              <w:widowControl/>
              <w:adjustRightInd w:val="0"/>
              <w:snapToGrid w:val="0"/>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PM</w:t>
            </w:r>
            <w:r>
              <w:rPr>
                <w:rFonts w:ascii="Times New Roman" w:hAnsi="Times New Roman" w:cs="Times New Roman"/>
                <w:bCs/>
                <w:color w:val="000000" w:themeColor="text1"/>
                <w:w w:val="99"/>
                <w:kern w:val="2"/>
                <w:sz w:val="21"/>
                <w:szCs w:val="21"/>
                <w:highlight w:val="none"/>
                <w:vertAlign w:val="subscript"/>
                <w:lang w:val="en-US" w:bidi="ar-SA"/>
                <w14:textFill>
                  <w14:solidFill>
                    <w14:schemeClr w14:val="tx1"/>
                  </w14:solidFill>
                </w14:textFill>
              </w:rPr>
              <w:t>10</w:t>
            </w:r>
          </w:p>
        </w:tc>
        <w:tc>
          <w:tcPr>
            <w:tcW w:w="3068"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年平均质量浓度</w:t>
            </w:r>
          </w:p>
        </w:tc>
        <w:tc>
          <w:tcPr>
            <w:tcW w:w="1167"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45</w:t>
            </w:r>
          </w:p>
        </w:tc>
        <w:tc>
          <w:tcPr>
            <w:tcW w:w="1313"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70</w:t>
            </w:r>
          </w:p>
        </w:tc>
        <w:tc>
          <w:tcPr>
            <w:tcW w:w="1021"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64.3</w:t>
            </w:r>
          </w:p>
        </w:tc>
        <w:tc>
          <w:tcPr>
            <w:tcW w:w="1227"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tcBorders>
              <w:tl2br w:val="nil"/>
              <w:tr2bl w:val="nil"/>
            </w:tcBorders>
            <w:vAlign w:val="center"/>
          </w:tcPr>
          <w:p>
            <w:pPr>
              <w:widowControl/>
              <w:adjustRightInd w:val="0"/>
              <w:snapToGrid w:val="0"/>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PM</w:t>
            </w:r>
            <w:r>
              <w:rPr>
                <w:rFonts w:ascii="Times New Roman" w:hAnsi="Times New Roman" w:cs="Times New Roman"/>
                <w:bCs/>
                <w:color w:val="000000" w:themeColor="text1"/>
                <w:w w:val="99"/>
                <w:kern w:val="2"/>
                <w:sz w:val="21"/>
                <w:szCs w:val="21"/>
                <w:highlight w:val="none"/>
                <w:vertAlign w:val="subscript"/>
                <w:lang w:val="en-US" w:bidi="ar-SA"/>
                <w14:textFill>
                  <w14:solidFill>
                    <w14:schemeClr w14:val="tx1"/>
                  </w14:solidFill>
                </w14:textFill>
              </w:rPr>
              <w:t>2.5</w:t>
            </w:r>
          </w:p>
        </w:tc>
        <w:tc>
          <w:tcPr>
            <w:tcW w:w="3068"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年平均质量浓度</w:t>
            </w:r>
          </w:p>
        </w:tc>
        <w:tc>
          <w:tcPr>
            <w:tcW w:w="1167"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28</w:t>
            </w:r>
          </w:p>
        </w:tc>
        <w:tc>
          <w:tcPr>
            <w:tcW w:w="1313"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35</w:t>
            </w:r>
          </w:p>
        </w:tc>
        <w:tc>
          <w:tcPr>
            <w:tcW w:w="1021"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80.0</w:t>
            </w:r>
          </w:p>
        </w:tc>
        <w:tc>
          <w:tcPr>
            <w:tcW w:w="1227"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tcBorders>
              <w:tl2br w:val="nil"/>
              <w:tr2bl w:val="nil"/>
            </w:tcBorders>
            <w:vAlign w:val="center"/>
          </w:tcPr>
          <w:p>
            <w:pPr>
              <w:widowControl/>
              <w:adjustRightInd w:val="0"/>
              <w:snapToGrid w:val="0"/>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CO</w:t>
            </w:r>
          </w:p>
        </w:tc>
        <w:tc>
          <w:tcPr>
            <w:tcW w:w="3068"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24小时平均第95位百分位数</w:t>
            </w:r>
          </w:p>
        </w:tc>
        <w:tc>
          <w:tcPr>
            <w:tcW w:w="1167"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1100</w:t>
            </w:r>
          </w:p>
        </w:tc>
        <w:tc>
          <w:tcPr>
            <w:tcW w:w="1313"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vertAlign w:val="superscript"/>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4000</w:t>
            </w:r>
          </w:p>
        </w:tc>
        <w:tc>
          <w:tcPr>
            <w:tcW w:w="1021"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27.5</w:t>
            </w:r>
          </w:p>
        </w:tc>
        <w:tc>
          <w:tcPr>
            <w:tcW w:w="1227"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88" w:type="dxa"/>
            <w:tcBorders>
              <w:tl2br w:val="nil"/>
              <w:tr2bl w:val="nil"/>
            </w:tcBorders>
            <w:vAlign w:val="center"/>
          </w:tcPr>
          <w:p>
            <w:pPr>
              <w:widowControl/>
              <w:adjustRightInd w:val="0"/>
              <w:snapToGrid w:val="0"/>
              <w:jc w:val="center"/>
              <w:textAlignment w:val="center"/>
              <w:rPr>
                <w:rFonts w:ascii="Times New Roman" w:hAnsi="Times New Roman" w:cs="Times New Roman"/>
                <w:bCs/>
                <w:color w:val="000000" w:themeColor="text1"/>
                <w:w w:val="99"/>
                <w:kern w:val="2"/>
                <w:sz w:val="21"/>
                <w:szCs w:val="21"/>
                <w:highlight w:val="none"/>
                <w:vertAlign w:val="subscript"/>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O</w:t>
            </w:r>
            <w:r>
              <w:rPr>
                <w:rFonts w:ascii="Times New Roman" w:hAnsi="Times New Roman" w:cs="Times New Roman"/>
                <w:bCs/>
                <w:color w:val="000000" w:themeColor="text1"/>
                <w:w w:val="99"/>
                <w:kern w:val="2"/>
                <w:sz w:val="21"/>
                <w:szCs w:val="21"/>
                <w:highlight w:val="none"/>
                <w:vertAlign w:val="subscript"/>
                <w:lang w:val="en-US" w:bidi="ar-SA"/>
                <w14:textFill>
                  <w14:solidFill>
                    <w14:schemeClr w14:val="tx1"/>
                  </w14:solidFill>
                </w14:textFill>
              </w:rPr>
              <w:t>3</w:t>
            </w:r>
          </w:p>
        </w:tc>
        <w:tc>
          <w:tcPr>
            <w:tcW w:w="3068"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8小时平均值第90位百分位数</w:t>
            </w:r>
          </w:p>
        </w:tc>
        <w:tc>
          <w:tcPr>
            <w:tcW w:w="1167"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130</w:t>
            </w:r>
          </w:p>
        </w:tc>
        <w:tc>
          <w:tcPr>
            <w:tcW w:w="1313"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160</w:t>
            </w:r>
          </w:p>
        </w:tc>
        <w:tc>
          <w:tcPr>
            <w:tcW w:w="1021" w:type="dxa"/>
            <w:tcBorders>
              <w:tl2br w:val="nil"/>
              <w:tr2bl w:val="nil"/>
            </w:tcBorders>
            <w:vAlign w:val="center"/>
          </w:tcPr>
          <w:p>
            <w:pPr>
              <w:autoSpaceDE/>
              <w:autoSpaceDN/>
              <w:adjustRightInd w:val="0"/>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81.3</w:t>
            </w:r>
          </w:p>
        </w:tc>
        <w:tc>
          <w:tcPr>
            <w:tcW w:w="1227" w:type="dxa"/>
            <w:tcBorders>
              <w:tl2br w:val="nil"/>
              <w:tr2bl w:val="nil"/>
            </w:tcBorders>
            <w:vAlign w:val="center"/>
          </w:tcPr>
          <w:p>
            <w:pPr>
              <w:autoSpaceDE/>
              <w:autoSpaceDN/>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达标</w:t>
            </w:r>
          </w:p>
        </w:tc>
      </w:tr>
    </w:tbl>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根据表 4.3-1 可知，2020 年大庆市基本污染物PM</w:t>
      </w:r>
      <w:r>
        <w:rPr>
          <w:rFonts w:ascii="Times New Roman" w:hAnsi="Times New Roman" w:cs="Times New Roman"/>
          <w:color w:val="000000" w:themeColor="text1"/>
          <w:w w:val="99"/>
          <w:sz w:val="24"/>
          <w:szCs w:val="24"/>
          <w:highlight w:val="none"/>
          <w:vertAlign w:val="subscript"/>
          <w14:textFill>
            <w14:solidFill>
              <w14:schemeClr w14:val="tx1"/>
            </w14:solidFill>
          </w14:textFill>
        </w:rPr>
        <w:t>2.5</w:t>
      </w:r>
      <w:r>
        <w:rPr>
          <w:rFonts w:ascii="Times New Roman" w:hAnsi="Times New Roman" w:cs="Times New Roman"/>
          <w:color w:val="000000" w:themeColor="text1"/>
          <w:w w:val="99"/>
          <w:sz w:val="24"/>
          <w:szCs w:val="24"/>
          <w:highlight w:val="none"/>
          <w14:textFill>
            <w14:solidFill>
              <w14:schemeClr w14:val="tx1"/>
            </w14:solidFill>
          </w14:textFill>
        </w:rPr>
        <w:t>、PM</w:t>
      </w:r>
      <w:r>
        <w:rPr>
          <w:rFonts w:ascii="Times New Roman" w:hAnsi="Times New Roman" w:cs="Times New Roman"/>
          <w:color w:val="000000" w:themeColor="text1"/>
          <w:w w:val="99"/>
          <w:sz w:val="24"/>
          <w:szCs w:val="24"/>
          <w:highlight w:val="none"/>
          <w:vertAlign w:val="subscript"/>
          <w14:textFill>
            <w14:solidFill>
              <w14:schemeClr w14:val="tx1"/>
            </w14:solidFill>
          </w14:textFill>
        </w:rPr>
        <w:t>10</w:t>
      </w:r>
      <w:r>
        <w:rPr>
          <w:rFonts w:ascii="Times New Roman" w:hAnsi="Times New Roman" w:cs="Times New Roman"/>
          <w:color w:val="000000" w:themeColor="text1"/>
          <w:w w:val="99"/>
          <w:sz w:val="24"/>
          <w:szCs w:val="24"/>
          <w:highlight w:val="none"/>
          <w14:textFill>
            <w14:solidFill>
              <w14:schemeClr w14:val="tx1"/>
            </w14:solidFill>
          </w14:textFill>
        </w:rPr>
        <w:t>、SO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、NO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、CO、O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监测项目均能满足《环境空气质量标准》（GB3095-2012）及其修改单中二级标准限值，大庆市属于达标区。</w:t>
      </w:r>
    </w:p>
    <w:p>
      <w:pPr>
        <w:pStyle w:val="14"/>
        <w:spacing w:line="440" w:lineRule="exact"/>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spacing w:val="-1"/>
          <w:w w:val="99"/>
          <w:sz w:val="24"/>
          <w:szCs w:val="24"/>
          <w:highlight w:val="none"/>
          <w:lang w:val="en-US"/>
          <w14:textFill>
            <w14:solidFill>
              <w14:schemeClr w14:val="tx1"/>
            </w14:solidFill>
          </w14:textFill>
        </w:rPr>
        <w:t xml:space="preserve">4.3.1.1 </w:t>
      </w:r>
      <w:r>
        <w:rPr>
          <w:rFonts w:hint="eastAsia" w:ascii="Times New Roman" w:hAnsi="Times New Roman" w:eastAsia="黑体" w:cs="Times New Roman"/>
          <w:b/>
          <w:bCs/>
          <w:color w:val="000000" w:themeColor="text1"/>
          <w:spacing w:val="-1"/>
          <w:w w:val="99"/>
          <w:sz w:val="24"/>
          <w:szCs w:val="24"/>
          <w:highlight w:val="none"/>
          <w:lang w:val="en-US"/>
          <w14:textFill>
            <w14:solidFill>
              <w14:schemeClr w14:val="tx1"/>
            </w14:solidFill>
          </w14:textFill>
        </w:rPr>
        <w:t>特征污染物</w:t>
      </w:r>
      <w:r>
        <w:rPr>
          <w:rFonts w:ascii="Times New Roman" w:hAnsi="Times New Roman" w:eastAsia="黑体" w:cs="Times New Roman"/>
          <w:b/>
          <w:bCs/>
          <w:color w:val="000000" w:themeColor="text1"/>
          <w:spacing w:val="-1"/>
          <w:w w:val="99"/>
          <w:sz w:val="24"/>
          <w:szCs w:val="24"/>
          <w:highlight w:val="none"/>
          <w:lang w:val="en-US"/>
          <w14:textFill>
            <w14:solidFill>
              <w14:schemeClr w14:val="tx1"/>
            </w14:solidFill>
          </w14:textFill>
        </w:rPr>
        <w:t>环境空气质量现状补充监测</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（1）监测点位</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布设</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bookmarkStart w:id="139" w:name="_Toc11047819"/>
      <w:r>
        <w:rPr>
          <w:rFonts w:ascii="Times New Roman" w:hAnsi="Times New Roman" w:cs="Times New Roman"/>
          <w:color w:val="000000" w:themeColor="text1"/>
          <w:w w:val="99"/>
          <w:sz w:val="24"/>
          <w:szCs w:val="20"/>
          <w:highlight w:val="none"/>
          <w:lang w:val="en-US" w:bidi="ar-SA"/>
          <w14:textFill>
            <w14:solidFill>
              <w14:schemeClr w14:val="tx1"/>
            </w14:solidFill>
          </w14:textFill>
        </w:rPr>
        <w:t>本</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次评价在</w:t>
      </w:r>
      <w:r>
        <w:rPr>
          <w:rFonts w:ascii="Times New Roman" w:hAnsi="Times New Roman" w:cs="Times New Roman"/>
          <w:color w:val="000000" w:themeColor="text1"/>
          <w:w w:val="99"/>
          <w:sz w:val="24"/>
          <w:szCs w:val="20"/>
          <w:highlight w:val="none"/>
          <w:lang w:val="en-US" w:bidi="ar-SA"/>
          <w14:textFill>
            <w14:solidFill>
              <w14:schemeClr w14:val="tx1"/>
            </w14:solidFill>
          </w14:textFill>
        </w:rPr>
        <w:t>工程</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区域及下风向</w:t>
      </w:r>
      <w:r>
        <w:rPr>
          <w:rFonts w:ascii="Times New Roman" w:hAnsi="Times New Roman" w:cs="Times New Roman"/>
          <w:color w:val="000000" w:themeColor="text1"/>
          <w:w w:val="99"/>
          <w:sz w:val="24"/>
          <w:szCs w:val="20"/>
          <w:highlight w:val="none"/>
          <w:lang w:val="en-US" w:bidi="ar-SA"/>
          <w14:textFill>
            <w14:solidFill>
              <w14:schemeClr w14:val="tx1"/>
            </w14:solidFill>
          </w14:textFill>
        </w:rPr>
        <w:t>布设</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5</w:t>
      </w:r>
      <w:r>
        <w:rPr>
          <w:rFonts w:ascii="Times New Roman" w:hAnsi="Times New Roman" w:cs="Times New Roman"/>
          <w:color w:val="000000" w:themeColor="text1"/>
          <w:w w:val="99"/>
          <w:sz w:val="24"/>
          <w:szCs w:val="20"/>
          <w:highlight w:val="none"/>
          <w:lang w:val="en-US" w:bidi="ar-SA"/>
          <w14:textFill>
            <w14:solidFill>
              <w14:schemeClr w14:val="tx1"/>
            </w14:solidFill>
          </w14:textFill>
        </w:rPr>
        <w:t>个环境空气质量现状监测点</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。本次监测委托大庆中环评价检测有限公司于2021年</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8</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月</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30</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日~</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9月5</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日对项目井场及周边村屯进行环境空气现状监测</w:t>
      </w:r>
      <w:bookmarkEnd w:id="139"/>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，监测点位详见表4.3-2、大气环境</w:t>
      </w:r>
      <w:r>
        <w:rPr>
          <w:rFonts w:ascii="Times New Roman" w:hAnsi="Times New Roman" w:cs="Times New Roman"/>
          <w:color w:val="000000" w:themeColor="text1"/>
          <w:w w:val="99"/>
          <w:sz w:val="24"/>
          <w:szCs w:val="20"/>
          <w:highlight w:val="none"/>
          <w:lang w:val="en-US" w:bidi="ar-SA"/>
          <w14:textFill>
            <w14:solidFill>
              <w14:schemeClr w14:val="tx1"/>
            </w14:solidFill>
          </w14:textFill>
        </w:rPr>
        <w:t>质量现状监测点位见附图</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7</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w:t>
      </w:r>
    </w:p>
    <w:p>
      <w:pPr>
        <w:autoSpaceDE/>
        <w:autoSpaceDN/>
        <w:spacing w:line="440" w:lineRule="exact"/>
        <w:ind w:firstLine="476" w:firstLineChars="200"/>
        <w:jc w:val="both"/>
        <w:rPr>
          <w:rFonts w:ascii="Times New Roman" w:hAnsi="Times New Roman" w:cs="Times New Roman"/>
          <w:b/>
          <w:bCs/>
          <w:color w:val="000000" w:themeColor="text1"/>
          <w:w w:val="99"/>
          <w:sz w:val="24"/>
          <w:szCs w:val="20"/>
          <w:highlight w:val="none"/>
          <w:lang w:val="en-US" w:bidi="ar-SA"/>
          <w14:textFill>
            <w14:solidFill>
              <w14:schemeClr w14:val="tx1"/>
            </w14:solidFill>
          </w14:textFill>
        </w:rPr>
      </w:pPr>
      <w:r>
        <w:rPr>
          <w:rFonts w:ascii="Times New Roman" w:hAnsi="Times New Roman" w:cs="Times New Roman"/>
          <w:b/>
          <w:bCs/>
          <w:color w:val="000000" w:themeColor="text1"/>
          <w:w w:val="99"/>
          <w:sz w:val="24"/>
          <w:szCs w:val="20"/>
          <w:highlight w:val="none"/>
          <w:lang w:val="en-US" w:bidi="ar-SA"/>
          <w14:textFill>
            <w14:solidFill>
              <w14:schemeClr w14:val="tx1"/>
            </w14:solidFill>
          </w14:textFill>
        </w:rPr>
        <w:t>表4.3-2</w:t>
      </w:r>
      <w:r>
        <w:rPr>
          <w:rFonts w:hint="eastAsia" w:ascii="Times New Roman" w:hAnsi="Times New Roman" w:cs="Times New Roman"/>
          <w:b/>
          <w:bCs/>
          <w:color w:val="000000" w:themeColor="text1"/>
          <w:w w:val="99"/>
          <w:sz w:val="24"/>
          <w:szCs w:val="20"/>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sz w:val="24"/>
          <w:szCs w:val="20"/>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sz w:val="24"/>
          <w:szCs w:val="20"/>
          <w:highlight w:val="none"/>
          <w:lang w:val="en-US" w:bidi="ar-SA"/>
          <w14:textFill>
            <w14:solidFill>
              <w14:schemeClr w14:val="tx1"/>
            </w14:solidFill>
          </w14:textFill>
        </w:rPr>
        <w:t>环境空气现状监测点位</w:t>
      </w:r>
    </w:p>
    <w:tbl>
      <w:tblPr>
        <w:tblStyle w:val="32"/>
        <w:tblW w:w="102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6"/>
        <w:gridCol w:w="1371"/>
        <w:gridCol w:w="1070"/>
        <w:gridCol w:w="1054"/>
        <w:gridCol w:w="761"/>
        <w:gridCol w:w="1281"/>
        <w:gridCol w:w="1281"/>
        <w:gridCol w:w="1426"/>
        <w:gridCol w:w="1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6" w:type="dxa"/>
            <w:vMerge w:val="restart"/>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序号</w:t>
            </w:r>
          </w:p>
        </w:tc>
        <w:tc>
          <w:tcPr>
            <w:tcW w:w="1371" w:type="dxa"/>
            <w:vMerge w:val="restart"/>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监测点</w:t>
            </w:r>
          </w:p>
        </w:tc>
        <w:tc>
          <w:tcPr>
            <w:tcW w:w="2124" w:type="dxa"/>
            <w:gridSpan w:val="2"/>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坐标</w:t>
            </w:r>
          </w:p>
        </w:tc>
        <w:tc>
          <w:tcPr>
            <w:tcW w:w="761" w:type="dxa"/>
            <w:vMerge w:val="restart"/>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监测指标</w:t>
            </w:r>
          </w:p>
        </w:tc>
        <w:tc>
          <w:tcPr>
            <w:tcW w:w="1281"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1281" w:type="dxa"/>
            <w:vMerge w:val="restart"/>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监测频次</w:t>
            </w:r>
          </w:p>
        </w:tc>
        <w:tc>
          <w:tcPr>
            <w:tcW w:w="1426" w:type="dxa"/>
            <w:vMerge w:val="restart"/>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相对方位</w:t>
            </w:r>
          </w:p>
        </w:tc>
        <w:tc>
          <w:tcPr>
            <w:tcW w:w="1426" w:type="dxa"/>
            <w:vMerge w:val="restart"/>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相对距离/m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6" w:type="dxa"/>
            <w:vMerge w:val="continue"/>
            <w:tcBorders>
              <w:tl2br w:val="nil"/>
              <w:tr2bl w:val="nil"/>
            </w:tcBorders>
            <w:vAlign w:val="center"/>
          </w:tcPr>
          <w:p>
            <w:pPr>
              <w:autoSpaceDE/>
              <w:autoSpaceDN/>
              <w:jc w:val="center"/>
              <w:rPr>
                <w:rFonts w:ascii="Times New Roman" w:hAnsi="Times New Roman" w:cs="Times New Roman"/>
                <w:color w:val="000000" w:themeColor="text1"/>
                <w:kern w:val="2"/>
                <w:sz w:val="24"/>
                <w:szCs w:val="20"/>
                <w:highlight w:val="none"/>
                <w:lang w:val="en-US" w:bidi="ar-SA"/>
                <w14:textFill>
                  <w14:solidFill>
                    <w14:schemeClr w14:val="tx1"/>
                  </w14:solidFill>
                </w14:textFill>
              </w:rPr>
            </w:pPr>
          </w:p>
        </w:tc>
        <w:tc>
          <w:tcPr>
            <w:tcW w:w="1371" w:type="dxa"/>
            <w:vMerge w:val="continue"/>
            <w:tcBorders>
              <w:tl2br w:val="nil"/>
              <w:tr2bl w:val="nil"/>
            </w:tcBorders>
            <w:vAlign w:val="center"/>
          </w:tcPr>
          <w:p>
            <w:pPr>
              <w:autoSpaceDE/>
              <w:autoSpaceDN/>
              <w:jc w:val="center"/>
              <w:rPr>
                <w:rFonts w:ascii="Times New Roman" w:hAnsi="Times New Roman" w:cs="Times New Roman"/>
                <w:color w:val="000000" w:themeColor="text1"/>
                <w:kern w:val="2"/>
                <w:sz w:val="24"/>
                <w:szCs w:val="20"/>
                <w:highlight w:val="none"/>
                <w:lang w:val="en-US" w:bidi="ar-SA"/>
                <w14:textFill>
                  <w14:solidFill>
                    <w14:schemeClr w14:val="tx1"/>
                  </w14:solidFill>
                </w14:textFill>
              </w:rPr>
            </w:pPr>
          </w:p>
        </w:tc>
        <w:tc>
          <w:tcPr>
            <w:tcW w:w="1070"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0"/>
                <w:highlight w:val="none"/>
                <w:lang w:val="en-US" w:bidi="ar-SA"/>
                <w14:textFill>
                  <w14:solidFill>
                    <w14:schemeClr w14:val="tx1"/>
                  </w14:solidFill>
                </w14:textFill>
              </w:rPr>
              <w:t>东经</w:t>
            </w:r>
          </w:p>
        </w:tc>
        <w:tc>
          <w:tcPr>
            <w:tcW w:w="1054"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0"/>
                <w:highlight w:val="none"/>
                <w:lang w:val="en-US" w:bidi="ar-SA"/>
                <w14:textFill>
                  <w14:solidFill>
                    <w14:schemeClr w14:val="tx1"/>
                  </w14:solidFill>
                </w14:textFill>
              </w:rPr>
              <w:t>北纬</w:t>
            </w:r>
          </w:p>
        </w:tc>
        <w:tc>
          <w:tcPr>
            <w:tcW w:w="761" w:type="dxa"/>
            <w:vMerge w:val="continue"/>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1281"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1281" w:type="dxa"/>
            <w:vMerge w:val="continue"/>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1426" w:type="dxa"/>
            <w:vMerge w:val="continue"/>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1426" w:type="dxa"/>
            <w:vMerge w:val="continue"/>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6"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A1</w:t>
            </w:r>
          </w:p>
        </w:tc>
        <w:tc>
          <w:tcPr>
            <w:tcW w:w="1371"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钱家屯</w:t>
            </w:r>
          </w:p>
        </w:tc>
        <w:tc>
          <w:tcPr>
            <w:tcW w:w="1070"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124.70511</w:t>
            </w:r>
          </w:p>
        </w:tc>
        <w:tc>
          <w:tcPr>
            <w:tcW w:w="1054"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46.00842</w:t>
            </w:r>
          </w:p>
        </w:tc>
        <w:tc>
          <w:tcPr>
            <w:tcW w:w="761" w:type="dxa"/>
            <w:vMerge w:val="restart"/>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非甲烷总烃</w:t>
            </w:r>
          </w:p>
        </w:tc>
        <w:tc>
          <w:tcPr>
            <w:tcW w:w="1281"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81" w:type="dxa"/>
            <w:vMerge w:val="restart"/>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连续监测七天，每天02、08、14、20时的小时浓度值及日均值</w:t>
            </w:r>
          </w:p>
        </w:tc>
        <w:tc>
          <w:tcPr>
            <w:tcW w:w="1426" w:type="dxa"/>
            <w:tcBorders>
              <w:tl2br w:val="nil"/>
              <w:tr2bl w:val="nil"/>
            </w:tcBorders>
            <w:vAlign w:val="center"/>
          </w:tcPr>
          <w:p>
            <w:pPr>
              <w:autoSpaceDE/>
              <w:autoSpaceDN/>
              <w:jc w:val="center"/>
              <w:rPr>
                <w:rFonts w:hint="default"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t>葡71-72井北侧</w:t>
            </w:r>
          </w:p>
        </w:tc>
        <w:tc>
          <w:tcPr>
            <w:tcW w:w="1426"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50m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6"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A2</w:t>
            </w:r>
          </w:p>
        </w:tc>
        <w:tc>
          <w:tcPr>
            <w:tcW w:w="1371"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t>葡70-70井</w:t>
            </w:r>
          </w:p>
        </w:tc>
        <w:tc>
          <w:tcPr>
            <w:tcW w:w="1070"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124.69928</w:t>
            </w:r>
          </w:p>
        </w:tc>
        <w:tc>
          <w:tcPr>
            <w:tcW w:w="1054"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46.00690</w:t>
            </w:r>
          </w:p>
        </w:tc>
        <w:tc>
          <w:tcPr>
            <w:tcW w:w="761"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81"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81"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26"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本项目</w:t>
            </w:r>
            <w:r>
              <w:rPr>
                <w:rFonts w:ascii="Times New Roman" w:hAnsi="Times New Roman" w:cs="Times New Roman"/>
                <w:color w:val="000000" w:themeColor="text1"/>
                <w:w w:val="99"/>
                <w:sz w:val="21"/>
                <w:szCs w:val="21"/>
                <w:highlight w:val="none"/>
                <w:lang w:val="en-US" w:bidi="ar-SA"/>
                <w14:textFill>
                  <w14:solidFill>
                    <w14:schemeClr w14:val="tx1"/>
                  </w14:solidFill>
                </w14:textFill>
              </w:rPr>
              <w:t>井场</w:t>
            </w:r>
          </w:p>
        </w:tc>
        <w:tc>
          <w:tcPr>
            <w:tcW w:w="1426"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6"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A3</w:t>
            </w:r>
          </w:p>
        </w:tc>
        <w:tc>
          <w:tcPr>
            <w:tcW w:w="1371"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t>葡71-72井</w:t>
            </w:r>
          </w:p>
        </w:tc>
        <w:tc>
          <w:tcPr>
            <w:tcW w:w="1070"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124.70758</w:t>
            </w:r>
          </w:p>
        </w:tc>
        <w:tc>
          <w:tcPr>
            <w:tcW w:w="1054"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46.00720</w:t>
            </w:r>
          </w:p>
        </w:tc>
        <w:tc>
          <w:tcPr>
            <w:tcW w:w="761" w:type="dxa"/>
            <w:vMerge w:val="continue"/>
            <w:tcBorders>
              <w:bottom w:val="single" w:color="auto" w:sz="4" w:space="0"/>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81"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81"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26"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本项目</w:t>
            </w:r>
            <w:r>
              <w:rPr>
                <w:rFonts w:ascii="Times New Roman" w:hAnsi="Times New Roman" w:cs="Times New Roman"/>
                <w:color w:val="000000" w:themeColor="text1"/>
                <w:w w:val="99"/>
                <w:sz w:val="21"/>
                <w:szCs w:val="21"/>
                <w:highlight w:val="none"/>
                <w:lang w:val="en-US" w:bidi="ar-SA"/>
                <w14:textFill>
                  <w14:solidFill>
                    <w14:schemeClr w14:val="tx1"/>
                  </w14:solidFill>
                </w14:textFill>
              </w:rPr>
              <w:t>井场</w:t>
            </w:r>
          </w:p>
        </w:tc>
        <w:tc>
          <w:tcPr>
            <w:tcW w:w="1426"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6"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A4</w:t>
            </w:r>
          </w:p>
        </w:tc>
        <w:tc>
          <w:tcPr>
            <w:tcW w:w="1371"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拟建</w:t>
            </w: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现场租用调驱设备厂址处</w:t>
            </w:r>
          </w:p>
        </w:tc>
        <w:tc>
          <w:tcPr>
            <w:tcW w:w="1070"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124.70358</w:t>
            </w:r>
          </w:p>
        </w:tc>
        <w:tc>
          <w:tcPr>
            <w:tcW w:w="1054"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46.0013</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w:t>
            </w:r>
          </w:p>
        </w:tc>
        <w:tc>
          <w:tcPr>
            <w:tcW w:w="761" w:type="dxa"/>
            <w:vMerge w:val="restart"/>
            <w:tcBorders>
              <w:top w:val="single" w:color="auto" w:sz="4" w:space="0"/>
              <w:tl2br w:val="nil"/>
              <w:tr2bl w:val="nil"/>
            </w:tcBorders>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颗粒物</w:t>
            </w:r>
          </w:p>
        </w:tc>
        <w:tc>
          <w:tcPr>
            <w:tcW w:w="1281"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81"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26"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本项目拟租赁安置配注站场地</w:t>
            </w:r>
          </w:p>
        </w:tc>
        <w:tc>
          <w:tcPr>
            <w:tcW w:w="1426" w:type="dxa"/>
            <w:tcBorders>
              <w:tl2br w:val="nil"/>
              <w:tr2bl w:val="nil"/>
            </w:tcBorders>
            <w:vAlign w:val="center"/>
          </w:tcPr>
          <w:p>
            <w:pPr>
              <w:autoSpaceDE/>
              <w:autoSpaceDN/>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6" w:type="dxa"/>
          </w:tcPr>
          <w:p>
            <w:pPr>
              <w:autoSpaceDE/>
              <w:autoSpaceDN/>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A</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5</w:t>
            </w:r>
          </w:p>
        </w:tc>
        <w:tc>
          <w:tcPr>
            <w:tcW w:w="1371" w:type="dxa"/>
            <w:vAlign w:val="center"/>
          </w:tcPr>
          <w:p>
            <w:pPr>
              <w:autoSpaceDE/>
              <w:autoSpaceDN/>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散户1</w:t>
            </w:r>
          </w:p>
        </w:tc>
        <w:tc>
          <w:tcPr>
            <w:tcW w:w="1070" w:type="dxa"/>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124.71058</w:t>
            </w:r>
          </w:p>
        </w:tc>
        <w:tc>
          <w:tcPr>
            <w:tcW w:w="1054" w:type="dxa"/>
          </w:tcPr>
          <w:p>
            <w:pPr>
              <w:autoSpaceDE/>
              <w:autoSpaceDN/>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45.99670</w:t>
            </w:r>
          </w:p>
        </w:tc>
        <w:tc>
          <w:tcPr>
            <w:tcW w:w="761" w:type="dxa"/>
            <w:vMerge w:val="continue"/>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81" w:type="dxa"/>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p>
        </w:tc>
        <w:tc>
          <w:tcPr>
            <w:tcW w:w="1281" w:type="dxa"/>
            <w:vMerge w:val="continue"/>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p>
        </w:tc>
        <w:tc>
          <w:tcPr>
            <w:tcW w:w="1426" w:type="dxa"/>
          </w:tcPr>
          <w:p>
            <w:pPr>
              <w:autoSpaceDE/>
              <w:autoSpaceDN/>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配注站下风向</w:t>
            </w:r>
          </w:p>
        </w:tc>
        <w:tc>
          <w:tcPr>
            <w:tcW w:w="1426" w:type="dxa"/>
          </w:tcPr>
          <w:p>
            <w:pPr>
              <w:autoSpaceDE/>
              <w:autoSpaceDN/>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690m</w:t>
            </w:r>
          </w:p>
        </w:tc>
      </w:tr>
    </w:tbl>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（2）监测项目</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根据本工程大气污染物排放特点，确定环境空气质量监测因子：非甲烷总烃</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、颗粒物</w:t>
      </w:r>
      <w:r>
        <w:rPr>
          <w:rFonts w:ascii="Times New Roman" w:hAnsi="Times New Roman" w:cs="Times New Roman"/>
          <w:color w:val="000000" w:themeColor="text1"/>
          <w:w w:val="99"/>
          <w:sz w:val="24"/>
          <w:szCs w:val="20"/>
          <w:highlight w:val="none"/>
          <w:lang w:val="en-US" w:bidi="ar-SA"/>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（3）监测单位、监测时间及监测频次</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监测单位：大庆市中环评价检测有限公司；</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监测时间：</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2021年8月30日~9月5日</w:t>
      </w:r>
      <w:r>
        <w:rPr>
          <w:rFonts w:ascii="Times New Roman" w:hAnsi="Times New Roman" w:cs="Times New Roman"/>
          <w:color w:val="000000" w:themeColor="text1"/>
          <w:w w:val="99"/>
          <w:sz w:val="24"/>
          <w:szCs w:val="20"/>
          <w:highlight w:val="none"/>
          <w:lang w:val="en-US" w:bidi="ar-SA"/>
          <w14:textFill>
            <w14:solidFill>
              <w14:schemeClr w14:val="tx1"/>
            </w14:solidFill>
          </w14:textFill>
        </w:rPr>
        <w:t>；</w:t>
      </w:r>
    </w:p>
    <w:p>
      <w:pPr>
        <w:autoSpaceDE/>
        <w:autoSpaceDN/>
        <w:spacing w:line="440" w:lineRule="exact"/>
        <w:ind w:firstLine="474" w:firstLineChars="200"/>
        <w:jc w:val="both"/>
        <w:rPr>
          <w:rFonts w:hint="eastAsia" w:ascii="Times New Roman" w:hAnsi="Times New Roman" w:eastAsia="宋体" w:cs="Times New Roman"/>
          <w:color w:val="000000" w:themeColor="text1"/>
          <w:w w:val="99"/>
          <w:sz w:val="24"/>
          <w:szCs w:val="20"/>
          <w:highlight w:val="none"/>
          <w:lang w:val="en-US" w:eastAsia="zh-CN"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监测频次：</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非甲烷总烃</w:t>
      </w:r>
      <w:r>
        <w:rPr>
          <w:rFonts w:ascii="Times New Roman" w:hAnsi="Times New Roman" w:cs="Times New Roman"/>
          <w:color w:val="000000" w:themeColor="text1"/>
          <w:w w:val="99"/>
          <w:sz w:val="24"/>
          <w:szCs w:val="20"/>
          <w:highlight w:val="none"/>
          <w:lang w:val="en-US" w:bidi="ar-SA"/>
          <w14:textFill>
            <w14:solidFill>
              <w14:schemeClr w14:val="tx1"/>
            </w14:solidFill>
          </w14:textFill>
        </w:rPr>
        <w:t>连续监测7天，每天02、08、14、20时4个小时质量浓度值</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；颗粒物</w:t>
      </w:r>
      <w:r>
        <w:rPr>
          <w:rFonts w:ascii="Times New Roman" w:hAnsi="Times New Roman" w:cs="Times New Roman"/>
          <w:color w:val="000000" w:themeColor="text1"/>
          <w:w w:val="99"/>
          <w:sz w:val="24"/>
          <w:szCs w:val="20"/>
          <w:highlight w:val="none"/>
          <w:lang w:val="en-US" w:bidi="ar-SA"/>
          <w14:textFill>
            <w14:solidFill>
              <w14:schemeClr w14:val="tx1"/>
            </w14:solidFill>
          </w14:textFill>
        </w:rPr>
        <w:t>连续监测7天，</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监测日均值。</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（4）评价方法</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评价采用最大浓度占标率法，利用各监测点监测数据，统计各类污染物浓度范围、最大浓度占标率、最大超标倍数。数学表达式如下：</w:t>
      </w:r>
    </w:p>
    <w:p>
      <w:pPr>
        <w:autoSpaceDE/>
        <w:autoSpaceDN/>
        <w:spacing w:line="440" w:lineRule="exact"/>
        <w:jc w:val="center"/>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I</w:t>
      </w:r>
      <w:r>
        <w:rPr>
          <w:rFonts w:ascii="Times New Roman" w:hAnsi="Times New Roman" w:cs="Times New Roman"/>
          <w:color w:val="000000" w:themeColor="text1"/>
          <w:w w:val="99"/>
          <w:sz w:val="24"/>
          <w:szCs w:val="20"/>
          <w:highlight w:val="none"/>
          <w:vertAlign w:val="subscript"/>
          <w:lang w:val="en-US" w:bidi="ar-SA"/>
          <w14:textFill>
            <w14:solidFill>
              <w14:schemeClr w14:val="tx1"/>
            </w14:solidFill>
          </w14:textFill>
        </w:rPr>
        <w:t>i</w:t>
      </w:r>
      <w:r>
        <w:rPr>
          <w:rFonts w:ascii="Times New Roman" w:hAnsi="Times New Roman" w:cs="Times New Roman"/>
          <w:color w:val="000000" w:themeColor="text1"/>
          <w:w w:val="99"/>
          <w:sz w:val="24"/>
          <w:szCs w:val="20"/>
          <w:highlight w:val="none"/>
          <w:lang w:val="en-US" w:bidi="ar-SA"/>
          <w14:textFill>
            <w14:solidFill>
              <w14:schemeClr w14:val="tx1"/>
            </w14:solidFill>
          </w14:textFill>
        </w:rPr>
        <w:t>＝C</w:t>
      </w:r>
      <w:r>
        <w:rPr>
          <w:rFonts w:ascii="Times New Roman" w:hAnsi="Times New Roman" w:cs="Times New Roman"/>
          <w:color w:val="000000" w:themeColor="text1"/>
          <w:w w:val="99"/>
          <w:sz w:val="24"/>
          <w:szCs w:val="20"/>
          <w:highlight w:val="none"/>
          <w:vertAlign w:val="subscript"/>
          <w:lang w:val="en-US" w:bidi="ar-SA"/>
          <w14:textFill>
            <w14:solidFill>
              <w14:schemeClr w14:val="tx1"/>
            </w14:solidFill>
          </w14:textFill>
        </w:rPr>
        <w:t>i</w:t>
      </w:r>
      <w:r>
        <w:rPr>
          <w:rFonts w:ascii="Times New Roman" w:hAnsi="Times New Roman" w:cs="Times New Roman"/>
          <w:color w:val="000000" w:themeColor="text1"/>
          <w:w w:val="99"/>
          <w:sz w:val="24"/>
          <w:szCs w:val="20"/>
          <w:highlight w:val="none"/>
          <w:lang w:val="en-US" w:bidi="ar-SA"/>
          <w14:textFill>
            <w14:solidFill>
              <w14:schemeClr w14:val="tx1"/>
            </w14:solidFill>
          </w14:textFill>
        </w:rPr>
        <w:t>/C</w:t>
      </w:r>
      <w:r>
        <w:rPr>
          <w:rFonts w:ascii="Times New Roman" w:hAnsi="Times New Roman" w:cs="Times New Roman"/>
          <w:color w:val="000000" w:themeColor="text1"/>
          <w:w w:val="99"/>
          <w:sz w:val="24"/>
          <w:szCs w:val="20"/>
          <w:highlight w:val="none"/>
          <w:vertAlign w:val="subscript"/>
          <w:lang w:val="en-US" w:bidi="ar-SA"/>
          <w14:textFill>
            <w14:solidFill>
              <w14:schemeClr w14:val="tx1"/>
            </w14:solidFill>
          </w14:textFill>
        </w:rPr>
        <w:t>oi</w:t>
      </w:r>
      <w:r>
        <w:rPr>
          <w:rFonts w:ascii="Times New Roman" w:hAnsi="Times New Roman" w:cs="Times New Roman"/>
          <w:color w:val="000000" w:themeColor="text1"/>
          <w:w w:val="99"/>
          <w:sz w:val="24"/>
          <w:szCs w:val="20"/>
          <w:highlight w:val="none"/>
          <w:lang w:val="en-US" w:bidi="ar-SA"/>
          <w14:textFill>
            <w14:solidFill>
              <w14:schemeClr w14:val="tx1"/>
            </w14:solidFill>
          </w14:textFill>
        </w:rPr>
        <w:t>×100%</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式中：I</w:t>
      </w:r>
      <w:r>
        <w:rPr>
          <w:rFonts w:ascii="Times New Roman" w:hAnsi="Times New Roman" w:cs="Times New Roman"/>
          <w:color w:val="000000" w:themeColor="text1"/>
          <w:w w:val="99"/>
          <w:sz w:val="24"/>
          <w:szCs w:val="20"/>
          <w:highlight w:val="none"/>
          <w:vertAlign w:val="subscript"/>
          <w:lang w:val="en-US" w:bidi="ar-SA"/>
          <w14:textFill>
            <w14:solidFill>
              <w14:schemeClr w14:val="tx1"/>
            </w14:solidFill>
          </w14:textFill>
        </w:rPr>
        <w:t>i</w:t>
      </w:r>
      <w:r>
        <w:rPr>
          <w:rFonts w:ascii="Times New Roman" w:hAnsi="Times New Roman" w:cs="Times New Roman"/>
          <w:color w:val="000000" w:themeColor="text1"/>
          <w:w w:val="99"/>
          <w:sz w:val="24"/>
          <w:szCs w:val="20"/>
          <w:highlight w:val="none"/>
          <w:lang w:val="en-US" w:bidi="ar-SA"/>
          <w14:textFill>
            <w14:solidFill>
              <w14:schemeClr w14:val="tx1"/>
            </w14:solidFill>
          </w14:textFill>
        </w:rPr>
        <w:t>—第i种污染物的最大浓度占标率，%；</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 xml:space="preserve">           C</w:t>
      </w:r>
      <w:r>
        <w:rPr>
          <w:rFonts w:ascii="Times New Roman" w:hAnsi="Times New Roman" w:cs="Times New Roman"/>
          <w:color w:val="000000" w:themeColor="text1"/>
          <w:w w:val="99"/>
          <w:sz w:val="24"/>
          <w:szCs w:val="20"/>
          <w:highlight w:val="none"/>
          <w:vertAlign w:val="subscript"/>
          <w:lang w:val="en-US" w:bidi="ar-SA"/>
          <w14:textFill>
            <w14:solidFill>
              <w14:schemeClr w14:val="tx1"/>
            </w14:solidFill>
          </w14:textFill>
        </w:rPr>
        <w:t>i</w:t>
      </w:r>
      <w:r>
        <w:rPr>
          <w:rFonts w:ascii="Times New Roman" w:hAnsi="Times New Roman" w:cs="Times New Roman"/>
          <w:color w:val="000000" w:themeColor="text1"/>
          <w:w w:val="99"/>
          <w:sz w:val="24"/>
          <w:szCs w:val="20"/>
          <w:highlight w:val="none"/>
          <w:lang w:val="en-US" w:bidi="ar-SA"/>
          <w14:textFill>
            <w14:solidFill>
              <w14:schemeClr w14:val="tx1"/>
            </w14:solidFill>
          </w14:textFill>
        </w:rPr>
        <w:t>—第i种污染物平均浓度，mg/m</w:t>
      </w:r>
      <w:r>
        <w:rPr>
          <w:rFonts w:ascii="Times New Roman" w:hAnsi="Times New Roman" w:cs="Times New Roman"/>
          <w:color w:val="000000" w:themeColor="text1"/>
          <w:w w:val="99"/>
          <w:sz w:val="24"/>
          <w:szCs w:val="20"/>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sz w:val="24"/>
          <w:szCs w:val="20"/>
          <w:highlight w:val="none"/>
          <w:lang w:val="en-US" w:bidi="ar-SA"/>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 xml:space="preserve">          C</w:t>
      </w:r>
      <w:r>
        <w:rPr>
          <w:rFonts w:ascii="Times New Roman" w:hAnsi="Times New Roman" w:cs="Times New Roman"/>
          <w:color w:val="000000" w:themeColor="text1"/>
          <w:w w:val="99"/>
          <w:sz w:val="24"/>
          <w:szCs w:val="20"/>
          <w:highlight w:val="none"/>
          <w:vertAlign w:val="subscript"/>
          <w:lang w:val="en-US" w:bidi="ar-SA"/>
          <w14:textFill>
            <w14:solidFill>
              <w14:schemeClr w14:val="tx1"/>
            </w14:solidFill>
          </w14:textFill>
        </w:rPr>
        <w:t>0i</w:t>
      </w:r>
      <w:r>
        <w:rPr>
          <w:rFonts w:ascii="Times New Roman" w:hAnsi="Times New Roman" w:cs="Times New Roman"/>
          <w:color w:val="000000" w:themeColor="text1"/>
          <w:w w:val="99"/>
          <w:sz w:val="24"/>
          <w:szCs w:val="20"/>
          <w:highlight w:val="none"/>
          <w:lang w:val="en-US" w:bidi="ar-SA"/>
          <w14:textFill>
            <w14:solidFill>
              <w14:schemeClr w14:val="tx1"/>
            </w14:solidFill>
          </w14:textFill>
        </w:rPr>
        <w:t>—第i种污染物环境质量标准，mg/m</w:t>
      </w:r>
      <w:r>
        <w:rPr>
          <w:rFonts w:ascii="Times New Roman" w:hAnsi="Times New Roman" w:cs="Times New Roman"/>
          <w:color w:val="000000" w:themeColor="text1"/>
          <w:w w:val="99"/>
          <w:sz w:val="24"/>
          <w:szCs w:val="20"/>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sz w:val="24"/>
          <w:szCs w:val="20"/>
          <w:highlight w:val="none"/>
          <w:lang w:val="en-US" w:bidi="ar-SA"/>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若Ii≥100%，表明该项指标超过了相应的环境空气质量标准，不能满足使用功能要求。若Ii＜100%，则该指标满足环境空气质量标准，可以满足使用功能要求。</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（5）评价标准</w:t>
      </w:r>
    </w:p>
    <w:p>
      <w:pPr>
        <w:widowControl/>
        <w:spacing w:line="500" w:lineRule="exact"/>
        <w:ind w:firstLine="474" w:firstLineChars="200"/>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非甲烷总烃浓度限值执行《大气污染物综合排放标准详解》中的2.0mg/m</w:t>
      </w:r>
      <w:r>
        <w:rPr>
          <w:rFonts w:ascii="Times New Roman" w:hAnsi="Times New Roman" w:cs="Times New Roman"/>
          <w:color w:val="000000" w:themeColor="text1"/>
          <w:w w:val="99"/>
          <w:sz w:val="24"/>
          <w:szCs w:val="20"/>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sz w:val="24"/>
          <w:szCs w:val="20"/>
          <w:highlight w:val="none"/>
          <w:lang w:val="en-US" w:bidi="ar-SA"/>
          <w14:textFill>
            <w14:solidFill>
              <w14:schemeClr w14:val="tx1"/>
            </w14:solidFill>
          </w14:textFill>
        </w:rPr>
        <w:t>标准</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w:t>
      </w:r>
      <w:r>
        <w:rPr>
          <w:rFonts w:hint="eastAsia"/>
          <w:color w:val="000000" w:themeColor="text1"/>
          <w:w w:val="99"/>
          <w:kern w:val="0"/>
          <w:sz w:val="24"/>
          <w:szCs w:val="28"/>
          <w:highlight w:val="none"/>
          <w14:textFill>
            <w14:solidFill>
              <w14:schemeClr w14:val="tx1"/>
            </w14:solidFill>
          </w14:textFill>
        </w:rPr>
        <w:t>颗粒物浓度限值满足</w:t>
      </w:r>
      <w:r>
        <w:rPr>
          <w:color w:val="000000" w:themeColor="text1"/>
          <w:w w:val="99"/>
          <w:kern w:val="0"/>
          <w:sz w:val="24"/>
          <w:szCs w:val="28"/>
          <w:highlight w:val="none"/>
          <w14:textFill>
            <w14:solidFill>
              <w14:schemeClr w14:val="tx1"/>
            </w14:solidFill>
          </w14:textFill>
        </w:rPr>
        <w:t>《环境空气质量标准》（GB3095-2012）二级及其修改单标准</w:t>
      </w:r>
      <w:r>
        <w:rPr>
          <w:rFonts w:hint="eastAsia"/>
          <w:color w:val="000000" w:themeColor="text1"/>
          <w:w w:val="99"/>
          <w:kern w:val="0"/>
          <w:sz w:val="24"/>
          <w:szCs w:val="28"/>
          <w:highlight w:val="none"/>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（6）监测结果</w:t>
      </w:r>
    </w:p>
    <w:p>
      <w:pPr>
        <w:autoSpaceDE/>
        <w:autoSpaceDN/>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环境空气质量的监测统计结果列于下表。</w:t>
      </w:r>
    </w:p>
    <w:p>
      <w:pPr>
        <w:autoSpaceDE/>
        <w:autoSpaceDN/>
        <w:spacing w:line="440" w:lineRule="exact"/>
        <w:ind w:firstLine="474" w:firstLineChars="200"/>
        <w:jc w:val="both"/>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表4.3-3</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 xml:space="preserve">    </w:t>
      </w:r>
      <w:r>
        <w:rPr>
          <w:rFonts w:ascii="Times New Roman" w:hAnsi="Times New Roman" w:cs="Times New Roman"/>
          <w:color w:val="000000" w:themeColor="text1"/>
          <w:w w:val="99"/>
          <w:sz w:val="24"/>
          <w:szCs w:val="20"/>
          <w:highlight w:val="none"/>
          <w:lang w:val="en-US" w:bidi="ar-SA"/>
          <w14:textFill>
            <w14:solidFill>
              <w14:schemeClr w14:val="tx1"/>
            </w14:solidFill>
          </w14:textFill>
        </w:rPr>
        <w:t>污染物现状监测结果表</w:t>
      </w:r>
    </w:p>
    <w:tbl>
      <w:tblPr>
        <w:tblStyle w:val="32"/>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135"/>
        <w:gridCol w:w="1023"/>
        <w:gridCol w:w="873"/>
        <w:gridCol w:w="756"/>
        <w:gridCol w:w="1081"/>
        <w:gridCol w:w="1292"/>
        <w:gridCol w:w="703"/>
        <w:gridCol w:w="612"/>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06" w:type="dxa"/>
            <w:vMerge w:val="restart"/>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监测点位</w:t>
            </w:r>
          </w:p>
        </w:tc>
        <w:tc>
          <w:tcPr>
            <w:tcW w:w="2158" w:type="dxa"/>
            <w:gridSpan w:val="2"/>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监测点位坐标</w:t>
            </w:r>
          </w:p>
        </w:tc>
        <w:tc>
          <w:tcPr>
            <w:tcW w:w="873" w:type="dxa"/>
            <w:vMerge w:val="restart"/>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污染物</w:t>
            </w:r>
          </w:p>
        </w:tc>
        <w:tc>
          <w:tcPr>
            <w:tcW w:w="756" w:type="dxa"/>
            <w:vMerge w:val="restart"/>
            <w:tcBorders>
              <w:tl2br w:val="nil"/>
              <w:tr2bl w:val="nil"/>
            </w:tcBorders>
            <w:vAlign w:val="center"/>
          </w:tcPr>
          <w:p>
            <w:pPr>
              <w:autoSpaceDE/>
              <w:autoSpaceDN/>
              <w:snapToGrid w:val="0"/>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平均</w:t>
            </w:r>
          </w:p>
          <w:p>
            <w:pPr>
              <w:autoSpaceDE/>
              <w:autoSpaceDN/>
              <w:snapToGrid w:val="0"/>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时间</w:t>
            </w:r>
          </w:p>
        </w:tc>
        <w:tc>
          <w:tcPr>
            <w:tcW w:w="1081" w:type="dxa"/>
            <w:vMerge w:val="restart"/>
            <w:tcBorders>
              <w:tl2br w:val="nil"/>
              <w:tr2bl w:val="nil"/>
            </w:tcBorders>
            <w:vAlign w:val="center"/>
          </w:tcPr>
          <w:p>
            <w:pPr>
              <w:autoSpaceDE/>
              <w:autoSpaceDN/>
              <w:snapToGrid w:val="0"/>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评价标准（mg/m</w:t>
            </w:r>
            <w:r>
              <w:rPr>
                <w:rFonts w:ascii="Times New Roman" w:hAnsi="Times New Roman" w:cs="Times New Roman"/>
                <w:color w:val="000000" w:themeColor="text1"/>
                <w:w w:val="99"/>
                <w:sz w:val="21"/>
                <w:szCs w:val="20"/>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sz w:val="21"/>
                <w:szCs w:val="20"/>
                <w:highlight w:val="none"/>
                <w:lang w:val="en-US" w:bidi="ar-SA"/>
                <w14:textFill>
                  <w14:solidFill>
                    <w14:schemeClr w14:val="tx1"/>
                  </w14:solidFill>
                </w14:textFill>
              </w:rPr>
              <w:t>）</w:t>
            </w:r>
          </w:p>
        </w:tc>
        <w:tc>
          <w:tcPr>
            <w:tcW w:w="1292" w:type="dxa"/>
            <w:vMerge w:val="restart"/>
            <w:tcBorders>
              <w:tl2br w:val="nil"/>
              <w:tr2bl w:val="nil"/>
            </w:tcBorders>
            <w:vAlign w:val="center"/>
          </w:tcPr>
          <w:p>
            <w:pPr>
              <w:autoSpaceDE/>
              <w:autoSpaceDN/>
              <w:snapToGrid w:val="0"/>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浓度范围（mg/m</w:t>
            </w:r>
            <w:r>
              <w:rPr>
                <w:rFonts w:ascii="Times New Roman" w:hAnsi="Times New Roman" w:cs="Times New Roman"/>
                <w:color w:val="000000" w:themeColor="text1"/>
                <w:w w:val="99"/>
                <w:sz w:val="21"/>
                <w:szCs w:val="20"/>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sz w:val="21"/>
                <w:szCs w:val="20"/>
                <w:highlight w:val="none"/>
                <w:lang w:val="en-US" w:bidi="ar-SA"/>
                <w14:textFill>
                  <w14:solidFill>
                    <w14:schemeClr w14:val="tx1"/>
                  </w14:solidFill>
                </w14:textFill>
              </w:rPr>
              <w:t>）</w:t>
            </w:r>
          </w:p>
        </w:tc>
        <w:tc>
          <w:tcPr>
            <w:tcW w:w="703" w:type="dxa"/>
            <w:vMerge w:val="restart"/>
            <w:tcBorders>
              <w:tl2br w:val="nil"/>
              <w:tr2bl w:val="nil"/>
            </w:tcBorders>
            <w:vAlign w:val="center"/>
          </w:tcPr>
          <w:p>
            <w:pPr>
              <w:autoSpaceDE/>
              <w:autoSpaceDN/>
              <w:snapToGrid w:val="0"/>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最大浓度占标率/%</w:t>
            </w:r>
          </w:p>
        </w:tc>
        <w:tc>
          <w:tcPr>
            <w:tcW w:w="612" w:type="dxa"/>
            <w:vMerge w:val="restart"/>
            <w:tcBorders>
              <w:tl2br w:val="nil"/>
              <w:tr2bl w:val="nil"/>
            </w:tcBorders>
            <w:vAlign w:val="center"/>
          </w:tcPr>
          <w:p>
            <w:pPr>
              <w:autoSpaceDE/>
              <w:autoSpaceDN/>
              <w:snapToGrid w:val="0"/>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超标率%</w:t>
            </w:r>
          </w:p>
        </w:tc>
        <w:tc>
          <w:tcPr>
            <w:tcW w:w="600" w:type="dxa"/>
            <w:vMerge w:val="restart"/>
            <w:tcBorders>
              <w:tl2br w:val="nil"/>
              <w:tr2bl w:val="nil"/>
            </w:tcBorders>
            <w:vAlign w:val="center"/>
          </w:tcPr>
          <w:p>
            <w:pPr>
              <w:autoSpaceDE/>
              <w:autoSpaceDN/>
              <w:snapToGrid w:val="0"/>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06" w:type="dxa"/>
            <w:vMerge w:val="continue"/>
            <w:tcBorders>
              <w:tl2br w:val="nil"/>
              <w:tr2bl w:val="nil"/>
            </w:tcBorders>
            <w:vAlign w:val="center"/>
          </w:tcPr>
          <w:p>
            <w:pPr>
              <w:autoSpaceDE/>
              <w:autoSpaceDN/>
              <w:jc w:val="center"/>
              <w:rPr>
                <w:rFonts w:ascii="Times New Roman" w:hAnsi="Times New Roman" w:cs="Times New Roman"/>
                <w:color w:val="000000" w:themeColor="text1"/>
                <w:kern w:val="2"/>
                <w:sz w:val="24"/>
                <w:szCs w:val="20"/>
                <w:highlight w:val="none"/>
                <w:lang w:val="en-US" w:bidi="ar-SA"/>
                <w14:textFill>
                  <w14:solidFill>
                    <w14:schemeClr w14:val="tx1"/>
                  </w14:solidFill>
                </w14:textFill>
              </w:rPr>
            </w:pPr>
          </w:p>
        </w:tc>
        <w:tc>
          <w:tcPr>
            <w:tcW w:w="1135"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bidi="ar-SA"/>
                <w14:textFill>
                  <w14:solidFill>
                    <w14:schemeClr w14:val="tx1"/>
                  </w14:solidFill>
                </w14:textFill>
              </w:rPr>
              <w:t>东经</w:t>
            </w:r>
          </w:p>
        </w:tc>
        <w:tc>
          <w:tcPr>
            <w:tcW w:w="1023"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bidi="ar-SA"/>
                <w14:textFill>
                  <w14:solidFill>
                    <w14:schemeClr w14:val="tx1"/>
                  </w14:solidFill>
                </w14:textFill>
              </w:rPr>
              <w:t>北纬</w:t>
            </w:r>
          </w:p>
        </w:tc>
        <w:tc>
          <w:tcPr>
            <w:tcW w:w="873" w:type="dxa"/>
            <w:vMerge w:val="continue"/>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p>
        </w:tc>
        <w:tc>
          <w:tcPr>
            <w:tcW w:w="756"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p>
        </w:tc>
        <w:tc>
          <w:tcPr>
            <w:tcW w:w="1081" w:type="dxa"/>
            <w:vMerge w:val="continue"/>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p>
        </w:tc>
        <w:tc>
          <w:tcPr>
            <w:tcW w:w="1292" w:type="dxa"/>
            <w:vMerge w:val="continue"/>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p>
        </w:tc>
        <w:tc>
          <w:tcPr>
            <w:tcW w:w="703" w:type="dxa"/>
            <w:vMerge w:val="continue"/>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p>
        </w:tc>
        <w:tc>
          <w:tcPr>
            <w:tcW w:w="612" w:type="dxa"/>
            <w:vMerge w:val="continue"/>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p>
        </w:tc>
        <w:tc>
          <w:tcPr>
            <w:tcW w:w="600" w:type="dxa"/>
            <w:vMerge w:val="continue"/>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06"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钱家屯</w:t>
            </w:r>
          </w:p>
        </w:tc>
        <w:tc>
          <w:tcPr>
            <w:tcW w:w="1135" w:type="dxa"/>
            <w:tcBorders>
              <w:tl2br w:val="nil"/>
              <w:tr2bl w:val="nil"/>
            </w:tcBorders>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124.70511</w:t>
            </w:r>
          </w:p>
        </w:tc>
        <w:tc>
          <w:tcPr>
            <w:tcW w:w="1023" w:type="dxa"/>
            <w:tcBorders>
              <w:tl2br w:val="nil"/>
              <w:tr2bl w:val="nil"/>
            </w:tcBorders>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46.00842</w:t>
            </w:r>
          </w:p>
        </w:tc>
        <w:tc>
          <w:tcPr>
            <w:tcW w:w="873"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非甲烷总烃</w:t>
            </w:r>
          </w:p>
        </w:tc>
        <w:tc>
          <w:tcPr>
            <w:tcW w:w="756" w:type="dxa"/>
            <w:tcBorders>
              <w:tl2br w:val="nil"/>
              <w:tr2bl w:val="nil"/>
            </w:tcBorders>
            <w:vAlign w:val="center"/>
          </w:tcPr>
          <w:p>
            <w:pPr>
              <w:autoSpaceDE/>
              <w:autoSpaceDN/>
              <w:jc w:val="center"/>
              <w:rPr>
                <w:rFonts w:ascii="Times New Roman" w:hAnsi="Times New Roman" w:cs="Times New Roman"/>
                <w:color w:val="000000" w:themeColor="text1"/>
                <w:w w:val="99"/>
                <w:sz w:val="21"/>
                <w:highlight w:val="none"/>
                <w:lang w:val="en-US" w:bidi="ar-SA"/>
                <w14:textFill>
                  <w14:solidFill>
                    <w14:schemeClr w14:val="tx1"/>
                  </w14:solidFill>
                </w14:textFill>
              </w:rPr>
            </w:pPr>
            <w:r>
              <w:rPr>
                <w:rFonts w:ascii="Times New Roman" w:hAnsi="Times New Roman" w:cs="Times New Roman"/>
                <w:color w:val="000000" w:themeColor="text1"/>
                <w:w w:val="99"/>
                <w:sz w:val="21"/>
                <w:highlight w:val="none"/>
                <w:lang w:val="en-US" w:bidi="ar-SA"/>
                <w14:textFill>
                  <w14:solidFill>
                    <w14:schemeClr w14:val="tx1"/>
                  </w14:solidFill>
                </w14:textFill>
              </w:rPr>
              <w:t>1h</w:t>
            </w:r>
          </w:p>
        </w:tc>
        <w:tc>
          <w:tcPr>
            <w:tcW w:w="1081" w:type="dxa"/>
            <w:tcBorders>
              <w:tl2br w:val="nil"/>
              <w:tr2bl w:val="nil"/>
            </w:tcBorders>
            <w:vAlign w:val="center"/>
          </w:tcPr>
          <w:p>
            <w:pPr>
              <w:autoSpaceDE/>
              <w:autoSpaceDN/>
              <w:jc w:val="center"/>
              <w:rPr>
                <w:rFonts w:ascii="Times New Roman" w:hAnsi="Times New Roman" w:cs="Times New Roman"/>
                <w:color w:val="000000" w:themeColor="text1"/>
                <w:w w:val="99"/>
                <w:sz w:val="21"/>
                <w:highlight w:val="none"/>
                <w:lang w:val="en-US" w:bidi="ar-SA"/>
                <w14:textFill>
                  <w14:solidFill>
                    <w14:schemeClr w14:val="tx1"/>
                  </w14:solidFill>
                </w14:textFill>
              </w:rPr>
            </w:pPr>
            <w:r>
              <w:rPr>
                <w:rFonts w:ascii="Times New Roman" w:hAnsi="Times New Roman" w:cs="Times New Roman"/>
                <w:color w:val="000000" w:themeColor="text1"/>
                <w:w w:val="99"/>
                <w:sz w:val="21"/>
                <w:highlight w:val="none"/>
                <w:lang w:val="en-US" w:bidi="ar-SA"/>
                <w14:textFill>
                  <w14:solidFill>
                    <w14:schemeClr w14:val="tx1"/>
                  </w14:solidFill>
                </w14:textFill>
              </w:rPr>
              <w:t>2</w:t>
            </w:r>
          </w:p>
        </w:tc>
        <w:tc>
          <w:tcPr>
            <w:tcW w:w="1292"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0.</w:t>
            </w:r>
            <w:r>
              <w:rPr>
                <w:rFonts w:hint="eastAsia" w:ascii="Times New Roman" w:hAnsi="Times New Roman" w:cs="Times New Roman"/>
                <w:color w:val="000000" w:themeColor="text1"/>
                <w:w w:val="99"/>
                <w:sz w:val="21"/>
                <w:szCs w:val="20"/>
                <w:highlight w:val="none"/>
                <w:lang w:val="en-US" w:bidi="ar-SA"/>
                <w14:textFill>
                  <w14:solidFill>
                    <w14:schemeClr w14:val="tx1"/>
                  </w14:solidFill>
                </w14:textFill>
              </w:rPr>
              <w:t>3</w:t>
            </w:r>
            <w:r>
              <w:rPr>
                <w:rFonts w:ascii="Times New Roman" w:hAnsi="Times New Roman" w:cs="Times New Roman"/>
                <w:color w:val="000000" w:themeColor="text1"/>
                <w:w w:val="99"/>
                <w:sz w:val="21"/>
                <w:szCs w:val="20"/>
                <w:highlight w:val="none"/>
                <w:lang w:val="en-US" w:bidi="ar-SA"/>
                <w14:textFill>
                  <w14:solidFill>
                    <w14:schemeClr w14:val="tx1"/>
                  </w14:solidFill>
                </w14:textFill>
              </w:rPr>
              <w:t>1~0.</w:t>
            </w: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55</w:t>
            </w:r>
          </w:p>
        </w:tc>
        <w:tc>
          <w:tcPr>
            <w:tcW w:w="703"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 xml:space="preserve"> 27.5</w:t>
            </w:r>
          </w:p>
        </w:tc>
        <w:tc>
          <w:tcPr>
            <w:tcW w:w="612"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0</w:t>
            </w:r>
          </w:p>
        </w:tc>
        <w:tc>
          <w:tcPr>
            <w:tcW w:w="600"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06"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t>葡70-70井</w:t>
            </w:r>
          </w:p>
        </w:tc>
        <w:tc>
          <w:tcPr>
            <w:tcW w:w="1135" w:type="dxa"/>
            <w:tcBorders>
              <w:tl2br w:val="nil"/>
              <w:tr2bl w:val="nil"/>
            </w:tcBorders>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124.69928</w:t>
            </w:r>
          </w:p>
        </w:tc>
        <w:tc>
          <w:tcPr>
            <w:tcW w:w="1023" w:type="dxa"/>
            <w:tcBorders>
              <w:tl2br w:val="nil"/>
              <w:tr2bl w:val="nil"/>
            </w:tcBorders>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46.00690</w:t>
            </w:r>
          </w:p>
        </w:tc>
        <w:tc>
          <w:tcPr>
            <w:tcW w:w="873"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非甲烷总烃</w:t>
            </w:r>
          </w:p>
        </w:tc>
        <w:tc>
          <w:tcPr>
            <w:tcW w:w="756" w:type="dxa"/>
            <w:tcBorders>
              <w:tl2br w:val="nil"/>
              <w:tr2bl w:val="nil"/>
            </w:tcBorders>
            <w:vAlign w:val="center"/>
          </w:tcPr>
          <w:p>
            <w:pPr>
              <w:autoSpaceDE/>
              <w:autoSpaceDN/>
              <w:jc w:val="center"/>
              <w:rPr>
                <w:rFonts w:ascii="Times New Roman" w:hAnsi="Times New Roman" w:cs="Times New Roman"/>
                <w:color w:val="000000" w:themeColor="text1"/>
                <w:w w:val="99"/>
                <w:sz w:val="21"/>
                <w:highlight w:val="none"/>
                <w:lang w:val="en-US" w:bidi="ar-SA"/>
                <w14:textFill>
                  <w14:solidFill>
                    <w14:schemeClr w14:val="tx1"/>
                  </w14:solidFill>
                </w14:textFill>
              </w:rPr>
            </w:pPr>
            <w:r>
              <w:rPr>
                <w:rFonts w:ascii="Times New Roman" w:hAnsi="Times New Roman" w:cs="Times New Roman"/>
                <w:color w:val="000000" w:themeColor="text1"/>
                <w:w w:val="99"/>
                <w:sz w:val="21"/>
                <w:highlight w:val="none"/>
                <w:lang w:val="en-US" w:bidi="ar-SA"/>
                <w14:textFill>
                  <w14:solidFill>
                    <w14:schemeClr w14:val="tx1"/>
                  </w14:solidFill>
                </w14:textFill>
              </w:rPr>
              <w:t>1h</w:t>
            </w:r>
          </w:p>
        </w:tc>
        <w:tc>
          <w:tcPr>
            <w:tcW w:w="1081" w:type="dxa"/>
            <w:tcBorders>
              <w:tl2br w:val="nil"/>
              <w:tr2bl w:val="nil"/>
            </w:tcBorders>
            <w:vAlign w:val="center"/>
          </w:tcPr>
          <w:p>
            <w:pPr>
              <w:autoSpaceDE/>
              <w:autoSpaceDN/>
              <w:jc w:val="center"/>
              <w:rPr>
                <w:rFonts w:ascii="Times New Roman" w:hAnsi="Times New Roman" w:cs="Times New Roman"/>
                <w:color w:val="000000" w:themeColor="text1"/>
                <w:w w:val="99"/>
                <w:sz w:val="21"/>
                <w:highlight w:val="none"/>
                <w:lang w:val="en-US" w:bidi="ar-SA"/>
                <w14:textFill>
                  <w14:solidFill>
                    <w14:schemeClr w14:val="tx1"/>
                  </w14:solidFill>
                </w14:textFill>
              </w:rPr>
            </w:pPr>
            <w:r>
              <w:rPr>
                <w:rFonts w:ascii="Times New Roman" w:hAnsi="Times New Roman" w:cs="Times New Roman"/>
                <w:color w:val="000000" w:themeColor="text1"/>
                <w:w w:val="99"/>
                <w:sz w:val="21"/>
                <w:highlight w:val="none"/>
                <w:lang w:val="en-US" w:bidi="ar-SA"/>
                <w14:textFill>
                  <w14:solidFill>
                    <w14:schemeClr w14:val="tx1"/>
                  </w14:solidFill>
                </w14:textFill>
              </w:rPr>
              <w:t>2</w:t>
            </w:r>
          </w:p>
        </w:tc>
        <w:tc>
          <w:tcPr>
            <w:tcW w:w="1292"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0.</w:t>
            </w:r>
            <w:r>
              <w:rPr>
                <w:rFonts w:hint="eastAsia" w:ascii="Times New Roman" w:hAnsi="Times New Roman" w:cs="Times New Roman"/>
                <w:color w:val="000000" w:themeColor="text1"/>
                <w:w w:val="99"/>
                <w:sz w:val="21"/>
                <w:szCs w:val="20"/>
                <w:highlight w:val="none"/>
                <w:lang w:val="en-US" w:bidi="ar-SA"/>
                <w14:textFill>
                  <w14:solidFill>
                    <w14:schemeClr w14:val="tx1"/>
                  </w14:solidFill>
                </w14:textFill>
              </w:rPr>
              <w:t>3</w:t>
            </w:r>
            <w:r>
              <w:rPr>
                <w:rFonts w:ascii="Times New Roman" w:hAnsi="Times New Roman" w:cs="Times New Roman"/>
                <w:color w:val="000000" w:themeColor="text1"/>
                <w:w w:val="99"/>
                <w:sz w:val="21"/>
                <w:szCs w:val="20"/>
                <w:highlight w:val="none"/>
                <w:lang w:val="en-US" w:bidi="ar-SA"/>
                <w14:textFill>
                  <w14:solidFill>
                    <w14:schemeClr w14:val="tx1"/>
                  </w14:solidFill>
                </w14:textFill>
              </w:rPr>
              <w:t>1~0.</w:t>
            </w: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51</w:t>
            </w:r>
          </w:p>
        </w:tc>
        <w:tc>
          <w:tcPr>
            <w:tcW w:w="703"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25.5</w:t>
            </w:r>
          </w:p>
        </w:tc>
        <w:tc>
          <w:tcPr>
            <w:tcW w:w="612"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0</w:t>
            </w:r>
          </w:p>
        </w:tc>
        <w:tc>
          <w:tcPr>
            <w:tcW w:w="600"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06"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t>葡71-72井</w:t>
            </w:r>
          </w:p>
        </w:tc>
        <w:tc>
          <w:tcPr>
            <w:tcW w:w="1135" w:type="dxa"/>
            <w:tcBorders>
              <w:tl2br w:val="nil"/>
              <w:tr2bl w:val="nil"/>
            </w:tcBorders>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124.70758</w:t>
            </w:r>
          </w:p>
        </w:tc>
        <w:tc>
          <w:tcPr>
            <w:tcW w:w="1023" w:type="dxa"/>
            <w:tcBorders>
              <w:tl2br w:val="nil"/>
              <w:tr2bl w:val="nil"/>
            </w:tcBorders>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46.00720</w:t>
            </w:r>
          </w:p>
        </w:tc>
        <w:tc>
          <w:tcPr>
            <w:tcW w:w="873"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非甲烷总烃</w:t>
            </w:r>
          </w:p>
        </w:tc>
        <w:tc>
          <w:tcPr>
            <w:tcW w:w="756" w:type="dxa"/>
            <w:tcBorders>
              <w:tl2br w:val="nil"/>
              <w:tr2bl w:val="nil"/>
            </w:tcBorders>
            <w:vAlign w:val="center"/>
          </w:tcPr>
          <w:p>
            <w:pPr>
              <w:autoSpaceDE/>
              <w:autoSpaceDN/>
              <w:jc w:val="center"/>
              <w:rPr>
                <w:rFonts w:ascii="Times New Roman" w:hAnsi="Times New Roman" w:cs="Times New Roman"/>
                <w:color w:val="000000" w:themeColor="text1"/>
                <w:w w:val="99"/>
                <w:sz w:val="21"/>
                <w:highlight w:val="none"/>
                <w:lang w:val="en-US" w:bidi="ar-SA"/>
                <w14:textFill>
                  <w14:solidFill>
                    <w14:schemeClr w14:val="tx1"/>
                  </w14:solidFill>
                </w14:textFill>
              </w:rPr>
            </w:pPr>
            <w:r>
              <w:rPr>
                <w:rFonts w:ascii="Times New Roman" w:hAnsi="Times New Roman" w:cs="Times New Roman"/>
                <w:color w:val="000000" w:themeColor="text1"/>
                <w:w w:val="99"/>
                <w:sz w:val="21"/>
                <w:highlight w:val="none"/>
                <w:lang w:val="en-US" w:bidi="ar-SA"/>
                <w14:textFill>
                  <w14:solidFill>
                    <w14:schemeClr w14:val="tx1"/>
                  </w14:solidFill>
                </w14:textFill>
              </w:rPr>
              <w:t>1h</w:t>
            </w:r>
          </w:p>
        </w:tc>
        <w:tc>
          <w:tcPr>
            <w:tcW w:w="1081" w:type="dxa"/>
            <w:tcBorders>
              <w:tl2br w:val="nil"/>
              <w:tr2bl w:val="nil"/>
            </w:tcBorders>
            <w:vAlign w:val="center"/>
          </w:tcPr>
          <w:p>
            <w:pPr>
              <w:autoSpaceDE/>
              <w:autoSpaceDN/>
              <w:jc w:val="center"/>
              <w:rPr>
                <w:rFonts w:ascii="Times New Roman" w:hAnsi="Times New Roman" w:cs="Times New Roman"/>
                <w:color w:val="000000" w:themeColor="text1"/>
                <w:w w:val="99"/>
                <w:sz w:val="21"/>
                <w:highlight w:val="none"/>
                <w:lang w:val="en-US" w:bidi="ar-SA"/>
                <w14:textFill>
                  <w14:solidFill>
                    <w14:schemeClr w14:val="tx1"/>
                  </w14:solidFill>
                </w14:textFill>
              </w:rPr>
            </w:pPr>
            <w:r>
              <w:rPr>
                <w:rFonts w:ascii="Times New Roman" w:hAnsi="Times New Roman" w:cs="Times New Roman"/>
                <w:color w:val="000000" w:themeColor="text1"/>
                <w:w w:val="99"/>
                <w:sz w:val="21"/>
                <w:highlight w:val="none"/>
                <w:lang w:val="en-US" w:bidi="ar-SA"/>
                <w14:textFill>
                  <w14:solidFill>
                    <w14:schemeClr w14:val="tx1"/>
                  </w14:solidFill>
                </w14:textFill>
              </w:rPr>
              <w:t>2</w:t>
            </w:r>
          </w:p>
        </w:tc>
        <w:tc>
          <w:tcPr>
            <w:tcW w:w="1292"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0.</w:t>
            </w:r>
            <w:r>
              <w:rPr>
                <w:rFonts w:hint="eastAsia" w:ascii="Times New Roman" w:hAnsi="Times New Roman" w:cs="Times New Roman"/>
                <w:color w:val="000000" w:themeColor="text1"/>
                <w:w w:val="99"/>
                <w:sz w:val="21"/>
                <w:szCs w:val="20"/>
                <w:highlight w:val="none"/>
                <w:lang w:val="en-US" w:bidi="ar-SA"/>
                <w14:textFill>
                  <w14:solidFill>
                    <w14:schemeClr w14:val="tx1"/>
                  </w14:solidFill>
                </w14:textFill>
              </w:rPr>
              <w:t>3</w:t>
            </w: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1</w:t>
            </w:r>
            <w:r>
              <w:rPr>
                <w:rFonts w:ascii="Times New Roman" w:hAnsi="Times New Roman" w:cs="Times New Roman"/>
                <w:color w:val="000000" w:themeColor="text1"/>
                <w:w w:val="99"/>
                <w:sz w:val="21"/>
                <w:szCs w:val="20"/>
                <w:highlight w:val="none"/>
                <w:lang w:val="en-US" w:bidi="ar-SA"/>
                <w14:textFill>
                  <w14:solidFill>
                    <w14:schemeClr w14:val="tx1"/>
                  </w14:solidFill>
                </w14:textFill>
              </w:rPr>
              <w:t>~0.</w:t>
            </w: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52</w:t>
            </w:r>
          </w:p>
        </w:tc>
        <w:tc>
          <w:tcPr>
            <w:tcW w:w="703"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0.26</w:t>
            </w:r>
          </w:p>
        </w:tc>
        <w:tc>
          <w:tcPr>
            <w:tcW w:w="612"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0</w:t>
            </w:r>
          </w:p>
        </w:tc>
        <w:tc>
          <w:tcPr>
            <w:tcW w:w="600"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06"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拟建</w:t>
            </w: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现场租用调驱设备厂址处</w:t>
            </w:r>
          </w:p>
        </w:tc>
        <w:tc>
          <w:tcPr>
            <w:tcW w:w="1135" w:type="dxa"/>
            <w:tcBorders>
              <w:tl2br w:val="nil"/>
              <w:tr2bl w:val="nil"/>
            </w:tcBorders>
            <w:vAlign w:val="center"/>
          </w:tcPr>
          <w:p>
            <w:pPr>
              <w:autoSpaceDE/>
              <w:autoSpaceDN/>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124.70358</w:t>
            </w:r>
          </w:p>
        </w:tc>
        <w:tc>
          <w:tcPr>
            <w:tcW w:w="1023"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46.0013</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w:t>
            </w:r>
          </w:p>
        </w:tc>
        <w:tc>
          <w:tcPr>
            <w:tcW w:w="873"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颗粒物</w:t>
            </w:r>
          </w:p>
        </w:tc>
        <w:tc>
          <w:tcPr>
            <w:tcW w:w="756" w:type="dxa"/>
            <w:tcBorders>
              <w:tl2br w:val="nil"/>
              <w:tr2bl w:val="nil"/>
            </w:tcBorders>
            <w:vAlign w:val="center"/>
          </w:tcPr>
          <w:p>
            <w:pPr>
              <w:autoSpaceDE/>
              <w:autoSpaceDN/>
              <w:jc w:val="center"/>
              <w:rPr>
                <w:rFonts w:ascii="Times New Roman" w:hAnsi="Times New Roman" w:cs="Times New Roman"/>
                <w:color w:val="000000" w:themeColor="text1"/>
                <w:w w:val="99"/>
                <w:sz w:val="21"/>
                <w:highlight w:val="none"/>
                <w:lang w:val="en-US" w:bidi="ar-SA"/>
                <w14:textFill>
                  <w14:solidFill>
                    <w14:schemeClr w14:val="tx1"/>
                  </w14:solidFill>
                </w14:textFill>
              </w:rPr>
            </w:pPr>
            <w:r>
              <w:rPr>
                <w:rFonts w:ascii="Times New Roman" w:hAnsi="Times New Roman" w:cs="Times New Roman"/>
                <w:color w:val="000000" w:themeColor="text1"/>
                <w:w w:val="99"/>
                <w:sz w:val="21"/>
                <w:highlight w:val="none"/>
                <w:lang w:val="en-US" w:bidi="ar-SA"/>
                <w14:textFill>
                  <w14:solidFill>
                    <w14:schemeClr w14:val="tx1"/>
                  </w14:solidFill>
                </w14:textFill>
              </w:rPr>
              <w:t>1h</w:t>
            </w:r>
          </w:p>
        </w:tc>
        <w:tc>
          <w:tcPr>
            <w:tcW w:w="1081" w:type="dxa"/>
            <w:tcBorders>
              <w:tl2br w:val="nil"/>
              <w:tr2bl w:val="nil"/>
            </w:tcBorders>
            <w:vAlign w:val="center"/>
          </w:tcPr>
          <w:p>
            <w:pPr>
              <w:autoSpaceDE/>
              <w:autoSpaceDN/>
              <w:jc w:val="center"/>
              <w:rPr>
                <w:rFonts w:ascii="Times New Roman" w:hAnsi="Times New Roman" w:cs="Times New Roman"/>
                <w:color w:val="000000" w:themeColor="text1"/>
                <w:w w:val="99"/>
                <w:sz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highlight w:val="none"/>
                <w:lang w:val="en-US" w:eastAsia="zh-CN" w:bidi="ar-SA"/>
                <w14:textFill>
                  <w14:solidFill>
                    <w14:schemeClr w14:val="tx1"/>
                  </w14:solidFill>
                </w14:textFill>
              </w:rPr>
              <w:t>0.</w:t>
            </w:r>
            <w:r>
              <w:rPr>
                <w:rFonts w:ascii="Times New Roman" w:hAnsi="Times New Roman" w:cs="Times New Roman"/>
                <w:color w:val="000000" w:themeColor="text1"/>
                <w:w w:val="99"/>
                <w:sz w:val="21"/>
                <w:highlight w:val="none"/>
                <w:lang w:val="en-US" w:bidi="ar-SA"/>
                <w14:textFill>
                  <w14:solidFill>
                    <w14:schemeClr w14:val="tx1"/>
                  </w14:solidFill>
                </w14:textFill>
              </w:rPr>
              <w:t>2</w:t>
            </w:r>
          </w:p>
        </w:tc>
        <w:tc>
          <w:tcPr>
            <w:tcW w:w="1292"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0.087</w:t>
            </w:r>
            <w:r>
              <w:rPr>
                <w:rFonts w:ascii="Times New Roman" w:hAnsi="Times New Roman" w:cs="Times New Roman"/>
                <w:color w:val="000000" w:themeColor="text1"/>
                <w:w w:val="99"/>
                <w:sz w:val="21"/>
                <w:szCs w:val="20"/>
                <w:highlight w:val="none"/>
                <w:lang w:val="en-US" w:bidi="ar-SA"/>
                <w14:textFill>
                  <w14:solidFill>
                    <w14:schemeClr w14:val="tx1"/>
                  </w14:solidFill>
                </w14:textFill>
              </w:rPr>
              <w:t>~0.</w:t>
            </w: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104</w:t>
            </w:r>
          </w:p>
        </w:tc>
        <w:tc>
          <w:tcPr>
            <w:tcW w:w="703"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52.0</w:t>
            </w:r>
          </w:p>
        </w:tc>
        <w:tc>
          <w:tcPr>
            <w:tcW w:w="612"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0</w:t>
            </w:r>
          </w:p>
        </w:tc>
        <w:tc>
          <w:tcPr>
            <w:tcW w:w="600" w:type="dxa"/>
            <w:tcBorders>
              <w:tl2br w:val="nil"/>
              <w:tr2bl w:val="nil"/>
            </w:tcBorders>
            <w:vAlign w:val="center"/>
          </w:tcPr>
          <w:p>
            <w:pPr>
              <w:autoSpaceDE/>
              <w:autoSpaceDN/>
              <w:jc w:val="center"/>
              <w:rPr>
                <w:rFonts w:ascii="Times New Roman" w:hAnsi="Times New Roman" w:cs="Times New Roman"/>
                <w:color w:val="000000" w:themeColor="text1"/>
                <w:w w:val="99"/>
                <w:sz w:val="21"/>
                <w:szCs w:val="20"/>
                <w:highlight w:val="none"/>
                <w:lang w:val="en-US"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06"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散户1</w:t>
            </w:r>
          </w:p>
        </w:tc>
        <w:tc>
          <w:tcPr>
            <w:tcW w:w="1135"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124.71058</w:t>
            </w:r>
          </w:p>
          <w:p>
            <w:pPr>
              <w:autoSpaceDE/>
              <w:autoSpaceDN/>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23" w:type="dxa"/>
            <w:tcBorders>
              <w:tl2br w:val="nil"/>
              <w:tr2bl w:val="nil"/>
            </w:tcBorders>
            <w:vAlign w:val="center"/>
          </w:tcPr>
          <w:p>
            <w:pPr>
              <w:autoSpaceDE/>
              <w:autoSpaceDN/>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45.99670</w:t>
            </w:r>
          </w:p>
        </w:tc>
        <w:tc>
          <w:tcPr>
            <w:tcW w:w="873"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颗粒物</w:t>
            </w:r>
          </w:p>
        </w:tc>
        <w:tc>
          <w:tcPr>
            <w:tcW w:w="756" w:type="dxa"/>
            <w:tcBorders>
              <w:tl2br w:val="nil"/>
              <w:tr2bl w:val="nil"/>
            </w:tcBorders>
            <w:vAlign w:val="center"/>
          </w:tcPr>
          <w:p>
            <w:pPr>
              <w:autoSpaceDE/>
              <w:autoSpaceDN/>
              <w:jc w:val="center"/>
              <w:rPr>
                <w:rFonts w:ascii="Times New Roman" w:hAnsi="Times New Roman" w:eastAsia="宋体" w:cs="Times New Roman"/>
                <w:color w:val="000000" w:themeColor="text1"/>
                <w:w w:val="99"/>
                <w:sz w:val="21"/>
                <w:szCs w:val="22"/>
                <w:highlight w:val="none"/>
                <w:lang w:val="en-US" w:eastAsia="zh-CN" w:bidi="ar-SA"/>
                <w14:textFill>
                  <w14:solidFill>
                    <w14:schemeClr w14:val="tx1"/>
                  </w14:solidFill>
                </w14:textFill>
              </w:rPr>
            </w:pPr>
            <w:r>
              <w:rPr>
                <w:rFonts w:ascii="Times New Roman" w:hAnsi="Times New Roman" w:cs="Times New Roman"/>
                <w:color w:val="000000" w:themeColor="text1"/>
                <w:w w:val="99"/>
                <w:sz w:val="21"/>
                <w:highlight w:val="none"/>
                <w:lang w:val="en-US" w:bidi="ar-SA"/>
                <w14:textFill>
                  <w14:solidFill>
                    <w14:schemeClr w14:val="tx1"/>
                  </w14:solidFill>
                </w14:textFill>
              </w:rPr>
              <w:t>1h</w:t>
            </w:r>
          </w:p>
        </w:tc>
        <w:tc>
          <w:tcPr>
            <w:tcW w:w="1081"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highlight w:val="none"/>
                <w:lang w:val="en-US" w:eastAsia="zh-CN" w:bidi="ar-SA"/>
                <w14:textFill>
                  <w14:solidFill>
                    <w14:schemeClr w14:val="tx1"/>
                  </w14:solidFill>
                </w14:textFill>
              </w:rPr>
              <w:t>0.2</w:t>
            </w:r>
          </w:p>
        </w:tc>
        <w:tc>
          <w:tcPr>
            <w:tcW w:w="1292"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0.085~0.102</w:t>
            </w:r>
          </w:p>
        </w:tc>
        <w:tc>
          <w:tcPr>
            <w:tcW w:w="703"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0"/>
                <w:highlight w:val="none"/>
                <w:lang w:val="en-US" w:eastAsia="zh-CN" w:bidi="ar-SA"/>
                <w14:textFill>
                  <w14:solidFill>
                    <w14:schemeClr w14:val="tx1"/>
                  </w14:solidFill>
                </w14:textFill>
              </w:rPr>
              <w:t>51.0</w:t>
            </w:r>
          </w:p>
        </w:tc>
        <w:tc>
          <w:tcPr>
            <w:tcW w:w="612" w:type="dxa"/>
            <w:tcBorders>
              <w:tl2br w:val="nil"/>
              <w:tr2bl w:val="nil"/>
            </w:tcBorders>
            <w:vAlign w:val="center"/>
          </w:tcPr>
          <w:p>
            <w:pPr>
              <w:autoSpaceDE/>
              <w:autoSpaceDN/>
              <w:jc w:val="center"/>
              <w:rPr>
                <w:rFonts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0</w:t>
            </w:r>
          </w:p>
        </w:tc>
        <w:tc>
          <w:tcPr>
            <w:tcW w:w="600" w:type="dxa"/>
            <w:tcBorders>
              <w:tl2br w:val="nil"/>
              <w:tr2bl w:val="nil"/>
            </w:tcBorders>
            <w:vAlign w:val="center"/>
          </w:tcPr>
          <w:p>
            <w:pPr>
              <w:autoSpaceDE/>
              <w:autoSpaceDN/>
              <w:jc w:val="center"/>
              <w:rPr>
                <w:rFonts w:ascii="Times New Roman" w:hAnsi="Times New Roman" w:eastAsia="宋体" w:cs="Times New Roman"/>
                <w:color w:val="000000" w:themeColor="text1"/>
                <w:w w:val="99"/>
                <w:sz w:val="21"/>
                <w:szCs w:val="20"/>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0"/>
                <w:highlight w:val="none"/>
                <w:lang w:val="en-US" w:bidi="ar-SA"/>
                <w14:textFill>
                  <w14:solidFill>
                    <w14:schemeClr w14:val="tx1"/>
                  </w14:solidFill>
                </w14:textFill>
              </w:rPr>
              <w:t>达标</w:t>
            </w:r>
          </w:p>
        </w:tc>
      </w:tr>
    </w:tbl>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评价区域特征污染物非甲烷总烃满足《大气污染物综合排放标准详解》中的2.0mg/m</w:t>
      </w:r>
      <w:r>
        <w:rPr>
          <w:rFonts w:ascii="Times New Roman" w:hAnsi="Times New Roman" w:cs="Times New Roman"/>
          <w:bCs/>
          <w:color w:val="000000" w:themeColor="text1"/>
          <w:w w:val="99"/>
          <w:sz w:val="24"/>
          <w:szCs w:val="24"/>
          <w:highlight w:val="none"/>
          <w:vertAlign w:val="superscript"/>
          <w:lang w:val="en-US" w:bidi="ar-SA"/>
          <w14:textFill>
            <w14:solidFill>
              <w14:schemeClr w14:val="tx1"/>
            </w14:solidFill>
          </w14:textFill>
        </w:rPr>
        <w:t>3</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标准要求。说明评价区域内大气环境质量较好，未受油田开发影响。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4.3.2 地下水环境现状调查与评价</w:t>
      </w:r>
    </w:p>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4.3.2.1 地下水</w:t>
      </w:r>
      <w:r>
        <w:rPr>
          <w:rFonts w:hint="eastAsia" w:ascii="Times New Roman" w:hAnsi="Times New Roman" w:eastAsia="宋体" w:cs="Times New Roman"/>
          <w:color w:val="000000" w:themeColor="text1"/>
          <w:sz w:val="24"/>
          <w:szCs w:val="24"/>
          <w:highlight w:val="none"/>
          <w:lang w:val="en-US"/>
          <w14:textFill>
            <w14:solidFill>
              <w14:schemeClr w14:val="tx1"/>
            </w14:solidFill>
          </w14:textFill>
        </w:rPr>
        <w:t>现状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监</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测</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）监测布点</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根据《环境影响评价技术导则  地下水》（HJ610-2016），为查清区域地下水水质现状，考虑含水层分布、埋藏特征，结合项目井场分布，</w:t>
      </w:r>
      <w:r>
        <w:rPr>
          <w:rFonts w:ascii="Times New Roman" w:hAnsi="Times New Roman" w:cs="Times New Roman"/>
          <w:color w:val="000000" w:themeColor="text1"/>
          <w:w w:val="99"/>
          <w:sz w:val="24"/>
          <w:szCs w:val="24"/>
          <w:highlight w:val="none"/>
          <w14:textFill>
            <w14:solidFill>
              <w14:schemeClr w14:val="tx1"/>
            </w14:solidFill>
          </w14:textFill>
        </w:rPr>
        <w:t>选取项目区域上游、侧向、区域下游等位置，布设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color w:val="000000" w:themeColor="text1"/>
          <w:w w:val="99"/>
          <w:sz w:val="24"/>
          <w:szCs w:val="24"/>
          <w:highlight w:val="none"/>
          <w14:textFill>
            <w14:solidFill>
              <w14:schemeClr w14:val="tx1"/>
            </w14:solidFill>
          </w14:textFill>
        </w:rPr>
        <w:t>个地下水</w:t>
      </w:r>
      <w:r>
        <w:rPr>
          <w:rFonts w:hint="eastAsia" w:ascii="Times New Roman" w:hAnsi="Times New Roman" w:cs="Times New Roman"/>
          <w:color w:val="000000" w:themeColor="text1"/>
          <w:w w:val="99"/>
          <w:sz w:val="24"/>
          <w:szCs w:val="24"/>
          <w:highlight w:val="none"/>
          <w14:textFill>
            <w14:solidFill>
              <w14:schemeClr w14:val="tx1"/>
            </w14:solidFill>
          </w14:textFill>
        </w:rPr>
        <w:t>水质</w:t>
      </w:r>
      <w:r>
        <w:rPr>
          <w:rFonts w:ascii="Times New Roman" w:hAnsi="Times New Roman" w:cs="Times New Roman"/>
          <w:color w:val="000000" w:themeColor="text1"/>
          <w:w w:val="99"/>
          <w:sz w:val="24"/>
          <w:szCs w:val="24"/>
          <w:highlight w:val="none"/>
          <w14:textFill>
            <w14:solidFill>
              <w14:schemeClr w14:val="tx1"/>
            </w14:solidFill>
          </w14:textFill>
        </w:rPr>
        <w:t>现状监测点</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color w:val="000000" w:themeColor="text1"/>
          <w:w w:val="99"/>
          <w:sz w:val="24"/>
          <w:szCs w:val="24"/>
          <w:highlight w:val="none"/>
          <w14:textFill>
            <w14:solidFill>
              <w14:schemeClr w14:val="tx1"/>
            </w14:solidFill>
          </w14:textFill>
        </w:rPr>
        <w:t xml:space="preserve"> 个潜水含水层水质监测点、</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个承压水含水层水质监测点</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14</w:t>
      </w:r>
      <w:r>
        <w:rPr>
          <w:rFonts w:hint="eastAsia" w:ascii="Times New Roman" w:hAnsi="Times New Roman" w:cs="Times New Roman"/>
          <w:color w:val="000000" w:themeColor="text1"/>
          <w:w w:val="99"/>
          <w:sz w:val="24"/>
          <w:szCs w:val="24"/>
          <w:highlight w:val="none"/>
          <w14:textFill>
            <w14:solidFill>
              <w14:schemeClr w14:val="tx1"/>
            </w14:solidFill>
          </w14:textFill>
        </w:rPr>
        <w:t>个</w:t>
      </w:r>
      <w:r>
        <w:rPr>
          <w:rFonts w:ascii="Times New Roman" w:hAnsi="Times New Roman" w:cs="Times New Roman"/>
          <w:color w:val="000000" w:themeColor="text1"/>
          <w:w w:val="99"/>
          <w:sz w:val="24"/>
          <w:szCs w:val="24"/>
          <w:highlight w:val="none"/>
          <w14:textFill>
            <w14:solidFill>
              <w14:schemeClr w14:val="tx1"/>
            </w14:solidFill>
          </w14:textFill>
        </w:rPr>
        <w:t>水位监测点。具体监测点位置见</w:t>
      </w:r>
      <w:r>
        <w:rPr>
          <w:rFonts w:ascii="Times New Roman" w:hAnsi="Times New Roman" w:cs="Times New Roman"/>
          <w:color w:val="000000" w:themeColor="text1"/>
          <w:w w:val="99"/>
          <w:sz w:val="24"/>
          <w:szCs w:val="24"/>
          <w:highlight w:val="none"/>
          <w:lang w:val="en-US"/>
          <w14:textFill>
            <w14:solidFill>
              <w14:schemeClr w14:val="tx1"/>
            </w14:solidFill>
          </w14:textFill>
        </w:rPr>
        <w:t>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color w:val="000000" w:themeColor="text1"/>
          <w:w w:val="99"/>
          <w:sz w:val="24"/>
          <w:szCs w:val="24"/>
          <w:highlight w:val="none"/>
          <w14:textFill>
            <w14:solidFill>
              <w14:schemeClr w14:val="tx1"/>
            </w14:solidFill>
          </w14:textFill>
        </w:rPr>
        <w:t>及表</w:t>
      </w:r>
      <w:r>
        <w:rPr>
          <w:rFonts w:ascii="Times New Roman" w:hAnsi="Times New Roman" w:cs="Times New Roman"/>
          <w:color w:val="000000" w:themeColor="text1"/>
          <w:w w:val="99"/>
          <w:sz w:val="24"/>
          <w:szCs w:val="24"/>
          <w:highlight w:val="none"/>
          <w:lang w:val="en-US"/>
          <w14:textFill>
            <w14:solidFill>
              <w14:schemeClr w14:val="tx1"/>
            </w14:solidFill>
          </w14:textFill>
        </w:rPr>
        <w:t>4.3-4</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和</w:t>
      </w:r>
      <w:r>
        <w:rPr>
          <w:rFonts w:ascii="Times New Roman" w:hAnsi="Times New Roman" w:cs="Times New Roman"/>
          <w:color w:val="000000" w:themeColor="text1"/>
          <w:w w:val="99"/>
          <w:sz w:val="24"/>
          <w:szCs w:val="24"/>
          <w:highlight w:val="none"/>
          <w:lang w:val="en-US"/>
          <w14:textFill>
            <w14:solidFill>
              <w14:schemeClr w14:val="tx1"/>
            </w14:solidFill>
          </w14:textFill>
        </w:rPr>
        <w:t>表</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4.3-</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4.3-4</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地下水现状监测点位</w:t>
      </w:r>
    </w:p>
    <w:tbl>
      <w:tblPr>
        <w:tblStyle w:val="32"/>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00"/>
        <w:gridCol w:w="1950"/>
        <w:gridCol w:w="916"/>
        <w:gridCol w:w="850"/>
        <w:gridCol w:w="867"/>
        <w:gridCol w:w="2233"/>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序号</w:t>
            </w:r>
          </w:p>
        </w:tc>
        <w:tc>
          <w:tcPr>
            <w:tcW w:w="100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点位</w:t>
            </w:r>
          </w:p>
        </w:tc>
        <w:tc>
          <w:tcPr>
            <w:tcW w:w="195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经纬度</w:t>
            </w:r>
          </w:p>
        </w:tc>
        <w:tc>
          <w:tcPr>
            <w:tcW w:w="916"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井深/m</w:t>
            </w:r>
          </w:p>
        </w:tc>
        <w:tc>
          <w:tcPr>
            <w:tcW w:w="850" w:type="dxa"/>
            <w:tcBorders>
              <w:right w:val="single" w:color="auto" w:sz="2" w:space="0"/>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上下游</w:t>
            </w:r>
          </w:p>
        </w:tc>
        <w:tc>
          <w:tcPr>
            <w:tcW w:w="867" w:type="dxa"/>
            <w:tcBorders>
              <w:left w:val="single" w:color="auto" w:sz="2" w:space="0"/>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备注</w:t>
            </w:r>
          </w:p>
        </w:tc>
        <w:tc>
          <w:tcPr>
            <w:tcW w:w="2233"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位置</w:t>
            </w:r>
          </w:p>
        </w:tc>
        <w:tc>
          <w:tcPr>
            <w:tcW w:w="889" w:type="dxa"/>
            <w:tcBorders>
              <w:tl2br w:val="nil"/>
              <w:tr2bl w:val="nil"/>
            </w:tcBorders>
            <w:vAlign w:val="center"/>
          </w:tcPr>
          <w:p>
            <w:pPr>
              <w:adjustRightInd w:val="0"/>
              <w:spacing w:line="320" w:lineRule="exact"/>
              <w:jc w:val="center"/>
              <w:textAlignment w:val="baseline"/>
              <w:rPr>
                <w:rFonts w:hint="eastAsia" w:ascii="Times New Roman" w:hAnsi="Times New Roman" w:eastAsia="宋体" w:cs="Times New Roman"/>
                <w:color w:val="000000" w:themeColor="text1"/>
                <w:w w:val="99"/>
                <w:sz w:val="21"/>
                <w:szCs w:val="21"/>
                <w:highlight w:val="none"/>
                <w:lang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bidi="ar-SA"/>
                <w14:textFill>
                  <w14:solidFill>
                    <w14:schemeClr w14:val="tx1"/>
                  </w14:solidFill>
                </w14:textFill>
              </w:rPr>
              <w:t>层位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U1</w:t>
            </w:r>
          </w:p>
        </w:tc>
        <w:tc>
          <w:tcPr>
            <w:tcW w:w="1000" w:type="dxa"/>
            <w:tcBorders>
              <w:tl2br w:val="nil"/>
              <w:tr2bl w:val="nil"/>
            </w:tcBorders>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七井子村</w:t>
            </w:r>
          </w:p>
        </w:tc>
        <w:tc>
          <w:tcPr>
            <w:tcW w:w="195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124.71311,46.00587</w:t>
            </w:r>
          </w:p>
        </w:tc>
        <w:tc>
          <w:tcPr>
            <w:tcW w:w="916"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18</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上游</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水质、水位</w:t>
            </w:r>
          </w:p>
        </w:tc>
        <w:tc>
          <w:tcPr>
            <w:tcW w:w="2233"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 xml:space="preserve"> 葡71-72井场东侧0.22km</w:t>
            </w:r>
          </w:p>
        </w:tc>
        <w:tc>
          <w:tcPr>
            <w:tcW w:w="889"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U2</w:t>
            </w:r>
          </w:p>
        </w:tc>
        <w:tc>
          <w:tcPr>
            <w:tcW w:w="1000" w:type="dxa"/>
            <w:tcBorders>
              <w:tl2br w:val="nil"/>
              <w:tr2bl w:val="nil"/>
            </w:tcBorders>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唐花马屯</w:t>
            </w:r>
          </w:p>
        </w:tc>
        <w:tc>
          <w:tcPr>
            <w:tcW w:w="195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124.67111,45.98407</w:t>
            </w:r>
          </w:p>
        </w:tc>
        <w:tc>
          <w:tcPr>
            <w:tcW w:w="916"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20</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下游</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水质、水位</w:t>
            </w:r>
          </w:p>
        </w:tc>
        <w:tc>
          <w:tcPr>
            <w:tcW w:w="2233"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葡70-672、葡70-斜682平台井场西南2.45km</w:t>
            </w:r>
          </w:p>
        </w:tc>
        <w:tc>
          <w:tcPr>
            <w:tcW w:w="889"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U3</w:t>
            </w:r>
          </w:p>
        </w:tc>
        <w:tc>
          <w:tcPr>
            <w:tcW w:w="100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 xml:space="preserve">钱家屯 </w:t>
            </w:r>
          </w:p>
        </w:tc>
        <w:tc>
          <w:tcPr>
            <w:tcW w:w="195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124.70511,46.00807</w:t>
            </w:r>
          </w:p>
        </w:tc>
        <w:tc>
          <w:tcPr>
            <w:tcW w:w="916"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80</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上游</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水质、水位</w:t>
            </w:r>
          </w:p>
        </w:tc>
        <w:tc>
          <w:tcPr>
            <w:tcW w:w="2233"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葡71-72井场北侧0.05km</w:t>
            </w:r>
          </w:p>
        </w:tc>
        <w:tc>
          <w:tcPr>
            <w:tcW w:w="889"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承压水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U4</w:t>
            </w:r>
          </w:p>
        </w:tc>
        <w:tc>
          <w:tcPr>
            <w:tcW w:w="1000" w:type="dxa"/>
            <w:tcBorders>
              <w:tl2br w:val="nil"/>
              <w:tr2bl w:val="nil"/>
            </w:tcBorders>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散户1</w:t>
            </w:r>
          </w:p>
        </w:tc>
        <w:tc>
          <w:tcPr>
            <w:tcW w:w="1950" w:type="dxa"/>
            <w:tcBorders>
              <w:tl2br w:val="nil"/>
              <w:tr2bl w:val="nil"/>
            </w:tcBorders>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124.71058,45.99670</w:t>
            </w:r>
          </w:p>
        </w:tc>
        <w:tc>
          <w:tcPr>
            <w:tcW w:w="916"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22</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侧向</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水质、水位</w:t>
            </w:r>
          </w:p>
        </w:tc>
        <w:tc>
          <w:tcPr>
            <w:tcW w:w="2233"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葡73-斜692</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、葡72-斜702、葡73-702</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平台井场</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东南0.252km</w:t>
            </w:r>
          </w:p>
        </w:tc>
        <w:tc>
          <w:tcPr>
            <w:tcW w:w="889"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U5</w:t>
            </w:r>
          </w:p>
        </w:tc>
        <w:tc>
          <w:tcPr>
            <w:tcW w:w="1000" w:type="dxa"/>
            <w:tcBorders>
              <w:tl2br w:val="nil"/>
              <w:tr2bl w:val="nil"/>
            </w:tcBorders>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唐花马屯</w:t>
            </w:r>
          </w:p>
        </w:tc>
        <w:tc>
          <w:tcPr>
            <w:tcW w:w="195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124.67111,45.98407</w:t>
            </w:r>
          </w:p>
        </w:tc>
        <w:tc>
          <w:tcPr>
            <w:tcW w:w="916"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110</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下游</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水质、水位</w:t>
            </w:r>
          </w:p>
        </w:tc>
        <w:tc>
          <w:tcPr>
            <w:tcW w:w="2233"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葡70-672、葡70-斜682平台井场西南2.45km</w:t>
            </w:r>
          </w:p>
        </w:tc>
        <w:tc>
          <w:tcPr>
            <w:tcW w:w="889"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承压水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U6</w:t>
            </w:r>
          </w:p>
        </w:tc>
        <w:tc>
          <w:tcPr>
            <w:tcW w:w="1000" w:type="dxa"/>
            <w:tcBorders>
              <w:tl2br w:val="nil"/>
              <w:tr2bl w:val="nil"/>
            </w:tcBorders>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散户</w:t>
            </w: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2</w:t>
            </w:r>
          </w:p>
        </w:tc>
        <w:tc>
          <w:tcPr>
            <w:tcW w:w="195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124.69111,46.00497</w:t>
            </w:r>
          </w:p>
        </w:tc>
        <w:tc>
          <w:tcPr>
            <w:tcW w:w="916"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18</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侧向</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水质、水位</w:t>
            </w:r>
          </w:p>
        </w:tc>
        <w:tc>
          <w:tcPr>
            <w:tcW w:w="2233" w:type="dxa"/>
            <w:tcBorders>
              <w:tl2br w:val="nil"/>
              <w:tr2bl w:val="nil"/>
            </w:tcBorders>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葡70-6</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8井场西北0.15km</w:t>
            </w:r>
          </w:p>
        </w:tc>
        <w:tc>
          <w:tcPr>
            <w:tcW w:w="889"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U7</w:t>
            </w:r>
          </w:p>
        </w:tc>
        <w:tc>
          <w:tcPr>
            <w:tcW w:w="1000" w:type="dxa"/>
            <w:tcBorders>
              <w:tl2br w:val="nil"/>
              <w:tr2bl w:val="nil"/>
            </w:tcBorders>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散户</w:t>
            </w: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3</w:t>
            </w:r>
          </w:p>
        </w:tc>
        <w:tc>
          <w:tcPr>
            <w:tcW w:w="1950"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sz w:val="22"/>
                <w:szCs w:val="21"/>
                <w:highlight w:val="none"/>
                <w:lang w:val="en-US" w:eastAsia="zh-CN" w:bidi="zh-CN"/>
                <w14:textFill>
                  <w14:solidFill>
                    <w14:schemeClr w14:val="tx1"/>
                  </w14:solidFill>
                </w14:textFill>
              </w:rPr>
              <w:t>1</w:t>
            </w: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24.68011,45.99007</w:t>
            </w:r>
          </w:p>
        </w:tc>
        <w:tc>
          <w:tcPr>
            <w:tcW w:w="916"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25</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下游</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水质、水位</w:t>
            </w:r>
          </w:p>
        </w:tc>
        <w:tc>
          <w:tcPr>
            <w:tcW w:w="2233"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葡70-672、葡70-斜682平台井场西南</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1.61</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km</w:t>
            </w:r>
          </w:p>
        </w:tc>
        <w:tc>
          <w:tcPr>
            <w:tcW w:w="889"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8</w:t>
            </w:r>
          </w:p>
        </w:tc>
        <w:tc>
          <w:tcPr>
            <w:tcW w:w="1000" w:type="dxa"/>
            <w:tcBorders>
              <w:tl2br w:val="nil"/>
              <w:tr2bl w:val="nil"/>
            </w:tcBorders>
            <w:vAlign w:val="center"/>
          </w:tcPr>
          <w:p>
            <w:pPr>
              <w:autoSpaceDE/>
              <w:autoSpaceDN/>
              <w:adjustRightInd w:val="0"/>
              <w:snapToGrid w:val="0"/>
              <w:spacing w:line="320" w:lineRule="exact"/>
              <w:ind w:firstLine="4"/>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 xml:space="preserve">钱家屯 </w:t>
            </w:r>
          </w:p>
        </w:tc>
        <w:tc>
          <w:tcPr>
            <w:tcW w:w="1950" w:type="dxa"/>
            <w:tcBorders>
              <w:tl2br w:val="nil"/>
              <w:tr2bl w:val="nil"/>
            </w:tcBorders>
            <w:vAlign w:val="center"/>
          </w:tcPr>
          <w:p>
            <w:pPr>
              <w:autoSpaceDE/>
              <w:autoSpaceDN/>
              <w:adjustRightInd w:val="0"/>
              <w:snapToGrid w:val="0"/>
              <w:spacing w:line="320" w:lineRule="exact"/>
              <w:ind w:firstLine="4"/>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124.70511,46.0080</w:t>
            </w:r>
          </w:p>
        </w:tc>
        <w:tc>
          <w:tcPr>
            <w:tcW w:w="916" w:type="dxa"/>
            <w:tcBorders>
              <w:tl2br w:val="nil"/>
              <w:tr2bl w:val="nil"/>
            </w:tcBorders>
            <w:vAlign w:val="center"/>
          </w:tcPr>
          <w:p>
            <w:pPr>
              <w:adjustRightInd w:val="0"/>
              <w:spacing w:line="32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50" w:type="dxa"/>
            <w:tcBorders>
              <w:right w:val="single" w:color="auto" w:sz="2" w:space="0"/>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水位</w:t>
            </w:r>
          </w:p>
        </w:tc>
        <w:tc>
          <w:tcPr>
            <w:tcW w:w="2233"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89"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9</w:t>
            </w:r>
          </w:p>
        </w:tc>
        <w:tc>
          <w:tcPr>
            <w:tcW w:w="1000" w:type="dxa"/>
            <w:tcBorders>
              <w:tl2br w:val="nil"/>
              <w:tr2bl w:val="nil"/>
            </w:tcBorders>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七井子村</w:t>
            </w:r>
          </w:p>
        </w:tc>
        <w:tc>
          <w:tcPr>
            <w:tcW w:w="1950" w:type="dxa"/>
            <w:tcBorders>
              <w:tl2br w:val="nil"/>
              <w:tr2bl w:val="nil"/>
            </w:tcBorders>
            <w:vAlign w:val="center"/>
          </w:tcPr>
          <w:p>
            <w:pPr>
              <w:autoSpaceDE/>
              <w:autoSpaceDN/>
              <w:adjustRightInd w:val="0"/>
              <w:snapToGrid w:val="0"/>
              <w:spacing w:line="320" w:lineRule="exact"/>
              <w:ind w:firstLine="4"/>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124.71311,46.00587</w:t>
            </w:r>
          </w:p>
        </w:tc>
        <w:tc>
          <w:tcPr>
            <w:tcW w:w="916"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水位</w:t>
            </w:r>
          </w:p>
        </w:tc>
        <w:tc>
          <w:tcPr>
            <w:tcW w:w="2233"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89"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承压水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10</w:t>
            </w:r>
          </w:p>
        </w:tc>
        <w:tc>
          <w:tcPr>
            <w:tcW w:w="100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张兴屯</w:t>
            </w:r>
          </w:p>
        </w:tc>
        <w:tc>
          <w:tcPr>
            <w:tcW w:w="1950"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SA"/>
                <w14:textFill>
                  <w14:solidFill>
                    <w14:schemeClr w14:val="tx1"/>
                  </w14:solidFill>
                </w14:textFill>
              </w:rPr>
              <w:t>124.71911,46.00587</w:t>
            </w:r>
          </w:p>
        </w:tc>
        <w:tc>
          <w:tcPr>
            <w:tcW w:w="916"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水位</w:t>
            </w:r>
          </w:p>
        </w:tc>
        <w:tc>
          <w:tcPr>
            <w:tcW w:w="2233"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89"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11</w:t>
            </w:r>
          </w:p>
        </w:tc>
        <w:tc>
          <w:tcPr>
            <w:tcW w:w="100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罗家屯</w:t>
            </w:r>
          </w:p>
        </w:tc>
        <w:tc>
          <w:tcPr>
            <w:tcW w:w="1950"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SA"/>
                <w14:textFill>
                  <w14:solidFill>
                    <w14:schemeClr w14:val="tx1"/>
                  </w14:solidFill>
                </w14:textFill>
              </w:rPr>
              <w:t>124.73911,46.00187</w:t>
            </w:r>
          </w:p>
        </w:tc>
        <w:tc>
          <w:tcPr>
            <w:tcW w:w="916"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水位</w:t>
            </w:r>
          </w:p>
        </w:tc>
        <w:tc>
          <w:tcPr>
            <w:tcW w:w="2233"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89"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12</w:t>
            </w:r>
          </w:p>
        </w:tc>
        <w:tc>
          <w:tcPr>
            <w:tcW w:w="100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四撮房</w:t>
            </w:r>
          </w:p>
        </w:tc>
        <w:tc>
          <w:tcPr>
            <w:tcW w:w="1950"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SA"/>
                <w14:textFill>
                  <w14:solidFill>
                    <w14:schemeClr w14:val="tx1"/>
                  </w14:solidFill>
                </w14:textFill>
              </w:rPr>
              <w:t>124.74911,46.00087</w:t>
            </w:r>
          </w:p>
        </w:tc>
        <w:tc>
          <w:tcPr>
            <w:tcW w:w="916"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水位</w:t>
            </w:r>
          </w:p>
        </w:tc>
        <w:tc>
          <w:tcPr>
            <w:tcW w:w="2233"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89"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13</w:t>
            </w:r>
          </w:p>
        </w:tc>
        <w:tc>
          <w:tcPr>
            <w:tcW w:w="100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永和村</w:t>
            </w:r>
          </w:p>
        </w:tc>
        <w:tc>
          <w:tcPr>
            <w:tcW w:w="1950"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SA"/>
                <w14:textFill>
                  <w14:solidFill>
                    <w14:schemeClr w14:val="tx1"/>
                  </w14:solidFill>
                </w14:textFill>
              </w:rPr>
              <w:t>124.66911,46.00687</w:t>
            </w:r>
          </w:p>
        </w:tc>
        <w:tc>
          <w:tcPr>
            <w:tcW w:w="916"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水位</w:t>
            </w:r>
          </w:p>
        </w:tc>
        <w:tc>
          <w:tcPr>
            <w:tcW w:w="2233"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89"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14</w:t>
            </w:r>
          </w:p>
        </w:tc>
        <w:tc>
          <w:tcPr>
            <w:tcW w:w="1000" w:type="dxa"/>
            <w:tcBorders>
              <w:tl2br w:val="nil"/>
              <w:tr2bl w:val="nil"/>
            </w:tcBorders>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万年屯</w:t>
            </w:r>
          </w:p>
        </w:tc>
        <w:tc>
          <w:tcPr>
            <w:tcW w:w="1950"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zh-CN" w:bidi="ar-SA"/>
                <w14:textFill>
                  <w14:solidFill>
                    <w14:schemeClr w14:val="tx1"/>
                  </w14:solidFill>
                </w14:textFill>
              </w:rPr>
              <w:t>124.65911,46.00687</w:t>
            </w:r>
          </w:p>
        </w:tc>
        <w:tc>
          <w:tcPr>
            <w:tcW w:w="916" w:type="dxa"/>
            <w:tcBorders>
              <w:tl2br w:val="nil"/>
              <w:tr2bl w:val="nil"/>
            </w:tcBorders>
            <w:vAlign w:val="center"/>
          </w:tcPr>
          <w:p>
            <w:pPr>
              <w:adjustRightInd w:val="0"/>
              <w:spacing w:line="32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50" w:type="dxa"/>
            <w:tcBorders>
              <w:righ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67" w:type="dxa"/>
            <w:tcBorders>
              <w:left w:val="single" w:color="auto" w:sz="2" w:space="0"/>
              <w:tl2br w:val="nil"/>
              <w:tr2bl w:val="nil"/>
            </w:tcBorders>
            <w:vAlign w:val="center"/>
          </w:tcPr>
          <w:p>
            <w:pPr>
              <w:autoSpaceDE/>
              <w:autoSpaceDN/>
              <w:spacing w:line="32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水位</w:t>
            </w:r>
          </w:p>
        </w:tc>
        <w:tc>
          <w:tcPr>
            <w:tcW w:w="2233"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w:t>
            </w:r>
          </w:p>
        </w:tc>
        <w:tc>
          <w:tcPr>
            <w:tcW w:w="889" w:type="dxa"/>
            <w:tcBorders>
              <w:tl2br w:val="nil"/>
              <w:tr2bl w:val="nil"/>
            </w:tcBorders>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承压水</w:t>
            </w:r>
          </w:p>
        </w:tc>
      </w:tr>
    </w:tbl>
    <w:p>
      <w:pPr>
        <w:autoSpaceDE/>
        <w:autoSpaceDN/>
        <w:adjustRightInd w:val="0"/>
        <w:snapToGrid w:val="0"/>
        <w:spacing w:line="440" w:lineRule="exact"/>
        <w:ind w:firstLine="474" w:firstLineChars="200"/>
        <w:jc w:val="both"/>
        <w:rPr>
          <w:rFonts w:ascii="Times New Roman" w:hAnsi="Times New Roman" w:cs="Times New Roman"/>
          <w:b/>
          <w:snapToGrid w:val="0"/>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（2）监测因子</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选取与地下水环境因子相关水质指标，K</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、Na</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、Cl</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、Ca</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、Mg</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、CO</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、SO</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、pH、氨氮、总硬度、硝酸盐、亚硝酸盐、氰化物、砷、汞、铬（六价）、铅、氟化物、镉、铁、锰、溶解性总固体、耗氧量、挥发酚</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性</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类、石油类、菌落总数、总大肠菌群，共计</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28</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项。</w:t>
      </w:r>
    </w:p>
    <w:p>
      <w:pPr>
        <w:autoSpaceDE/>
        <w:autoSpaceDN/>
        <w:adjustRightInd w:val="0"/>
        <w:snapToGrid w:val="0"/>
        <w:spacing w:line="440" w:lineRule="exact"/>
        <w:ind w:firstLine="474" w:firstLineChars="200"/>
        <w:jc w:val="both"/>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（3）监测时间和频率</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bCs/>
          <w:color w:val="000000" w:themeColor="text1"/>
          <w:w w:val="99"/>
          <w:kern w:val="2"/>
          <w:sz w:val="24"/>
          <w:szCs w:val="24"/>
          <w:highlight w:val="none"/>
          <w:lang w:val="en-US" w:eastAsia="zh-CN" w:bidi="ar-SA"/>
          <w14:textFill>
            <w14:solidFill>
              <w14:schemeClr w14:val="tx1"/>
            </w14:solidFill>
          </w14:textFill>
        </w:rPr>
        <w:t>2021年8月30日</w:t>
      </w: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监测</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，采样1次</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pStyle w:val="14"/>
        <w:spacing w:line="440" w:lineRule="exact"/>
        <w:ind w:firstLine="474" w:firstLineChars="200"/>
        <w:jc w:val="both"/>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（4）监测结果</w:t>
      </w:r>
    </w:p>
    <w:p>
      <w:pPr>
        <w:pStyle w:val="14"/>
        <w:spacing w:line="440" w:lineRule="exact"/>
        <w:ind w:left="440" w:left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bCs/>
          <w:snapToGrid w:val="0"/>
          <w:color w:val="000000" w:themeColor="text1"/>
          <w:w w:val="99"/>
          <w:kern w:val="2"/>
          <w:sz w:val="24"/>
          <w:szCs w:val="24"/>
          <w:highlight w:val="none"/>
          <w:lang w:val="en-US" w:bidi="ar-SA"/>
          <w14:textFill>
            <w14:solidFill>
              <w14:schemeClr w14:val="tx1"/>
            </w14:solidFill>
          </w14:textFill>
        </w:rPr>
        <w:t>地下水</w:t>
      </w:r>
      <w:r>
        <w:rPr>
          <w:rFonts w:ascii="Times New Roman" w:hAnsi="Times New Roman" w:cs="Times New Roman"/>
          <w:bCs/>
          <w:snapToGrid w:val="0"/>
          <w:color w:val="000000" w:themeColor="text1"/>
          <w:w w:val="99"/>
          <w:kern w:val="2"/>
          <w:sz w:val="24"/>
          <w:szCs w:val="24"/>
          <w:highlight w:val="none"/>
          <w:lang w:val="en-US" w:bidi="ar-SA"/>
          <w14:textFill>
            <w14:solidFill>
              <w14:schemeClr w14:val="tx1"/>
            </w14:solidFill>
          </w14:textFill>
        </w:rPr>
        <w:t>水质监测结果</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见表4.3-</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5</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地下水水位</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统计</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结果见表</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4.3-</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6</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5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地下水监测结果</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单位：mg/L，pH 无量纲</w:t>
      </w:r>
    </w:p>
    <w:tbl>
      <w:tblPr>
        <w:tblStyle w:val="32"/>
        <w:tblW w:w="9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639"/>
        <w:gridCol w:w="1567"/>
        <w:gridCol w:w="1587"/>
        <w:gridCol w:w="1543"/>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512"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
                <w14:textFill>
                  <w14:solidFill>
                    <w14:schemeClr w14:val="tx1"/>
                  </w14:solidFill>
                </w14:textFill>
              </w:rPr>
              <w:t>监测项目</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七井子村（白家、潜水）</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唐花马屯（马家、潜水）</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散户1（韩家、潜水）</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散户2（王家、潜水）</w:t>
            </w:r>
          </w:p>
        </w:tc>
        <w:tc>
          <w:tcPr>
            <w:tcW w:w="134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K</w:t>
            </w:r>
            <w:r>
              <w:rPr>
                <w:rFonts w:ascii="Times New Roman" w:hAnsi="Times New Roman" w:cs="Times New Roman"/>
                <w:color w:val="000000" w:themeColor="text1"/>
                <w:w w:val="99"/>
                <w:kern w:val="24"/>
                <w:sz w:val="21"/>
                <w:szCs w:val="21"/>
                <w:highlight w:val="none"/>
                <w:vertAlign w:val="superscript"/>
                <w:lang w:val="en-US" w:bidi="ar-SA"/>
                <w14:textFill>
                  <w14:solidFill>
                    <w14:schemeClr w14:val="tx1"/>
                  </w14:solidFill>
                </w14:textFill>
              </w:rPr>
              <w:t>+</w:t>
            </w:r>
          </w:p>
        </w:tc>
        <w:tc>
          <w:tcPr>
            <w:tcW w:w="1639"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1.89</w:t>
            </w:r>
          </w:p>
        </w:tc>
        <w:tc>
          <w:tcPr>
            <w:tcW w:w="156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2.44</w:t>
            </w:r>
          </w:p>
        </w:tc>
        <w:tc>
          <w:tcPr>
            <w:tcW w:w="158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2.05</w:t>
            </w:r>
          </w:p>
        </w:tc>
        <w:tc>
          <w:tcPr>
            <w:tcW w:w="1543" w:type="dxa"/>
            <w:tcBorders>
              <w:tl2br w:val="nil"/>
              <w:tr2bl w:val="nil"/>
            </w:tcBorders>
            <w:vAlign w:val="bottom"/>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2.19</w:t>
            </w:r>
          </w:p>
        </w:tc>
        <w:tc>
          <w:tcPr>
            <w:tcW w:w="134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1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Na</w:t>
            </w:r>
            <w:r>
              <w:rPr>
                <w:rFonts w:ascii="Times New Roman" w:hAnsi="Times New Roman" w:cs="Times New Roman"/>
                <w:color w:val="000000" w:themeColor="text1"/>
                <w:w w:val="99"/>
                <w:kern w:val="24"/>
                <w:sz w:val="21"/>
                <w:szCs w:val="21"/>
                <w:highlight w:val="none"/>
                <w:vertAlign w:val="superscript"/>
                <w:lang w:val="en-US" w:bidi="ar-SA"/>
                <w14:textFill>
                  <w14:solidFill>
                    <w14:schemeClr w14:val="tx1"/>
                  </w14:solidFill>
                </w14:textFill>
              </w:rPr>
              <w:t>+</w:t>
            </w:r>
          </w:p>
        </w:tc>
        <w:tc>
          <w:tcPr>
            <w:tcW w:w="1639"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62.4</w:t>
            </w:r>
          </w:p>
        </w:tc>
        <w:tc>
          <w:tcPr>
            <w:tcW w:w="156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zh-CN"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66.6</w:t>
            </w:r>
          </w:p>
        </w:tc>
        <w:tc>
          <w:tcPr>
            <w:tcW w:w="158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66.6</w:t>
            </w:r>
          </w:p>
        </w:tc>
        <w:tc>
          <w:tcPr>
            <w:tcW w:w="1543" w:type="dxa"/>
            <w:tcBorders>
              <w:tl2br w:val="nil"/>
              <w:tr2bl w:val="nil"/>
            </w:tcBorders>
            <w:vAlign w:val="bottom"/>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64.5</w:t>
            </w:r>
          </w:p>
        </w:tc>
        <w:tc>
          <w:tcPr>
            <w:tcW w:w="134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Ca</w:t>
            </w:r>
            <w:r>
              <w:rPr>
                <w:rFonts w:ascii="Times New Roman" w:hAnsi="Times New Roman" w:cs="Times New Roman"/>
                <w:color w:val="000000" w:themeColor="text1"/>
                <w:w w:val="99"/>
                <w:kern w:val="24"/>
                <w:sz w:val="21"/>
                <w:szCs w:val="21"/>
                <w:highlight w:val="none"/>
                <w:vertAlign w:val="superscript"/>
                <w:lang w:val="en-US" w:bidi="ar-SA"/>
                <w14:textFill>
                  <w14:solidFill>
                    <w14:schemeClr w14:val="tx1"/>
                  </w14:solidFill>
                </w14:textFill>
              </w:rPr>
              <w:t>2+</w:t>
            </w:r>
          </w:p>
        </w:tc>
        <w:tc>
          <w:tcPr>
            <w:tcW w:w="1639"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54.7</w:t>
            </w:r>
          </w:p>
        </w:tc>
        <w:tc>
          <w:tcPr>
            <w:tcW w:w="156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57.3</w:t>
            </w:r>
          </w:p>
        </w:tc>
        <w:tc>
          <w:tcPr>
            <w:tcW w:w="158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54.7</w:t>
            </w:r>
          </w:p>
        </w:tc>
        <w:tc>
          <w:tcPr>
            <w:tcW w:w="1543" w:type="dxa"/>
            <w:tcBorders>
              <w:tl2br w:val="nil"/>
              <w:tr2bl w:val="nil"/>
            </w:tcBorders>
            <w:vAlign w:val="bottom"/>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58.3</w:t>
            </w:r>
          </w:p>
        </w:tc>
        <w:tc>
          <w:tcPr>
            <w:tcW w:w="134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Mg</w:t>
            </w:r>
            <w:r>
              <w:rPr>
                <w:rFonts w:ascii="Times New Roman" w:hAnsi="Times New Roman" w:cs="Times New Roman"/>
                <w:color w:val="000000" w:themeColor="text1"/>
                <w:w w:val="99"/>
                <w:kern w:val="24"/>
                <w:sz w:val="21"/>
                <w:szCs w:val="21"/>
                <w:highlight w:val="none"/>
                <w:vertAlign w:val="superscript"/>
                <w:lang w:val="en-US" w:bidi="ar-SA"/>
                <w14:textFill>
                  <w14:solidFill>
                    <w14:schemeClr w14:val="tx1"/>
                  </w14:solidFill>
                </w14:textFill>
              </w:rPr>
              <w:t>2+</w:t>
            </w:r>
          </w:p>
        </w:tc>
        <w:tc>
          <w:tcPr>
            <w:tcW w:w="1639"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13.3</w:t>
            </w:r>
          </w:p>
        </w:tc>
        <w:tc>
          <w:tcPr>
            <w:tcW w:w="156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13.5</w:t>
            </w:r>
          </w:p>
        </w:tc>
        <w:tc>
          <w:tcPr>
            <w:tcW w:w="158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12.2</w:t>
            </w:r>
          </w:p>
        </w:tc>
        <w:tc>
          <w:tcPr>
            <w:tcW w:w="1543" w:type="dxa"/>
            <w:tcBorders>
              <w:tl2br w:val="nil"/>
              <w:tr2bl w:val="nil"/>
            </w:tcBorders>
            <w:vAlign w:val="bottom"/>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13.5</w:t>
            </w:r>
          </w:p>
        </w:tc>
        <w:tc>
          <w:tcPr>
            <w:tcW w:w="134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1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639"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252</w:t>
            </w:r>
          </w:p>
        </w:tc>
        <w:tc>
          <w:tcPr>
            <w:tcW w:w="156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277</w:t>
            </w:r>
          </w:p>
        </w:tc>
        <w:tc>
          <w:tcPr>
            <w:tcW w:w="158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251</w:t>
            </w:r>
          </w:p>
        </w:tc>
        <w:tc>
          <w:tcPr>
            <w:tcW w:w="154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272</w:t>
            </w:r>
          </w:p>
        </w:tc>
        <w:tc>
          <w:tcPr>
            <w:tcW w:w="134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639"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w:t>
            </w:r>
          </w:p>
        </w:tc>
        <w:tc>
          <w:tcPr>
            <w:tcW w:w="156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w:t>
            </w:r>
          </w:p>
        </w:tc>
        <w:tc>
          <w:tcPr>
            <w:tcW w:w="158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w:t>
            </w:r>
          </w:p>
        </w:tc>
        <w:tc>
          <w:tcPr>
            <w:tcW w:w="154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w:t>
            </w:r>
          </w:p>
        </w:tc>
        <w:tc>
          <w:tcPr>
            <w:tcW w:w="134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639"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52.2</w:t>
            </w:r>
          </w:p>
        </w:tc>
        <w:tc>
          <w:tcPr>
            <w:tcW w:w="156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54.5</w:t>
            </w:r>
          </w:p>
        </w:tc>
        <w:tc>
          <w:tcPr>
            <w:tcW w:w="158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51.3</w:t>
            </w:r>
          </w:p>
        </w:tc>
        <w:tc>
          <w:tcPr>
            <w:tcW w:w="154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50.3</w:t>
            </w:r>
          </w:p>
        </w:tc>
        <w:tc>
          <w:tcPr>
            <w:tcW w:w="134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639"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43.1</w:t>
            </w:r>
          </w:p>
        </w:tc>
        <w:tc>
          <w:tcPr>
            <w:tcW w:w="156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46.3</w:t>
            </w:r>
          </w:p>
        </w:tc>
        <w:tc>
          <w:tcPr>
            <w:tcW w:w="1587"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49.5</w:t>
            </w:r>
          </w:p>
        </w:tc>
        <w:tc>
          <w:tcPr>
            <w:tcW w:w="154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44.6</w:t>
            </w:r>
          </w:p>
        </w:tc>
        <w:tc>
          <w:tcPr>
            <w:tcW w:w="134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7.9</w:t>
            </w:r>
          </w:p>
        </w:tc>
        <w:tc>
          <w:tcPr>
            <w:tcW w:w="156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7.9</w:t>
            </w:r>
          </w:p>
        </w:tc>
        <w:tc>
          <w:tcPr>
            <w:tcW w:w="158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7.9</w:t>
            </w:r>
          </w:p>
        </w:tc>
        <w:tc>
          <w:tcPr>
            <w:tcW w:w="154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7.9</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总硬度</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192</w:t>
            </w:r>
          </w:p>
        </w:tc>
        <w:tc>
          <w:tcPr>
            <w:tcW w:w="156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200</w:t>
            </w:r>
          </w:p>
        </w:tc>
        <w:tc>
          <w:tcPr>
            <w:tcW w:w="158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188</w:t>
            </w:r>
          </w:p>
        </w:tc>
        <w:tc>
          <w:tcPr>
            <w:tcW w:w="154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202</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溶解性总固体</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580</w:t>
            </w:r>
          </w:p>
        </w:tc>
        <w:tc>
          <w:tcPr>
            <w:tcW w:w="156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620</w:t>
            </w:r>
          </w:p>
        </w:tc>
        <w:tc>
          <w:tcPr>
            <w:tcW w:w="158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580</w:t>
            </w:r>
          </w:p>
        </w:tc>
        <w:tc>
          <w:tcPr>
            <w:tcW w:w="154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610</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耗氧量</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1.9</w:t>
            </w:r>
          </w:p>
        </w:tc>
        <w:tc>
          <w:tcPr>
            <w:tcW w:w="156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1.9</w:t>
            </w:r>
          </w:p>
        </w:tc>
        <w:tc>
          <w:tcPr>
            <w:tcW w:w="158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2.0</w:t>
            </w:r>
          </w:p>
        </w:tc>
        <w:tc>
          <w:tcPr>
            <w:tcW w:w="154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1.9</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挥发酚</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0.0003L</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0.0003L</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0.0003L</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0.0003L</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氰化物</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0.004L</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0.004L</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0.004L</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0.004L</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氟化物</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0.627</w:t>
            </w:r>
          </w:p>
        </w:tc>
        <w:tc>
          <w:tcPr>
            <w:tcW w:w="156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0.606</w:t>
            </w:r>
          </w:p>
        </w:tc>
        <w:tc>
          <w:tcPr>
            <w:tcW w:w="158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0.561</w:t>
            </w:r>
          </w:p>
        </w:tc>
        <w:tc>
          <w:tcPr>
            <w:tcW w:w="154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0.593</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硝酸盐</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3.03</w:t>
            </w:r>
          </w:p>
        </w:tc>
        <w:tc>
          <w:tcPr>
            <w:tcW w:w="156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2.36</w:t>
            </w:r>
          </w:p>
        </w:tc>
        <w:tc>
          <w:tcPr>
            <w:tcW w:w="158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2.39</w:t>
            </w:r>
          </w:p>
        </w:tc>
        <w:tc>
          <w:tcPr>
            <w:tcW w:w="154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2.02</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亚硝酸盐</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0.003L</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0.003L</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0.003L</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0.003L</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氨氮</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0.321</w:t>
            </w:r>
          </w:p>
        </w:tc>
        <w:tc>
          <w:tcPr>
            <w:tcW w:w="156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0.244</w:t>
            </w:r>
          </w:p>
        </w:tc>
        <w:tc>
          <w:tcPr>
            <w:tcW w:w="158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0.237</w:t>
            </w:r>
          </w:p>
        </w:tc>
        <w:tc>
          <w:tcPr>
            <w:tcW w:w="154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0.261</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六价铬</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0.004L</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0.004L</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0.004L</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0.004L</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砷</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0.0003L</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0.0003L</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0.0003L</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0.0003L</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铅</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0.0025L</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0.0025L</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0.0025L</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0.0025L</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铁</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0.28</w:t>
            </w:r>
          </w:p>
        </w:tc>
        <w:tc>
          <w:tcPr>
            <w:tcW w:w="156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0.27</w:t>
            </w:r>
          </w:p>
        </w:tc>
        <w:tc>
          <w:tcPr>
            <w:tcW w:w="158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0.27</w:t>
            </w:r>
          </w:p>
        </w:tc>
        <w:tc>
          <w:tcPr>
            <w:tcW w:w="154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0.26</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汞</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0.00004L</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0.00004L</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0.00004L</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0.00004L</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锰</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0.07</w:t>
            </w:r>
          </w:p>
        </w:tc>
        <w:tc>
          <w:tcPr>
            <w:tcW w:w="156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0.09</w:t>
            </w:r>
          </w:p>
        </w:tc>
        <w:tc>
          <w:tcPr>
            <w:tcW w:w="158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0.09</w:t>
            </w:r>
          </w:p>
        </w:tc>
        <w:tc>
          <w:tcPr>
            <w:tcW w:w="154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0.07</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镉</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0.0005L</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0.0005L</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0.0005L</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0.0005L</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1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石油类</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0.01L</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0.01L</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0.01L</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0.01L</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1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总大肠菌群</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2L</w:t>
            </w:r>
          </w:p>
        </w:tc>
        <w:tc>
          <w:tcPr>
            <w:tcW w:w="156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2L</w:t>
            </w:r>
          </w:p>
        </w:tc>
        <w:tc>
          <w:tcPr>
            <w:tcW w:w="15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2L</w:t>
            </w:r>
          </w:p>
        </w:tc>
        <w:tc>
          <w:tcPr>
            <w:tcW w:w="154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2L</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1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菌落总数</w:t>
            </w:r>
          </w:p>
        </w:tc>
        <w:tc>
          <w:tcPr>
            <w:tcW w:w="163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10</w:t>
            </w:r>
          </w:p>
        </w:tc>
        <w:tc>
          <w:tcPr>
            <w:tcW w:w="156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12</w:t>
            </w:r>
          </w:p>
        </w:tc>
        <w:tc>
          <w:tcPr>
            <w:tcW w:w="1587"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11</w:t>
            </w:r>
          </w:p>
        </w:tc>
        <w:tc>
          <w:tcPr>
            <w:tcW w:w="154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11</w:t>
            </w:r>
          </w:p>
        </w:tc>
        <w:tc>
          <w:tcPr>
            <w:tcW w:w="134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≤100</w:t>
            </w:r>
          </w:p>
        </w:tc>
      </w:tr>
    </w:tbl>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续表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5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地下水监测结果</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单位：mg/L，pH 无量纲</w:t>
      </w:r>
    </w:p>
    <w:tbl>
      <w:tblPr>
        <w:tblStyle w:val="32"/>
        <w:tblW w:w="8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733"/>
        <w:gridCol w:w="1813"/>
        <w:gridCol w:w="1755"/>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672"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
                <w14:textFill>
                  <w14:solidFill>
                    <w14:schemeClr w14:val="tx1"/>
                  </w14:solidFill>
                </w14:textFill>
              </w:rPr>
              <w:t>监测项目</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散户3（张家、潜水）</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钱家屯 （张家、承压水）</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唐花马屯（苏家、承压水）</w:t>
            </w:r>
          </w:p>
        </w:tc>
        <w:tc>
          <w:tcPr>
            <w:tcW w:w="182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K</w:t>
            </w:r>
            <w:r>
              <w:rPr>
                <w:rFonts w:ascii="Times New Roman" w:hAnsi="Times New Roman" w:cs="Times New Roman"/>
                <w:color w:val="000000" w:themeColor="text1"/>
                <w:w w:val="99"/>
                <w:kern w:val="24"/>
                <w:sz w:val="21"/>
                <w:szCs w:val="21"/>
                <w:highlight w:val="none"/>
                <w:vertAlign w:val="superscript"/>
                <w:lang w:val="en-US" w:bidi="ar-SA"/>
                <w14:textFill>
                  <w14:solidFill>
                    <w14:schemeClr w14:val="tx1"/>
                  </w14:solidFill>
                </w14:textFill>
              </w:rPr>
              <w:t>+</w:t>
            </w:r>
          </w:p>
        </w:tc>
        <w:tc>
          <w:tcPr>
            <w:tcW w:w="173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2.53</w:t>
            </w:r>
          </w:p>
        </w:tc>
        <w:tc>
          <w:tcPr>
            <w:tcW w:w="181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1.23</w:t>
            </w:r>
          </w:p>
        </w:tc>
        <w:tc>
          <w:tcPr>
            <w:tcW w:w="1755"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1.23</w:t>
            </w:r>
          </w:p>
        </w:tc>
        <w:tc>
          <w:tcPr>
            <w:tcW w:w="182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Na</w:t>
            </w:r>
            <w:r>
              <w:rPr>
                <w:rFonts w:ascii="Times New Roman" w:hAnsi="Times New Roman" w:cs="Times New Roman"/>
                <w:color w:val="000000" w:themeColor="text1"/>
                <w:w w:val="99"/>
                <w:kern w:val="24"/>
                <w:sz w:val="21"/>
                <w:szCs w:val="21"/>
                <w:highlight w:val="none"/>
                <w:vertAlign w:val="superscript"/>
                <w:lang w:val="en-US" w:bidi="ar-SA"/>
                <w14:textFill>
                  <w14:solidFill>
                    <w14:schemeClr w14:val="tx1"/>
                  </w14:solidFill>
                </w14:textFill>
              </w:rPr>
              <w:t>+</w:t>
            </w:r>
          </w:p>
        </w:tc>
        <w:tc>
          <w:tcPr>
            <w:tcW w:w="173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58.7</w:t>
            </w:r>
          </w:p>
        </w:tc>
        <w:tc>
          <w:tcPr>
            <w:tcW w:w="181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58.2</w:t>
            </w:r>
          </w:p>
        </w:tc>
        <w:tc>
          <w:tcPr>
            <w:tcW w:w="1755" w:type="dxa"/>
            <w:tcBorders>
              <w:tl2br w:val="nil"/>
              <w:tr2bl w:val="nil"/>
            </w:tcBorders>
            <w:vAlign w:val="bottom"/>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52.6</w:t>
            </w:r>
          </w:p>
        </w:tc>
        <w:tc>
          <w:tcPr>
            <w:tcW w:w="182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Ca</w:t>
            </w:r>
            <w:r>
              <w:rPr>
                <w:rFonts w:ascii="Times New Roman" w:hAnsi="Times New Roman" w:cs="Times New Roman"/>
                <w:color w:val="000000" w:themeColor="text1"/>
                <w:w w:val="99"/>
                <w:kern w:val="24"/>
                <w:sz w:val="21"/>
                <w:szCs w:val="21"/>
                <w:highlight w:val="none"/>
                <w:vertAlign w:val="superscript"/>
                <w:lang w:val="en-US" w:bidi="ar-SA"/>
                <w14:textFill>
                  <w14:solidFill>
                    <w14:schemeClr w14:val="tx1"/>
                  </w14:solidFill>
                </w14:textFill>
              </w:rPr>
              <w:t>2+</w:t>
            </w:r>
          </w:p>
        </w:tc>
        <w:tc>
          <w:tcPr>
            <w:tcW w:w="173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53.4</w:t>
            </w:r>
          </w:p>
        </w:tc>
        <w:tc>
          <w:tcPr>
            <w:tcW w:w="181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45.3</w:t>
            </w:r>
          </w:p>
        </w:tc>
        <w:tc>
          <w:tcPr>
            <w:tcW w:w="1755"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47.5</w:t>
            </w:r>
          </w:p>
        </w:tc>
        <w:tc>
          <w:tcPr>
            <w:tcW w:w="182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Mg</w:t>
            </w:r>
            <w:r>
              <w:rPr>
                <w:rFonts w:ascii="Times New Roman" w:hAnsi="Times New Roman" w:cs="Times New Roman"/>
                <w:color w:val="000000" w:themeColor="text1"/>
                <w:w w:val="99"/>
                <w:kern w:val="24"/>
                <w:sz w:val="21"/>
                <w:szCs w:val="21"/>
                <w:highlight w:val="none"/>
                <w:vertAlign w:val="superscript"/>
                <w:lang w:val="en-US" w:bidi="ar-SA"/>
                <w14:textFill>
                  <w14:solidFill>
                    <w14:schemeClr w14:val="tx1"/>
                  </w14:solidFill>
                </w14:textFill>
              </w:rPr>
              <w:t>2+</w:t>
            </w:r>
          </w:p>
        </w:tc>
        <w:tc>
          <w:tcPr>
            <w:tcW w:w="173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14.9</w:t>
            </w:r>
          </w:p>
        </w:tc>
        <w:tc>
          <w:tcPr>
            <w:tcW w:w="181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8.5</w:t>
            </w:r>
          </w:p>
        </w:tc>
        <w:tc>
          <w:tcPr>
            <w:tcW w:w="1755"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8.8</w:t>
            </w:r>
          </w:p>
        </w:tc>
        <w:tc>
          <w:tcPr>
            <w:tcW w:w="182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73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266</w:t>
            </w:r>
          </w:p>
        </w:tc>
        <w:tc>
          <w:tcPr>
            <w:tcW w:w="181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222</w:t>
            </w:r>
          </w:p>
        </w:tc>
        <w:tc>
          <w:tcPr>
            <w:tcW w:w="1755"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241</w:t>
            </w:r>
          </w:p>
        </w:tc>
        <w:tc>
          <w:tcPr>
            <w:tcW w:w="182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73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w:t>
            </w:r>
          </w:p>
        </w:tc>
        <w:tc>
          <w:tcPr>
            <w:tcW w:w="181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w:t>
            </w:r>
          </w:p>
        </w:tc>
        <w:tc>
          <w:tcPr>
            <w:tcW w:w="1755"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w:t>
            </w:r>
          </w:p>
        </w:tc>
        <w:tc>
          <w:tcPr>
            <w:tcW w:w="182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73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47.7</w:t>
            </w:r>
          </w:p>
        </w:tc>
        <w:tc>
          <w:tcPr>
            <w:tcW w:w="181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44.1</w:t>
            </w:r>
          </w:p>
        </w:tc>
        <w:tc>
          <w:tcPr>
            <w:tcW w:w="1755"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36.7</w:t>
            </w:r>
          </w:p>
        </w:tc>
        <w:tc>
          <w:tcPr>
            <w:tcW w:w="182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73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38.5</w:t>
            </w:r>
          </w:p>
        </w:tc>
        <w:tc>
          <w:tcPr>
            <w:tcW w:w="1813"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32.5</w:t>
            </w:r>
          </w:p>
        </w:tc>
        <w:tc>
          <w:tcPr>
            <w:tcW w:w="1755" w:type="dxa"/>
            <w:tcBorders>
              <w:tl2br w:val="nil"/>
              <w:tr2bl w:val="nil"/>
            </w:tcBorders>
            <w:vAlign w:val="bottom"/>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24.5</w:t>
            </w:r>
          </w:p>
        </w:tc>
        <w:tc>
          <w:tcPr>
            <w:tcW w:w="1821" w:type="dxa"/>
            <w:tcBorders>
              <w:tl2br w:val="nil"/>
              <w:tr2bl w:val="nil"/>
            </w:tcBorders>
            <w:vAlign w:val="center"/>
          </w:tcPr>
          <w:p>
            <w:pPr>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7.9</w:t>
            </w:r>
          </w:p>
        </w:tc>
        <w:tc>
          <w:tcPr>
            <w:tcW w:w="181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7.6</w:t>
            </w:r>
          </w:p>
        </w:tc>
        <w:tc>
          <w:tcPr>
            <w:tcW w:w="1755"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7.5</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总硬度</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196</w:t>
            </w:r>
          </w:p>
        </w:tc>
        <w:tc>
          <w:tcPr>
            <w:tcW w:w="181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149</w:t>
            </w:r>
          </w:p>
        </w:tc>
        <w:tc>
          <w:tcPr>
            <w:tcW w:w="1755"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155</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溶解性总固体</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580</w:t>
            </w:r>
          </w:p>
        </w:tc>
        <w:tc>
          <w:tcPr>
            <w:tcW w:w="181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490</w:t>
            </w:r>
          </w:p>
        </w:tc>
        <w:tc>
          <w:tcPr>
            <w:tcW w:w="1755"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490</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耗氧量</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2.3</w:t>
            </w:r>
          </w:p>
        </w:tc>
        <w:tc>
          <w:tcPr>
            <w:tcW w:w="181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1.8</w:t>
            </w:r>
          </w:p>
        </w:tc>
        <w:tc>
          <w:tcPr>
            <w:tcW w:w="1755"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1.6</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挥发酚</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0.0003L</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0.0003L</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0.0003L</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氰化物</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0.004L</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0.004L</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0.004L</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氟化物</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579</w:t>
            </w:r>
          </w:p>
        </w:tc>
        <w:tc>
          <w:tcPr>
            <w:tcW w:w="181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499</w:t>
            </w:r>
          </w:p>
        </w:tc>
        <w:tc>
          <w:tcPr>
            <w:tcW w:w="1755"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471</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硝酸盐</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2.71</w:t>
            </w:r>
          </w:p>
        </w:tc>
        <w:tc>
          <w:tcPr>
            <w:tcW w:w="181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1.72</w:t>
            </w:r>
          </w:p>
        </w:tc>
        <w:tc>
          <w:tcPr>
            <w:tcW w:w="1755"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1.65</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亚硝酸盐</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0.003L</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0.003L</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0.003L</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氨氮</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272</w:t>
            </w:r>
          </w:p>
        </w:tc>
        <w:tc>
          <w:tcPr>
            <w:tcW w:w="181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189</w:t>
            </w:r>
          </w:p>
        </w:tc>
        <w:tc>
          <w:tcPr>
            <w:tcW w:w="1755"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0.178</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六价铬</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0.004L</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0.004L</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0.004L</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砷</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0.0003L</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0.0003L</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0.0003L</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铅</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0.0025L</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0.0025L</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0.0025L</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铁</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27</w:t>
            </w:r>
          </w:p>
        </w:tc>
        <w:tc>
          <w:tcPr>
            <w:tcW w:w="181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24</w:t>
            </w:r>
          </w:p>
        </w:tc>
        <w:tc>
          <w:tcPr>
            <w:tcW w:w="1755"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0.24</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汞</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0.00004L</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0.00004L</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0.00004L</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锰</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09</w:t>
            </w:r>
          </w:p>
        </w:tc>
        <w:tc>
          <w:tcPr>
            <w:tcW w:w="181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04</w:t>
            </w:r>
          </w:p>
        </w:tc>
        <w:tc>
          <w:tcPr>
            <w:tcW w:w="1755"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03</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镉</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0.0005L</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0.0005L</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0.0005L</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石油类</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0.01L</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0.01L</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0.01L</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总大肠菌群</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2L</w:t>
            </w:r>
          </w:p>
        </w:tc>
        <w:tc>
          <w:tcPr>
            <w:tcW w:w="181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2L</w:t>
            </w:r>
          </w:p>
        </w:tc>
        <w:tc>
          <w:tcPr>
            <w:tcW w:w="1755"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bidi="ar"/>
                <w14:textFill>
                  <w14:solidFill>
                    <w14:schemeClr w14:val="tx1"/>
                  </w14:solidFill>
                </w14:textFill>
              </w:rPr>
              <w:t>2L</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7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菌落总数</w:t>
            </w:r>
          </w:p>
        </w:tc>
        <w:tc>
          <w:tcPr>
            <w:tcW w:w="1733"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12</w:t>
            </w:r>
          </w:p>
        </w:tc>
        <w:tc>
          <w:tcPr>
            <w:tcW w:w="1813"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7</w:t>
            </w:r>
          </w:p>
        </w:tc>
        <w:tc>
          <w:tcPr>
            <w:tcW w:w="1755"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6</w:t>
            </w:r>
          </w:p>
        </w:tc>
        <w:tc>
          <w:tcPr>
            <w:tcW w:w="1821"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≤100</w:t>
            </w:r>
          </w:p>
        </w:tc>
      </w:tr>
    </w:tbl>
    <w:p>
      <w:pPr>
        <w:widowControl/>
        <w:autoSpaceDE/>
        <w:autoSpaceDN/>
        <w:spacing w:line="500" w:lineRule="exact"/>
        <w:ind w:firstLine="1190" w:firstLineChars="500"/>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表4.3-</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6</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地下水水位统计结果</w:t>
      </w:r>
    </w:p>
    <w:tbl>
      <w:tblPr>
        <w:tblStyle w:val="32"/>
        <w:tblW w:w="879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17"/>
        <w:gridCol w:w="1701"/>
        <w:gridCol w:w="1701"/>
        <w:gridCol w:w="1418"/>
        <w:gridCol w:w="1842"/>
        <w:gridCol w:w="13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widowControl/>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序号</w:t>
            </w:r>
          </w:p>
        </w:tc>
        <w:tc>
          <w:tcPr>
            <w:tcW w:w="1701" w:type="dxa"/>
            <w:vAlign w:val="center"/>
          </w:tcPr>
          <w:p>
            <w:pPr>
              <w:widowControl/>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点位</w:t>
            </w:r>
          </w:p>
        </w:tc>
        <w:tc>
          <w:tcPr>
            <w:tcW w:w="1701" w:type="dxa"/>
            <w:vAlign w:val="center"/>
          </w:tcPr>
          <w:p>
            <w:pPr>
              <w:widowControl/>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井深（m）</w:t>
            </w:r>
          </w:p>
        </w:tc>
        <w:tc>
          <w:tcPr>
            <w:tcW w:w="1418" w:type="dxa"/>
            <w:vAlign w:val="center"/>
          </w:tcPr>
          <w:p>
            <w:pPr>
              <w:widowControl/>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水位（m）</w:t>
            </w:r>
          </w:p>
        </w:tc>
        <w:tc>
          <w:tcPr>
            <w:tcW w:w="1842" w:type="dxa"/>
            <w:vAlign w:val="center"/>
          </w:tcPr>
          <w:p>
            <w:pPr>
              <w:widowControl/>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功能</w:t>
            </w:r>
          </w:p>
        </w:tc>
        <w:tc>
          <w:tcPr>
            <w:tcW w:w="1311"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w:t>
            </w:r>
          </w:p>
        </w:tc>
        <w:tc>
          <w:tcPr>
            <w:tcW w:w="1701" w:type="dxa"/>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七井子村</w:t>
            </w:r>
          </w:p>
        </w:tc>
        <w:tc>
          <w:tcPr>
            <w:tcW w:w="1701" w:type="dxa"/>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18</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138.4</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2</w:t>
            </w:r>
          </w:p>
        </w:tc>
        <w:tc>
          <w:tcPr>
            <w:tcW w:w="1701" w:type="dxa"/>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唐花马屯</w:t>
            </w:r>
          </w:p>
        </w:tc>
        <w:tc>
          <w:tcPr>
            <w:tcW w:w="1701" w:type="dxa"/>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20</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134.9</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3</w:t>
            </w:r>
          </w:p>
        </w:tc>
        <w:tc>
          <w:tcPr>
            <w:tcW w:w="1701" w:type="dxa"/>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 xml:space="preserve">钱家屯 </w:t>
            </w:r>
          </w:p>
        </w:tc>
        <w:tc>
          <w:tcPr>
            <w:tcW w:w="1701" w:type="dxa"/>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80</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129.0</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承压水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4</w:t>
            </w:r>
          </w:p>
        </w:tc>
        <w:tc>
          <w:tcPr>
            <w:tcW w:w="1701" w:type="dxa"/>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散户1</w:t>
            </w:r>
          </w:p>
        </w:tc>
        <w:tc>
          <w:tcPr>
            <w:tcW w:w="1701" w:type="dxa"/>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22</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136.5</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5</w:t>
            </w:r>
          </w:p>
        </w:tc>
        <w:tc>
          <w:tcPr>
            <w:tcW w:w="1701" w:type="dxa"/>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唐花马屯</w:t>
            </w:r>
          </w:p>
        </w:tc>
        <w:tc>
          <w:tcPr>
            <w:tcW w:w="1701" w:type="dxa"/>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110</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126.5</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承压水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6</w:t>
            </w:r>
          </w:p>
        </w:tc>
        <w:tc>
          <w:tcPr>
            <w:tcW w:w="1701" w:type="dxa"/>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散户</w:t>
            </w: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2</w:t>
            </w:r>
          </w:p>
        </w:tc>
        <w:tc>
          <w:tcPr>
            <w:tcW w:w="1701" w:type="dxa"/>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18</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134.3</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7</w:t>
            </w:r>
          </w:p>
        </w:tc>
        <w:tc>
          <w:tcPr>
            <w:tcW w:w="1701" w:type="dxa"/>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散户</w:t>
            </w: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3</w:t>
            </w:r>
          </w:p>
        </w:tc>
        <w:tc>
          <w:tcPr>
            <w:tcW w:w="1701" w:type="dxa"/>
            <w:vAlign w:val="center"/>
          </w:tcPr>
          <w:p>
            <w:pPr>
              <w:adjustRightInd w:val="0"/>
              <w:snapToGrid w:val="0"/>
              <w:jc w:val="center"/>
              <w:rPr>
                <w:rFonts w:hint="default" w:ascii="Times New Roman" w:hAnsi="Times New Roman" w:eastAsia="宋体" w:cs="Times New Roman"/>
                <w:color w:val="000000" w:themeColor="text1"/>
                <w:sz w:val="22"/>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2"/>
                <w:szCs w:val="21"/>
                <w:highlight w:val="none"/>
                <w:lang w:val="en-US" w:eastAsia="zh-CN" w:bidi="zh-CN"/>
                <w14:textFill>
                  <w14:solidFill>
                    <w14:schemeClr w14:val="tx1"/>
                  </w14:solidFill>
                </w14:textFill>
              </w:rPr>
              <w:t>25</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135.1</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8</w:t>
            </w:r>
          </w:p>
        </w:tc>
        <w:tc>
          <w:tcPr>
            <w:tcW w:w="1701" w:type="dxa"/>
            <w:vAlign w:val="center"/>
          </w:tcPr>
          <w:p>
            <w:pPr>
              <w:autoSpaceDE/>
              <w:autoSpaceDN/>
              <w:adjustRightInd w:val="0"/>
              <w:snapToGrid w:val="0"/>
              <w:spacing w:line="320" w:lineRule="exact"/>
              <w:ind w:firstLine="4" w:firstLineChars="0"/>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 xml:space="preserve">钱家屯 </w:t>
            </w:r>
          </w:p>
        </w:tc>
        <w:tc>
          <w:tcPr>
            <w:tcW w:w="1701" w:type="dxa"/>
            <w:vAlign w:val="center"/>
          </w:tcPr>
          <w:p>
            <w:pPr>
              <w:autoSpaceDE/>
              <w:autoSpaceDN/>
              <w:spacing w:line="360" w:lineRule="atLeas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15</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139.5</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9</w:t>
            </w:r>
          </w:p>
        </w:tc>
        <w:tc>
          <w:tcPr>
            <w:tcW w:w="1701" w:type="dxa"/>
            <w:vAlign w:val="center"/>
          </w:tcPr>
          <w:p>
            <w:pPr>
              <w:autoSpaceDE/>
              <w:autoSpaceDN/>
              <w:spacing w:line="320" w:lineRule="exact"/>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七井子村</w:t>
            </w:r>
          </w:p>
        </w:tc>
        <w:tc>
          <w:tcPr>
            <w:tcW w:w="1701"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75</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129.0</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承压水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10</w:t>
            </w:r>
          </w:p>
        </w:tc>
        <w:tc>
          <w:tcPr>
            <w:tcW w:w="1701" w:type="dxa"/>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张兴屯</w:t>
            </w:r>
          </w:p>
        </w:tc>
        <w:tc>
          <w:tcPr>
            <w:tcW w:w="1701"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20</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139.5</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11</w:t>
            </w:r>
          </w:p>
        </w:tc>
        <w:tc>
          <w:tcPr>
            <w:tcW w:w="1701" w:type="dxa"/>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罗家屯</w:t>
            </w:r>
          </w:p>
        </w:tc>
        <w:tc>
          <w:tcPr>
            <w:tcW w:w="1701" w:type="dxa"/>
            <w:vAlign w:val="center"/>
          </w:tcPr>
          <w:p>
            <w:pPr>
              <w:autoSpaceDE/>
              <w:autoSpaceDN/>
              <w:adjustRightInd w:val="0"/>
              <w:snapToGrid w:val="0"/>
              <w:spacing w:line="360" w:lineRule="atLeas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18</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135.6</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12</w:t>
            </w:r>
          </w:p>
        </w:tc>
        <w:tc>
          <w:tcPr>
            <w:tcW w:w="1701" w:type="dxa"/>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四撮房</w:t>
            </w:r>
          </w:p>
        </w:tc>
        <w:tc>
          <w:tcPr>
            <w:tcW w:w="1701"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15</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134.5</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13</w:t>
            </w:r>
          </w:p>
        </w:tc>
        <w:tc>
          <w:tcPr>
            <w:tcW w:w="1701" w:type="dxa"/>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永和村</w:t>
            </w:r>
          </w:p>
        </w:tc>
        <w:tc>
          <w:tcPr>
            <w:tcW w:w="1701"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17</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136.5</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潜水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17" w:type="dxa"/>
            <w:vAlign w:val="center"/>
          </w:tcPr>
          <w:p>
            <w:pPr>
              <w:tabs>
                <w:tab w:val="left" w:pos="3060"/>
              </w:tabs>
              <w:autoSpaceDE/>
              <w:autoSpaceDN/>
              <w:adjustRightInd w:val="0"/>
              <w:snapToGrid w:val="0"/>
              <w:spacing w:line="360" w:lineRule="atLeas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14</w:t>
            </w:r>
          </w:p>
        </w:tc>
        <w:tc>
          <w:tcPr>
            <w:tcW w:w="1701" w:type="dxa"/>
            <w:vAlign w:val="center"/>
          </w:tcPr>
          <w:p>
            <w:pPr>
              <w:autoSpaceDE/>
              <w:autoSpaceDN/>
              <w:spacing w:line="320" w:lineRule="exact"/>
              <w:jc w:val="cente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t>万年屯</w:t>
            </w:r>
          </w:p>
        </w:tc>
        <w:tc>
          <w:tcPr>
            <w:tcW w:w="1701"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18</w:t>
            </w:r>
          </w:p>
        </w:tc>
        <w:tc>
          <w:tcPr>
            <w:tcW w:w="1418" w:type="dxa"/>
            <w:vAlign w:val="center"/>
          </w:tcPr>
          <w:p>
            <w:pPr>
              <w:tabs>
                <w:tab w:val="left" w:pos="3060"/>
              </w:tabs>
              <w:autoSpaceDE/>
              <w:autoSpaceDN/>
              <w:adjustRightInd w:val="0"/>
              <w:snapToGrid w:val="0"/>
              <w:spacing w:line="360" w:lineRule="atLeas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29</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.4</w:t>
            </w:r>
          </w:p>
        </w:tc>
        <w:tc>
          <w:tcPr>
            <w:tcW w:w="1842" w:type="dxa"/>
            <w:vAlign w:val="center"/>
          </w:tcPr>
          <w:p>
            <w:pPr>
              <w:autoSpaceDE/>
              <w:autoSpaceDN/>
              <w:adjustRightInd w:val="0"/>
              <w:snapToGrid w:val="0"/>
              <w:spacing w:line="36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灌溉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养殖</w:t>
            </w:r>
          </w:p>
        </w:tc>
        <w:tc>
          <w:tcPr>
            <w:tcW w:w="1311" w:type="dxa"/>
            <w:vAlign w:val="center"/>
          </w:tcPr>
          <w:p>
            <w:pPr>
              <w:autoSpaceDE/>
              <w:autoSpaceDN/>
              <w:spacing w:line="32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承压水</w:t>
            </w:r>
          </w:p>
        </w:tc>
      </w:tr>
    </w:tbl>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ascii="Times New Roman" w:hAnsi="Times New Roman" w:cs="Times New Roman"/>
          <w:color w:val="000000" w:themeColor="text1"/>
          <w:w w:val="99"/>
          <w:sz w:val="24"/>
          <w:szCs w:val="24"/>
          <w:highlight w:val="none"/>
          <w14:textFill>
            <w14:solidFill>
              <w14:schemeClr w14:val="tx1"/>
            </w14:solidFill>
          </w14:textFill>
        </w:rPr>
        <w:t>）区域地下水化学类型分析与八大离子平衡分析</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根据舒卡列夫分类法，地下水中Ca</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、Mg</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、Na</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（Na + K）、Cl</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、SO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4</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、HCO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3</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将Meq（毫克当量）百分数大于25%的阴、阳离子进行组合，每种类型以阿拉伯数字为代号，共49类。舒卡列夫分类表见表</w:t>
      </w:r>
      <w:r>
        <w:rPr>
          <w:rFonts w:ascii="Times New Roman" w:hAnsi="Times New Roman" w:cs="Times New Roman"/>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7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舒卡列夫分类表</w:t>
      </w:r>
    </w:p>
    <w:tbl>
      <w:tblPr>
        <w:tblStyle w:val="32"/>
        <w:tblW w:w="9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1188"/>
        <w:gridCol w:w="1202"/>
        <w:gridCol w:w="1604"/>
        <w:gridCol w:w="1059"/>
        <w:gridCol w:w="795"/>
        <w:gridCol w:w="882"/>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离子</w:t>
            </w:r>
          </w:p>
        </w:tc>
        <w:tc>
          <w:tcPr>
            <w:tcW w:w="118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p>
        </w:tc>
        <w:tc>
          <w:tcPr>
            <w:tcW w:w="120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p>
        </w:tc>
        <w:tc>
          <w:tcPr>
            <w:tcW w:w="160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p>
        </w:tc>
        <w:tc>
          <w:tcPr>
            <w:tcW w:w="105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p>
        </w:tc>
        <w:tc>
          <w:tcPr>
            <w:tcW w:w="79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p>
        </w:tc>
        <w:tc>
          <w:tcPr>
            <w:tcW w:w="88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p>
        </w:tc>
        <w:tc>
          <w:tcPr>
            <w:tcW w:w="60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Ca</w:t>
            </w:r>
          </w:p>
        </w:tc>
        <w:tc>
          <w:tcPr>
            <w:tcW w:w="118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120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w:t>
            </w:r>
          </w:p>
        </w:tc>
        <w:tc>
          <w:tcPr>
            <w:tcW w:w="160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15</w:t>
            </w:r>
          </w:p>
        </w:tc>
        <w:tc>
          <w:tcPr>
            <w:tcW w:w="105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22</w:t>
            </w:r>
          </w:p>
        </w:tc>
        <w:tc>
          <w:tcPr>
            <w:tcW w:w="79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29</w:t>
            </w:r>
          </w:p>
        </w:tc>
        <w:tc>
          <w:tcPr>
            <w:tcW w:w="88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36</w:t>
            </w:r>
          </w:p>
        </w:tc>
        <w:tc>
          <w:tcPr>
            <w:tcW w:w="60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Ca+Mg</w:t>
            </w:r>
          </w:p>
        </w:tc>
        <w:tc>
          <w:tcPr>
            <w:tcW w:w="118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120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w:t>
            </w:r>
          </w:p>
        </w:tc>
        <w:tc>
          <w:tcPr>
            <w:tcW w:w="160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16</w:t>
            </w:r>
          </w:p>
        </w:tc>
        <w:tc>
          <w:tcPr>
            <w:tcW w:w="105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23</w:t>
            </w:r>
          </w:p>
        </w:tc>
        <w:tc>
          <w:tcPr>
            <w:tcW w:w="79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w:t>
            </w:r>
          </w:p>
        </w:tc>
        <w:tc>
          <w:tcPr>
            <w:tcW w:w="88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37</w:t>
            </w:r>
          </w:p>
        </w:tc>
        <w:tc>
          <w:tcPr>
            <w:tcW w:w="60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Mg</w:t>
            </w:r>
          </w:p>
        </w:tc>
        <w:tc>
          <w:tcPr>
            <w:tcW w:w="118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120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w:t>
            </w:r>
          </w:p>
        </w:tc>
        <w:tc>
          <w:tcPr>
            <w:tcW w:w="160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17</w:t>
            </w:r>
          </w:p>
        </w:tc>
        <w:tc>
          <w:tcPr>
            <w:tcW w:w="105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24</w:t>
            </w:r>
          </w:p>
        </w:tc>
        <w:tc>
          <w:tcPr>
            <w:tcW w:w="79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31</w:t>
            </w:r>
          </w:p>
        </w:tc>
        <w:tc>
          <w:tcPr>
            <w:tcW w:w="88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38</w:t>
            </w:r>
          </w:p>
        </w:tc>
        <w:tc>
          <w:tcPr>
            <w:tcW w:w="60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Na+Ca</w:t>
            </w:r>
          </w:p>
        </w:tc>
        <w:tc>
          <w:tcPr>
            <w:tcW w:w="118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w:t>
            </w:r>
          </w:p>
        </w:tc>
        <w:tc>
          <w:tcPr>
            <w:tcW w:w="120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11</w:t>
            </w:r>
          </w:p>
        </w:tc>
        <w:tc>
          <w:tcPr>
            <w:tcW w:w="160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18</w:t>
            </w:r>
          </w:p>
        </w:tc>
        <w:tc>
          <w:tcPr>
            <w:tcW w:w="105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25</w:t>
            </w:r>
          </w:p>
        </w:tc>
        <w:tc>
          <w:tcPr>
            <w:tcW w:w="79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32</w:t>
            </w:r>
          </w:p>
        </w:tc>
        <w:tc>
          <w:tcPr>
            <w:tcW w:w="88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39</w:t>
            </w:r>
          </w:p>
        </w:tc>
        <w:tc>
          <w:tcPr>
            <w:tcW w:w="60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Na+Ca+Mg</w:t>
            </w:r>
          </w:p>
        </w:tc>
        <w:tc>
          <w:tcPr>
            <w:tcW w:w="118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w:t>
            </w:r>
          </w:p>
        </w:tc>
        <w:tc>
          <w:tcPr>
            <w:tcW w:w="120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12</w:t>
            </w:r>
          </w:p>
        </w:tc>
        <w:tc>
          <w:tcPr>
            <w:tcW w:w="160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19</w:t>
            </w:r>
          </w:p>
        </w:tc>
        <w:tc>
          <w:tcPr>
            <w:tcW w:w="105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26</w:t>
            </w:r>
          </w:p>
        </w:tc>
        <w:tc>
          <w:tcPr>
            <w:tcW w:w="79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33</w:t>
            </w:r>
          </w:p>
        </w:tc>
        <w:tc>
          <w:tcPr>
            <w:tcW w:w="88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40</w:t>
            </w:r>
          </w:p>
        </w:tc>
        <w:tc>
          <w:tcPr>
            <w:tcW w:w="60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Na+Mg</w:t>
            </w:r>
          </w:p>
        </w:tc>
        <w:tc>
          <w:tcPr>
            <w:tcW w:w="118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w:t>
            </w:r>
          </w:p>
        </w:tc>
        <w:tc>
          <w:tcPr>
            <w:tcW w:w="120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13</w:t>
            </w:r>
          </w:p>
        </w:tc>
        <w:tc>
          <w:tcPr>
            <w:tcW w:w="160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w:t>
            </w:r>
          </w:p>
        </w:tc>
        <w:tc>
          <w:tcPr>
            <w:tcW w:w="105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27</w:t>
            </w:r>
          </w:p>
        </w:tc>
        <w:tc>
          <w:tcPr>
            <w:tcW w:w="79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34</w:t>
            </w:r>
          </w:p>
        </w:tc>
        <w:tc>
          <w:tcPr>
            <w:tcW w:w="88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41</w:t>
            </w:r>
          </w:p>
        </w:tc>
        <w:tc>
          <w:tcPr>
            <w:tcW w:w="60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3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w:t>
            </w:r>
          </w:p>
        </w:tc>
        <w:tc>
          <w:tcPr>
            <w:tcW w:w="118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w:t>
            </w:r>
          </w:p>
        </w:tc>
        <w:tc>
          <w:tcPr>
            <w:tcW w:w="120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14</w:t>
            </w:r>
          </w:p>
        </w:tc>
        <w:tc>
          <w:tcPr>
            <w:tcW w:w="1604"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21</w:t>
            </w:r>
          </w:p>
        </w:tc>
        <w:tc>
          <w:tcPr>
            <w:tcW w:w="1059"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28</w:t>
            </w:r>
          </w:p>
        </w:tc>
        <w:tc>
          <w:tcPr>
            <w:tcW w:w="795"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35</w:t>
            </w:r>
          </w:p>
        </w:tc>
        <w:tc>
          <w:tcPr>
            <w:tcW w:w="882"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42</w:t>
            </w:r>
          </w:p>
        </w:tc>
        <w:tc>
          <w:tcPr>
            <w:tcW w:w="608"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16"/>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49</w:t>
            </w:r>
          </w:p>
        </w:tc>
      </w:tr>
    </w:tbl>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按矿化度又分为4组：A组矿化度&lt;1.5g/L，B组1.5-10g/L，C组10-40g/L，D组&gt; 40g/L。命名时在数字与字母间加连接号，如1-A型：指的是M&lt;1.5g/L，阴离子只有HCO</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&gt; 25％Meq，阳离子有Ca大于25%Meq。</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根据本工程地下水监测结果，分别计算承压水、潜水各监测点位中SO</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、Cl</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、CO</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、Ca</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、Mg</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、Na</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 K</w:t>
      </w:r>
      <w:r>
        <w:rPr>
          <w:rFonts w:ascii="Times New Roman" w:hAnsi="Times New Roman" w:cs="Times New Roman"/>
          <w:color w:val="000000" w:themeColor="text1"/>
          <w:w w:val="99"/>
          <w:kern w:val="2"/>
          <w:sz w:val="24"/>
          <w:szCs w:val="24"/>
          <w:highlight w:val="none"/>
          <w:vertAlign w:val="superscript"/>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浓度均值，进而计算各离子Meq（毫克当量）百分数及监测点位矿化度，从而对工程区域内承压水、潜水的水化学类型进行分类，具体见下表4.3-</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8</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和表4.3-</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9</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8</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承压水水化学类型分类表</w:t>
      </w:r>
    </w:p>
    <w:tbl>
      <w:tblPr>
        <w:tblStyle w:val="32"/>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40"/>
        <w:gridCol w:w="1523"/>
        <w:gridCol w:w="1492"/>
        <w:gridCol w:w="1498"/>
        <w:gridCol w:w="1051"/>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监测井点位</w:t>
            </w:r>
          </w:p>
        </w:tc>
        <w:tc>
          <w:tcPr>
            <w:tcW w:w="1240"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离子名称</w:t>
            </w:r>
          </w:p>
        </w:tc>
        <w:tc>
          <w:tcPr>
            <w:tcW w:w="1523"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毫克当量（mg/L）</w:t>
            </w:r>
          </w:p>
        </w:tc>
        <w:tc>
          <w:tcPr>
            <w:tcW w:w="1492"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毫克当量百分比（%）</w:t>
            </w:r>
          </w:p>
        </w:tc>
        <w:tc>
          <w:tcPr>
            <w:tcW w:w="1498"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离子毫克当量合计（mg/L）</w:t>
            </w:r>
          </w:p>
        </w:tc>
        <w:tc>
          <w:tcPr>
            <w:tcW w:w="1051"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相对误差（%）</w:t>
            </w:r>
          </w:p>
        </w:tc>
        <w:tc>
          <w:tcPr>
            <w:tcW w:w="923"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矿化度</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restart"/>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钱家屯 （张家、承压水）</w:t>
            </w: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K</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0.032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0.570 </w:t>
            </w:r>
          </w:p>
        </w:tc>
        <w:tc>
          <w:tcPr>
            <w:tcW w:w="1498" w:type="dxa"/>
            <w:vMerge w:val="restart"/>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5.535 </w:t>
            </w:r>
          </w:p>
        </w:tc>
        <w:tc>
          <w:tcPr>
            <w:tcW w:w="1051" w:type="dxa"/>
            <w:vMerge w:val="restart"/>
            <w:tcBorders>
              <w:tl2br w:val="nil"/>
              <w:tr2bl w:val="nil"/>
            </w:tcBorders>
            <w:vAlign w:val="center"/>
          </w:tcPr>
          <w:p>
            <w:pPr>
              <w:widowControl/>
              <w:autoSpaceDE/>
              <w:autoSpaceDN/>
              <w:jc w:val="center"/>
              <w:textAlignment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0.37</w:t>
            </w:r>
          </w:p>
        </w:tc>
        <w:tc>
          <w:tcPr>
            <w:tcW w:w="923" w:type="dxa"/>
            <w:vMerge w:val="restart"/>
            <w:tcBorders>
              <w:tl2br w:val="nil"/>
              <w:tr2bl w:val="nil"/>
            </w:tcBorders>
            <w:vAlign w:val="center"/>
          </w:tcPr>
          <w:p>
            <w:pPr>
              <w:widowControl/>
              <w:autoSpaceDE/>
              <w:autoSpaceDN/>
              <w:jc w:val="center"/>
              <w:textAlignment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2.530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45.714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2.265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40.919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Mg</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0.708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12.797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-3.639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65.263 </w:t>
            </w:r>
          </w:p>
        </w:tc>
        <w:tc>
          <w:tcPr>
            <w:tcW w:w="1498" w:type="dxa"/>
            <w:vMerge w:val="restart"/>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-5.576 </w:t>
            </w: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-1.260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22.595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-0.677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12.142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restart"/>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唐花马屯（苏家、承压水）</w:t>
            </w: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K</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0.032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0.581 </w:t>
            </w:r>
          </w:p>
        </w:tc>
        <w:tc>
          <w:tcPr>
            <w:tcW w:w="1498" w:type="dxa"/>
            <w:vMerge w:val="restart"/>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5.427 </w:t>
            </w:r>
          </w:p>
        </w:tc>
        <w:tc>
          <w:tcPr>
            <w:tcW w:w="1051"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0.76</w:t>
            </w:r>
          </w:p>
        </w:tc>
        <w:tc>
          <w:tcPr>
            <w:tcW w:w="923"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2.287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42.142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2.375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43.764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Mg</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0.733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13.513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-3.951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71.705 </w:t>
            </w:r>
          </w:p>
        </w:tc>
        <w:tc>
          <w:tcPr>
            <w:tcW w:w="1498" w:type="dxa"/>
            <w:vMerge w:val="restart"/>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-5.510 </w:t>
            </w: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-1.049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19.031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277" w:type="dxa"/>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0"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3"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-0.510 </w:t>
            </w:r>
          </w:p>
        </w:tc>
        <w:tc>
          <w:tcPr>
            <w:tcW w:w="1492" w:type="dxa"/>
            <w:tcBorders>
              <w:tl2br w:val="nil"/>
              <w:tr2bl w:val="nil"/>
            </w:tcBorders>
            <w:vAlign w:val="center"/>
          </w:tcPr>
          <w:p>
            <w:pPr>
              <w:widowControl/>
              <w:autoSpaceDE/>
              <w:autoSpaceDN/>
              <w:jc w:val="center"/>
              <w:textAlignment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9.264 </w:t>
            </w:r>
          </w:p>
        </w:tc>
        <w:tc>
          <w:tcPr>
            <w:tcW w:w="149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1"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bl>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9</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潜水水化学类型分类表</w:t>
      </w:r>
    </w:p>
    <w:tbl>
      <w:tblPr>
        <w:tblStyle w:val="32"/>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243"/>
        <w:gridCol w:w="1525"/>
        <w:gridCol w:w="1972"/>
        <w:gridCol w:w="1123"/>
        <w:gridCol w:w="948"/>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监测井点位</w:t>
            </w:r>
          </w:p>
        </w:tc>
        <w:tc>
          <w:tcPr>
            <w:tcW w:w="1243"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离子名称</w:t>
            </w:r>
          </w:p>
        </w:tc>
        <w:tc>
          <w:tcPr>
            <w:tcW w:w="1525"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毫克当量（mg/L）</w:t>
            </w:r>
          </w:p>
        </w:tc>
        <w:tc>
          <w:tcPr>
            <w:tcW w:w="1972"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毫克当量百分比（%）</w:t>
            </w:r>
          </w:p>
        </w:tc>
        <w:tc>
          <w:tcPr>
            <w:tcW w:w="1123"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离子毫克当量合计（mg/L）</w:t>
            </w:r>
          </w:p>
        </w:tc>
        <w:tc>
          <w:tcPr>
            <w:tcW w:w="948"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相对误差（%）</w:t>
            </w:r>
          </w:p>
        </w:tc>
        <w:tc>
          <w:tcPr>
            <w:tcW w:w="948" w:type="dxa"/>
            <w:tcBorders>
              <w:tl2br w:val="nil"/>
              <w:tr2bl w:val="nil"/>
            </w:tcBorders>
            <w:vAlign w:val="center"/>
          </w:tcPr>
          <w:p>
            <w:pPr>
              <w:autoSpaceDE/>
              <w:autoSpaceDN/>
              <w:snapToGrid w:val="0"/>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矿化度</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七井子村（白家、潜水）</w:t>
            </w: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K</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0.048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0.734 </w:t>
            </w:r>
          </w:p>
        </w:tc>
        <w:tc>
          <w:tcPr>
            <w:tcW w:w="1123"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6.605 </w:t>
            </w:r>
          </w:p>
        </w:tc>
        <w:tc>
          <w:tcPr>
            <w:tcW w:w="948" w:type="dxa"/>
            <w:vMerge w:val="restart"/>
            <w:tcBorders>
              <w:tl2br w:val="nil"/>
              <w:tr2bl w:val="nil"/>
            </w:tcBorders>
            <w:vAlign w:val="center"/>
          </w:tcPr>
          <w:p>
            <w:pPr>
              <w:widowControl/>
              <w:autoSpaceDE/>
              <w:autoSpaceDN/>
              <w:jc w:val="center"/>
              <w:textAlignment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0.</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64</w:t>
            </w:r>
          </w:p>
        </w:tc>
        <w:tc>
          <w:tcPr>
            <w:tcW w:w="948" w:type="dxa"/>
            <w:vMerge w:val="restart"/>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0.4</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8</w:t>
            </w:r>
            <w:r>
              <w:rPr>
                <w:rFonts w:ascii="Times New Roman" w:hAnsi="Times New Roman" w:cs="Times New Roman"/>
                <w:color w:val="000000" w:themeColor="text1"/>
                <w:w w:val="99"/>
                <w:sz w:val="21"/>
                <w:szCs w:val="21"/>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2.713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41.077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2.735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41.409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Mg</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1.108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16.781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-4.131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63.356 </w:t>
            </w:r>
          </w:p>
        </w:tc>
        <w:tc>
          <w:tcPr>
            <w:tcW w:w="1123"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-6.520 </w:t>
            </w: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-1.491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22.873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-0.898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13.771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唐花马屯（马家、潜水）</w:t>
            </w: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K</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0.063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0.900 </w:t>
            </w:r>
          </w:p>
        </w:tc>
        <w:tc>
          <w:tcPr>
            <w:tcW w:w="1123"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6.948 </w:t>
            </w:r>
          </w:p>
        </w:tc>
        <w:tc>
          <w:tcPr>
            <w:tcW w:w="948" w:type="dxa"/>
            <w:vMerge w:val="restart"/>
            <w:tcBorders>
              <w:tl2br w:val="nil"/>
              <w:tr2bl w:val="nil"/>
            </w:tcBorders>
            <w:vAlign w:val="center"/>
          </w:tcPr>
          <w:p>
            <w:pPr>
              <w:widowControl/>
              <w:autoSpaceDE/>
              <w:autoSpaceDN/>
              <w:jc w:val="center"/>
              <w:textAlignment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0.82</w:t>
            </w:r>
          </w:p>
        </w:tc>
        <w:tc>
          <w:tcPr>
            <w:tcW w:w="948" w:type="dxa"/>
            <w:vMerge w:val="restart"/>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0.52</w:t>
            </w:r>
            <w:r>
              <w:rPr>
                <w:rFonts w:ascii="Times New Roman" w:hAnsi="Times New Roman" w:cs="Times New Roman"/>
                <w:color w:val="000000" w:themeColor="text1"/>
                <w:w w:val="99"/>
                <w:sz w:val="21"/>
                <w:szCs w:val="21"/>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2.896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41.675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2.865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41.234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Mg</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1.125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16.191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-4.541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64.295 </w:t>
            </w:r>
          </w:p>
        </w:tc>
        <w:tc>
          <w:tcPr>
            <w:tcW w:w="1123"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-7.063 </w:t>
            </w: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-1.557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22.047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-0.965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13.657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散户1（韩家、潜水）</w:t>
            </w: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K</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6.700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6.700 </w:t>
            </w:r>
          </w:p>
        </w:tc>
        <w:tc>
          <w:tcPr>
            <w:tcW w:w="1123" w:type="dxa"/>
            <w:vMerge w:val="restart"/>
            <w:tcBorders>
              <w:tl2br w:val="nil"/>
              <w:tr2bl w:val="nil"/>
            </w:tcBorders>
            <w:vAlign w:val="center"/>
          </w:tcPr>
          <w:p>
            <w:pPr>
              <w:widowControl/>
              <w:autoSpaceDE/>
              <w:autoSpaceDN/>
              <w:jc w:val="center"/>
              <w:textAlignment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6.700</w:t>
            </w:r>
          </w:p>
        </w:tc>
        <w:tc>
          <w:tcPr>
            <w:tcW w:w="948" w:type="dxa"/>
            <w:vMerge w:val="restart"/>
            <w:tcBorders>
              <w:tl2br w:val="nil"/>
              <w:tr2bl w:val="nil"/>
            </w:tcBorders>
            <w:vAlign w:val="center"/>
          </w:tcPr>
          <w:p>
            <w:pPr>
              <w:widowControl/>
              <w:autoSpaceDE/>
              <w:autoSpaceDN/>
              <w:jc w:val="center"/>
              <w:textAlignment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0.66</w:t>
            </w:r>
          </w:p>
        </w:tc>
        <w:tc>
          <w:tcPr>
            <w:tcW w:w="948" w:type="dxa"/>
            <w:vMerge w:val="restart"/>
            <w:tcBorders>
              <w:tl2br w:val="nil"/>
              <w:tr2bl w:val="nil"/>
            </w:tcBorders>
            <w:vAlign w:val="center"/>
          </w:tcPr>
          <w:p>
            <w:pPr>
              <w:widowControl/>
              <w:autoSpaceDE/>
              <w:autoSpaceDN/>
              <w:jc w:val="center"/>
              <w:textAlignment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-6.612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-6.612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2.735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40.822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Mg</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1.017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15.174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-4.115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62.234 </w:t>
            </w:r>
          </w:p>
        </w:tc>
        <w:tc>
          <w:tcPr>
            <w:tcW w:w="1123" w:type="dxa"/>
            <w:vMerge w:val="restart"/>
            <w:tcBorders>
              <w:tl2br w:val="nil"/>
              <w:tr2bl w:val="nil"/>
            </w:tcBorders>
            <w:vAlign w:val="center"/>
          </w:tcPr>
          <w:p>
            <w:pPr>
              <w:widowControl/>
              <w:autoSpaceDE/>
              <w:autoSpaceDN/>
              <w:jc w:val="center"/>
              <w:textAlignment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-6.612</w:t>
            </w: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-1.466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22.168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-1.031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15.597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散户2（王家、潜水）</w:t>
            </w: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K</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0.056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0.814 </w:t>
            </w:r>
          </w:p>
        </w:tc>
        <w:tc>
          <w:tcPr>
            <w:tcW w:w="1123"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6.901 </w:t>
            </w:r>
          </w:p>
        </w:tc>
        <w:tc>
          <w:tcPr>
            <w:tcW w:w="948" w:type="dxa"/>
            <w:vMerge w:val="restart"/>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0.55</w:t>
            </w:r>
            <w:r>
              <w:rPr>
                <w:rFonts w:ascii="Times New Roman" w:hAnsi="Times New Roman" w:cs="Times New Roman"/>
                <w:color w:val="000000" w:themeColor="text1"/>
                <w:w w:val="99"/>
                <w:sz w:val="21"/>
                <w:szCs w:val="21"/>
                <w:highlight w:val="none"/>
                <w14:textFill>
                  <w14:solidFill>
                    <w14:schemeClr w14:val="tx1"/>
                  </w14:solidFill>
                </w14:textFill>
              </w:rPr>
              <w:t xml:space="preserve"> </w:t>
            </w:r>
          </w:p>
        </w:tc>
        <w:tc>
          <w:tcPr>
            <w:tcW w:w="948" w:type="dxa"/>
            <w:vMerge w:val="restart"/>
            <w:tcBorders>
              <w:tl2br w:val="nil"/>
              <w:tr2bl w:val="nil"/>
            </w:tcBorders>
            <w:vAlign w:val="center"/>
          </w:tcPr>
          <w:p>
            <w:pPr>
              <w:widowControl/>
              <w:autoSpaceDE/>
              <w:autoSpaceDN/>
              <w:jc w:val="center"/>
              <w:textAlignment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2.804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40.640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2.915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42.243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Mg</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1.125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16.303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-4.459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65.330 </w:t>
            </w:r>
          </w:p>
        </w:tc>
        <w:tc>
          <w:tcPr>
            <w:tcW w:w="1123"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-6.825 </w:t>
            </w: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-1.437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21.056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-0.929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13.614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散户3（张家、潜水）</w:t>
            </w: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K</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0.065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0.994 </w:t>
            </w:r>
          </w:p>
        </w:tc>
        <w:tc>
          <w:tcPr>
            <w:tcW w:w="1123"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6.529 </w:t>
            </w:r>
          </w:p>
        </w:tc>
        <w:tc>
          <w:tcPr>
            <w:tcW w:w="948" w:type="dxa"/>
            <w:vMerge w:val="restart"/>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0.02</w:t>
            </w:r>
            <w:r>
              <w:rPr>
                <w:rFonts w:ascii="Times New Roman" w:hAnsi="Times New Roman" w:cs="Times New Roman"/>
                <w:color w:val="000000" w:themeColor="text1"/>
                <w:w w:val="99"/>
                <w:sz w:val="21"/>
                <w:szCs w:val="21"/>
                <w:highlight w:val="none"/>
                <w14:textFill>
                  <w14:solidFill>
                    <w14:schemeClr w14:val="tx1"/>
                  </w14:solidFill>
                </w14:textFill>
              </w:rPr>
              <w:t xml:space="preserve"> </w:t>
            </w:r>
          </w:p>
        </w:tc>
        <w:tc>
          <w:tcPr>
            <w:tcW w:w="948"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0.4</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2.552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39.092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Ca</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2.670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40.896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Mg</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1.242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19.019 </w:t>
            </w:r>
          </w:p>
        </w:tc>
        <w:tc>
          <w:tcPr>
            <w:tcW w:w="1123" w:type="dxa"/>
            <w:vMerge w:val="continue"/>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-4.361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66.824 </w:t>
            </w:r>
          </w:p>
        </w:tc>
        <w:tc>
          <w:tcPr>
            <w:tcW w:w="1123" w:type="dxa"/>
            <w:vMerge w:val="restart"/>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-6.526 </w:t>
            </w: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0.000 </w:t>
            </w:r>
          </w:p>
        </w:tc>
        <w:tc>
          <w:tcPr>
            <w:tcW w:w="11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-1.363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20.885 </w:t>
            </w:r>
          </w:p>
        </w:tc>
        <w:tc>
          <w:tcPr>
            <w:tcW w:w="11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7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43"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525"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-0.802 </w:t>
            </w:r>
          </w:p>
        </w:tc>
        <w:tc>
          <w:tcPr>
            <w:tcW w:w="1972" w:type="dxa"/>
            <w:tcBorders>
              <w:tl2br w:val="nil"/>
              <w:tr2bl w:val="nil"/>
            </w:tcBorders>
            <w:vAlign w:val="center"/>
          </w:tcPr>
          <w:p>
            <w:pPr>
              <w:widowControl/>
              <w:autoSpaceDE/>
              <w:autoSpaceDN/>
              <w:jc w:val="center"/>
              <w:textAlignment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 xml:space="preserve">12.291 </w:t>
            </w:r>
          </w:p>
        </w:tc>
        <w:tc>
          <w:tcPr>
            <w:tcW w:w="1123"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48" w:type="dxa"/>
            <w:vMerge w:val="continue"/>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bl>
    <w:p>
      <w:pPr>
        <w:autoSpaceDE/>
        <w:autoSpaceDN/>
        <w:snapToGrid w:val="0"/>
        <w:spacing w:line="440" w:lineRule="exact"/>
        <w:ind w:firstLine="57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根据计算结果，监测点位的阴阳离子毫克当量的相对误差均小于5%，可以认为本次离子监测结果阴阳离子是平衡的。</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根据计算结果，监测点位的碳酸氢根离子、纳离子、钙离子毫克当量百分比大于25%。监测点总矿化度小于1.5g/L。所以本项目监测的地下水潜水化学类型为：HCO</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—Na+Ca，</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4</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-A型淡水。</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承压水化学类型为：</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HCO</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—Na+Ca，</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4</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-A型淡水</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pStyle w:val="14"/>
        <w:spacing w:line="440" w:lineRule="exact"/>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spacing w:val="-1"/>
          <w:w w:val="99"/>
          <w:sz w:val="24"/>
          <w:szCs w:val="24"/>
          <w:highlight w:val="none"/>
          <w:lang w:val="en-US"/>
          <w14:textFill>
            <w14:solidFill>
              <w14:schemeClr w14:val="tx1"/>
            </w14:solidFill>
          </w14:textFill>
        </w:rPr>
        <w:t>4.3.2.</w:t>
      </w:r>
      <w:r>
        <w:rPr>
          <w:rFonts w:hint="eastAsia" w:ascii="Times New Roman" w:hAnsi="Times New Roman" w:eastAsia="黑体" w:cs="Times New Roman"/>
          <w:b/>
          <w:bCs/>
          <w:color w:val="000000" w:themeColor="text1"/>
          <w:spacing w:val="-1"/>
          <w:w w:val="99"/>
          <w:sz w:val="24"/>
          <w:szCs w:val="24"/>
          <w:highlight w:val="none"/>
          <w:lang w:val="en-US"/>
          <w14:textFill>
            <w14:solidFill>
              <w14:schemeClr w14:val="tx1"/>
            </w14:solidFill>
          </w14:textFill>
        </w:rPr>
        <w:t>3</w:t>
      </w:r>
      <w:r>
        <w:rPr>
          <w:rFonts w:ascii="Times New Roman" w:hAnsi="Times New Roman" w:eastAsia="黑体" w:cs="Times New Roman"/>
          <w:b/>
          <w:bCs/>
          <w:color w:val="000000" w:themeColor="text1"/>
          <w:spacing w:val="-1"/>
          <w:w w:val="99"/>
          <w:sz w:val="24"/>
          <w:szCs w:val="24"/>
          <w:highlight w:val="none"/>
          <w:lang w:val="en-US"/>
          <w14:textFill>
            <w14:solidFill>
              <w14:schemeClr w14:val="tx1"/>
            </w14:solidFill>
          </w14:textFill>
        </w:rPr>
        <w:t xml:space="preserve"> 地下水环境现状评价</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）评价因子</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评价因子为K</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、Na</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、Cl</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、Ca</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、Mg</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、CO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3</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、HCO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3</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、SO</w:t>
      </w:r>
      <w:r>
        <w:rPr>
          <w:rFonts w:ascii="Times New Roman" w:hAnsi="Times New Roman" w:cs="Times New Roman"/>
          <w:color w:val="000000" w:themeColor="text1"/>
          <w:w w:val="99"/>
          <w:sz w:val="24"/>
          <w:szCs w:val="24"/>
          <w:highlight w:val="none"/>
          <w:vertAlign w:val="subscript"/>
          <w14:textFill>
            <w14:solidFill>
              <w14:schemeClr w14:val="tx1"/>
            </w14:solidFill>
          </w14:textFill>
        </w:rPr>
        <w:t>4</w:t>
      </w:r>
      <w:r>
        <w:rPr>
          <w:rFonts w:ascii="Times New Roman" w:hAnsi="Times New Roman" w:cs="Times New Roman"/>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、pH、氨氮、总硬度、硝酸盐、亚硝酸盐、氰化物、砷、汞、铬（六价）、铅、氟化物、镉、铁、锰、溶解性总固体、耗氧量、挥发酚类、石油类、菌落总数、总大肠菌群。</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）评价方法</w:t>
      </w:r>
    </w:p>
    <w:p>
      <w:pPr>
        <w:autoSpaceDE/>
        <w:autoSpaceDN/>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采用标准指数法。模式如下：</w:t>
      </w:r>
    </w:p>
    <w:p>
      <w:pPr>
        <w:autoSpaceDE/>
        <w:autoSpaceDN/>
        <w:snapToGrid w:val="0"/>
        <w:spacing w:line="440" w:lineRule="exact"/>
        <w:ind w:firstLine="474" w:firstLineChars="200"/>
        <w:jc w:val="cente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P</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i</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=C</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i</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/C</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si</w:t>
      </w:r>
    </w:p>
    <w:p>
      <w:pPr>
        <w:autoSpaceDE/>
        <w:autoSpaceDN/>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pH的标准指数为：</w:t>
      </w:r>
    </w:p>
    <w:p>
      <w:pPr>
        <w:autoSpaceDE/>
        <w:autoSpaceDN/>
        <w:snapToGrid w:val="0"/>
        <w:spacing w:before="100" w:beforeAutospacing="1" w:after="100" w:afterAutospacing="1" w:line="440" w:lineRule="exact"/>
        <w:ind w:firstLine="437"/>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drawing>
          <wp:anchor distT="0" distB="0" distL="114300" distR="114300" simplePos="0" relativeHeight="251667456" behindDoc="0" locked="0" layoutInCell="1" allowOverlap="1">
            <wp:simplePos x="0" y="0"/>
            <wp:positionH relativeFrom="column">
              <wp:posOffset>296545</wp:posOffset>
            </wp:positionH>
            <wp:positionV relativeFrom="paragraph">
              <wp:posOffset>114935</wp:posOffset>
            </wp:positionV>
            <wp:extent cx="1280795" cy="443865"/>
            <wp:effectExtent l="0" t="0" r="0" b="1397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0"/>
                    <a:stretch>
                      <a:fillRect/>
                    </a:stretch>
                  </pic:blipFill>
                  <pic:spPr>
                    <a:xfrm>
                      <a:off x="0" y="0"/>
                      <a:ext cx="1280795" cy="443865"/>
                    </a:xfrm>
                    <a:prstGeom prst="rect">
                      <a:avLst/>
                    </a:prstGeom>
                    <a:noFill/>
                    <a:ln>
                      <a:noFill/>
                    </a:ln>
                  </pic:spPr>
                </pic:pic>
              </a:graphicData>
            </a:graphic>
          </wp:anchor>
        </w:drawing>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 xml:space="preserve">       pH＞7时</w:t>
      </w:r>
    </w:p>
    <w:p>
      <w:pPr>
        <w:autoSpaceDE/>
        <w:autoSpaceDN/>
        <w:snapToGrid w:val="0"/>
        <w:spacing w:after="100" w:afterAutospacing="1"/>
        <w:ind w:firstLine="2836" w:firstLineChars="1197"/>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drawing>
          <wp:anchor distT="0" distB="0" distL="114300" distR="114300" simplePos="0" relativeHeight="251668480" behindDoc="0" locked="0" layoutInCell="1" allowOverlap="1">
            <wp:simplePos x="0" y="0"/>
            <wp:positionH relativeFrom="column">
              <wp:posOffset>277495</wp:posOffset>
            </wp:positionH>
            <wp:positionV relativeFrom="paragraph">
              <wp:posOffset>219075</wp:posOffset>
            </wp:positionV>
            <wp:extent cx="1216660" cy="418465"/>
            <wp:effectExtent l="0" t="0" r="0" b="635"/>
            <wp:wrapNone/>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1"/>
                    <a:stretch>
                      <a:fillRect/>
                    </a:stretch>
                  </pic:blipFill>
                  <pic:spPr>
                    <a:xfrm>
                      <a:off x="0" y="0"/>
                      <a:ext cx="1216660" cy="418465"/>
                    </a:xfrm>
                    <a:prstGeom prst="rect">
                      <a:avLst/>
                    </a:prstGeom>
                    <a:noFill/>
                    <a:ln>
                      <a:noFill/>
                    </a:ln>
                  </pic:spPr>
                </pic:pic>
              </a:graphicData>
            </a:graphic>
          </wp:anchor>
        </w:drawing>
      </w:r>
    </w:p>
    <w:p>
      <w:pPr>
        <w:autoSpaceDE/>
        <w:autoSpaceDN/>
        <w:snapToGrid w:val="0"/>
        <w:spacing w:after="100" w:afterAutospacing="1"/>
        <w:ind w:firstLine="2370" w:firstLineChars="10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 xml:space="preserve">    pH≤7时</w:t>
      </w:r>
    </w:p>
    <w:p>
      <w:pPr>
        <w:autoSpaceDE/>
        <w:autoSpaceDN/>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式中：P</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i</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—第i个水质因子的标准指数，无量纲；</w:t>
      </w:r>
    </w:p>
    <w:p>
      <w:pPr>
        <w:autoSpaceDE/>
        <w:autoSpaceDN/>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 xml:space="preserve">             c</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i</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—第i个水质因子的实测浓度值，mg/L；</w:t>
      </w:r>
    </w:p>
    <w:p>
      <w:pPr>
        <w:autoSpaceDE/>
        <w:autoSpaceDN/>
        <w:snapToGrid w:val="0"/>
        <w:spacing w:line="440" w:lineRule="exact"/>
        <w:ind w:firstLine="1185" w:firstLineChars="5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c</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si</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—第i个水质因子的实测浓度值，mg/L；；</w:t>
      </w:r>
    </w:p>
    <w:p>
      <w:pPr>
        <w:autoSpaceDE/>
        <w:autoSpaceDN/>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 xml:space="preserve">            pH</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sd</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—pH值标准规定的下限值；</w:t>
      </w:r>
    </w:p>
    <w:p>
      <w:pPr>
        <w:autoSpaceDE/>
        <w:autoSpaceDN/>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 xml:space="preserve">            pH</w:t>
      </w:r>
      <w:r>
        <w:rPr>
          <w:rFonts w:ascii="Times New Roman" w:hAnsi="Times New Roman" w:cs="Times New Roman"/>
          <w:color w:val="000000" w:themeColor="text1"/>
          <w:w w:val="99"/>
          <w:kern w:val="2"/>
          <w:sz w:val="24"/>
          <w:szCs w:val="24"/>
          <w:highlight w:val="none"/>
          <w:vertAlign w:val="subscript"/>
          <w:lang w:val="en-US" w:bidi="ar-SA"/>
          <w14:textFill>
            <w14:solidFill>
              <w14:schemeClr w14:val="tx1"/>
            </w14:solidFill>
          </w14:textFill>
        </w:rPr>
        <w:t>su</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—pH值标准规定的上限值。</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水质参数的标准指数＞1，表明该水质参数超过了规定的水质标准，已经不能满足使用要求。</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）评价标准</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石油类参照执行《地表水环境质量标准》（GB3838-2002）Ӏ类限值。其他项目采用《地下水质量标准》（GB/T14848-2017）中 III 类标准。</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）评价结果</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地下水环境现状评价结果见表</w:t>
      </w:r>
      <w:r>
        <w:rPr>
          <w:rFonts w:ascii="Times New Roman" w:hAnsi="Times New Roman" w:cs="Times New Roman"/>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14"/>
        <w:spacing w:line="440" w:lineRule="exact"/>
        <w:ind w:firstLine="952" w:firstLineChars="4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0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地下水环境现状评价结果表</w:t>
      </w:r>
    </w:p>
    <w:tbl>
      <w:tblPr>
        <w:tblStyle w:val="32"/>
        <w:tblW w:w="8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1106"/>
        <w:gridCol w:w="1088"/>
        <w:gridCol w:w="1087"/>
        <w:gridCol w:w="1144"/>
        <w:gridCol w:w="1069"/>
        <w:gridCol w:w="1106"/>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1285"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项目</w:t>
            </w:r>
          </w:p>
        </w:tc>
        <w:tc>
          <w:tcPr>
            <w:tcW w:w="1106"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七井子村（白家、潜水）</w:t>
            </w:r>
          </w:p>
        </w:tc>
        <w:tc>
          <w:tcPr>
            <w:tcW w:w="1088"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唐花马屯（马家、潜水）</w:t>
            </w:r>
          </w:p>
        </w:tc>
        <w:tc>
          <w:tcPr>
            <w:tcW w:w="1087"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散户1（韩家、潜水）</w:t>
            </w:r>
          </w:p>
        </w:tc>
        <w:tc>
          <w:tcPr>
            <w:tcW w:w="1144" w:type="dxa"/>
            <w:tcBorders>
              <w:tl2br w:val="nil"/>
              <w:tr2bl w:val="nil"/>
            </w:tcBorders>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散户2（王家、潜水）</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散户3（张家、潜水）</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钱家屯 （张家、承压水）</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唐花马屯（苏家、承压水）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85"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Na</w:t>
            </w:r>
            <w:r>
              <w:rPr>
                <w:rFonts w:ascii="Times New Roman" w:hAnsi="Times New Roman" w:cs="Times New Roman"/>
                <w:color w:val="000000" w:themeColor="text1"/>
                <w:w w:val="99"/>
                <w:kern w:val="24"/>
                <w:sz w:val="21"/>
                <w:szCs w:val="21"/>
                <w:highlight w:val="none"/>
                <w:vertAlign w:val="superscript"/>
                <w:lang w:val="en-US" w:bidi="ar-SA"/>
                <w14:textFill>
                  <w14:solidFill>
                    <w14:schemeClr w14:val="tx1"/>
                  </w14:solidFill>
                </w14:textFill>
              </w:rPr>
              <w:t>+</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0.31 </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0.33 </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0.33 </w:t>
            </w:r>
          </w:p>
        </w:tc>
        <w:tc>
          <w:tcPr>
            <w:tcW w:w="1144"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0.32</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0.29 </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0.29 </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Cl</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0.21 </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0.22 </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0.21 </w:t>
            </w:r>
          </w:p>
        </w:tc>
        <w:tc>
          <w:tcPr>
            <w:tcW w:w="1144"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0.20</w:t>
            </w: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 </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0.19 </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0.18 </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0.17 </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0.19 </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0.20 </w:t>
            </w:r>
          </w:p>
        </w:tc>
        <w:tc>
          <w:tcPr>
            <w:tcW w:w="1144"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0.18</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0.15 </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0.13 </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85"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总硬度</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0.43 </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0.44 </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0.42 </w:t>
            </w:r>
          </w:p>
        </w:tc>
        <w:tc>
          <w:tcPr>
            <w:tcW w:w="1144"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0.45</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0.44 </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0.33 </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溶解性总固体</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0.58</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0.62</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0.58</w:t>
            </w:r>
          </w:p>
        </w:tc>
        <w:tc>
          <w:tcPr>
            <w:tcW w:w="1144"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0.61</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0.58</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0.49</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耗氧量</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0.63 </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0.63 </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0.67 </w:t>
            </w:r>
          </w:p>
        </w:tc>
        <w:tc>
          <w:tcPr>
            <w:tcW w:w="1144"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0.63</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0.77 </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0.60 </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挥发酚</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氰化物</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氟化物</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0.63 </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0.61 </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0.56 </w:t>
            </w:r>
          </w:p>
        </w:tc>
        <w:tc>
          <w:tcPr>
            <w:tcW w:w="1144"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0.59 </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0.58 </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0.50 </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硝酸盐</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0.15 </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0.12 </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0.12 </w:t>
            </w:r>
          </w:p>
        </w:tc>
        <w:tc>
          <w:tcPr>
            <w:tcW w:w="1144"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0.10</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0.14 </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0.09 </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亚硝酸盐</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85"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氨氮</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0.64 </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0.49 </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0.47 </w:t>
            </w:r>
          </w:p>
        </w:tc>
        <w:tc>
          <w:tcPr>
            <w:tcW w:w="1144"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0.52</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0.54 </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0.38 </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六价铬</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砷</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铅</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铁</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0.93 </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0.90 </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0.90 </w:t>
            </w:r>
          </w:p>
        </w:tc>
        <w:tc>
          <w:tcPr>
            <w:tcW w:w="1144"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w:t>
            </w: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87</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0.90 </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0.80 </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汞</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285" w:type="dxa"/>
            <w:tcBorders>
              <w:tl2br w:val="nil"/>
              <w:tr2bl w:val="nil"/>
            </w:tcBorders>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锰</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0.70 </w:t>
            </w:r>
          </w:p>
        </w:tc>
        <w:tc>
          <w:tcPr>
            <w:tcW w:w="1088"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0.90 </w:t>
            </w:r>
          </w:p>
        </w:tc>
        <w:tc>
          <w:tcPr>
            <w:tcW w:w="1087"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0.90 </w:t>
            </w:r>
          </w:p>
        </w:tc>
        <w:tc>
          <w:tcPr>
            <w:tcW w:w="1144" w:type="dxa"/>
            <w:tcBorders>
              <w:tl2br w:val="nil"/>
              <w:tr2bl w:val="nil"/>
            </w:tcBorders>
            <w:vAlign w:val="center"/>
          </w:tcPr>
          <w:p>
            <w:pPr>
              <w:adjustRightInd w:val="0"/>
              <w:spacing w:line="360" w:lineRule="exact"/>
              <w:jc w:val="center"/>
              <w:textAlignment w:val="baseline"/>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0.</w:t>
            </w: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70</w:t>
            </w:r>
          </w:p>
        </w:tc>
        <w:tc>
          <w:tcPr>
            <w:tcW w:w="106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0.90 </w:t>
            </w:r>
          </w:p>
        </w:tc>
        <w:tc>
          <w:tcPr>
            <w:tcW w:w="1106"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0.40 </w:t>
            </w:r>
          </w:p>
        </w:tc>
        <w:tc>
          <w:tcPr>
            <w:tcW w:w="1049" w:type="dxa"/>
            <w:tcBorders>
              <w:tl2br w:val="nil"/>
              <w:tr2bl w:val="nil"/>
            </w:tcBorders>
            <w:vAlign w:val="center"/>
          </w:tcPr>
          <w:p>
            <w:pPr>
              <w:adjustRightInd w:val="0"/>
              <w:spacing w:line="360" w:lineRule="exact"/>
              <w:jc w:val="center"/>
              <w:textAlignment w:val="baseline"/>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285" w:type="dxa"/>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镉</w:t>
            </w:r>
          </w:p>
        </w:tc>
        <w:tc>
          <w:tcPr>
            <w:tcW w:w="1106"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285"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石油类</w:t>
            </w:r>
          </w:p>
        </w:tc>
        <w:tc>
          <w:tcPr>
            <w:tcW w:w="1106"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285" w:type="dxa"/>
            <w:vAlign w:val="center"/>
          </w:tcPr>
          <w:p>
            <w:pPr>
              <w:widowControl/>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SA"/>
                <w14:textFill>
                  <w14:solidFill>
                    <w14:schemeClr w14:val="tx1"/>
                  </w14:solidFill>
                </w14:textFill>
              </w:rPr>
              <w:t>总大肠菌群</w:t>
            </w:r>
          </w:p>
        </w:tc>
        <w:tc>
          <w:tcPr>
            <w:tcW w:w="1106"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8"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87"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44"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69"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106"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c>
          <w:tcPr>
            <w:tcW w:w="1049" w:type="dxa"/>
            <w:vAlign w:val="center"/>
          </w:tcPr>
          <w:p>
            <w:pPr>
              <w:adjustRightInd w:val="0"/>
              <w:spacing w:line="360" w:lineRule="exact"/>
              <w:jc w:val="center"/>
              <w:textAlignment w:val="baseline"/>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285"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菌落总数</w:t>
            </w:r>
          </w:p>
        </w:tc>
        <w:tc>
          <w:tcPr>
            <w:tcW w:w="1106" w:type="dxa"/>
            <w:vAlign w:val="center"/>
          </w:tcPr>
          <w:p>
            <w:pPr>
              <w:keepNext w:val="0"/>
              <w:keepLines w:val="0"/>
              <w:widowControl/>
              <w:suppressLineNumbers w:val="0"/>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0.10 </w:t>
            </w:r>
          </w:p>
        </w:tc>
        <w:tc>
          <w:tcPr>
            <w:tcW w:w="1088" w:type="dxa"/>
            <w:vAlign w:val="center"/>
          </w:tcPr>
          <w:p>
            <w:pPr>
              <w:keepNext w:val="0"/>
              <w:keepLines w:val="0"/>
              <w:widowControl/>
              <w:suppressLineNumbers w:val="0"/>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0.12 </w:t>
            </w:r>
          </w:p>
        </w:tc>
        <w:tc>
          <w:tcPr>
            <w:tcW w:w="1087" w:type="dxa"/>
            <w:vAlign w:val="center"/>
          </w:tcPr>
          <w:p>
            <w:pPr>
              <w:keepNext w:val="0"/>
              <w:keepLines w:val="0"/>
              <w:widowControl/>
              <w:suppressLineNumbers w:val="0"/>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0.11 </w:t>
            </w:r>
          </w:p>
        </w:tc>
        <w:tc>
          <w:tcPr>
            <w:tcW w:w="1144" w:type="dxa"/>
            <w:vAlign w:val="center"/>
          </w:tcPr>
          <w:p>
            <w:pPr>
              <w:keepNext w:val="0"/>
              <w:keepLines w:val="0"/>
              <w:widowControl/>
              <w:suppressLineNumbers w:val="0"/>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cs="宋体"/>
                <w:i w:val="0"/>
                <w:iCs w:val="0"/>
                <w:color w:val="000000" w:themeColor="text1"/>
                <w:kern w:val="0"/>
                <w:sz w:val="20"/>
                <w:szCs w:val="20"/>
                <w:highlight w:val="none"/>
                <w:u w:val="none"/>
                <w:lang w:val="en-US" w:eastAsia="zh-CN" w:bidi="ar"/>
                <w14:textFill>
                  <w14:solidFill>
                    <w14:schemeClr w14:val="tx1"/>
                  </w14:solidFill>
                </w14:textFill>
              </w:rPr>
              <w:t>0.11</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 </w:t>
            </w:r>
          </w:p>
        </w:tc>
        <w:tc>
          <w:tcPr>
            <w:tcW w:w="1069" w:type="dxa"/>
            <w:vAlign w:val="center"/>
          </w:tcPr>
          <w:p>
            <w:pPr>
              <w:keepNext w:val="0"/>
              <w:keepLines w:val="0"/>
              <w:widowControl/>
              <w:suppressLineNumbers w:val="0"/>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0.11 </w:t>
            </w:r>
          </w:p>
        </w:tc>
        <w:tc>
          <w:tcPr>
            <w:tcW w:w="1106" w:type="dxa"/>
            <w:vAlign w:val="center"/>
          </w:tcPr>
          <w:p>
            <w:pPr>
              <w:keepNext w:val="0"/>
              <w:keepLines w:val="0"/>
              <w:widowControl/>
              <w:suppressLineNumbers w:val="0"/>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0.07 </w:t>
            </w:r>
          </w:p>
        </w:tc>
        <w:tc>
          <w:tcPr>
            <w:tcW w:w="1049" w:type="dxa"/>
            <w:vAlign w:val="center"/>
          </w:tcPr>
          <w:p>
            <w:pPr>
              <w:keepNext w:val="0"/>
              <w:keepLines w:val="0"/>
              <w:widowControl/>
              <w:suppressLineNumbers w:val="0"/>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0.06 </w:t>
            </w:r>
          </w:p>
        </w:tc>
      </w:tr>
    </w:tbl>
    <w:p>
      <w:pPr>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从上表我们可以看出，</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本次</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监测项目均满足《地下水质量标准》（GB/T14848-2017）III 类标准要求。本工程特征污染物石油类满足《地表水环境质量标准》（GB3838-2002）I类标准。</w:t>
      </w:r>
    </w:p>
    <w:p>
      <w:pPr>
        <w:pStyle w:val="8"/>
        <w:keepNext/>
        <w:keepLines/>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4.3.2.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14:textFill>
            <w14:solidFill>
              <w14:schemeClr w14:val="tx1"/>
            </w14:solidFill>
          </w14:textFill>
        </w:rPr>
        <w:t xml:space="preserve"> </w:t>
      </w:r>
      <w:r>
        <w:rPr>
          <w:rFonts w:hint="default" w:ascii="Times New Roman" w:hAnsi="Times New Roman" w:eastAsia="宋体" w:cs="Times New Roman"/>
          <w:b/>
          <w:bCs/>
          <w:color w:val="000000" w:themeColor="text1"/>
          <w:w w:val="99"/>
          <w:kern w:val="0"/>
          <w:sz w:val="24"/>
          <w:szCs w:val="24"/>
          <w:highlight w:val="none"/>
          <w:lang w:val="en-US" w:eastAsia="zh-CN" w:bidi="zh-CN"/>
          <w14:textFill>
            <w14:solidFill>
              <w14:schemeClr w14:val="tx1"/>
            </w14:solidFill>
          </w14:textFill>
        </w:rPr>
        <w:t>包气带污染现状调查</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）调查点位</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在可能造成地下水污染的已建井场开展包气带污染现状调查，调查点位见表</w:t>
      </w:r>
      <w:r>
        <w:rPr>
          <w:rFonts w:ascii="Times New Roman" w:hAnsi="Times New Roman" w:cs="Times New Roman"/>
          <w:color w:val="000000" w:themeColor="text1"/>
          <w:w w:val="99"/>
          <w:sz w:val="24"/>
          <w:szCs w:val="24"/>
          <w:highlight w:val="none"/>
          <w:lang w:val="en-US"/>
          <w14:textFill>
            <w14:solidFill>
              <w14:schemeClr w14:val="tx1"/>
            </w14:solidFill>
          </w14:textFill>
        </w:rPr>
        <w:t>4.3-1</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和</w:t>
      </w:r>
      <w:r>
        <w:rPr>
          <w:rFonts w:ascii="Times New Roman" w:hAnsi="Times New Roman" w:cs="Times New Roman"/>
          <w:color w:val="000000" w:themeColor="text1"/>
          <w:w w:val="99"/>
          <w:sz w:val="24"/>
          <w:szCs w:val="24"/>
          <w:highlight w:val="none"/>
          <w:lang w:val="en-US"/>
          <w14:textFill>
            <w14:solidFill>
              <w14:schemeClr w14:val="tx1"/>
            </w14:solidFill>
          </w14:textFill>
        </w:rPr>
        <w:t>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1</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包气带调查点位</w:t>
      </w:r>
    </w:p>
    <w:tbl>
      <w:tblPr>
        <w:tblStyle w:val="32"/>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4"/>
        <w:gridCol w:w="3969"/>
        <w:gridCol w:w="2835"/>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tblHeader/>
          <w:jc w:val="center"/>
        </w:trPr>
        <w:tc>
          <w:tcPr>
            <w:tcW w:w="704"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序号</w:t>
            </w:r>
          </w:p>
        </w:tc>
        <w:tc>
          <w:tcPr>
            <w:tcW w:w="3969"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监测点</w:t>
            </w:r>
          </w:p>
        </w:tc>
        <w:tc>
          <w:tcPr>
            <w:tcW w:w="2835"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采样深度</w:t>
            </w:r>
          </w:p>
        </w:tc>
        <w:tc>
          <w:tcPr>
            <w:tcW w:w="2098"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04"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V1</w:t>
            </w:r>
          </w:p>
        </w:tc>
        <w:tc>
          <w:tcPr>
            <w:tcW w:w="3969" w:type="dxa"/>
            <w:tcBorders>
              <w:tl2br w:val="nil"/>
              <w:tr2bl w:val="nil"/>
            </w:tcBorders>
            <w:vAlign w:val="center"/>
          </w:tcPr>
          <w:p>
            <w:pPr>
              <w:autoSpaceDE/>
              <w:autoSpaceDN/>
              <w:snapToGrid w:val="0"/>
              <w:spacing w:line="360" w:lineRule="exact"/>
              <w:jc w:val="center"/>
              <w:rPr>
                <w:rFonts w:ascii="Times New Roman" w:hAnsi="Times New Roman" w:eastAsia="宋体" w:cs="Times New Roman"/>
                <w:bCs/>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t>葡73-69井场</w:t>
            </w:r>
          </w:p>
        </w:tc>
        <w:tc>
          <w:tcPr>
            <w:tcW w:w="2835"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0～20cm、20～40cm</w:t>
            </w:r>
          </w:p>
        </w:tc>
        <w:tc>
          <w:tcPr>
            <w:tcW w:w="2098"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污染控制点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04"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V2</w:t>
            </w:r>
          </w:p>
        </w:tc>
        <w:tc>
          <w:tcPr>
            <w:tcW w:w="3969" w:type="dxa"/>
            <w:tcBorders>
              <w:tl2br w:val="nil"/>
              <w:tr2bl w:val="nil"/>
            </w:tcBorders>
            <w:vAlign w:val="center"/>
          </w:tcPr>
          <w:p>
            <w:pPr>
              <w:autoSpaceDE/>
              <w:autoSpaceDN/>
              <w:snapToGrid w:val="0"/>
              <w:spacing w:line="360" w:lineRule="exact"/>
              <w:jc w:val="center"/>
              <w:rPr>
                <w:rFonts w:hint="default" w:ascii="Times New Roman" w:hAnsi="Times New Roman" w:eastAsia="宋体" w:cs="Times New Roman"/>
                <w:bCs/>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bCs/>
                <w:color w:val="000000" w:themeColor="text1"/>
                <w:w w:val="99"/>
                <w:kern w:val="2"/>
                <w:sz w:val="21"/>
                <w:szCs w:val="21"/>
                <w:highlight w:val="none"/>
                <w:lang w:val="en-US" w:bidi="ar-SA"/>
                <w14:textFill>
                  <w14:solidFill>
                    <w14:schemeClr w14:val="tx1"/>
                  </w14:solidFill>
                </w14:textFill>
              </w:rPr>
              <w:t>葡73-69</w:t>
            </w:r>
            <w:r>
              <w:rPr>
                <w:rFonts w:hint="eastAsia"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t>井场东侧100m（草地）</w:t>
            </w:r>
          </w:p>
        </w:tc>
        <w:tc>
          <w:tcPr>
            <w:tcW w:w="2835"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0～20cm、20～40cm</w:t>
            </w:r>
          </w:p>
        </w:tc>
        <w:tc>
          <w:tcPr>
            <w:tcW w:w="2098"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清洁对照点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04"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V3</w:t>
            </w:r>
          </w:p>
        </w:tc>
        <w:tc>
          <w:tcPr>
            <w:tcW w:w="3969" w:type="dxa"/>
            <w:tcBorders>
              <w:tl2br w:val="nil"/>
              <w:tr2bl w:val="nil"/>
            </w:tcBorders>
            <w:vAlign w:val="center"/>
          </w:tcPr>
          <w:p>
            <w:pPr>
              <w:autoSpaceDE/>
              <w:autoSpaceDN/>
              <w:snapToGrid w:val="0"/>
              <w:spacing w:line="360" w:lineRule="exact"/>
              <w:jc w:val="center"/>
              <w:rPr>
                <w:rFonts w:ascii="Times New Roman" w:hAnsi="Times New Roman" w:eastAsia="宋体" w:cs="Times New Roman"/>
                <w:bCs/>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t>葡69-斜692井场</w:t>
            </w:r>
          </w:p>
        </w:tc>
        <w:tc>
          <w:tcPr>
            <w:tcW w:w="2835"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0～20cm、20～40cm</w:t>
            </w:r>
          </w:p>
        </w:tc>
        <w:tc>
          <w:tcPr>
            <w:tcW w:w="2098"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污染控制点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04"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V4</w:t>
            </w:r>
          </w:p>
        </w:tc>
        <w:tc>
          <w:tcPr>
            <w:tcW w:w="3969" w:type="dxa"/>
            <w:tcBorders>
              <w:tl2br w:val="nil"/>
              <w:tr2bl w:val="nil"/>
            </w:tcBorders>
            <w:vAlign w:val="center"/>
          </w:tcPr>
          <w:p>
            <w:pPr>
              <w:autoSpaceDE/>
              <w:autoSpaceDN/>
              <w:snapToGrid w:val="0"/>
              <w:spacing w:line="360" w:lineRule="exact"/>
              <w:jc w:val="center"/>
              <w:rPr>
                <w:rFonts w:ascii="Times New Roman" w:hAnsi="Times New Roman" w:eastAsia="宋体" w:cs="Times New Roman"/>
                <w:bCs/>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bCs/>
                <w:color w:val="000000" w:themeColor="text1"/>
                <w:w w:val="99"/>
                <w:kern w:val="2"/>
                <w:sz w:val="21"/>
                <w:szCs w:val="21"/>
                <w:highlight w:val="none"/>
                <w:lang w:val="en-US" w:bidi="ar-SA"/>
                <w14:textFill>
                  <w14:solidFill>
                    <w14:schemeClr w14:val="tx1"/>
                  </w14:solidFill>
                </w14:textFill>
              </w:rPr>
              <w:t>葡69-斜692</w:t>
            </w:r>
            <w:r>
              <w:rPr>
                <w:rFonts w:hint="eastAsia"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t>井场南侧100m（耕地）</w:t>
            </w:r>
          </w:p>
        </w:tc>
        <w:tc>
          <w:tcPr>
            <w:tcW w:w="2835"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0～20cm、20～40cm</w:t>
            </w:r>
          </w:p>
        </w:tc>
        <w:tc>
          <w:tcPr>
            <w:tcW w:w="2098" w:type="dxa"/>
            <w:tcBorders>
              <w:tl2br w:val="nil"/>
              <w:tr2bl w:val="nil"/>
            </w:tcBorders>
            <w:vAlign w:val="center"/>
          </w:tcPr>
          <w:p>
            <w:pPr>
              <w:autoSpaceDE/>
              <w:autoSpaceDN/>
              <w:snapToGrid w:val="0"/>
              <w:spacing w:line="360" w:lineRule="exac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清洁对照点</w:t>
            </w:r>
          </w:p>
        </w:tc>
      </w:tr>
    </w:tbl>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）调查项目</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pH、汞、砷、铅、</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总</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铬、石油类、挥发酚。</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（3）调查时间与频次</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2021年8月30日</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进行一次性调查</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监测</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utoSpaceDE/>
        <w:autoSpaceDN/>
        <w:adjustRightInd w:val="0"/>
        <w:snapToGrid w:val="0"/>
        <w:spacing w:line="440" w:lineRule="exact"/>
        <w:ind w:firstLine="474" w:firstLineChars="200"/>
        <w:jc w:val="both"/>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（4）监测结果</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bCs/>
          <w:snapToGrid w:val="0"/>
          <w:color w:val="000000" w:themeColor="text1"/>
          <w:w w:val="99"/>
          <w:kern w:val="2"/>
          <w:sz w:val="24"/>
          <w:szCs w:val="24"/>
          <w:highlight w:val="none"/>
          <w:lang w:val="en-US" w:bidi="ar-SA"/>
          <w14:textFill>
            <w14:solidFill>
              <w14:schemeClr w14:val="tx1"/>
            </w14:solidFill>
          </w14:textFill>
        </w:rPr>
        <w:t>监测结果</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见表4.3-1</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2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包气带监测结果</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单位：mg/L（pH无量纲）</w:t>
      </w:r>
    </w:p>
    <w:tbl>
      <w:tblPr>
        <w:tblStyle w:val="3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871"/>
        <w:gridCol w:w="1899"/>
        <w:gridCol w:w="2000"/>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监测时间</w:t>
            </w:r>
          </w:p>
        </w:tc>
        <w:tc>
          <w:tcPr>
            <w:tcW w:w="7796" w:type="dxa"/>
            <w:gridSpan w:val="4"/>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2021.6.7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413" w:type="dxa"/>
            <w:vMerge w:val="restart"/>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监测项目</w:t>
            </w:r>
          </w:p>
        </w:tc>
        <w:tc>
          <w:tcPr>
            <w:tcW w:w="3770" w:type="dxa"/>
            <w:gridSpan w:val="2"/>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葡73-69井场</w:t>
            </w:r>
          </w:p>
        </w:tc>
        <w:tc>
          <w:tcPr>
            <w:tcW w:w="4026" w:type="dxa"/>
            <w:gridSpan w:val="2"/>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葡73-69</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井场东侧100m</w:t>
            </w:r>
            <w:r>
              <w:rPr>
                <w:rFonts w:hint="eastAsia"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t>（草地）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413" w:type="dxa"/>
            <w:vMerge w:val="continue"/>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0～20cm</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20～40cm</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0～20cm</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20～40cm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pH</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8.</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2</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8.</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7.9</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铅</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5.8</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5.6</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5.</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4</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5.</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总铬</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17</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0.1</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6</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0.1</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3</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0.1</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汞</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0.04L</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0.04L</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0.04L</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砷</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0.3L</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0.3L</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0.3L</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石油类</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.16</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12</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15</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挥发酚</w:t>
            </w:r>
          </w:p>
        </w:tc>
        <w:tc>
          <w:tcPr>
            <w:tcW w:w="1871" w:type="dxa"/>
            <w:tcBorders>
              <w:tl2br w:val="nil"/>
              <w:tr2bl w:val="nil"/>
            </w:tcBorders>
            <w:vAlign w:val="bottom"/>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24</w:t>
            </w:r>
          </w:p>
        </w:tc>
        <w:tc>
          <w:tcPr>
            <w:tcW w:w="1899" w:type="dxa"/>
            <w:tcBorders>
              <w:tl2br w:val="nil"/>
              <w:tr2bl w:val="nil"/>
            </w:tcBorders>
            <w:vAlign w:val="bottom"/>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21</w:t>
            </w:r>
          </w:p>
        </w:tc>
        <w:tc>
          <w:tcPr>
            <w:tcW w:w="2000" w:type="dxa"/>
            <w:tcBorders>
              <w:tl2br w:val="nil"/>
              <w:tr2bl w:val="nil"/>
            </w:tcBorders>
            <w:vAlign w:val="bottom"/>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18</w:t>
            </w:r>
          </w:p>
        </w:tc>
        <w:tc>
          <w:tcPr>
            <w:tcW w:w="2026" w:type="dxa"/>
            <w:tcBorders>
              <w:tl2br w:val="nil"/>
              <w:tr2bl w:val="nil"/>
            </w:tcBorders>
            <w:vAlign w:val="bottom"/>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0.001</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13" w:type="dxa"/>
            <w:vMerge w:val="restart"/>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监测项目</w:t>
            </w:r>
          </w:p>
        </w:tc>
        <w:tc>
          <w:tcPr>
            <w:tcW w:w="3770" w:type="dxa"/>
            <w:gridSpan w:val="2"/>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葡69-斜692井场</w:t>
            </w:r>
          </w:p>
        </w:tc>
        <w:tc>
          <w:tcPr>
            <w:tcW w:w="4026" w:type="dxa"/>
            <w:gridSpan w:val="2"/>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葡69-斜692</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井场南侧100m</w:t>
            </w:r>
            <w:r>
              <w:rPr>
                <w:rFonts w:hint="eastAsia"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413" w:type="dxa"/>
            <w:vMerge w:val="continue"/>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0～20cm</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20～40cm</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0～20cm</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20～40cm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pH</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8.</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2</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8.</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0</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7.8</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铅</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5.5</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5.2</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5.</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4</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5.</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总铬</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16</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0.1</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7</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0.1</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3</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0.1</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汞</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0.04L</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0.04L</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0.04L</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砷</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0.3L</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0.3L</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0.3L</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石油类</w:t>
            </w:r>
          </w:p>
        </w:tc>
        <w:tc>
          <w:tcPr>
            <w:tcW w:w="1871"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.16</w:t>
            </w:r>
          </w:p>
        </w:tc>
        <w:tc>
          <w:tcPr>
            <w:tcW w:w="1899"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13</w:t>
            </w:r>
          </w:p>
        </w:tc>
        <w:tc>
          <w:tcPr>
            <w:tcW w:w="2000"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14</w:t>
            </w:r>
          </w:p>
        </w:tc>
        <w:tc>
          <w:tcPr>
            <w:tcW w:w="2026" w:type="dxa"/>
            <w:tcBorders>
              <w:tl2br w:val="nil"/>
              <w:tr2bl w:val="nil"/>
            </w:tcBorders>
            <w:vAlign w:val="center"/>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1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挥发酚</w:t>
            </w:r>
          </w:p>
        </w:tc>
        <w:tc>
          <w:tcPr>
            <w:tcW w:w="1871" w:type="dxa"/>
            <w:tcBorders>
              <w:tl2br w:val="nil"/>
              <w:tr2bl w:val="nil"/>
            </w:tcBorders>
            <w:vAlign w:val="bottom"/>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29</w:t>
            </w:r>
          </w:p>
        </w:tc>
        <w:tc>
          <w:tcPr>
            <w:tcW w:w="1899" w:type="dxa"/>
            <w:tcBorders>
              <w:tl2br w:val="nil"/>
              <w:tr2bl w:val="nil"/>
            </w:tcBorders>
            <w:vAlign w:val="bottom"/>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26</w:t>
            </w:r>
          </w:p>
        </w:tc>
        <w:tc>
          <w:tcPr>
            <w:tcW w:w="2000" w:type="dxa"/>
            <w:tcBorders>
              <w:tl2br w:val="nil"/>
              <w:tr2bl w:val="nil"/>
            </w:tcBorders>
            <w:vAlign w:val="bottom"/>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19</w:t>
            </w:r>
          </w:p>
        </w:tc>
        <w:tc>
          <w:tcPr>
            <w:tcW w:w="2026" w:type="dxa"/>
            <w:tcBorders>
              <w:tl2br w:val="nil"/>
              <w:tr2bl w:val="nil"/>
            </w:tcBorders>
            <w:vAlign w:val="bottom"/>
          </w:tcPr>
          <w:p>
            <w:pPr>
              <w:autoSpaceDE/>
              <w:autoSpaceDN/>
              <w:spacing w:line="360" w:lineRule="exact"/>
              <w:jc w:val="center"/>
              <w:rPr>
                <w:rFonts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kern w:val="2"/>
                <w:sz w:val="21"/>
                <w:szCs w:val="21"/>
                <w:highlight w:val="none"/>
                <w:lang w:val="en-US" w:bidi="ar-SA"/>
                <w14:textFill>
                  <w14:solidFill>
                    <w14:schemeClr w14:val="tx1"/>
                  </w14:solidFill>
                </w14:textFill>
              </w:rPr>
              <w:t>0.001</w:t>
            </w:r>
            <w:r>
              <w:rPr>
                <w:rFonts w:hint="eastAsia"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t>7</w:t>
            </w:r>
          </w:p>
        </w:tc>
      </w:tr>
    </w:tbl>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从表4.3-1</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中可以看出，评价区域内污染调查点浓度与清洁对照点相比没有明显变化，说明评价区域内包气带有轻微程度污染。</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4.3.3 </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地表水</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环境质量现状调查与评价</w:t>
      </w:r>
    </w:p>
    <w:p>
      <w:pPr>
        <w:pStyle w:val="67"/>
        <w:spacing w:line="440" w:lineRule="exact"/>
        <w:ind w:firstLine="0" w:firstLineChars="0"/>
        <w:jc w:val="both"/>
        <w:outlineLvl w:val="3"/>
        <w:rPr>
          <w:rFonts w:ascii="Times New Roman" w:hAnsi="Times New Roman" w:eastAsiaTheme="minorEastAsia"/>
          <w:b/>
          <w:color w:val="000000" w:themeColor="text1"/>
          <w:w w:val="99"/>
          <w:sz w:val="24"/>
          <w:szCs w:val="24"/>
          <w:highlight w:val="none"/>
          <w14:textFill>
            <w14:solidFill>
              <w14:schemeClr w14:val="tx1"/>
            </w14:solidFill>
          </w14:textFill>
        </w:rPr>
      </w:pPr>
      <w:r>
        <w:rPr>
          <w:rFonts w:ascii="Times New Roman" w:hAnsi="Times New Roman" w:eastAsiaTheme="minorEastAsia"/>
          <w:b/>
          <w:color w:val="000000" w:themeColor="text1"/>
          <w:w w:val="99"/>
          <w:sz w:val="24"/>
          <w:szCs w:val="24"/>
          <w:highlight w:val="none"/>
          <w14:textFill>
            <w14:solidFill>
              <w14:schemeClr w14:val="tx1"/>
            </w14:solidFill>
          </w14:textFill>
        </w:rPr>
        <w:t>4.3.3.1地表水环境质量现状监测</w:t>
      </w:r>
    </w:p>
    <w:p>
      <w:pPr>
        <w:spacing w:line="440" w:lineRule="exact"/>
        <w:ind w:firstLine="480"/>
        <w:jc w:val="both"/>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本项目不排放废水，属于水污染影响型三级B评价，可不开展区域污染源调查，为了解区域内地表水现状，202</w:t>
      </w:r>
      <w:r>
        <w:rPr>
          <w:rFonts w:hint="eastAsia" w:ascii="Times New Roman" w:hAnsi="Times New Roman" w:cs="Times New Roman" w:eastAsiaTheme="minorEastAsia"/>
          <w:color w:val="000000" w:themeColor="text1"/>
          <w:w w:val="99"/>
          <w:sz w:val="24"/>
          <w:szCs w:val="24"/>
          <w:highlight w:val="none"/>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8月</w:t>
      </w:r>
      <w:r>
        <w:rPr>
          <w:rFonts w:hint="eastAsia" w:ascii="Times New Roman" w:hAnsi="Times New Roman" w:cs="Times New Roman" w:eastAsiaTheme="minorEastAsia"/>
          <w:color w:val="000000" w:themeColor="text1"/>
          <w:w w:val="99"/>
          <w:sz w:val="24"/>
          <w:szCs w:val="24"/>
          <w:highlight w:val="none"/>
          <w:lang w:val="en-US" w:eastAsia="zh-CN"/>
          <w14:textFill>
            <w14:solidFill>
              <w14:schemeClr w14:val="tx1"/>
            </w14:solidFill>
          </w14:textFill>
        </w:rPr>
        <w:t>30</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日～</w:t>
      </w:r>
      <w:r>
        <w:rPr>
          <w:rFonts w:hint="eastAsia" w:ascii="Times New Roman" w:hAnsi="Times New Roman" w:cs="Times New Roman" w:eastAsiaTheme="minorEastAsia"/>
          <w:color w:val="000000" w:themeColor="text1"/>
          <w:w w:val="99"/>
          <w:sz w:val="24"/>
          <w:szCs w:val="24"/>
          <w:highlight w:val="none"/>
          <w:lang w:val="en-US" w:eastAsia="zh-CN"/>
          <w14:textFill>
            <w14:solidFill>
              <w14:schemeClr w14:val="tx1"/>
            </w14:solidFill>
          </w14:textFill>
        </w:rPr>
        <w:t>31</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日</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对</w:t>
      </w:r>
      <w:r>
        <w:rPr>
          <w:rFonts w:hint="eastAsia" w:ascii="Times New Roman" w:hAnsi="Times New Roman" w:cs="Times New Roman" w:eastAsiaTheme="minorEastAsia"/>
          <w:color w:val="000000" w:themeColor="text1"/>
          <w:w w:val="99"/>
          <w:sz w:val="24"/>
          <w:szCs w:val="24"/>
          <w:highlight w:val="none"/>
          <w:lang w:eastAsia="zh-CN"/>
          <w14:textFill>
            <w14:solidFill>
              <w14:schemeClr w14:val="tx1"/>
            </w14:solidFill>
          </w14:textFill>
        </w:rPr>
        <w:t>井场</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周边的地表水体进行了监测。</w:t>
      </w:r>
    </w:p>
    <w:p>
      <w:pPr>
        <w:spacing w:line="440" w:lineRule="exact"/>
        <w:ind w:firstLine="48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（1）监测点位</w:t>
      </w:r>
    </w:p>
    <w:p>
      <w:pPr>
        <w:spacing w:line="440" w:lineRule="exact"/>
        <w:ind w:firstLine="48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本次评价共布设</w:t>
      </w:r>
      <w:r>
        <w:rPr>
          <w:rFonts w:hint="eastAsia" w:ascii="Times New Roman" w:hAnsi="Times New Roman" w:cs="Times New Roman" w:eastAsiaTheme="minorEastAsia"/>
          <w:color w:val="000000" w:themeColor="text1"/>
          <w:w w:val="99"/>
          <w:sz w:val="24"/>
          <w:szCs w:val="24"/>
          <w:highlight w:val="none"/>
          <w:lang w:val="en-US" w:eastAsia="zh-CN"/>
          <w14:textFill>
            <w14:solidFill>
              <w14:schemeClr w14:val="tx1"/>
            </w14:solidFill>
          </w14:textFill>
        </w:rPr>
        <w:t>1</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个地表水监测点</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康家围子泡，</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监测点布设情况见表4.3-1</w:t>
      </w:r>
      <w:r>
        <w:rPr>
          <w:rFonts w:hint="eastAsia" w:ascii="Times New Roman" w:hAnsi="Times New Roman" w:cs="Times New Roman" w:eastAsiaTheme="minorEastAsia"/>
          <w:color w:val="000000" w:themeColor="text1"/>
          <w:w w:val="99"/>
          <w:sz w:val="24"/>
          <w:szCs w:val="24"/>
          <w:highlight w:val="none"/>
          <w:lang w:val="en-US" w:eastAsia="zh-CN"/>
          <w14:textFill>
            <w14:solidFill>
              <w14:schemeClr w14:val="tx1"/>
            </w14:solidFill>
          </w14:textFill>
        </w:rPr>
        <w:t>3</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和</w:t>
      </w:r>
      <w:r>
        <w:rPr>
          <w:rFonts w:ascii="Times New Roman" w:hAnsi="Times New Roman" w:cs="Times New Roman" w:eastAsiaTheme="minorEastAsia"/>
          <w:color w:val="000000" w:themeColor="text1"/>
          <w:w w:val="99"/>
          <w:sz w:val="24"/>
          <w:szCs w:val="24"/>
          <w:highlight w:val="none"/>
          <w:lang w:val="en-US"/>
          <w14:textFill>
            <w14:solidFill>
              <w14:schemeClr w14:val="tx1"/>
            </w14:solidFill>
          </w14:textFill>
        </w:rPr>
        <w:t>附图</w:t>
      </w:r>
      <w:r>
        <w:rPr>
          <w:rFonts w:hint="eastAsia" w:ascii="Times New Roman" w:hAnsi="Times New Roman" w:cs="Times New Roman" w:eastAsiaTheme="minorEastAsia"/>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w:t>
      </w:r>
    </w:p>
    <w:p>
      <w:pPr>
        <w:spacing w:line="440" w:lineRule="exact"/>
        <w:ind w:firstLine="480"/>
        <w:rPr>
          <w:rFonts w:ascii="Times New Roman" w:hAnsi="Times New Roman" w:cs="Times New Roman" w:eastAsiaTheme="minorEastAsia"/>
          <w:b/>
          <w:bCs/>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b/>
          <w:bCs/>
          <w:color w:val="000000" w:themeColor="text1"/>
          <w:w w:val="99"/>
          <w:sz w:val="24"/>
          <w:szCs w:val="24"/>
          <w:highlight w:val="none"/>
          <w14:textFill>
            <w14:solidFill>
              <w14:schemeClr w14:val="tx1"/>
            </w14:solidFill>
          </w14:textFill>
        </w:rPr>
        <w:t>表4.3-1</w:t>
      </w:r>
      <w:r>
        <w:rPr>
          <w:rFonts w:hint="eastAsia" w:ascii="Times New Roman" w:hAnsi="Times New Roman" w:cs="Times New Roman" w:eastAsiaTheme="minorEastAsia"/>
          <w:b/>
          <w:bCs/>
          <w:color w:val="000000" w:themeColor="text1"/>
          <w:w w:val="99"/>
          <w:sz w:val="24"/>
          <w:szCs w:val="24"/>
          <w:highlight w:val="none"/>
          <w:lang w:val="en-US" w:eastAsia="zh-CN"/>
          <w14:textFill>
            <w14:solidFill>
              <w14:schemeClr w14:val="tx1"/>
            </w14:solidFill>
          </w14:textFill>
        </w:rPr>
        <w:t xml:space="preserve">3    </w:t>
      </w:r>
      <w:r>
        <w:rPr>
          <w:rFonts w:ascii="Times New Roman" w:hAnsi="Times New Roman" w:cs="Times New Roman" w:eastAsiaTheme="minorEastAsia"/>
          <w:b/>
          <w:bCs/>
          <w:color w:val="000000" w:themeColor="text1"/>
          <w:w w:val="99"/>
          <w:sz w:val="24"/>
          <w:szCs w:val="24"/>
          <w:highlight w:val="none"/>
          <w14:textFill>
            <w14:solidFill>
              <w14:schemeClr w14:val="tx1"/>
            </w14:solidFill>
          </w14:textFill>
        </w:rPr>
        <w:t xml:space="preserve">    监测点布设情况</w:t>
      </w: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3"/>
        <w:gridCol w:w="2439"/>
        <w:gridCol w:w="2640"/>
        <w:gridCol w:w="3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45" w:type="pct"/>
            <w:tcBorders>
              <w:right w:val="single" w:color="auto" w:sz="2" w:space="0"/>
            </w:tcBorders>
            <w:vAlign w:val="center"/>
          </w:tcPr>
          <w:p>
            <w:pPr>
              <w:spacing w:line="36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序号</w:t>
            </w:r>
          </w:p>
        </w:tc>
        <w:tc>
          <w:tcPr>
            <w:tcW w:w="1312" w:type="pct"/>
            <w:tcBorders>
              <w:left w:val="single" w:color="auto" w:sz="2" w:space="0"/>
            </w:tcBorders>
            <w:vAlign w:val="center"/>
          </w:tcPr>
          <w:p>
            <w:pPr>
              <w:spacing w:line="36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监测点</w:t>
            </w:r>
          </w:p>
        </w:tc>
        <w:tc>
          <w:tcPr>
            <w:tcW w:w="1420" w:type="pct"/>
            <w:vAlign w:val="center"/>
          </w:tcPr>
          <w:p>
            <w:pPr>
              <w:spacing w:line="36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与本项目位置关系</w:t>
            </w:r>
          </w:p>
        </w:tc>
        <w:tc>
          <w:tcPr>
            <w:tcW w:w="1721" w:type="pct"/>
            <w:vAlign w:val="center"/>
          </w:tcPr>
          <w:p>
            <w:pPr>
              <w:spacing w:line="36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经纬度</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45" w:type="pct"/>
            <w:tcBorders>
              <w:right w:val="single" w:color="auto" w:sz="2" w:space="0"/>
            </w:tcBorders>
            <w:vAlign w:val="center"/>
          </w:tcPr>
          <w:p>
            <w:pPr>
              <w:spacing w:line="36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W1</w:t>
            </w:r>
          </w:p>
        </w:tc>
        <w:tc>
          <w:tcPr>
            <w:tcW w:w="1312" w:type="pct"/>
            <w:tcBorders>
              <w:left w:val="single" w:color="auto" w:sz="2" w:space="0"/>
            </w:tcBorders>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康家围子泡</w:t>
            </w:r>
            <w:r>
              <w:rPr>
                <w:rFonts w:hint="eastAsia" w:ascii="Times New Roman" w:hAnsi="Times New Roman" w:cs="Times New Roman" w:eastAsiaTheme="minorEastAsia"/>
                <w:color w:val="000000" w:themeColor="text1"/>
                <w:w w:val="99"/>
                <w:sz w:val="21"/>
                <w:szCs w:val="21"/>
                <w:highlight w:val="none"/>
                <w:lang w:eastAsia="zh-CN"/>
                <w14:textFill>
                  <w14:solidFill>
                    <w14:schemeClr w14:val="tx1"/>
                  </w14:solidFill>
                </w14:textFill>
              </w:rPr>
              <w:t>边缘</w:t>
            </w:r>
          </w:p>
        </w:tc>
        <w:tc>
          <w:tcPr>
            <w:tcW w:w="1420" w:type="pct"/>
            <w:vMerge w:val="restart"/>
            <w:vAlign w:val="center"/>
          </w:tcPr>
          <w:p>
            <w:pPr>
              <w:spacing w:line="36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葡7</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0-672、葡70-斜682平台井场为水泡井，位于康家围子泡东侧边缘</w:t>
            </w:r>
          </w:p>
        </w:tc>
        <w:tc>
          <w:tcPr>
            <w:tcW w:w="1721" w:type="pct"/>
            <w:vAlign w:val="center"/>
          </w:tcPr>
          <w:p>
            <w:pPr>
              <w:spacing w:line="36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14:textFill>
                  <w14:solidFill>
                    <w14:schemeClr w14:val="tx1"/>
                  </w14:solidFill>
                </w14:textFill>
              </w:rPr>
              <w:t>E124.69195，N46.0019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45" w:type="pct"/>
            <w:tcBorders>
              <w:right w:val="single" w:color="auto" w:sz="2" w:space="0"/>
            </w:tcBorders>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W</w:t>
            </w: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2</w:t>
            </w:r>
          </w:p>
        </w:tc>
        <w:tc>
          <w:tcPr>
            <w:tcW w:w="1312" w:type="pct"/>
            <w:tcBorders>
              <w:left w:val="single" w:color="auto" w:sz="2" w:space="0"/>
            </w:tcBorders>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康家围子泡</w:t>
            </w:r>
            <w:r>
              <w:rPr>
                <w:rFonts w:hint="eastAsia" w:ascii="Times New Roman" w:hAnsi="Times New Roman" w:cs="Times New Roman" w:eastAsiaTheme="minorEastAsia"/>
                <w:color w:val="000000" w:themeColor="text1"/>
                <w:w w:val="99"/>
                <w:sz w:val="21"/>
                <w:szCs w:val="21"/>
                <w:highlight w:val="none"/>
                <w:lang w:eastAsia="zh-CN"/>
                <w14:textFill>
                  <w14:solidFill>
                    <w14:schemeClr w14:val="tx1"/>
                  </w14:solidFill>
                </w14:textFill>
              </w:rPr>
              <w:t>中心</w:t>
            </w:r>
          </w:p>
        </w:tc>
        <w:tc>
          <w:tcPr>
            <w:tcW w:w="1420" w:type="pct"/>
            <w:vMerge w:val="continue"/>
            <w:vAlign w:val="center"/>
          </w:tcPr>
          <w:p>
            <w:pPr>
              <w:spacing w:line="360" w:lineRule="exact"/>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21" w:type="pct"/>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14:textFill>
                  <w14:solidFill>
                    <w14:schemeClr w14:val="tx1"/>
                  </w14:solidFill>
                </w14:textFill>
              </w:rPr>
              <w:t>E124.69095，N45.9900</w:t>
            </w:r>
          </w:p>
        </w:tc>
      </w:tr>
    </w:tbl>
    <w:p>
      <w:pPr>
        <w:spacing w:line="440" w:lineRule="exact"/>
        <w:ind w:firstLine="48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（2）监测因子</w:t>
      </w:r>
    </w:p>
    <w:p>
      <w:pPr>
        <w:spacing w:line="440" w:lineRule="exact"/>
        <w:ind w:firstLine="48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pH、石油类、氨氮、</w:t>
      </w:r>
      <w:r>
        <w:rPr>
          <w:rFonts w:hint="eastAsia" w:ascii="Times New Roman" w:hAnsi="Times New Roman" w:cs="Times New Roman" w:eastAsiaTheme="minorEastAsia"/>
          <w:color w:val="000000" w:themeColor="text1"/>
          <w:w w:val="99"/>
          <w:sz w:val="24"/>
          <w:szCs w:val="24"/>
          <w:highlight w:val="none"/>
          <w:lang w:eastAsia="zh-CN"/>
          <w14:textFill>
            <w14:solidFill>
              <w14:schemeClr w14:val="tx1"/>
            </w14:solidFill>
          </w14:textFill>
        </w:rPr>
        <w:t>挥发酚</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、硫化物、</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CODcr。</w:t>
      </w:r>
    </w:p>
    <w:p>
      <w:pPr>
        <w:spacing w:line="440" w:lineRule="exact"/>
        <w:ind w:firstLine="48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（3）监测频率</w:t>
      </w:r>
    </w:p>
    <w:p>
      <w:pPr>
        <w:spacing w:line="440" w:lineRule="exact"/>
        <w:ind w:firstLine="48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监测2天，每天1次</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w:t>
      </w:r>
    </w:p>
    <w:p>
      <w:pPr>
        <w:spacing w:line="440" w:lineRule="exact"/>
        <w:ind w:firstLine="482"/>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（4）监测结果</w:t>
      </w:r>
    </w:p>
    <w:p>
      <w:pPr>
        <w:spacing w:line="440" w:lineRule="exact"/>
        <w:ind w:firstLine="482"/>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水质监测数据见表4.3-1</w:t>
      </w:r>
      <w:r>
        <w:rPr>
          <w:rFonts w:hint="eastAsia" w:ascii="Times New Roman" w:hAnsi="Times New Roman" w:cs="Times New Roman" w:eastAsiaTheme="minorEastAsia"/>
          <w:color w:val="000000" w:themeColor="text1"/>
          <w:w w:val="99"/>
          <w:sz w:val="24"/>
          <w:szCs w:val="24"/>
          <w:highlight w:val="none"/>
          <w:lang w:val="en-US" w:eastAsia="zh-CN"/>
          <w14:textFill>
            <w14:solidFill>
              <w14:schemeClr w14:val="tx1"/>
            </w14:solidFill>
          </w14:textFill>
        </w:rPr>
        <w:t>4</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w:t>
      </w:r>
    </w:p>
    <w:p>
      <w:pPr>
        <w:pStyle w:val="14"/>
        <w:keepNext w:val="0"/>
        <w:keepLines w:val="0"/>
        <w:pageBreakBefore w:val="0"/>
        <w:widowControl w:val="0"/>
        <w:kinsoku/>
        <w:wordWrap/>
        <w:overflowPunct/>
        <w:topLinePunct w:val="0"/>
        <w:autoSpaceDE w:val="0"/>
        <w:autoSpaceDN w:val="0"/>
        <w:bidi w:val="0"/>
        <w:adjustRightInd/>
        <w:snapToGrid/>
        <w:spacing w:line="440" w:lineRule="exact"/>
        <w:ind w:firstLine="476" w:firstLineChars="200"/>
        <w:jc w:val="both"/>
        <w:textAlignment w:val="auto"/>
        <w:rPr>
          <w:rFonts w:ascii="Times New Roman" w:hAnsi="Times New Roman" w:cs="Times New Roman" w:eastAsiaTheme="minorEastAsia"/>
          <w:b/>
          <w:bCs/>
          <w:color w:val="000000" w:themeColor="text1"/>
          <w:w w:val="99"/>
          <w:sz w:val="24"/>
          <w:szCs w:val="24"/>
          <w:highlight w:val="none"/>
          <w:vertAlign w:val="baseline"/>
          <w:lang w:val="en-US"/>
          <w14:textFill>
            <w14:solidFill>
              <w14:schemeClr w14:val="tx1"/>
            </w14:solidFill>
          </w14:textFill>
        </w:rPr>
      </w:pPr>
      <w:r>
        <w:rPr>
          <w:rFonts w:hint="eastAsia" w:ascii="Times New Roman" w:hAnsi="Times New Roman" w:cs="Times New Roman" w:eastAsiaTheme="minorEastAsia"/>
          <w:b/>
          <w:bCs/>
          <w:color w:val="000000" w:themeColor="text1"/>
          <w:w w:val="99"/>
          <w:sz w:val="24"/>
          <w:szCs w:val="24"/>
          <w:highlight w:val="none"/>
          <w:lang w:val="en-US"/>
          <w14:textFill>
            <w14:solidFill>
              <w14:schemeClr w14:val="tx1"/>
            </w14:solidFill>
          </w14:textFill>
        </w:rPr>
        <w:t>表</w:t>
      </w:r>
      <w:r>
        <w:rPr>
          <w:rFonts w:ascii="Times New Roman" w:hAnsi="Times New Roman" w:cs="Times New Roman" w:eastAsiaTheme="minorEastAsia"/>
          <w:b/>
          <w:bCs/>
          <w:color w:val="000000" w:themeColor="text1"/>
          <w:w w:val="99"/>
          <w:sz w:val="24"/>
          <w:szCs w:val="24"/>
          <w:highlight w:val="none"/>
          <w14:textFill>
            <w14:solidFill>
              <w14:schemeClr w14:val="tx1"/>
            </w14:solidFill>
          </w14:textFill>
        </w:rPr>
        <w:t>4.3-1</w:t>
      </w:r>
      <w:r>
        <w:rPr>
          <w:rFonts w:hint="eastAsia" w:ascii="Times New Roman" w:hAnsi="Times New Roman" w:cs="Times New Roman" w:eastAsiaTheme="minorEastAsia"/>
          <w:b/>
          <w:bCs/>
          <w:color w:val="000000" w:themeColor="text1"/>
          <w:w w:val="99"/>
          <w:sz w:val="24"/>
          <w:szCs w:val="24"/>
          <w:highlight w:val="none"/>
          <w:lang w:val="en-US" w:eastAsia="zh-CN"/>
          <w14:textFill>
            <w14:solidFill>
              <w14:schemeClr w14:val="tx1"/>
            </w14:solidFill>
          </w14:textFill>
        </w:rPr>
        <w:t xml:space="preserve">4 </w:t>
      </w:r>
      <w:r>
        <w:rPr>
          <w:rFonts w:hint="eastAsia" w:ascii="Times New Roman" w:hAnsi="Times New Roman" w:cs="Times New Roman" w:eastAsiaTheme="minorEastAsia"/>
          <w:b/>
          <w:bCs/>
          <w:color w:val="000000" w:themeColor="text1"/>
          <w:w w:val="99"/>
          <w:sz w:val="24"/>
          <w:szCs w:val="24"/>
          <w:highlight w:val="none"/>
          <w:lang w:val="en-US"/>
          <w14:textFill>
            <w14:solidFill>
              <w14:schemeClr w14:val="tx1"/>
            </w14:solidFill>
          </w14:textFill>
        </w:rPr>
        <w:t xml:space="preserve">       地表水监测结果</w:t>
      </w:r>
    </w:p>
    <w:tbl>
      <w:tblPr>
        <w:tblStyle w:val="33"/>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4"/>
        <w:gridCol w:w="3463"/>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监测时间</w:t>
            </w:r>
          </w:p>
        </w:tc>
        <w:tc>
          <w:tcPr>
            <w:tcW w:w="3463"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2021.</w:t>
            </w: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8.30</w:t>
            </w:r>
          </w:p>
        </w:tc>
        <w:tc>
          <w:tcPr>
            <w:tcW w:w="3017"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2021.</w:t>
            </w: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监测点位</w:t>
            </w:r>
          </w:p>
        </w:tc>
        <w:tc>
          <w:tcPr>
            <w:tcW w:w="6480" w:type="dxa"/>
            <w:gridSpan w:val="2"/>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康家围子泡</w:t>
            </w:r>
            <w:r>
              <w:rPr>
                <w:rFonts w:hint="eastAsia" w:ascii="Times New Roman" w:hAnsi="Times New Roman" w:cs="Times New Roman" w:eastAsiaTheme="minorEastAsia"/>
                <w:color w:val="000000" w:themeColor="text1"/>
                <w:w w:val="99"/>
                <w:sz w:val="21"/>
                <w:szCs w:val="21"/>
                <w:highlight w:val="none"/>
                <w:lang w:eastAsia="zh-CN"/>
                <w14:textFill>
                  <w14:solidFill>
                    <w14:schemeClr w14:val="tx1"/>
                  </w14:solidFill>
                </w14:textFill>
              </w:rPr>
              <w:t>边缘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pH</w:t>
            </w:r>
          </w:p>
        </w:tc>
        <w:tc>
          <w:tcPr>
            <w:tcW w:w="3463"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t>8.0</w:t>
            </w:r>
          </w:p>
        </w:tc>
        <w:tc>
          <w:tcPr>
            <w:tcW w:w="3017"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COD</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Cr</w:t>
            </w:r>
          </w:p>
        </w:tc>
        <w:tc>
          <w:tcPr>
            <w:tcW w:w="3463"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77</w:t>
            </w:r>
          </w:p>
        </w:tc>
        <w:tc>
          <w:tcPr>
            <w:tcW w:w="3017"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氨氮</w:t>
            </w:r>
          </w:p>
        </w:tc>
        <w:tc>
          <w:tcPr>
            <w:tcW w:w="3463"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0.526</w:t>
            </w:r>
          </w:p>
        </w:tc>
        <w:tc>
          <w:tcPr>
            <w:tcW w:w="3017"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石油类</w:t>
            </w:r>
          </w:p>
        </w:tc>
        <w:tc>
          <w:tcPr>
            <w:tcW w:w="3463"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0.01L</w:t>
            </w:r>
          </w:p>
        </w:tc>
        <w:tc>
          <w:tcPr>
            <w:tcW w:w="3017"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硫化物</w:t>
            </w:r>
          </w:p>
        </w:tc>
        <w:tc>
          <w:tcPr>
            <w:tcW w:w="3463"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0.0</w:t>
            </w: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05</w:t>
            </w: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L</w:t>
            </w:r>
          </w:p>
        </w:tc>
        <w:tc>
          <w:tcPr>
            <w:tcW w:w="3017"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0.0</w:t>
            </w: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05</w:t>
            </w: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eastAsia="zh-CN"/>
                <w14:textFill>
                  <w14:solidFill>
                    <w14:schemeClr w14:val="tx1"/>
                  </w14:solidFill>
                </w14:textFill>
              </w:rPr>
              <w:t>挥发酚</w:t>
            </w:r>
          </w:p>
        </w:tc>
        <w:tc>
          <w:tcPr>
            <w:tcW w:w="3463"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0.0003L</w:t>
            </w:r>
          </w:p>
        </w:tc>
        <w:tc>
          <w:tcPr>
            <w:tcW w:w="3017"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监测点位</w:t>
            </w:r>
          </w:p>
        </w:tc>
        <w:tc>
          <w:tcPr>
            <w:tcW w:w="6480" w:type="dxa"/>
            <w:gridSpan w:val="2"/>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康家围子泡</w:t>
            </w:r>
            <w:r>
              <w:rPr>
                <w:rFonts w:hint="eastAsia" w:ascii="Times New Roman" w:hAnsi="Times New Roman" w:cs="Times New Roman" w:eastAsiaTheme="minorEastAsia"/>
                <w:color w:val="000000" w:themeColor="text1"/>
                <w:w w:val="99"/>
                <w:sz w:val="21"/>
                <w:szCs w:val="21"/>
                <w:highlight w:val="none"/>
                <w:lang w:eastAsia="zh-CN"/>
                <w14:textFill>
                  <w14:solidFill>
                    <w14:schemeClr w14:val="tx1"/>
                  </w14:solidFill>
                </w14:textFill>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pH</w:t>
            </w:r>
          </w:p>
        </w:tc>
        <w:tc>
          <w:tcPr>
            <w:tcW w:w="3463"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8.1</w:t>
            </w:r>
          </w:p>
        </w:tc>
        <w:tc>
          <w:tcPr>
            <w:tcW w:w="3017"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COD</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Cr</w:t>
            </w:r>
          </w:p>
        </w:tc>
        <w:tc>
          <w:tcPr>
            <w:tcW w:w="3463"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82</w:t>
            </w:r>
          </w:p>
        </w:tc>
        <w:tc>
          <w:tcPr>
            <w:tcW w:w="3017"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氨氮</w:t>
            </w:r>
          </w:p>
        </w:tc>
        <w:tc>
          <w:tcPr>
            <w:tcW w:w="3463"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0.568</w:t>
            </w:r>
          </w:p>
        </w:tc>
        <w:tc>
          <w:tcPr>
            <w:tcW w:w="3017"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石油类</w:t>
            </w:r>
          </w:p>
        </w:tc>
        <w:tc>
          <w:tcPr>
            <w:tcW w:w="3463"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0.01L</w:t>
            </w:r>
          </w:p>
        </w:tc>
        <w:tc>
          <w:tcPr>
            <w:tcW w:w="3017"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硫化物</w:t>
            </w:r>
          </w:p>
        </w:tc>
        <w:tc>
          <w:tcPr>
            <w:tcW w:w="3463"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0.0</w:t>
            </w: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05</w:t>
            </w: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L</w:t>
            </w:r>
          </w:p>
        </w:tc>
        <w:tc>
          <w:tcPr>
            <w:tcW w:w="3017"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0.0</w:t>
            </w: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05</w:t>
            </w: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4"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eastAsia="zh-CN"/>
                <w14:textFill>
                  <w14:solidFill>
                    <w14:schemeClr w14:val="tx1"/>
                  </w14:solidFill>
                </w14:textFill>
              </w:rPr>
              <w:t>挥发酚</w:t>
            </w:r>
          </w:p>
        </w:tc>
        <w:tc>
          <w:tcPr>
            <w:tcW w:w="3463" w:type="dxa"/>
            <w:vAlign w:val="center"/>
          </w:tcPr>
          <w:p>
            <w:pPr>
              <w:spacing w:line="360" w:lineRule="exact"/>
              <w:jc w:val="center"/>
              <w:rPr>
                <w:rFonts w:hint="default"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0.0003L</w:t>
            </w:r>
          </w:p>
        </w:tc>
        <w:tc>
          <w:tcPr>
            <w:tcW w:w="3017" w:type="dxa"/>
            <w:vAlign w:val="center"/>
          </w:tcPr>
          <w:p>
            <w:pPr>
              <w:spacing w:line="360" w:lineRule="exact"/>
              <w:jc w:val="center"/>
              <w:rPr>
                <w:rFonts w:hint="eastAsia" w:ascii="Times New Roman" w:hAnsi="Times New Roman" w:cs="Times New Roman" w:eastAsiaTheme="minorEastAsia"/>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eastAsia="zh-CN"/>
                <w14:textFill>
                  <w14:solidFill>
                    <w14:schemeClr w14:val="tx1"/>
                  </w14:solidFill>
                </w14:textFill>
              </w:rPr>
              <w:t>0.0003L</w:t>
            </w:r>
          </w:p>
        </w:tc>
      </w:tr>
    </w:tbl>
    <w:p>
      <w:pPr>
        <w:pStyle w:val="67"/>
        <w:spacing w:line="440" w:lineRule="exact"/>
        <w:ind w:firstLine="0" w:firstLineChars="0"/>
        <w:jc w:val="both"/>
        <w:outlineLvl w:val="3"/>
        <w:rPr>
          <w:rFonts w:ascii="Times New Roman" w:hAnsi="Times New Roman" w:eastAsiaTheme="minorEastAsia"/>
          <w:b/>
          <w:color w:val="000000" w:themeColor="text1"/>
          <w:w w:val="99"/>
          <w:sz w:val="24"/>
          <w:szCs w:val="24"/>
          <w:highlight w:val="none"/>
          <w14:textFill>
            <w14:solidFill>
              <w14:schemeClr w14:val="tx1"/>
            </w14:solidFill>
          </w14:textFill>
        </w:rPr>
      </w:pPr>
      <w:r>
        <w:rPr>
          <w:rFonts w:hint="eastAsia" w:ascii="Times New Roman" w:hAnsi="Times New Roman" w:eastAsiaTheme="minorEastAsia"/>
          <w:b/>
          <w:color w:val="000000" w:themeColor="text1"/>
          <w:w w:val="99"/>
          <w:sz w:val="24"/>
          <w:szCs w:val="24"/>
          <w:highlight w:val="none"/>
          <w14:textFill>
            <w14:solidFill>
              <w14:schemeClr w14:val="tx1"/>
            </w14:solidFill>
          </w14:textFill>
        </w:rPr>
        <w:t>4.3.3.2地表水</w:t>
      </w:r>
      <w:r>
        <w:rPr>
          <w:rFonts w:ascii="Times New Roman" w:hAnsi="Times New Roman" w:eastAsiaTheme="minorEastAsia"/>
          <w:b/>
          <w:color w:val="000000" w:themeColor="text1"/>
          <w:w w:val="99"/>
          <w:sz w:val="24"/>
          <w:szCs w:val="24"/>
          <w:highlight w:val="none"/>
          <w14:textFill>
            <w14:solidFill>
              <w14:schemeClr w14:val="tx1"/>
            </w14:solidFill>
          </w14:textFill>
        </w:rPr>
        <w:t>现状评价</w:t>
      </w:r>
    </w:p>
    <w:p>
      <w:pPr>
        <w:spacing w:line="440" w:lineRule="exact"/>
        <w:ind w:firstLine="237" w:firstLineChars="100"/>
        <w:rPr>
          <w:rFonts w:ascii="Times New Roman" w:hAnsi="Times New Roman" w:cs="Times New Roman" w:eastAsiaTheme="minorEastAsia"/>
          <w:bCs/>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 xml:space="preserve">（1）评价方法 </w:t>
      </w:r>
    </w:p>
    <w:p>
      <w:pPr>
        <w:spacing w:line="440" w:lineRule="exact"/>
        <w:ind w:firstLine="474" w:firstLineChars="200"/>
        <w:rPr>
          <w:rFonts w:ascii="Times New Roman" w:hAnsi="Times New Roman" w:cs="Times New Roman" w:eastAsiaTheme="minorEastAsia"/>
          <w:bCs/>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采用水质指数法进行水质评价，公式如下：</w:t>
      </w:r>
    </w:p>
    <w:p>
      <w:pPr>
        <w:spacing w:line="440" w:lineRule="exact"/>
        <w:ind w:left="-108"/>
        <w:jc w:val="center"/>
        <w:rPr>
          <w:rFonts w:ascii="Times New Roman" w:hAnsi="Times New Roman" w:cs="Times New Roman" w:eastAsiaTheme="minorEastAsia"/>
          <w:bCs/>
          <w:color w:val="000000" w:themeColor="text1"/>
          <w:w w:val="99"/>
          <w:sz w:val="24"/>
          <w:szCs w:val="24"/>
          <w:highlight w:val="none"/>
          <w:lang w:val="en-US"/>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lang w:val="en-US"/>
          <w14:textFill>
            <w14:solidFill>
              <w14:schemeClr w14:val="tx1"/>
            </w14:solidFill>
          </w14:textFill>
        </w:rPr>
        <w:t>S</w:t>
      </w:r>
      <w:r>
        <w:rPr>
          <w:rFonts w:ascii="Times New Roman" w:hAnsi="Times New Roman" w:cs="Times New Roman" w:eastAsiaTheme="minorEastAsia"/>
          <w:color w:val="000000" w:themeColor="text1"/>
          <w:w w:val="99"/>
          <w:sz w:val="24"/>
          <w:szCs w:val="24"/>
          <w:highlight w:val="none"/>
          <w:vertAlign w:val="subscript"/>
          <w:lang w:val="en-US"/>
          <w14:textFill>
            <w14:solidFill>
              <w14:schemeClr w14:val="tx1"/>
            </w14:solidFill>
          </w14:textFill>
        </w:rPr>
        <w:t>i,j</w:t>
      </w:r>
      <w:r>
        <w:rPr>
          <w:rFonts w:ascii="Times New Roman" w:hAnsi="Times New Roman" w:cs="Times New Roman" w:eastAsiaTheme="minorEastAsia"/>
          <w:color w:val="000000" w:themeColor="text1"/>
          <w:w w:val="99"/>
          <w:sz w:val="24"/>
          <w:szCs w:val="24"/>
          <w:highlight w:val="none"/>
          <w:lang w:val="en-US"/>
          <w14:textFill>
            <w14:solidFill>
              <w14:schemeClr w14:val="tx1"/>
            </w14:solidFill>
          </w14:textFill>
        </w:rPr>
        <w:t>＝C</w:t>
      </w:r>
      <w:r>
        <w:rPr>
          <w:rFonts w:ascii="Times New Roman" w:hAnsi="Times New Roman" w:cs="Times New Roman" w:eastAsiaTheme="minorEastAsia"/>
          <w:color w:val="000000" w:themeColor="text1"/>
          <w:w w:val="99"/>
          <w:sz w:val="24"/>
          <w:szCs w:val="24"/>
          <w:highlight w:val="none"/>
          <w:vertAlign w:val="subscript"/>
          <w:lang w:val="en-US"/>
          <w14:textFill>
            <w14:solidFill>
              <w14:schemeClr w14:val="tx1"/>
            </w14:solidFill>
          </w14:textFill>
        </w:rPr>
        <w:t>i,j</w:t>
      </w:r>
      <w:r>
        <w:rPr>
          <w:rFonts w:ascii="Times New Roman" w:hAnsi="Times New Roman" w:cs="Times New Roman" w:eastAsiaTheme="minorEastAsia"/>
          <w:color w:val="000000" w:themeColor="text1"/>
          <w:w w:val="99"/>
          <w:sz w:val="24"/>
          <w:szCs w:val="24"/>
          <w:highlight w:val="none"/>
          <w:lang w:val="en-US"/>
          <w14:textFill>
            <w14:solidFill>
              <w14:schemeClr w14:val="tx1"/>
            </w14:solidFill>
          </w14:textFill>
        </w:rPr>
        <w:t>/C</w:t>
      </w:r>
      <w:r>
        <w:rPr>
          <w:rFonts w:ascii="Times New Roman" w:hAnsi="Times New Roman" w:cs="Times New Roman" w:eastAsiaTheme="minorEastAsia"/>
          <w:color w:val="000000" w:themeColor="text1"/>
          <w:w w:val="99"/>
          <w:sz w:val="24"/>
          <w:szCs w:val="24"/>
          <w:highlight w:val="none"/>
          <w:vertAlign w:val="subscript"/>
          <w:lang w:val="en-US"/>
          <w14:textFill>
            <w14:solidFill>
              <w14:schemeClr w14:val="tx1"/>
            </w14:solidFill>
          </w14:textFill>
        </w:rPr>
        <w:t>s,i</w:t>
      </w:r>
      <w:r>
        <w:rPr>
          <w:rFonts w:ascii="Times New Roman" w:hAnsi="Times New Roman" w:cs="Times New Roman" w:eastAsiaTheme="minorEastAsia"/>
          <w:bCs/>
          <w:color w:val="000000" w:themeColor="text1"/>
          <w:w w:val="99"/>
          <w:sz w:val="24"/>
          <w:szCs w:val="24"/>
          <w:highlight w:val="none"/>
          <w:lang w:val="en-US"/>
          <w14:textFill>
            <w14:solidFill>
              <w14:schemeClr w14:val="tx1"/>
            </w14:solidFill>
          </w14:textFill>
        </w:rPr>
        <w:t xml:space="preserve"> </w:t>
      </w:r>
    </w:p>
    <w:p>
      <w:pPr>
        <w:spacing w:line="440" w:lineRule="exact"/>
        <w:ind w:left="1032" w:leftChars="200" w:hanging="592" w:hangingChars="250"/>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式中：</w:t>
      </w: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S</w:t>
      </w:r>
      <w:r>
        <w:rPr>
          <w:rFonts w:ascii="Times New Roman" w:hAnsi="Times New Roman" w:cs="Times New Roman" w:eastAsiaTheme="minorEastAsia"/>
          <w:bCs/>
          <w:iCs/>
          <w:color w:val="000000" w:themeColor="text1"/>
          <w:w w:val="99"/>
          <w:sz w:val="24"/>
          <w:szCs w:val="24"/>
          <w:highlight w:val="none"/>
          <w:vertAlign w:val="subscript"/>
          <w14:textFill>
            <w14:solidFill>
              <w14:schemeClr w14:val="tx1"/>
            </w14:solidFill>
          </w14:textFill>
        </w:rPr>
        <w:t>i,j</w:t>
      </w: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 xml:space="preserve"> </w:t>
      </w: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——评价因子i的水质指数，大于1表明该水质因子超标；</w:t>
      </w: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 xml:space="preserve"> </w:t>
      </w:r>
    </w:p>
    <w:p>
      <w:pPr>
        <w:spacing w:line="440" w:lineRule="exact"/>
        <w:ind w:left="990" w:leftChars="450" w:firstLine="118" w:firstLineChars="50"/>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C</w:t>
      </w:r>
      <w:r>
        <w:rPr>
          <w:rFonts w:ascii="Times New Roman" w:hAnsi="Times New Roman" w:cs="Times New Roman" w:eastAsiaTheme="minorEastAsia"/>
          <w:bCs/>
          <w:iCs/>
          <w:color w:val="000000" w:themeColor="text1"/>
          <w:w w:val="99"/>
          <w:sz w:val="24"/>
          <w:szCs w:val="24"/>
          <w:highlight w:val="none"/>
          <w:vertAlign w:val="subscript"/>
          <w14:textFill>
            <w14:solidFill>
              <w14:schemeClr w14:val="tx1"/>
            </w14:solidFill>
          </w14:textFill>
        </w:rPr>
        <w:t>i</w:t>
      </w:r>
      <w:r>
        <w:rPr>
          <w:rFonts w:ascii="Times New Roman" w:hAnsi="Times New Roman" w:cs="Times New Roman" w:eastAsiaTheme="minorEastAsia"/>
          <w:bCs/>
          <w:color w:val="000000" w:themeColor="text1"/>
          <w:w w:val="99"/>
          <w:sz w:val="24"/>
          <w:szCs w:val="24"/>
          <w:highlight w:val="none"/>
          <w:vertAlign w:val="subscript"/>
          <w14:textFill>
            <w14:solidFill>
              <w14:schemeClr w14:val="tx1"/>
            </w14:solidFill>
          </w14:textFill>
        </w:rPr>
        <w:t>,</w:t>
      </w:r>
      <w:r>
        <w:rPr>
          <w:rFonts w:ascii="Times New Roman" w:hAnsi="Times New Roman" w:cs="Times New Roman" w:eastAsiaTheme="minorEastAsia"/>
          <w:bCs/>
          <w:iCs/>
          <w:color w:val="000000" w:themeColor="text1"/>
          <w:w w:val="99"/>
          <w:sz w:val="24"/>
          <w:szCs w:val="24"/>
          <w:highlight w:val="none"/>
          <w:vertAlign w:val="subscript"/>
          <w14:textFill>
            <w14:solidFill>
              <w14:schemeClr w14:val="tx1"/>
            </w14:solidFill>
          </w14:textFill>
        </w:rPr>
        <w:t>j</w:t>
      </w: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 xml:space="preserve"> </w:t>
      </w: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——评价因子</w:t>
      </w: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i</w:t>
      </w: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在</w:t>
      </w: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j</w:t>
      </w: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点的实测统计代表值，mg/L；</w:t>
      </w: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 xml:space="preserve"> </w:t>
      </w:r>
    </w:p>
    <w:p>
      <w:pPr>
        <w:spacing w:line="440" w:lineRule="exact"/>
        <w:ind w:left="990" w:leftChars="450" w:firstLine="118" w:firstLineChars="50"/>
        <w:rPr>
          <w:rFonts w:ascii="Times New Roman" w:hAnsi="Times New Roman" w:cs="Times New Roman" w:eastAsiaTheme="minorEastAsia"/>
          <w:bCs/>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C</w:t>
      </w:r>
      <w:r>
        <w:rPr>
          <w:rFonts w:ascii="Times New Roman" w:hAnsi="Times New Roman" w:cs="Times New Roman" w:eastAsiaTheme="minorEastAsia"/>
          <w:bCs/>
          <w:color w:val="000000" w:themeColor="text1"/>
          <w:w w:val="99"/>
          <w:sz w:val="24"/>
          <w:szCs w:val="24"/>
          <w:highlight w:val="none"/>
          <w:vertAlign w:val="subscript"/>
          <w14:textFill>
            <w14:solidFill>
              <w14:schemeClr w14:val="tx1"/>
            </w14:solidFill>
          </w14:textFill>
        </w:rPr>
        <w:t>s</w:t>
      </w:r>
      <w:r>
        <w:rPr>
          <w:rFonts w:ascii="Times New Roman" w:hAnsi="Times New Roman" w:cs="Times New Roman" w:eastAsiaTheme="minorEastAsia"/>
          <w:bCs/>
          <w:iCs/>
          <w:color w:val="000000" w:themeColor="text1"/>
          <w:w w:val="99"/>
          <w:sz w:val="24"/>
          <w:szCs w:val="24"/>
          <w:highlight w:val="none"/>
          <w:vertAlign w:val="subscript"/>
          <w14:textFill>
            <w14:solidFill>
              <w14:schemeClr w14:val="tx1"/>
            </w14:solidFill>
          </w14:textFill>
        </w:rPr>
        <w:t>i</w:t>
      </w: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 xml:space="preserve"> </w:t>
      </w: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——评价因子</w:t>
      </w:r>
      <w:r>
        <w:rPr>
          <w:rFonts w:ascii="Times New Roman" w:hAnsi="Times New Roman" w:cs="Times New Roman" w:eastAsiaTheme="minorEastAsia"/>
          <w:bCs/>
          <w:iCs/>
          <w:color w:val="000000" w:themeColor="text1"/>
          <w:w w:val="99"/>
          <w:sz w:val="24"/>
          <w:szCs w:val="24"/>
          <w:highlight w:val="none"/>
          <w14:textFill>
            <w14:solidFill>
              <w14:schemeClr w14:val="tx1"/>
            </w14:solidFill>
          </w14:textFill>
        </w:rPr>
        <w:t>i</w:t>
      </w: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的水质评价标准限值，mg/L。</w:t>
      </w:r>
    </w:p>
    <w:p>
      <w:pPr>
        <w:spacing w:line="440" w:lineRule="exact"/>
        <w:ind w:firstLine="474" w:firstLineChars="200"/>
        <w:rPr>
          <w:rFonts w:ascii="Times New Roman" w:hAnsi="Times New Roman" w:cs="Times New Roman" w:eastAsiaTheme="minorEastAsia"/>
          <w:bCs/>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pH值指数计算公式如下：</w:t>
      </w:r>
    </w:p>
    <w:p>
      <w:pPr>
        <w:spacing w:line="440" w:lineRule="exact"/>
        <w:ind w:firstLine="474" w:firstLineChars="20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当pH</w:t>
      </w:r>
      <w:r>
        <w:rPr>
          <w:rFonts w:ascii="Times New Roman" w:hAnsi="Times New Roman" w:cs="Times New Roman" w:eastAsiaTheme="minorEastAsia"/>
          <w:color w:val="000000" w:themeColor="text1"/>
          <w:w w:val="99"/>
          <w:sz w:val="24"/>
          <w:szCs w:val="24"/>
          <w:highlight w:val="none"/>
          <w:vertAlign w:val="subscript"/>
          <w14:textFill>
            <w14:solidFill>
              <w14:schemeClr w14:val="tx1"/>
            </w14:solidFill>
          </w14:textFill>
        </w:rPr>
        <w:t>j</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≤7.0时</w:t>
      </w:r>
    </w:p>
    <w:p>
      <w:pPr>
        <w:spacing w:line="360" w:lineRule="auto"/>
        <w:ind w:left="5424" w:leftChars="1550" w:hanging="2014" w:hangingChars="85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lang w:val="en-US" w:bidi="ar-SA"/>
          <w14:textFill>
            <w14:solidFill>
              <w14:schemeClr w14:val="tx1"/>
            </w14:solidFill>
          </w14:textFill>
        </w:rPr>
        <w:drawing>
          <wp:inline distT="0" distB="0" distL="0" distR="0">
            <wp:extent cx="1266825" cy="457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440" w:lineRule="exact"/>
        <w:ind w:firstLine="474" w:firstLineChars="20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当pH</w:t>
      </w:r>
      <w:r>
        <w:rPr>
          <w:rFonts w:ascii="Times New Roman" w:hAnsi="Times New Roman" w:cs="Times New Roman" w:eastAsiaTheme="minorEastAsia"/>
          <w:color w:val="000000" w:themeColor="text1"/>
          <w:w w:val="99"/>
          <w:sz w:val="24"/>
          <w:szCs w:val="24"/>
          <w:highlight w:val="none"/>
          <w:vertAlign w:val="subscript"/>
          <w14:textFill>
            <w14:solidFill>
              <w14:schemeClr w14:val="tx1"/>
            </w14:solidFill>
          </w14:textFill>
        </w:rPr>
        <w:t>j</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＞7.0时</w:t>
      </w:r>
    </w:p>
    <w:p>
      <w:pPr>
        <w:spacing w:line="360" w:lineRule="auto"/>
        <w:ind w:firstLine="3792" w:firstLineChars="160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lang w:val="en-US" w:bidi="ar-SA"/>
          <w14:textFill>
            <w14:solidFill>
              <w14:schemeClr w14:val="tx1"/>
            </w14:solidFill>
          </w14:textFill>
        </w:rPr>
        <w:drawing>
          <wp:inline distT="0" distB="0" distL="0" distR="0">
            <wp:extent cx="1266825" cy="4572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440" w:lineRule="exact"/>
        <w:ind w:firstLine="474" w:firstLineChars="20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式中：S</w:t>
      </w:r>
      <w:r>
        <w:rPr>
          <w:rFonts w:ascii="Times New Roman" w:hAnsi="Times New Roman" w:cs="Times New Roman" w:eastAsiaTheme="minorEastAsia"/>
          <w:color w:val="000000" w:themeColor="text1"/>
          <w:w w:val="99"/>
          <w:sz w:val="24"/>
          <w:szCs w:val="24"/>
          <w:highlight w:val="none"/>
          <w:vertAlign w:val="subscript"/>
          <w14:textFill>
            <w14:solidFill>
              <w14:schemeClr w14:val="tx1"/>
            </w14:solidFill>
          </w14:textFill>
        </w:rPr>
        <w:t>pH,j</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——pH值的单项指数；</w:t>
      </w:r>
    </w:p>
    <w:p>
      <w:pPr>
        <w:spacing w:line="440" w:lineRule="exact"/>
        <w:ind w:firstLine="1185" w:firstLineChars="50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pH</w:t>
      </w:r>
      <w:r>
        <w:rPr>
          <w:rFonts w:ascii="Times New Roman" w:hAnsi="Times New Roman" w:cs="Times New Roman" w:eastAsiaTheme="minorEastAsia"/>
          <w:color w:val="000000" w:themeColor="text1"/>
          <w:w w:val="99"/>
          <w:sz w:val="24"/>
          <w:szCs w:val="24"/>
          <w:highlight w:val="none"/>
          <w:vertAlign w:val="subscript"/>
          <w14:textFill>
            <w14:solidFill>
              <w14:schemeClr w14:val="tx1"/>
            </w14:solidFill>
          </w14:textFill>
        </w:rPr>
        <w:t>j</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——j点pH值监测值；</w:t>
      </w:r>
    </w:p>
    <w:p>
      <w:pPr>
        <w:spacing w:line="440" w:lineRule="exact"/>
        <w:ind w:firstLine="1185" w:firstLineChars="50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pH</w:t>
      </w:r>
      <w:r>
        <w:rPr>
          <w:rFonts w:ascii="Times New Roman" w:hAnsi="Times New Roman" w:cs="Times New Roman" w:eastAsiaTheme="minorEastAsia"/>
          <w:color w:val="000000" w:themeColor="text1"/>
          <w:w w:val="99"/>
          <w:sz w:val="24"/>
          <w:szCs w:val="24"/>
          <w:highlight w:val="none"/>
          <w:vertAlign w:val="subscript"/>
          <w14:textFill>
            <w14:solidFill>
              <w14:schemeClr w14:val="tx1"/>
            </w14:solidFill>
          </w14:textFill>
        </w:rPr>
        <w:t>su</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——水质标准中pH值上限；</w:t>
      </w:r>
    </w:p>
    <w:p>
      <w:pPr>
        <w:pStyle w:val="90"/>
        <w:spacing w:line="440" w:lineRule="exact"/>
        <w:ind w:firstLine="1185" w:firstLineChars="500"/>
        <w:jc w:val="both"/>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pH</w:t>
      </w:r>
      <w:r>
        <w:rPr>
          <w:rFonts w:ascii="Times New Roman" w:hAnsi="Times New Roman" w:cs="Times New Roman" w:eastAsiaTheme="minorEastAsia"/>
          <w:color w:val="000000" w:themeColor="text1"/>
          <w:w w:val="99"/>
          <w:sz w:val="24"/>
          <w:szCs w:val="24"/>
          <w:highlight w:val="none"/>
          <w:vertAlign w:val="subscript"/>
          <w14:textFill>
            <w14:solidFill>
              <w14:schemeClr w14:val="tx1"/>
            </w14:solidFill>
          </w14:textFill>
        </w:rPr>
        <w:t>sd</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——水质标准中pH值下限。</w:t>
      </w:r>
    </w:p>
    <w:p>
      <w:pPr>
        <w:spacing w:line="440" w:lineRule="exact"/>
        <w:ind w:firstLine="480"/>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（2）执行标准</w:t>
      </w:r>
    </w:p>
    <w:p>
      <w:pPr>
        <w:pStyle w:val="90"/>
        <w:spacing w:line="440" w:lineRule="exact"/>
        <w:ind w:firstLine="473"/>
        <w:jc w:val="both"/>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根据《大庆市人民政府关于印发大庆市声环境功能区划分、大庆市环境空气质量功能区划分、大庆市地表水环境功能区划分的通知》（庆政发〔2019〕11号），</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没有</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关于</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康家围子泡、</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建筑泡和功能区划，参考执行《地表水环境质量标准》（GB3838-2002）中的Ⅴ类标准限值要求。</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南引水库</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属于农业用水区，执行《地表水环境质量标准》（GB3838-2002）中的Ⅴ类标准限值要求</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w:t>
      </w:r>
    </w:p>
    <w:p>
      <w:pPr>
        <w:spacing w:line="440" w:lineRule="exact"/>
        <w:ind w:firstLine="474" w:firstLineChars="200"/>
        <w:rPr>
          <w:rFonts w:ascii="Times New Roman" w:hAnsi="Times New Roman" w:cs="Times New Roman" w:eastAsiaTheme="minorEastAsia"/>
          <w:bCs/>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（3）评价结果</w:t>
      </w:r>
    </w:p>
    <w:p>
      <w:pPr>
        <w:spacing w:line="440" w:lineRule="exact"/>
        <w:ind w:firstLine="474" w:firstLineChars="200"/>
        <w:rPr>
          <w:rFonts w:ascii="Times New Roman" w:hAnsi="Times New Roman" w:cs="Times New Roman" w:eastAsiaTheme="minorEastAsia"/>
          <w:bCs/>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地表水评价结果详见</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表4.3-</w:t>
      </w: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1</w:t>
      </w:r>
      <w:r>
        <w:rPr>
          <w:rFonts w:hint="eastAsia" w:ascii="Times New Roman" w:hAnsi="Times New Roman" w:cs="Times New Roman" w:eastAsiaTheme="minorEastAsia"/>
          <w:bCs/>
          <w:color w:val="000000" w:themeColor="text1"/>
          <w:w w:val="99"/>
          <w:sz w:val="24"/>
          <w:szCs w:val="24"/>
          <w:highlight w:val="none"/>
          <w:lang w:val="en-US" w:eastAsia="zh-CN"/>
          <w14:textFill>
            <w14:solidFill>
              <w14:schemeClr w14:val="tx1"/>
            </w14:solidFill>
          </w14:textFill>
        </w:rPr>
        <w:t>5</w:t>
      </w:r>
      <w:r>
        <w:rPr>
          <w:rFonts w:ascii="Times New Roman" w:hAnsi="Times New Roman" w:cs="Times New Roman" w:eastAsiaTheme="minorEastAsia"/>
          <w:bCs/>
          <w:color w:val="000000" w:themeColor="text1"/>
          <w:w w:val="99"/>
          <w:sz w:val="24"/>
          <w:szCs w:val="24"/>
          <w:highlight w:val="none"/>
          <w14:textFill>
            <w14:solidFill>
              <w14:schemeClr w14:val="tx1"/>
            </w14:solidFill>
          </w14:textFill>
        </w:rPr>
        <w:t>。</w:t>
      </w:r>
    </w:p>
    <w:p>
      <w:pPr>
        <w:widowControl/>
        <w:autoSpaceDE/>
        <w:autoSpaceDN/>
        <w:spacing w:line="500" w:lineRule="exact"/>
        <w:ind w:left="-108" w:firstLine="714" w:firstLineChars="300"/>
        <w:rPr>
          <w:rFonts w:ascii="Times New Roman" w:hAnsi="Times New Roman" w:cs="Times New Roman"/>
          <w:b/>
          <w:bCs/>
          <w:color w:val="000000" w:themeColor="text1"/>
          <w:w w:val="99"/>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sz w:val="24"/>
          <w:szCs w:val="24"/>
          <w:highlight w:val="none"/>
          <w:lang w:val="en-US" w:bidi="ar-SA"/>
          <w14:textFill>
            <w14:solidFill>
              <w14:schemeClr w14:val="tx1"/>
            </w14:solidFill>
          </w14:textFill>
        </w:rPr>
        <w:t>表4.3-1</w:t>
      </w:r>
      <w:r>
        <w:rPr>
          <w:rFonts w:hint="eastAsia" w:ascii="Times New Roman" w:hAnsi="Times New Roman" w:cs="Times New Roman"/>
          <w:b/>
          <w:bCs/>
          <w:color w:val="000000" w:themeColor="text1"/>
          <w:w w:val="99"/>
          <w:sz w:val="24"/>
          <w:szCs w:val="24"/>
          <w:highlight w:val="none"/>
          <w:lang w:val="en-US" w:eastAsia="zh-CN" w:bidi="ar-SA"/>
          <w14:textFill>
            <w14:solidFill>
              <w14:schemeClr w14:val="tx1"/>
            </w14:solidFill>
          </w14:textFill>
        </w:rPr>
        <w:t>5</w:t>
      </w:r>
      <w:r>
        <w:rPr>
          <w:rFonts w:ascii="Times New Roman" w:hAnsi="Times New Roman" w:cs="Times New Roman"/>
          <w:b/>
          <w:bCs/>
          <w:color w:val="000000" w:themeColor="text1"/>
          <w:w w:val="99"/>
          <w:sz w:val="24"/>
          <w:szCs w:val="20"/>
          <w:highlight w:val="none"/>
          <w:lang w:val="en-US" w:bidi="ar-SA"/>
          <w14:textFill>
            <w14:solidFill>
              <w14:schemeClr w14:val="tx1"/>
            </w14:solidFill>
          </w14:textFill>
        </w:rPr>
        <w:t xml:space="preserve">        地表水环境质量评价结果统计表</w:t>
      </w:r>
    </w:p>
    <w:tbl>
      <w:tblPr>
        <w:tblStyle w:val="32"/>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92"/>
        <w:gridCol w:w="1273"/>
        <w:gridCol w:w="890"/>
        <w:gridCol w:w="1061"/>
        <w:gridCol w:w="1234"/>
        <w:gridCol w:w="1059"/>
        <w:gridCol w:w="1238"/>
        <w:gridCol w:w="12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6" w:hRule="atLeast"/>
          <w:jc w:val="center"/>
        </w:trPr>
        <w:tc>
          <w:tcPr>
            <w:tcW w:w="695" w:type="pct"/>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采样地点</w:t>
            </w:r>
          </w:p>
        </w:tc>
        <w:tc>
          <w:tcPr>
            <w:tcW w:w="685" w:type="pct"/>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监测时间</w:t>
            </w:r>
          </w:p>
        </w:tc>
        <w:tc>
          <w:tcPr>
            <w:tcW w:w="479" w:type="pct"/>
            <w:vAlign w:val="center"/>
          </w:tcPr>
          <w:p>
            <w:pPr>
              <w:autoSpaceDE/>
              <w:autoSpaceDN/>
              <w:spacing w:line="2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571" w:type="pct"/>
            <w:vAlign w:val="center"/>
          </w:tcPr>
          <w:p>
            <w:pPr>
              <w:autoSpaceDE/>
              <w:autoSpaceDN/>
              <w:spacing w:line="2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COD</w:t>
            </w:r>
          </w:p>
        </w:tc>
        <w:tc>
          <w:tcPr>
            <w:tcW w:w="664" w:type="pct"/>
            <w:vAlign w:val="center"/>
          </w:tcPr>
          <w:p>
            <w:pPr>
              <w:autoSpaceDE/>
              <w:autoSpaceDN/>
              <w:spacing w:line="240" w:lineRule="atLeas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挥发酚</w:t>
            </w:r>
          </w:p>
        </w:tc>
        <w:tc>
          <w:tcPr>
            <w:tcW w:w="570" w:type="pct"/>
            <w:vAlign w:val="center"/>
          </w:tcPr>
          <w:p>
            <w:pPr>
              <w:autoSpaceDE/>
              <w:autoSpaceDN/>
              <w:spacing w:line="2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氨氮</w:t>
            </w:r>
          </w:p>
        </w:tc>
        <w:tc>
          <w:tcPr>
            <w:tcW w:w="666" w:type="pct"/>
            <w:vAlign w:val="center"/>
          </w:tcPr>
          <w:p>
            <w:pPr>
              <w:autoSpaceDE/>
              <w:autoSpaceDN/>
              <w:spacing w:line="2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666" w:type="pct"/>
            <w:vAlign w:val="center"/>
          </w:tcPr>
          <w:p>
            <w:pPr>
              <w:autoSpaceDE/>
              <w:autoSpaceDN/>
              <w:spacing w:line="2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硫化物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6" w:hRule="atLeast"/>
          <w:jc w:val="center"/>
        </w:trPr>
        <w:tc>
          <w:tcPr>
            <w:tcW w:w="695" w:type="pct"/>
            <w:vMerge w:val="restart"/>
            <w:vAlign w:val="center"/>
          </w:tcPr>
          <w:p>
            <w:pPr>
              <w:autoSpaceDE/>
              <w:autoSpaceDN/>
              <w:spacing w:line="240" w:lineRule="atLeast"/>
              <w:jc w:val="center"/>
              <w:rPr>
                <w:rFonts w:hint="eastAsia" w:ascii="Times New Roman" w:hAnsi="Times New Roman" w:cs="Times New Roman" w:eastAsiaTheme="minorEastAsia"/>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康家围子泡</w:t>
            </w:r>
            <w:r>
              <w:rPr>
                <w:rFonts w:hint="eastAsia" w:ascii="Times New Roman" w:hAnsi="Times New Roman" w:cs="Times New Roman" w:eastAsiaTheme="minorEastAsia"/>
                <w:color w:val="000000" w:themeColor="text1"/>
                <w:w w:val="99"/>
                <w:sz w:val="21"/>
                <w:szCs w:val="21"/>
                <w:highlight w:val="none"/>
                <w:lang w:eastAsia="zh-CN"/>
                <w14:textFill>
                  <w14:solidFill>
                    <w14:schemeClr w14:val="tx1"/>
                  </w14:solidFill>
                </w14:textFill>
              </w:rPr>
              <w:t>边缘</w:t>
            </w:r>
          </w:p>
        </w:tc>
        <w:tc>
          <w:tcPr>
            <w:tcW w:w="685" w:type="pct"/>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月</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日</w:t>
            </w:r>
          </w:p>
        </w:tc>
        <w:tc>
          <w:tcPr>
            <w:tcW w:w="479" w:type="pct"/>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571" w:type="pct"/>
            <w:vAlign w:val="center"/>
          </w:tcPr>
          <w:p>
            <w:pPr>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1.95</w:t>
            </w:r>
          </w:p>
        </w:tc>
        <w:tc>
          <w:tcPr>
            <w:tcW w:w="664" w:type="pct"/>
            <w:vAlign w:val="center"/>
          </w:tcPr>
          <w:p>
            <w:pPr>
              <w:autoSpaceDE/>
              <w:autoSpaceDN/>
              <w:spacing w:line="240" w:lineRule="atLeas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570" w:type="pct"/>
            <w:vAlign w:val="center"/>
          </w:tcPr>
          <w:p>
            <w:pPr>
              <w:autoSpaceDE/>
              <w:autoSpaceDN/>
              <w:spacing w:line="240" w:lineRule="atLeas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0.263</w:t>
            </w:r>
          </w:p>
        </w:tc>
        <w:tc>
          <w:tcPr>
            <w:tcW w:w="666" w:type="pct"/>
            <w:vAlign w:val="center"/>
          </w:tcPr>
          <w:p>
            <w:pPr>
              <w:autoSpaceDE/>
              <w:autoSpaceDN/>
              <w:spacing w:line="240" w:lineRule="atLeas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w:t>
            </w:r>
          </w:p>
        </w:tc>
        <w:tc>
          <w:tcPr>
            <w:tcW w:w="666" w:type="pct"/>
            <w:vAlign w:val="center"/>
          </w:tcPr>
          <w:p>
            <w:pPr>
              <w:autoSpaceDE/>
              <w:autoSpaceDN/>
              <w:spacing w:line="2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6" w:hRule="atLeast"/>
          <w:jc w:val="center"/>
        </w:trPr>
        <w:tc>
          <w:tcPr>
            <w:tcW w:w="695" w:type="pct"/>
            <w:vMerge w:val="continue"/>
            <w:vAlign w:val="center"/>
          </w:tcPr>
          <w:p>
            <w:pPr>
              <w:autoSpaceDE/>
              <w:autoSpaceDN/>
              <w:spacing w:line="240" w:lineRule="atLeas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p>
        </w:tc>
        <w:tc>
          <w:tcPr>
            <w:tcW w:w="685" w:type="pct"/>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月</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31</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日</w:t>
            </w:r>
          </w:p>
        </w:tc>
        <w:tc>
          <w:tcPr>
            <w:tcW w:w="479" w:type="pct"/>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571" w:type="pct"/>
            <w:vAlign w:val="center"/>
          </w:tcPr>
          <w:p>
            <w:pPr>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1.92</w:t>
            </w:r>
          </w:p>
        </w:tc>
        <w:tc>
          <w:tcPr>
            <w:tcW w:w="664" w:type="pct"/>
            <w:vAlign w:val="center"/>
          </w:tcPr>
          <w:p>
            <w:pPr>
              <w:autoSpaceDE/>
              <w:autoSpaceDN/>
              <w:spacing w:line="240" w:lineRule="atLeas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570" w:type="pct"/>
            <w:vAlign w:val="center"/>
          </w:tcPr>
          <w:p>
            <w:pPr>
              <w:autoSpaceDE/>
              <w:autoSpaceDN/>
              <w:spacing w:line="240" w:lineRule="atLeast"/>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0.261</w:t>
            </w:r>
          </w:p>
        </w:tc>
        <w:tc>
          <w:tcPr>
            <w:tcW w:w="666" w:type="pct"/>
            <w:vAlign w:val="center"/>
          </w:tcPr>
          <w:p>
            <w:pPr>
              <w:autoSpaceDE/>
              <w:autoSpaceDN/>
              <w:spacing w:line="240" w:lineRule="atLeas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w:t>
            </w:r>
          </w:p>
        </w:tc>
        <w:tc>
          <w:tcPr>
            <w:tcW w:w="666" w:type="pct"/>
            <w:vAlign w:val="center"/>
          </w:tcPr>
          <w:p>
            <w:pPr>
              <w:autoSpaceDE/>
              <w:autoSpaceDN/>
              <w:spacing w:line="240" w:lineRule="atLeas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6" w:hRule="atLeast"/>
          <w:jc w:val="center"/>
        </w:trPr>
        <w:tc>
          <w:tcPr>
            <w:tcW w:w="695" w:type="pct"/>
            <w:vMerge w:val="restart"/>
            <w:vAlign w:val="center"/>
          </w:tcPr>
          <w:p>
            <w:pPr>
              <w:autoSpaceDE/>
              <w:autoSpaceDN/>
              <w:spacing w:line="240" w:lineRule="atLeast"/>
              <w:jc w:val="center"/>
              <w:rPr>
                <w:rFonts w:hint="eastAsia" w:ascii="Times New Roman" w:hAnsi="Times New Roman" w:cs="Times New Roman" w:eastAsiaTheme="minorEastAsia"/>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14:textFill>
                  <w14:solidFill>
                    <w14:schemeClr w14:val="tx1"/>
                  </w14:solidFill>
                </w14:textFill>
              </w:rPr>
              <w:t>康家围子泡</w:t>
            </w:r>
            <w:r>
              <w:rPr>
                <w:rFonts w:hint="eastAsia" w:ascii="Times New Roman" w:hAnsi="Times New Roman" w:cs="Times New Roman" w:eastAsiaTheme="minorEastAsia"/>
                <w:color w:val="000000" w:themeColor="text1"/>
                <w:w w:val="99"/>
                <w:sz w:val="21"/>
                <w:szCs w:val="21"/>
                <w:highlight w:val="none"/>
                <w:lang w:eastAsia="zh-CN"/>
                <w14:textFill>
                  <w14:solidFill>
                    <w14:schemeClr w14:val="tx1"/>
                  </w14:solidFill>
                </w14:textFill>
              </w:rPr>
              <w:t>中心</w:t>
            </w:r>
          </w:p>
        </w:tc>
        <w:tc>
          <w:tcPr>
            <w:tcW w:w="685" w:type="pct"/>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月</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日</w:t>
            </w:r>
          </w:p>
        </w:tc>
        <w:tc>
          <w:tcPr>
            <w:tcW w:w="479" w:type="pct"/>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571" w:type="pct"/>
            <w:vAlign w:val="center"/>
          </w:tcPr>
          <w:p>
            <w:pPr>
              <w:autoSpaceDE/>
              <w:autoSpaceDN/>
              <w:jc w:val="center"/>
              <w:rPr>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2.10</w:t>
            </w:r>
          </w:p>
        </w:tc>
        <w:tc>
          <w:tcPr>
            <w:tcW w:w="664" w:type="pct"/>
            <w:vAlign w:val="center"/>
          </w:tcPr>
          <w:p>
            <w:pPr>
              <w:autoSpaceDE/>
              <w:autoSpaceDN/>
              <w:spacing w:line="240" w:lineRule="atLeas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570" w:type="pct"/>
            <w:vAlign w:val="center"/>
          </w:tcPr>
          <w:p>
            <w:pPr>
              <w:autoSpaceDE/>
              <w:autoSpaceDN/>
              <w:spacing w:line="240" w:lineRule="atLeast"/>
              <w:jc w:val="center"/>
              <w:rPr>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0.286</w:t>
            </w:r>
          </w:p>
        </w:tc>
        <w:tc>
          <w:tcPr>
            <w:tcW w:w="666" w:type="pct"/>
            <w:vAlign w:val="center"/>
          </w:tcPr>
          <w:p>
            <w:pPr>
              <w:autoSpaceDE/>
              <w:autoSpaceDN/>
              <w:spacing w:line="240" w:lineRule="atLeas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w:t>
            </w:r>
          </w:p>
        </w:tc>
        <w:tc>
          <w:tcPr>
            <w:tcW w:w="666" w:type="pct"/>
            <w:vAlign w:val="center"/>
          </w:tcPr>
          <w:p>
            <w:pPr>
              <w:autoSpaceDE/>
              <w:autoSpaceDN/>
              <w:spacing w:line="240" w:lineRule="atLeas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6" w:hRule="atLeast"/>
          <w:jc w:val="center"/>
        </w:trPr>
        <w:tc>
          <w:tcPr>
            <w:tcW w:w="695" w:type="pct"/>
            <w:vMerge w:val="continue"/>
            <w:vAlign w:val="center"/>
          </w:tcPr>
          <w:p>
            <w:pPr>
              <w:autoSpaceDE/>
              <w:autoSpaceDN/>
              <w:spacing w:line="240" w:lineRule="atLeast"/>
              <w:jc w:val="cente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pPr>
          </w:p>
        </w:tc>
        <w:tc>
          <w:tcPr>
            <w:tcW w:w="685" w:type="pct"/>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月</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31</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日</w:t>
            </w:r>
          </w:p>
        </w:tc>
        <w:tc>
          <w:tcPr>
            <w:tcW w:w="479" w:type="pct"/>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571" w:type="pct"/>
            <w:vAlign w:val="center"/>
          </w:tcPr>
          <w:p>
            <w:pPr>
              <w:autoSpaceDE/>
              <w:autoSpaceDN/>
              <w:jc w:val="center"/>
              <w:rPr>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2.05</w:t>
            </w:r>
          </w:p>
        </w:tc>
        <w:tc>
          <w:tcPr>
            <w:tcW w:w="664" w:type="pct"/>
            <w:vAlign w:val="center"/>
          </w:tcPr>
          <w:p>
            <w:pPr>
              <w:autoSpaceDE/>
              <w:autoSpaceDN/>
              <w:spacing w:line="240" w:lineRule="atLeas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w:t>
            </w:r>
          </w:p>
        </w:tc>
        <w:tc>
          <w:tcPr>
            <w:tcW w:w="570" w:type="pct"/>
            <w:vAlign w:val="center"/>
          </w:tcPr>
          <w:p>
            <w:pPr>
              <w:autoSpaceDE/>
              <w:autoSpaceDN/>
              <w:spacing w:line="240" w:lineRule="atLeast"/>
              <w:jc w:val="center"/>
              <w:rPr>
                <w:rFonts w:hint="default" w:ascii="Times New Roman" w:hAnsi="Times New Roman"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0.284</w:t>
            </w:r>
          </w:p>
        </w:tc>
        <w:tc>
          <w:tcPr>
            <w:tcW w:w="666" w:type="pct"/>
            <w:vAlign w:val="center"/>
          </w:tcPr>
          <w:p>
            <w:pPr>
              <w:autoSpaceDE/>
              <w:autoSpaceDN/>
              <w:spacing w:line="240" w:lineRule="atLeas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w:t>
            </w:r>
          </w:p>
        </w:tc>
        <w:tc>
          <w:tcPr>
            <w:tcW w:w="666" w:type="pct"/>
            <w:vAlign w:val="center"/>
          </w:tcPr>
          <w:p>
            <w:pPr>
              <w:autoSpaceDE/>
              <w:autoSpaceDN/>
              <w:spacing w:line="240" w:lineRule="atLeas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bl>
    <w:p>
      <w:pPr>
        <w:pStyle w:val="90"/>
        <w:spacing w:line="440" w:lineRule="exact"/>
        <w:ind w:firstLine="473"/>
        <w:jc w:val="both"/>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由评价结果可知，</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康家围子泡COD超标</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，其余监测因子均满足《地表水环境质量标准》（GB3838-2002）中的Ⅴ类标准限值要求，根据现场调查可知</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，地表水体</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超标原因的主要</w:t>
      </w:r>
      <w:r>
        <w:rPr>
          <w:rFonts w:ascii="Times New Roman" w:hAnsi="Times New Roman" w:cs="Times New Roman" w:eastAsiaTheme="minorEastAsia"/>
          <w:color w:val="000000" w:themeColor="text1"/>
          <w:w w:val="99"/>
          <w:sz w:val="24"/>
          <w:szCs w:val="24"/>
          <w:highlight w:val="none"/>
          <w:lang w:val="en-US"/>
          <w14:textFill>
            <w14:solidFill>
              <w14:schemeClr w14:val="tx1"/>
            </w14:solidFill>
          </w14:textFill>
        </w:rPr>
        <w:t>是周边农业活动造成面源污染并随雨水汇入，加之水体封闭、自身净化能力较弱导致</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4.3.</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 声环境质量现状调查与评价</w:t>
      </w:r>
    </w:p>
    <w:p>
      <w:pPr>
        <w:pStyle w:val="14"/>
        <w:spacing w:line="440" w:lineRule="exact"/>
        <w:jc w:val="both"/>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eastAsia="黑体" w:cs="Times New Roman"/>
          <w:b/>
          <w:bCs/>
          <w:color w:val="000000" w:themeColor="text1"/>
          <w:w w:val="99"/>
          <w:sz w:val="24"/>
          <w:szCs w:val="24"/>
          <w:highlight w:val="none"/>
          <w:lang w:val="en-US"/>
          <w14:textFill>
            <w14:solidFill>
              <w14:schemeClr w14:val="tx1"/>
            </w14:solidFill>
          </w14:textFill>
        </w:rPr>
        <w:t>4</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.1 现状监测</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）监测布点</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根据本项目井场布置情况，在项目所在区域共布设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w:t>
      </w:r>
      <w:r>
        <w:rPr>
          <w:rFonts w:ascii="Times New Roman" w:hAnsi="Times New Roman" w:cs="Times New Roman"/>
          <w:color w:val="000000" w:themeColor="text1"/>
          <w:w w:val="99"/>
          <w:sz w:val="24"/>
          <w:szCs w:val="24"/>
          <w:highlight w:val="none"/>
          <w:lang w:val="en-US"/>
          <w14:textFill>
            <w14:solidFill>
              <w14:schemeClr w14:val="tx1"/>
            </w14:solidFill>
          </w14:textFill>
        </w:rPr>
        <w:t>个监测点，监测点布设见表4.3-1</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6</w:t>
      </w:r>
      <w:r>
        <w:rPr>
          <w:rFonts w:ascii="Times New Roman" w:hAnsi="Times New Roman" w:cs="Times New Roman"/>
          <w:color w:val="000000" w:themeColor="text1"/>
          <w:w w:val="99"/>
          <w:sz w:val="24"/>
          <w:szCs w:val="24"/>
          <w:highlight w:val="none"/>
          <w:lang w:val="en-US"/>
          <w14:textFill>
            <w14:solidFill>
              <w14:schemeClr w14:val="tx1"/>
            </w14:solidFill>
          </w14:textFill>
        </w:rPr>
        <w:t>，具体监测点位见附图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6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声环境质量现状监测点布设</w:t>
      </w:r>
    </w:p>
    <w:tbl>
      <w:tblPr>
        <w:tblStyle w:val="3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676"/>
        <w:gridCol w:w="2298"/>
        <w:gridCol w:w="3018"/>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41" w:hRule="atLeast"/>
          <w:tblHeader/>
          <w:jc w:val="center"/>
        </w:trPr>
        <w:tc>
          <w:tcPr>
            <w:tcW w:w="67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序号</w:t>
            </w:r>
          </w:p>
        </w:tc>
        <w:tc>
          <w:tcPr>
            <w:tcW w:w="229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监测点</w:t>
            </w:r>
          </w:p>
        </w:tc>
        <w:tc>
          <w:tcPr>
            <w:tcW w:w="301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监测点坐标</w:t>
            </w:r>
          </w:p>
        </w:tc>
        <w:tc>
          <w:tcPr>
            <w:tcW w:w="3075"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41" w:hRule="atLeast"/>
          <w:jc w:val="center"/>
        </w:trPr>
        <w:tc>
          <w:tcPr>
            <w:tcW w:w="67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N1</w:t>
            </w:r>
          </w:p>
        </w:tc>
        <w:tc>
          <w:tcPr>
            <w:tcW w:w="2298" w:type="dxa"/>
            <w:tcBorders>
              <w:tl2br w:val="nil"/>
              <w:tr2bl w:val="nil"/>
            </w:tcBorders>
            <w:vAlign w:val="center"/>
          </w:tcPr>
          <w:p>
            <w:pPr>
              <w:autoSpaceDE/>
              <w:autoSpaceDN/>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t>钱家屯</w:t>
            </w:r>
          </w:p>
        </w:tc>
        <w:tc>
          <w:tcPr>
            <w:tcW w:w="3018"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E</w:t>
            </w:r>
            <w:r>
              <w:rPr>
                <w:rFonts w:hint="eastAsia" w:ascii="Times New Roman" w:hAnsi="Times New Roman" w:cs="Times New Roman"/>
                <w:color w:val="000000" w:themeColor="text1"/>
                <w:w w:val="99"/>
                <w:sz w:val="21"/>
                <w:szCs w:val="21"/>
                <w:highlight w:val="none"/>
                <w14:textFill>
                  <w14:solidFill>
                    <w14:schemeClr w14:val="tx1"/>
                  </w14:solidFill>
                </w14:textFill>
              </w:rPr>
              <w:t>124.70511</w:t>
            </w: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N</w:t>
            </w:r>
            <w:r>
              <w:rPr>
                <w:rFonts w:hint="eastAsia" w:ascii="Times New Roman" w:hAnsi="Times New Roman" w:cs="Times New Roman"/>
                <w:color w:val="000000" w:themeColor="text1"/>
                <w:w w:val="99"/>
                <w:sz w:val="21"/>
                <w:szCs w:val="21"/>
                <w:highlight w:val="none"/>
                <w14:textFill>
                  <w14:solidFill>
                    <w14:schemeClr w14:val="tx1"/>
                  </w14:solidFill>
                </w14:textFill>
              </w:rPr>
              <w:t>46.00842</w:t>
            </w:r>
          </w:p>
        </w:tc>
        <w:tc>
          <w:tcPr>
            <w:tcW w:w="3075"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t>葡71-72井北侧</w:t>
            </w: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41" w:hRule="atLeast"/>
          <w:jc w:val="center"/>
        </w:trPr>
        <w:tc>
          <w:tcPr>
            <w:tcW w:w="67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N2</w:t>
            </w:r>
          </w:p>
        </w:tc>
        <w:tc>
          <w:tcPr>
            <w:tcW w:w="2298" w:type="dxa"/>
            <w:tcBorders>
              <w:tl2br w:val="nil"/>
              <w:tr2bl w:val="nil"/>
            </w:tcBorders>
            <w:vAlign w:val="center"/>
          </w:tcPr>
          <w:p>
            <w:pPr>
              <w:autoSpaceDE/>
              <w:autoSpaceDN/>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t>拟建</w:t>
            </w: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现场租用调驱设备厂址处</w:t>
            </w:r>
          </w:p>
        </w:tc>
        <w:tc>
          <w:tcPr>
            <w:tcW w:w="3018"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E</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124.70358</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w:t>
            </w:r>
            <w:r>
              <w:rPr>
                <w:rFonts w:ascii="Times New Roman" w:hAnsi="Times New Roman" w:cs="Times New Roman"/>
                <w:color w:val="000000" w:themeColor="text1"/>
                <w:w w:val="99"/>
                <w:sz w:val="21"/>
                <w:szCs w:val="21"/>
                <w:highlight w:val="none"/>
                <w14:textFill>
                  <w14:solidFill>
                    <w14:schemeClr w14:val="tx1"/>
                  </w14:solidFill>
                </w14:textFill>
              </w:rPr>
              <w:t>N</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46.0013</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w:t>
            </w:r>
          </w:p>
        </w:tc>
        <w:tc>
          <w:tcPr>
            <w:tcW w:w="3075" w:type="dxa"/>
            <w:tcBorders>
              <w:tl2br w:val="nil"/>
              <w:tr2bl w:val="nil"/>
            </w:tcBorders>
            <w:vAlign w:val="center"/>
          </w:tcPr>
          <w:p>
            <w:pPr>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w:t>
            </w:r>
          </w:p>
        </w:tc>
      </w:tr>
    </w:tbl>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）监测时间</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监测时间：202</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年</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8</w:t>
      </w:r>
      <w:r>
        <w:rPr>
          <w:rFonts w:ascii="Times New Roman" w:hAnsi="Times New Roman" w:cs="Times New Roman"/>
          <w:color w:val="000000" w:themeColor="text1"/>
          <w:w w:val="99"/>
          <w:sz w:val="24"/>
          <w:szCs w:val="24"/>
          <w:highlight w:val="none"/>
          <w14:textFill>
            <w14:solidFill>
              <w14:schemeClr w14:val="tx1"/>
            </w14:solidFill>
          </w14:textFill>
        </w:rPr>
        <w:t>月</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30</w:t>
      </w:r>
      <w:r>
        <w:rPr>
          <w:rFonts w:ascii="Times New Roman" w:hAnsi="Times New Roman" w:cs="Times New Roman"/>
          <w:color w:val="000000" w:themeColor="text1"/>
          <w:w w:val="99"/>
          <w:sz w:val="24"/>
          <w:szCs w:val="24"/>
          <w:highlight w:val="none"/>
          <w14:textFill>
            <w14:solidFill>
              <w14:schemeClr w14:val="tx1"/>
            </w14:solidFill>
          </w14:textFill>
        </w:rPr>
        <w:t>日-</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31</w:t>
      </w:r>
      <w:r>
        <w:rPr>
          <w:rFonts w:ascii="Times New Roman" w:hAnsi="Times New Roman" w:cs="Times New Roman"/>
          <w:color w:val="000000" w:themeColor="text1"/>
          <w:w w:val="99"/>
          <w:sz w:val="24"/>
          <w:szCs w:val="24"/>
          <w:highlight w:val="none"/>
          <w14:textFill>
            <w14:solidFill>
              <w14:schemeClr w14:val="tx1"/>
            </w14:solidFill>
          </w14:textFill>
        </w:rPr>
        <w:t>日。</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）监测结果</w:t>
      </w:r>
    </w:p>
    <w:p>
      <w:pPr>
        <w:pStyle w:val="14"/>
        <w:spacing w:line="440" w:lineRule="exact"/>
        <w:ind w:firstLine="474" w:firstLineChars="200"/>
        <w:jc w:val="both"/>
        <w:rPr>
          <w:rFonts w:ascii="Times New Roman" w:hAnsi="Times New Roman" w:cs="Times New Roman"/>
          <w:b/>
          <w:bCs/>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声环境质量现状监测结果见表</w:t>
      </w:r>
      <w:r>
        <w:rPr>
          <w:rFonts w:ascii="Times New Roman" w:hAnsi="Times New Roman" w:cs="Times New Roman"/>
          <w:color w:val="000000" w:themeColor="text1"/>
          <w:w w:val="99"/>
          <w:sz w:val="24"/>
          <w:szCs w:val="24"/>
          <w:highlight w:val="none"/>
          <w:lang w:val="en-US"/>
          <w14:textFill>
            <w14:solidFill>
              <w14:schemeClr w14:val="tx1"/>
            </w14:solidFill>
          </w14:textFill>
        </w:rPr>
        <w:t>4.3-1</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7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声环境质量现状监测结果表</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单位：dB（A）</w:t>
      </w:r>
    </w:p>
    <w:tbl>
      <w:tblPr>
        <w:tblStyle w:val="32"/>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937"/>
        <w:gridCol w:w="1940"/>
        <w:gridCol w:w="1811"/>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restart"/>
            <w:tcBorders>
              <w:tl2br w:val="nil"/>
              <w:tr2bl w:val="nil"/>
            </w:tcBorders>
            <w:vAlign w:val="center"/>
          </w:tcPr>
          <w:p>
            <w:pPr>
              <w:autoSpaceDE/>
              <w:autoSpaceDN/>
              <w:adjustRightInd w:val="0"/>
              <w:spacing w:line="32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监测点位</w:t>
            </w:r>
          </w:p>
        </w:tc>
        <w:tc>
          <w:tcPr>
            <w:tcW w:w="3877" w:type="dxa"/>
            <w:gridSpan w:val="2"/>
            <w:tcBorders>
              <w:tl2br w:val="nil"/>
              <w:tr2bl w:val="nil"/>
            </w:tcBorders>
            <w:vAlign w:val="center"/>
          </w:tcPr>
          <w:p>
            <w:pPr>
              <w:autoSpaceDE/>
              <w:autoSpaceDN/>
              <w:adjustRightInd w:val="0"/>
              <w:spacing w:line="320" w:lineRule="exact"/>
              <w:jc w:val="center"/>
              <w:rPr>
                <w:rFonts w:hint="default"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202</w:t>
            </w: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1</w:t>
            </w: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.8.30</w:t>
            </w:r>
          </w:p>
        </w:tc>
        <w:tc>
          <w:tcPr>
            <w:tcW w:w="3743" w:type="dxa"/>
            <w:gridSpan w:val="2"/>
            <w:tcBorders>
              <w:tl2br w:val="nil"/>
              <w:tr2bl w:val="nil"/>
            </w:tcBorders>
            <w:vAlign w:val="center"/>
          </w:tcPr>
          <w:p>
            <w:pPr>
              <w:autoSpaceDE/>
              <w:autoSpaceDN/>
              <w:adjustRightInd w:val="0"/>
              <w:spacing w:line="320" w:lineRule="exact"/>
              <w:jc w:val="center"/>
              <w:rPr>
                <w:rFonts w:hint="default"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202</w:t>
            </w: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1</w:t>
            </w: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tcBorders>
              <w:tl2br w:val="nil"/>
              <w:tr2bl w:val="nil"/>
            </w:tcBorders>
            <w:vAlign w:val="center"/>
          </w:tcPr>
          <w:p>
            <w:pPr>
              <w:autoSpaceDE/>
              <w:autoSpaceDN/>
              <w:adjustRightInd w:val="0"/>
              <w:spacing w:line="32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p>
        </w:tc>
        <w:tc>
          <w:tcPr>
            <w:tcW w:w="1937" w:type="dxa"/>
            <w:tcBorders>
              <w:tl2br w:val="nil"/>
              <w:tr2bl w:val="nil"/>
            </w:tcBorders>
            <w:vAlign w:val="center"/>
          </w:tcPr>
          <w:p>
            <w:pPr>
              <w:autoSpaceDE/>
              <w:autoSpaceDN/>
              <w:adjustRightInd w:val="0"/>
              <w:spacing w:line="32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昼间</w:t>
            </w:r>
          </w:p>
        </w:tc>
        <w:tc>
          <w:tcPr>
            <w:tcW w:w="1940" w:type="dxa"/>
            <w:tcBorders>
              <w:tl2br w:val="nil"/>
              <w:tr2bl w:val="nil"/>
            </w:tcBorders>
            <w:vAlign w:val="center"/>
          </w:tcPr>
          <w:p>
            <w:pPr>
              <w:autoSpaceDE/>
              <w:autoSpaceDN/>
              <w:adjustRightInd w:val="0"/>
              <w:spacing w:line="32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夜间</w:t>
            </w:r>
          </w:p>
        </w:tc>
        <w:tc>
          <w:tcPr>
            <w:tcW w:w="1811" w:type="dxa"/>
            <w:tcBorders>
              <w:tl2br w:val="nil"/>
              <w:tr2bl w:val="nil"/>
            </w:tcBorders>
            <w:vAlign w:val="center"/>
          </w:tcPr>
          <w:p>
            <w:pPr>
              <w:autoSpaceDE/>
              <w:autoSpaceDN/>
              <w:adjustRightInd w:val="0"/>
              <w:spacing w:line="32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昼间</w:t>
            </w:r>
          </w:p>
        </w:tc>
        <w:tc>
          <w:tcPr>
            <w:tcW w:w="1932" w:type="dxa"/>
            <w:tcBorders>
              <w:tl2br w:val="nil"/>
              <w:tr2bl w:val="nil"/>
            </w:tcBorders>
            <w:vAlign w:val="center"/>
          </w:tcPr>
          <w:p>
            <w:pPr>
              <w:autoSpaceDE/>
              <w:autoSpaceDN/>
              <w:adjustRightInd w:val="0"/>
              <w:spacing w:line="32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tcBorders>
              <w:tl2br w:val="nil"/>
              <w:tr2bl w:val="nil"/>
            </w:tcBorders>
            <w:vAlign w:val="center"/>
          </w:tcPr>
          <w:p>
            <w:pPr>
              <w:autoSpaceDE/>
              <w:autoSpaceDN/>
              <w:jc w:val="center"/>
              <w:rPr>
                <w:rFonts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t>钱家屯</w:t>
            </w:r>
          </w:p>
        </w:tc>
        <w:tc>
          <w:tcPr>
            <w:tcW w:w="1937" w:type="dxa"/>
            <w:tcBorders>
              <w:tl2br w:val="nil"/>
              <w:tr2bl w:val="nil"/>
            </w:tcBorders>
            <w:vAlign w:val="center"/>
          </w:tcPr>
          <w:p>
            <w:pPr>
              <w:autoSpaceDE/>
              <w:autoSpaceDN/>
              <w:adjustRightInd w:val="0"/>
              <w:spacing w:line="320" w:lineRule="exact"/>
              <w:jc w:val="center"/>
              <w:rPr>
                <w:rFonts w:hint="default"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47.8</w:t>
            </w:r>
          </w:p>
        </w:tc>
        <w:tc>
          <w:tcPr>
            <w:tcW w:w="1940" w:type="dxa"/>
            <w:tcBorders>
              <w:tl2br w:val="nil"/>
              <w:tr2bl w:val="nil"/>
            </w:tcBorders>
            <w:vAlign w:val="center"/>
          </w:tcPr>
          <w:p>
            <w:pPr>
              <w:autoSpaceDE/>
              <w:autoSpaceDN/>
              <w:adjustRightInd w:val="0"/>
              <w:spacing w:line="320" w:lineRule="exact"/>
              <w:jc w:val="center"/>
              <w:rPr>
                <w:rFonts w:hint="default"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44.3</w:t>
            </w:r>
          </w:p>
        </w:tc>
        <w:tc>
          <w:tcPr>
            <w:tcW w:w="1811" w:type="dxa"/>
            <w:tcBorders>
              <w:tl2br w:val="nil"/>
              <w:tr2bl w:val="nil"/>
            </w:tcBorders>
            <w:vAlign w:val="center"/>
          </w:tcPr>
          <w:p>
            <w:pPr>
              <w:autoSpaceDE/>
              <w:autoSpaceDN/>
              <w:adjustRightInd w:val="0"/>
              <w:spacing w:line="320" w:lineRule="exact"/>
              <w:jc w:val="center"/>
              <w:rPr>
                <w:rFonts w:hint="default"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47.9</w:t>
            </w:r>
          </w:p>
        </w:tc>
        <w:tc>
          <w:tcPr>
            <w:tcW w:w="1932" w:type="dxa"/>
            <w:tcBorders>
              <w:tl2br w:val="nil"/>
              <w:tr2bl w:val="nil"/>
            </w:tcBorders>
            <w:vAlign w:val="center"/>
          </w:tcPr>
          <w:p>
            <w:pPr>
              <w:autoSpaceDE/>
              <w:autoSpaceDN/>
              <w:adjustRightInd w:val="0"/>
              <w:spacing w:line="320" w:lineRule="exact"/>
              <w:jc w:val="center"/>
              <w:rPr>
                <w:rFonts w:hint="default"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tcBorders>
              <w:tl2br w:val="nil"/>
              <w:tr2bl w:val="nil"/>
            </w:tcBorders>
            <w:vAlign w:val="center"/>
          </w:tcPr>
          <w:p>
            <w:pPr>
              <w:autoSpaceDE/>
              <w:autoSpaceDN/>
              <w:jc w:val="center"/>
              <w:rPr>
                <w:rFonts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t>拟建</w:t>
            </w: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现场租用调驱设备厂址处</w:t>
            </w:r>
          </w:p>
        </w:tc>
        <w:tc>
          <w:tcPr>
            <w:tcW w:w="1937" w:type="dxa"/>
            <w:tcBorders>
              <w:tl2br w:val="nil"/>
              <w:tr2bl w:val="nil"/>
            </w:tcBorders>
            <w:vAlign w:val="center"/>
          </w:tcPr>
          <w:p>
            <w:pPr>
              <w:autoSpaceDE/>
              <w:autoSpaceDN/>
              <w:adjustRightInd w:val="0"/>
              <w:spacing w:line="320" w:lineRule="exact"/>
              <w:jc w:val="center"/>
              <w:rPr>
                <w:rFonts w:hint="default"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45.6</w:t>
            </w:r>
          </w:p>
        </w:tc>
        <w:tc>
          <w:tcPr>
            <w:tcW w:w="1940" w:type="dxa"/>
            <w:tcBorders>
              <w:tl2br w:val="nil"/>
              <w:tr2bl w:val="nil"/>
            </w:tcBorders>
            <w:vAlign w:val="center"/>
          </w:tcPr>
          <w:p>
            <w:pPr>
              <w:autoSpaceDE/>
              <w:autoSpaceDN/>
              <w:adjustRightInd w:val="0"/>
              <w:spacing w:line="320" w:lineRule="exact"/>
              <w:jc w:val="center"/>
              <w:rPr>
                <w:rFonts w:hint="default"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43.2</w:t>
            </w:r>
          </w:p>
        </w:tc>
        <w:tc>
          <w:tcPr>
            <w:tcW w:w="1811" w:type="dxa"/>
            <w:tcBorders>
              <w:tl2br w:val="nil"/>
              <w:tr2bl w:val="nil"/>
            </w:tcBorders>
            <w:vAlign w:val="center"/>
          </w:tcPr>
          <w:p>
            <w:pPr>
              <w:autoSpaceDE/>
              <w:autoSpaceDN/>
              <w:adjustRightInd w:val="0"/>
              <w:spacing w:line="320" w:lineRule="exact"/>
              <w:jc w:val="center"/>
              <w:rPr>
                <w:rFonts w:hint="default"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45.7</w:t>
            </w:r>
          </w:p>
        </w:tc>
        <w:tc>
          <w:tcPr>
            <w:tcW w:w="1932" w:type="dxa"/>
            <w:tcBorders>
              <w:tl2br w:val="nil"/>
              <w:tr2bl w:val="nil"/>
            </w:tcBorders>
            <w:vAlign w:val="center"/>
          </w:tcPr>
          <w:p>
            <w:pPr>
              <w:autoSpaceDE/>
              <w:autoSpaceDN/>
              <w:adjustRightInd w:val="0"/>
              <w:spacing w:line="320" w:lineRule="exact"/>
              <w:jc w:val="center"/>
              <w:rPr>
                <w:rFonts w:hint="default"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43.6</w:t>
            </w:r>
          </w:p>
        </w:tc>
      </w:tr>
    </w:tbl>
    <w:p>
      <w:pPr>
        <w:pStyle w:val="14"/>
        <w:spacing w:line="440" w:lineRule="exact"/>
        <w:jc w:val="both"/>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eastAsia="黑体" w:cs="Times New Roman"/>
          <w:b/>
          <w:bCs/>
          <w:color w:val="000000" w:themeColor="text1"/>
          <w:w w:val="99"/>
          <w:sz w:val="24"/>
          <w:szCs w:val="24"/>
          <w:highlight w:val="none"/>
          <w:lang w:val="en-US"/>
          <w14:textFill>
            <w14:solidFill>
              <w14:schemeClr w14:val="tx1"/>
            </w14:solidFill>
          </w14:textFill>
        </w:rPr>
        <w:t>4</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.2 现状评价及结果</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由上表可知，</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钱家屯</w:t>
      </w:r>
      <w:r>
        <w:rPr>
          <w:rFonts w:hint="eastAsia" w:ascii="Times New Roman" w:hAnsi="Times New Roman" w:cs="Times New Roman"/>
          <w:color w:val="000000" w:themeColor="text1"/>
          <w:w w:val="99"/>
          <w:sz w:val="24"/>
          <w:szCs w:val="24"/>
          <w:highlight w:val="none"/>
          <w14:textFill>
            <w14:solidFill>
              <w14:schemeClr w14:val="tx1"/>
            </w14:solidFill>
          </w14:textFill>
        </w:rPr>
        <w:t>昼间</w:t>
      </w:r>
      <w:r>
        <w:rPr>
          <w:rFonts w:ascii="Times New Roman" w:hAnsi="Times New Roman" w:cs="Times New Roman"/>
          <w:color w:val="000000" w:themeColor="text1"/>
          <w:w w:val="99"/>
          <w:sz w:val="24"/>
          <w:szCs w:val="24"/>
          <w:highlight w:val="none"/>
          <w14:textFill>
            <w14:solidFill>
              <w14:schemeClr w14:val="tx1"/>
            </w14:solidFill>
          </w14:textFill>
        </w:rPr>
        <w:t>和夜间声环境质量满足《声环境质量标准》（GB3096-2008）中</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类标准</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t>拟建</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现场租用调驱设备厂址处</w:t>
      </w:r>
      <w:r>
        <w:rPr>
          <w:rFonts w:hint="eastAsia" w:ascii="Times New Roman" w:hAnsi="Times New Roman" w:cs="Times New Roman"/>
          <w:color w:val="000000" w:themeColor="text1"/>
          <w:w w:val="99"/>
          <w:sz w:val="24"/>
          <w:szCs w:val="24"/>
          <w:highlight w:val="none"/>
          <w14:textFill>
            <w14:solidFill>
              <w14:schemeClr w14:val="tx1"/>
            </w14:solidFill>
          </w14:textFill>
        </w:rPr>
        <w:t>昼间</w:t>
      </w:r>
      <w:r>
        <w:rPr>
          <w:rFonts w:ascii="Times New Roman" w:hAnsi="Times New Roman" w:cs="Times New Roman"/>
          <w:color w:val="000000" w:themeColor="text1"/>
          <w:w w:val="99"/>
          <w:sz w:val="24"/>
          <w:szCs w:val="24"/>
          <w:highlight w:val="none"/>
          <w14:textFill>
            <w14:solidFill>
              <w14:schemeClr w14:val="tx1"/>
            </w14:solidFill>
          </w14:textFill>
        </w:rPr>
        <w:t>和夜间声环境质量满足《声环境质量标准》（GB3096-2008）中</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类标准。</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4.3.</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 土壤环境质量现状调查与评价</w:t>
      </w:r>
    </w:p>
    <w:p>
      <w:pPr>
        <w:pStyle w:val="14"/>
        <w:spacing w:line="440" w:lineRule="exact"/>
        <w:jc w:val="both"/>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eastAsia="黑体" w:cs="Times New Roman"/>
          <w:b/>
          <w:bCs/>
          <w:color w:val="000000" w:themeColor="text1"/>
          <w:w w:val="99"/>
          <w:sz w:val="24"/>
          <w:szCs w:val="24"/>
          <w:highlight w:val="none"/>
          <w:lang w:val="en-US"/>
          <w14:textFill>
            <w14:solidFill>
              <w14:schemeClr w14:val="tx1"/>
            </w14:solidFill>
          </w14:textFill>
        </w:rPr>
        <w:t>5</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.1 土壤类型</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根据现场踏勘及资料显示，工程所在区域内主要土壤类型为风沙土、草甸土</w:t>
      </w:r>
      <w:r>
        <w:rPr>
          <w:rFonts w:hint="eastAsia" w:ascii="Times New Roman" w:hAnsi="Times New Roman" w:cs="Times New Roman"/>
          <w:color w:val="000000" w:themeColor="text1"/>
          <w:w w:val="99"/>
          <w:sz w:val="24"/>
          <w:szCs w:val="24"/>
          <w:highlight w:val="none"/>
          <w14:textFill>
            <w14:solidFill>
              <w14:schemeClr w14:val="tx1"/>
            </w14:solidFill>
          </w14:textFill>
        </w:rPr>
        <w:t>。</w:t>
      </w:r>
    </w:p>
    <w:p>
      <w:pPr>
        <w:pStyle w:val="45"/>
        <w:tabs>
          <w:tab w:val="left" w:pos="1041"/>
        </w:tabs>
        <w:spacing w:line="440" w:lineRule="exact"/>
        <w:ind w:left="440" w:leftChars="200" w:firstLine="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草甸土</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草甸土是温带低洼地区受地下水浸润作用，在腐殖质积累和潴育化过程下形成的具有腐殖质表层和潴育层的半水成土壤。主要分布在东北平原、内蒙古和西北地区的河谷平原或湖盆地区，其自然植被为湿生型与中生型草甸植被。</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草甸土类是区域内比较肥沃的土壤，包含三个亚类：石灰性草甸土，盐化草甸土， 碱化草甸土。</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草甸土的植被，除了农田以外，草原植被以羊草和拂子茅为优势种，伴生有萎菱菜、地榆、胡枝子、蒿属、虎尾草、星星草等。</w:t>
      </w:r>
    </w:p>
    <w:p>
      <w:pPr>
        <w:pStyle w:val="45"/>
        <w:tabs>
          <w:tab w:val="left" w:pos="1041"/>
        </w:tabs>
        <w:spacing w:line="440" w:lineRule="exact"/>
        <w:ind w:left="440" w:leftChars="200" w:firstLine="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风沙土</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风沙土是干旱与半干旱地区，沙化-风蚀-流沙过程形成的幼年土。主要分布在我国华北、东北、西北地区，以及黄河海河平原的古河道和滨海海滩区。风沙土颗粒组成均一，但质地粗，渗水快，漏肥漏水，养分水平低；颗粒团聚差，易被风吹蚀，流动。风沙土是不宜开垦农用，而应该封育植被，逐步提高植被覆盖率。当植被覆盖后，风沙土会逐渐由流动风沙土发育到半固定风沙土，再逐渐发育到固定风沙土阶段。风沙土因为日夜温差大，利于糖分积累，瓜果是适宜的农作物， 花生也是适宜的作物。</w:t>
      </w:r>
    </w:p>
    <w:p>
      <w:pPr>
        <w:pStyle w:val="14"/>
        <w:spacing w:line="440" w:lineRule="exact"/>
        <w:jc w:val="both"/>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eastAsia="黑体" w:cs="Times New Roman"/>
          <w:b/>
          <w:bCs/>
          <w:color w:val="000000" w:themeColor="text1"/>
          <w:w w:val="99"/>
          <w:sz w:val="24"/>
          <w:szCs w:val="24"/>
          <w:highlight w:val="none"/>
          <w:lang w:val="en-US"/>
          <w14:textFill>
            <w14:solidFill>
              <w14:schemeClr w14:val="tx1"/>
            </w14:solidFill>
          </w14:textFill>
        </w:rPr>
        <w:t>5</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 xml:space="preserve">.2 </w:t>
      </w:r>
      <w:r>
        <w:rPr>
          <w:rFonts w:hint="eastAsia" w:ascii="Times New Roman" w:hAnsi="Times New Roman" w:eastAsia="黑体" w:cs="Times New Roman"/>
          <w:b/>
          <w:bCs/>
          <w:color w:val="000000" w:themeColor="text1"/>
          <w:w w:val="99"/>
          <w:sz w:val="24"/>
          <w:szCs w:val="24"/>
          <w:highlight w:val="none"/>
          <w:lang w:val="en-US"/>
          <w14:textFill>
            <w14:solidFill>
              <w14:schemeClr w14:val="tx1"/>
            </w14:solidFill>
          </w14:textFill>
        </w:rPr>
        <w:t>土壤</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理化性调查</w:t>
      </w:r>
    </w:p>
    <w:p>
      <w:pPr>
        <w:spacing w:line="440" w:lineRule="exact"/>
        <w:ind w:firstLine="474" w:firstLineChars="200"/>
        <w:jc w:val="both"/>
        <w:rPr>
          <w:rFonts w:ascii="Times New Roman" w:hAnsi="Times New Roman" w:cs="Times New Roman"/>
          <w:color w:val="000000" w:themeColor="text1"/>
          <w:w w:val="99"/>
          <w:kern w:val="24"/>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4"/>
          <w:sz w:val="24"/>
          <w:szCs w:val="24"/>
          <w:highlight w:val="none"/>
          <w:lang w:val="en-US" w:bidi="ar-SA"/>
          <w14:textFill>
            <w14:solidFill>
              <w14:schemeClr w14:val="tx1"/>
            </w14:solidFill>
          </w14:textFill>
        </w:rPr>
        <w:t>本次土壤理化性调查数据委托大庆中环评价检测有限公司于</w:t>
      </w:r>
      <w:r>
        <w:rPr>
          <w:rFonts w:hint="eastAsia" w:ascii="Times New Roman" w:hAnsi="Times New Roman" w:cs="Times New Roman"/>
          <w:color w:val="000000" w:themeColor="text1"/>
          <w:w w:val="99"/>
          <w:kern w:val="24"/>
          <w:sz w:val="24"/>
          <w:szCs w:val="24"/>
          <w:highlight w:val="none"/>
          <w:lang w:val="en-US" w:eastAsia="zh-CN" w:bidi="ar-SA"/>
          <w14:textFill>
            <w14:solidFill>
              <w14:schemeClr w14:val="tx1"/>
            </w14:solidFill>
          </w14:textFill>
        </w:rPr>
        <w:t>2021年8月30日</w:t>
      </w:r>
      <w:r>
        <w:rPr>
          <w:rFonts w:ascii="Times New Roman" w:hAnsi="Times New Roman" w:cs="Times New Roman"/>
          <w:color w:val="000000" w:themeColor="text1"/>
          <w:w w:val="99"/>
          <w:kern w:val="24"/>
          <w:sz w:val="24"/>
          <w:szCs w:val="24"/>
          <w:highlight w:val="none"/>
          <w:lang w:val="en-US" w:bidi="ar-SA"/>
          <w14:textFill>
            <w14:solidFill>
              <w14:schemeClr w14:val="tx1"/>
            </w14:solidFill>
          </w14:textFill>
        </w:rPr>
        <w:t>对评价区域内土壤理化性质进行监测调查，详见表4.3-1</w:t>
      </w:r>
      <w:r>
        <w:rPr>
          <w:rFonts w:hint="eastAsia" w:ascii="Times New Roman" w:hAnsi="Times New Roman" w:cs="Times New Roman"/>
          <w:color w:val="000000" w:themeColor="text1"/>
          <w:w w:val="99"/>
          <w:kern w:val="24"/>
          <w:sz w:val="24"/>
          <w:szCs w:val="24"/>
          <w:highlight w:val="none"/>
          <w:lang w:val="en-US" w:eastAsia="zh-CN" w:bidi="ar-SA"/>
          <w14:textFill>
            <w14:solidFill>
              <w14:schemeClr w14:val="tx1"/>
            </w14:solidFill>
          </w14:textFill>
        </w:rPr>
        <w:t>8</w:t>
      </w:r>
      <w:r>
        <w:rPr>
          <w:rFonts w:hint="eastAsia" w:ascii="Times New Roman" w:hAnsi="Times New Roman" w:cs="Times New Roman"/>
          <w:color w:val="000000" w:themeColor="text1"/>
          <w:w w:val="99"/>
          <w:kern w:val="24"/>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4"/>
          <w:sz w:val="24"/>
          <w:szCs w:val="24"/>
          <w:highlight w:val="none"/>
          <w:lang w:val="en-US" w:bidi="ar-SA"/>
          <w14:textFill>
            <w14:solidFill>
              <w14:schemeClr w14:val="tx1"/>
            </w14:solidFill>
          </w14:textFill>
        </w:rPr>
        <w:t>土体构型见</w:t>
      </w:r>
      <w:r>
        <w:rPr>
          <w:rFonts w:hint="eastAsia" w:ascii="Times New Roman" w:hAnsi="Times New Roman" w:cs="Times New Roman"/>
          <w:color w:val="000000" w:themeColor="text1"/>
          <w:w w:val="99"/>
          <w:kern w:val="24"/>
          <w:sz w:val="24"/>
          <w:szCs w:val="24"/>
          <w:highlight w:val="none"/>
          <w:lang w:val="en-US" w:bidi="ar-SA"/>
          <w14:textFill>
            <w14:solidFill>
              <w14:schemeClr w14:val="tx1"/>
            </w14:solidFill>
          </w14:textFill>
        </w:rPr>
        <w:t>表4.3-</w:t>
      </w:r>
      <w:r>
        <w:rPr>
          <w:rFonts w:hint="eastAsia" w:ascii="Times New Roman" w:hAnsi="Times New Roman" w:cs="Times New Roman"/>
          <w:color w:val="000000" w:themeColor="text1"/>
          <w:w w:val="99"/>
          <w:kern w:val="24"/>
          <w:sz w:val="24"/>
          <w:szCs w:val="24"/>
          <w:highlight w:val="none"/>
          <w:lang w:val="en-US" w:eastAsia="zh-CN" w:bidi="ar-SA"/>
          <w14:textFill>
            <w14:solidFill>
              <w14:schemeClr w14:val="tx1"/>
            </w14:solidFill>
          </w14:textFill>
        </w:rPr>
        <w:t>19</w:t>
      </w:r>
      <w:r>
        <w:rPr>
          <w:rFonts w:ascii="Times New Roman" w:hAnsi="Times New Roman" w:cs="Times New Roman"/>
          <w:color w:val="000000" w:themeColor="text1"/>
          <w:w w:val="99"/>
          <w:kern w:val="24"/>
          <w:sz w:val="24"/>
          <w:szCs w:val="24"/>
          <w:highlight w:val="none"/>
          <w:lang w:val="en-US" w:bidi="ar-SA"/>
          <w14:textFill>
            <w14:solidFill>
              <w14:schemeClr w14:val="tx1"/>
            </w14:solidFill>
          </w14:textFill>
        </w:rPr>
        <w:t>。</w:t>
      </w:r>
    </w:p>
    <w:p>
      <w:pPr>
        <w:adjustRightInd w:val="0"/>
        <w:spacing w:line="440" w:lineRule="exact"/>
        <w:ind w:firstLine="476" w:firstLineChars="200"/>
        <w:jc w:val="both"/>
        <w:rPr>
          <w:rFonts w:ascii="Times New Roman" w:hAnsi="Times New Roman" w:cs="Times New Roman"/>
          <w:b/>
          <w:bCs/>
          <w:color w:val="000000" w:themeColor="text1"/>
          <w:w w:val="99"/>
          <w:kern w:val="24"/>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4"/>
          <w:sz w:val="24"/>
          <w:szCs w:val="24"/>
          <w:highlight w:val="none"/>
          <w:lang w:val="en-US" w:bidi="ar-SA"/>
          <w14:textFill>
            <w14:solidFill>
              <w14:schemeClr w14:val="tx1"/>
            </w14:solidFill>
          </w14:textFill>
        </w:rPr>
        <w:t>表4.3-1</w:t>
      </w:r>
      <w:r>
        <w:rPr>
          <w:rFonts w:hint="eastAsia" w:ascii="Times New Roman" w:hAnsi="Times New Roman" w:cs="Times New Roman"/>
          <w:b/>
          <w:bCs/>
          <w:color w:val="000000" w:themeColor="text1"/>
          <w:w w:val="99"/>
          <w:kern w:val="24"/>
          <w:sz w:val="24"/>
          <w:szCs w:val="24"/>
          <w:highlight w:val="none"/>
          <w:lang w:val="en-US" w:bidi="ar-SA"/>
          <w14:textFill>
            <w14:solidFill>
              <w14:schemeClr w14:val="tx1"/>
            </w14:solidFill>
          </w14:textFill>
        </w:rPr>
        <w:t>9</w:t>
      </w:r>
      <w:r>
        <w:rPr>
          <w:rFonts w:hint="eastAsia" w:ascii="Times New Roman" w:hAnsi="Times New Roman" w:cs="Times New Roman"/>
          <w:b/>
          <w:bCs/>
          <w:color w:val="000000" w:themeColor="text1"/>
          <w:w w:val="99"/>
          <w:kern w:val="24"/>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kern w:val="24"/>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4"/>
          <w:sz w:val="24"/>
          <w:szCs w:val="24"/>
          <w:highlight w:val="none"/>
          <w:lang w:val="en-US" w:bidi="ar-SA"/>
          <w14:textFill>
            <w14:solidFill>
              <w14:schemeClr w14:val="tx1"/>
            </w14:solidFill>
          </w14:textFill>
        </w:rPr>
        <w:t>土壤理化性质调查表</w:t>
      </w:r>
    </w:p>
    <w:tbl>
      <w:tblPr>
        <w:tblStyle w:val="32"/>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0"/>
        <w:gridCol w:w="2288"/>
        <w:gridCol w:w="1929"/>
        <w:gridCol w:w="2"/>
        <w:gridCol w:w="1892"/>
        <w:gridCol w:w="3"/>
        <w:gridCol w:w="1844"/>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377" w:hRule="atLeast"/>
        </w:trPr>
        <w:tc>
          <w:tcPr>
            <w:tcW w:w="3368" w:type="dxa"/>
            <w:gridSpan w:val="2"/>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时间</w:t>
            </w:r>
          </w:p>
        </w:tc>
        <w:tc>
          <w:tcPr>
            <w:tcW w:w="5670" w:type="dxa"/>
            <w:gridSpan w:val="5"/>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2021.6.7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68" w:hRule="atLeast"/>
        </w:trPr>
        <w:tc>
          <w:tcPr>
            <w:tcW w:w="3368" w:type="dxa"/>
            <w:gridSpan w:val="2"/>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点号</w:t>
            </w:r>
          </w:p>
        </w:tc>
        <w:tc>
          <w:tcPr>
            <w:tcW w:w="5670" w:type="dxa"/>
            <w:gridSpan w:val="5"/>
            <w:tcBorders>
              <w:tl2br w:val="nil"/>
              <w:tr2bl w:val="nil"/>
            </w:tcBorders>
            <w:vAlign w:val="center"/>
          </w:tcPr>
          <w:p>
            <w:pPr>
              <w:adjustRightInd w:val="0"/>
              <w:snapToGrid w:val="0"/>
              <w:ind w:firstLine="4" w:firstLineChars="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宋体" w:hAnsi="宋体" w:eastAsia="宋体" w:cs="宋体"/>
                <w:color w:val="000000" w:themeColor="text1"/>
                <w:w w:val="99"/>
                <w:sz w:val="21"/>
                <w:szCs w:val="21"/>
                <w:highlight w:val="none"/>
                <w:lang w:val="en-US" w:eastAsia="zh-CN"/>
                <w14:textFill>
                  <w14:solidFill>
                    <w14:schemeClr w14:val="tx1"/>
                  </w14:solidFill>
                </w14:textFill>
              </w:rPr>
              <w:t>葡69-斜692井场内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418" w:hRule="atLeast"/>
        </w:trPr>
        <w:tc>
          <w:tcPr>
            <w:tcW w:w="3368" w:type="dxa"/>
            <w:gridSpan w:val="2"/>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经纬度</w:t>
            </w:r>
          </w:p>
        </w:tc>
        <w:tc>
          <w:tcPr>
            <w:tcW w:w="5670" w:type="dxa"/>
            <w:gridSpan w:val="5"/>
            <w:tcBorders>
              <w:tl2br w:val="nil"/>
              <w:tr2bl w:val="nil"/>
            </w:tcBorders>
            <w:vAlign w:val="center"/>
          </w:tcPr>
          <w:p>
            <w:pPr>
              <w:adjustRightInd w:val="0"/>
              <w:snapToGrid w:val="0"/>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hint="eastAsia" w:ascii="宋体" w:hAnsi="宋体" w:eastAsia="宋体" w:cs="宋体"/>
                <w:color w:val="000000" w:themeColor="text1"/>
                <w:w w:val="99"/>
                <w:sz w:val="21"/>
                <w:szCs w:val="21"/>
                <w:highlight w:val="none"/>
                <w:lang w:val="en-US" w:eastAsia="zh-CN"/>
                <w14:textFill>
                  <w14:solidFill>
                    <w14:schemeClr w14:val="tx1"/>
                  </w14:solidFill>
                </w14:textFill>
              </w:rPr>
              <w:t>124.692085,46.010207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68" w:hRule="atLeast"/>
        </w:trPr>
        <w:tc>
          <w:tcPr>
            <w:tcW w:w="3368" w:type="dxa"/>
            <w:gridSpan w:val="2"/>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层次</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0-50cm</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50-150cm</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150-300cm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 w:type="dxa"/>
          <w:trHeight w:val="270" w:hRule="atLeast"/>
        </w:trPr>
        <w:tc>
          <w:tcPr>
            <w:tcW w:w="1080" w:type="dxa"/>
            <w:vMerge w:val="restart"/>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现场记录</w:t>
            </w: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颜色</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eastAsia="zh-CN" w:bidi="ar-SA"/>
                <w14:textFill>
                  <w14:solidFill>
                    <w14:schemeClr w14:val="tx1"/>
                  </w14:solidFill>
                </w14:textFill>
              </w:rPr>
              <w:t>黄</w:t>
            </w: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色</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eastAsia="zh-CN" w:bidi="ar-SA"/>
                <w14:textFill>
                  <w14:solidFill>
                    <w14:schemeClr w14:val="tx1"/>
                  </w14:solidFill>
                </w14:textFill>
              </w:rPr>
              <w:t>黄</w:t>
            </w: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色</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eastAsia="zh-CN" w:bidi="ar-SA"/>
                <w14:textFill>
                  <w14:solidFill>
                    <w14:schemeClr w14:val="tx1"/>
                  </w14:solidFill>
                </w14:textFill>
              </w:rPr>
              <w:t>黄</w:t>
            </w: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68"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结构</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eastAsia="zh-CN" w:bidi="ar-SA"/>
                <w14:textFill>
                  <w14:solidFill>
                    <w14:schemeClr w14:val="tx1"/>
                  </w14:solidFill>
                </w14:textFill>
              </w:rPr>
              <w:t>块</w:t>
            </w: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状</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面状</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面状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70"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质地</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壤土</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壤土</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68"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砂砾含量</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25～45%</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25～45%</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69"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其他异物</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植物根系</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69" w:hRule="atLeast"/>
        </w:trPr>
        <w:tc>
          <w:tcPr>
            <w:tcW w:w="1080" w:type="dxa"/>
            <w:vMerge w:val="restart"/>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实验室测定</w:t>
            </w: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pH 值</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7.99</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8.13</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 w:type="dxa"/>
          <w:trHeight w:val="269"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阳离子交换(cmol+/kg)</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12.7</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13.3</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69"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氧化还原电位（mv）</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199</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212</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69"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饱和导水率(µm/s)</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0.928</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1.054</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 w:type="dxa"/>
          <w:trHeight w:val="269"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土壤容重 (g/cm</w:t>
            </w:r>
            <w:r>
              <w:rPr>
                <w:rFonts w:ascii="Times New Roman" w:hAnsi="Times New Roman" w:cs="Times New Roman"/>
                <w:color w:val="000000" w:themeColor="text1"/>
                <w:w w:val="99"/>
                <w:kern w:val="24"/>
                <w:sz w:val="21"/>
                <w:szCs w:val="21"/>
                <w:highlight w:val="none"/>
                <w:vertAlign w:val="superscript"/>
                <w:lang w:bidi="ar-SA"/>
                <w14:textFill>
                  <w14:solidFill>
                    <w14:schemeClr w14:val="tx1"/>
                  </w14:solidFill>
                </w14:textFill>
              </w:rPr>
              <w:t>3</w:t>
            </w:r>
            <w:r>
              <w:rPr>
                <w:rFonts w:ascii="Times New Roman" w:hAnsi="Times New Roman" w:cs="Times New Roman"/>
                <w:color w:val="000000" w:themeColor="text1"/>
                <w:w w:val="99"/>
                <w:kern w:val="24"/>
                <w:sz w:val="21"/>
                <w:szCs w:val="21"/>
                <w:highlight w:val="none"/>
                <w:lang w:bidi="ar-SA"/>
                <w14:textFill>
                  <w14:solidFill>
                    <w14:schemeClr w14:val="tx1"/>
                  </w14:solidFill>
                </w14:textFill>
              </w:rPr>
              <w:t>)</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1.38</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1.33</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69"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孔隙度(%)</w:t>
            </w:r>
          </w:p>
        </w:tc>
        <w:tc>
          <w:tcPr>
            <w:tcW w:w="1929" w:type="dxa"/>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47.9</w:t>
            </w:r>
          </w:p>
        </w:tc>
        <w:tc>
          <w:tcPr>
            <w:tcW w:w="1894"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49.8</w:t>
            </w:r>
          </w:p>
        </w:tc>
        <w:tc>
          <w:tcPr>
            <w:tcW w:w="1847" w:type="dxa"/>
            <w:gridSpan w:val="2"/>
            <w:tcBorders>
              <w:tl2br w:val="nil"/>
              <w:tr2bl w:val="nil"/>
            </w:tcBorders>
            <w:vAlign w:val="center"/>
          </w:tcPr>
          <w:p>
            <w:pPr>
              <w:spacing w:line="360" w:lineRule="exact"/>
              <w:jc w:val="center"/>
              <w:rPr>
                <w:rFonts w:ascii="Times New Roman" w:hAnsi="Times New Roman" w:eastAsia="宋体"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3368" w:type="dxa"/>
            <w:gridSpan w:val="2"/>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点号</w:t>
            </w:r>
          </w:p>
        </w:tc>
        <w:tc>
          <w:tcPr>
            <w:tcW w:w="5680" w:type="dxa"/>
            <w:gridSpan w:val="6"/>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eastAsia="zh-CN"/>
                <w14:textFill>
                  <w14:solidFill>
                    <w14:schemeClr w14:val="tx1"/>
                  </w14:solidFill>
                </w14:textFill>
              </w:rPr>
              <w:t>葡</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70-斜702</w:t>
            </w:r>
            <w:r>
              <w:rPr>
                <w:rFonts w:ascii="Times New Roman" w:hAnsi="Times New Roman" w:cs="Times New Roman"/>
                <w:color w:val="000000" w:themeColor="text1"/>
                <w:w w:val="99"/>
                <w:sz w:val="21"/>
                <w:szCs w:val="21"/>
                <w:highlight w:val="none"/>
                <w14:textFill>
                  <w14:solidFill>
                    <w14:schemeClr w14:val="tx1"/>
                  </w14:solidFill>
                </w14:textFill>
              </w:rPr>
              <w:t>井场占地内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trPr>
        <w:tc>
          <w:tcPr>
            <w:tcW w:w="3368" w:type="dxa"/>
            <w:gridSpan w:val="2"/>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经纬度</w:t>
            </w:r>
          </w:p>
        </w:tc>
        <w:tc>
          <w:tcPr>
            <w:tcW w:w="5680" w:type="dxa"/>
            <w:gridSpan w:val="6"/>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124.69876,46.00696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3368" w:type="dxa"/>
            <w:gridSpan w:val="2"/>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层次</w:t>
            </w:r>
          </w:p>
        </w:tc>
        <w:tc>
          <w:tcPr>
            <w:tcW w:w="1931" w:type="dxa"/>
            <w:gridSpan w:val="2"/>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0-50cm</w:t>
            </w:r>
          </w:p>
        </w:tc>
        <w:tc>
          <w:tcPr>
            <w:tcW w:w="1895" w:type="dxa"/>
            <w:gridSpan w:val="2"/>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50-150cm</w:t>
            </w:r>
          </w:p>
        </w:tc>
        <w:tc>
          <w:tcPr>
            <w:tcW w:w="1854" w:type="dxa"/>
            <w:gridSpan w:val="2"/>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150-300cm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1080" w:type="dxa"/>
            <w:vMerge w:val="restart"/>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现场记录</w:t>
            </w: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颜色</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黄色</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黄色</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结构</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块状</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面状</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面状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质地</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壤土</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壤土</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砂砾含量</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25～45%</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25～45%</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其他异物</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植物根系</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080" w:type="dxa"/>
            <w:vMerge w:val="restart"/>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实验室测定</w:t>
            </w: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pH 值</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8.07</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7.84</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阳离子交换(cmol+/kg)</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13.1</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11.7</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氧化还原电位（mv）</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204</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195</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饱和导水率(µm/s)</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0.975</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1.033</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土壤容重 (g/cm</w:t>
            </w:r>
            <w:r>
              <w:rPr>
                <w:rFonts w:ascii="Times New Roman" w:hAnsi="Times New Roman" w:cs="Times New Roman"/>
                <w:color w:val="000000" w:themeColor="text1"/>
                <w:w w:val="99"/>
                <w:kern w:val="24"/>
                <w:sz w:val="21"/>
                <w:szCs w:val="21"/>
                <w:highlight w:val="none"/>
                <w:vertAlign w:val="superscript"/>
                <w:lang w:bidi="ar-SA"/>
                <w14:textFill>
                  <w14:solidFill>
                    <w14:schemeClr w14:val="tx1"/>
                  </w14:solidFill>
                </w14:textFill>
              </w:rPr>
              <w:t>3</w:t>
            </w:r>
            <w:r>
              <w:rPr>
                <w:rFonts w:ascii="Times New Roman" w:hAnsi="Times New Roman" w:cs="Times New Roman"/>
                <w:color w:val="000000" w:themeColor="text1"/>
                <w:w w:val="99"/>
                <w:kern w:val="24"/>
                <w:sz w:val="21"/>
                <w:szCs w:val="21"/>
                <w:highlight w:val="none"/>
                <w:lang w:bidi="ar-SA"/>
                <w14:textFill>
                  <w14:solidFill>
                    <w14:schemeClr w14:val="tx1"/>
                  </w14:solidFill>
                </w14:textFill>
              </w:rPr>
              <w:t>)</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1.43</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1.33</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8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p>
        </w:tc>
        <w:tc>
          <w:tcPr>
            <w:tcW w:w="2288" w:type="dxa"/>
            <w:tcBorders>
              <w:tl2br w:val="nil"/>
              <w:tr2bl w:val="nil"/>
            </w:tcBorders>
            <w:vAlign w:val="center"/>
          </w:tcPr>
          <w:p>
            <w:pPr>
              <w:spacing w:line="360" w:lineRule="exact"/>
              <w:jc w:val="center"/>
              <w:rPr>
                <w:rFonts w:ascii="Times New Roman" w:hAnsi="Times New Roman" w:cs="Times New Roman"/>
                <w:color w:val="000000" w:themeColor="text1"/>
                <w:w w:val="99"/>
                <w:kern w:val="24"/>
                <w:sz w:val="21"/>
                <w:szCs w:val="21"/>
                <w:highlight w:val="none"/>
                <w:lang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孔隙度(%)</w:t>
            </w:r>
          </w:p>
        </w:tc>
        <w:tc>
          <w:tcPr>
            <w:tcW w:w="1931"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46.0</w:t>
            </w:r>
          </w:p>
        </w:tc>
        <w:tc>
          <w:tcPr>
            <w:tcW w:w="1895"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49.8</w:t>
            </w:r>
          </w:p>
        </w:tc>
        <w:tc>
          <w:tcPr>
            <w:tcW w:w="1854" w:type="dxa"/>
            <w:gridSpan w:val="2"/>
            <w:tcBorders>
              <w:tl2br w:val="nil"/>
              <w:tr2bl w:val="nil"/>
            </w:tcBorders>
            <w:vAlign w:val="center"/>
          </w:tcPr>
          <w:p>
            <w:pPr>
              <w:spacing w:line="36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t>47.9</w:t>
            </w:r>
          </w:p>
        </w:tc>
      </w:tr>
    </w:tbl>
    <w:p>
      <w:pPr>
        <w:adjustRightInd w:val="0"/>
        <w:spacing w:line="440" w:lineRule="exact"/>
        <w:ind w:firstLine="476" w:firstLineChars="200"/>
        <w:jc w:val="both"/>
        <w:rPr>
          <w:rFonts w:ascii="Times New Roman" w:hAnsi="Times New Roman" w:cs="Times New Roman"/>
          <w:b/>
          <w:bCs/>
          <w:color w:val="000000" w:themeColor="text1"/>
          <w:w w:val="99"/>
          <w:kern w:val="24"/>
          <w:sz w:val="24"/>
          <w:szCs w:val="24"/>
          <w:highlight w:val="none"/>
          <w:lang w:val="en-US" w:bidi="ar-SA"/>
          <w14:textFill>
            <w14:solidFill>
              <w14:schemeClr w14:val="tx1"/>
            </w14:solidFill>
          </w14:textFill>
        </w:rPr>
      </w:pPr>
      <w:r>
        <w:rPr>
          <w:rFonts w:hint="eastAsia" w:ascii="Times New Roman" w:hAnsi="Times New Roman" w:cs="Times New Roman"/>
          <w:b/>
          <w:bCs/>
          <w:color w:val="000000" w:themeColor="text1"/>
          <w:w w:val="99"/>
          <w:kern w:val="24"/>
          <w:sz w:val="24"/>
          <w:szCs w:val="24"/>
          <w:highlight w:val="none"/>
          <w:lang w:val="en-US" w:bidi="ar-SA"/>
          <w14:textFill>
            <w14:solidFill>
              <w14:schemeClr w14:val="tx1"/>
            </w14:solidFill>
          </w14:textFill>
        </w:rPr>
        <w:t>表4.3-</w:t>
      </w:r>
      <w:r>
        <w:rPr>
          <w:rFonts w:hint="eastAsia" w:ascii="Times New Roman" w:hAnsi="Times New Roman" w:cs="Times New Roman"/>
          <w:b/>
          <w:bCs/>
          <w:color w:val="000000" w:themeColor="text1"/>
          <w:w w:val="99"/>
          <w:kern w:val="24"/>
          <w:sz w:val="24"/>
          <w:szCs w:val="24"/>
          <w:highlight w:val="none"/>
          <w:lang w:val="en-US" w:eastAsia="zh-CN" w:bidi="ar-SA"/>
          <w14:textFill>
            <w14:solidFill>
              <w14:schemeClr w14:val="tx1"/>
            </w14:solidFill>
          </w14:textFill>
        </w:rPr>
        <w:t>19</w:t>
      </w:r>
      <w:r>
        <w:rPr>
          <w:rFonts w:ascii="Times New Roman" w:hAnsi="Times New Roman" w:cs="Times New Roman"/>
          <w:b/>
          <w:bCs/>
          <w:color w:val="000000" w:themeColor="text1"/>
          <w:w w:val="99"/>
          <w:kern w:val="24"/>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4"/>
          <w:sz w:val="24"/>
          <w:szCs w:val="24"/>
          <w:highlight w:val="none"/>
          <w:lang w:val="en-US" w:bidi="ar-SA"/>
          <w14:textFill>
            <w14:solidFill>
              <w14:schemeClr w14:val="tx1"/>
            </w14:solidFill>
          </w14:textFill>
        </w:rPr>
        <w:t>土体构型（土壤剖面）表</w:t>
      </w:r>
    </w:p>
    <w:tbl>
      <w:tblPr>
        <w:tblStyle w:val="32"/>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973"/>
        <w:gridCol w:w="2596"/>
        <w:gridCol w:w="2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点号</w:t>
            </w:r>
          </w:p>
        </w:tc>
        <w:tc>
          <w:tcPr>
            <w:tcW w:w="2973" w:type="dxa"/>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景观照片</w:t>
            </w:r>
          </w:p>
        </w:tc>
        <w:tc>
          <w:tcPr>
            <w:tcW w:w="2596" w:type="dxa"/>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土壤剖面照片</w:t>
            </w:r>
          </w:p>
        </w:tc>
        <w:tc>
          <w:tcPr>
            <w:tcW w:w="2811" w:type="dxa"/>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Merge w:val="restart"/>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宋体" w:hAnsi="宋体" w:eastAsia="宋体" w:cs="宋体"/>
                <w:color w:val="000000" w:themeColor="text1"/>
                <w:w w:val="99"/>
                <w:sz w:val="21"/>
                <w:szCs w:val="21"/>
                <w:highlight w:val="none"/>
                <w:lang w:val="en-US" w:eastAsia="zh-CN"/>
                <w14:textFill>
                  <w14:solidFill>
                    <w14:schemeClr w14:val="tx1"/>
                  </w14:solidFill>
                </w14:textFill>
              </w:rPr>
              <w:t>葡69-斜692井场内</w:t>
            </w:r>
          </w:p>
        </w:tc>
        <w:tc>
          <w:tcPr>
            <w:tcW w:w="2973" w:type="dxa"/>
            <w:vMerge w:val="restart"/>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olor w:val="000000" w:themeColor="text1"/>
                <w:szCs w:val="21"/>
                <w:highlight w:val="none"/>
                <w:lang w:eastAsia="zh-CN"/>
                <w14:textFill>
                  <w14:solidFill>
                    <w14:schemeClr w14:val="tx1"/>
                  </w14:solidFill>
                </w14:textFill>
              </w:rPr>
              <w:drawing>
                <wp:inline distT="0" distB="0" distL="114300" distR="114300">
                  <wp:extent cx="1744980" cy="2856230"/>
                  <wp:effectExtent l="0" t="0" r="7620" b="1270"/>
                  <wp:docPr id="3" name="图片 1" descr="0893849ef5517c829c6feec66891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893849ef5517c829c6feec66891e4e"/>
                          <pic:cNvPicPr>
                            <a:picLocks noChangeAspect="1"/>
                          </pic:cNvPicPr>
                        </pic:nvPicPr>
                        <pic:blipFill>
                          <a:blip r:embed="rId34"/>
                          <a:stretch>
                            <a:fillRect/>
                          </a:stretch>
                        </pic:blipFill>
                        <pic:spPr>
                          <a:xfrm>
                            <a:off x="0" y="0"/>
                            <a:ext cx="1744980" cy="2856230"/>
                          </a:xfrm>
                          <a:prstGeom prst="rect">
                            <a:avLst/>
                          </a:prstGeom>
                          <a:noFill/>
                          <a:ln>
                            <a:noFill/>
                          </a:ln>
                        </pic:spPr>
                      </pic:pic>
                    </a:graphicData>
                  </a:graphic>
                </wp:inline>
              </w:drawing>
            </w:r>
          </w:p>
        </w:tc>
        <w:tc>
          <w:tcPr>
            <w:tcW w:w="2596" w:type="dxa"/>
            <w:vMerge w:val="restart"/>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olor w:val="000000" w:themeColor="text1"/>
                <w:szCs w:val="21"/>
                <w:highlight w:val="none"/>
                <w:lang w:eastAsia="zh-CN"/>
                <w14:textFill>
                  <w14:solidFill>
                    <w14:schemeClr w14:val="tx1"/>
                  </w14:solidFill>
                </w14:textFill>
              </w:rPr>
              <w:drawing>
                <wp:inline distT="0" distB="0" distL="114300" distR="114300">
                  <wp:extent cx="1506220" cy="2897505"/>
                  <wp:effectExtent l="0" t="0" r="17780" b="17145"/>
                  <wp:docPr id="7" name="图片 2" descr="237e3add4017503bc5b14741c236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237e3add4017503bc5b14741c236ccb"/>
                          <pic:cNvPicPr>
                            <a:picLocks noChangeAspect="1"/>
                          </pic:cNvPicPr>
                        </pic:nvPicPr>
                        <pic:blipFill>
                          <a:blip r:embed="rId35"/>
                          <a:stretch>
                            <a:fillRect/>
                          </a:stretch>
                        </pic:blipFill>
                        <pic:spPr>
                          <a:xfrm>
                            <a:off x="0" y="0"/>
                            <a:ext cx="1506220" cy="2897505"/>
                          </a:xfrm>
                          <a:prstGeom prst="rect">
                            <a:avLst/>
                          </a:prstGeom>
                          <a:noFill/>
                          <a:ln>
                            <a:noFill/>
                          </a:ln>
                        </pic:spPr>
                      </pic:pic>
                    </a:graphicData>
                  </a:graphic>
                </wp:inline>
              </w:drawing>
            </w:r>
          </w:p>
        </w:tc>
        <w:tc>
          <w:tcPr>
            <w:tcW w:w="2811" w:type="dxa"/>
            <w:vAlign w:val="center"/>
          </w:tcPr>
          <w:p>
            <w:pPr>
              <w:adjustRightInd w:val="0"/>
              <w:snapToGrid w:val="0"/>
              <w:spacing w:before="120" w:beforeLines="50" w:line="320" w:lineRule="exact"/>
              <w:jc w:val="center"/>
              <w:rPr>
                <w:rFonts w:ascii="Times New Roman" w:hAnsi="Times New Roman" w:cs="Times New Roman"/>
                <w:b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t>0-0.5m  块状结构  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Merge w:val="continue"/>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973" w:type="dxa"/>
            <w:vMerge w:val="continue"/>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596" w:type="dxa"/>
            <w:vMerge w:val="continue"/>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811" w:type="dxa"/>
            <w:vAlign w:val="center"/>
          </w:tcPr>
          <w:p>
            <w:pPr>
              <w:adjustRightInd w:val="0"/>
              <w:snapToGrid w:val="0"/>
              <w:spacing w:before="120" w:beforeLines="50" w:line="320" w:lineRule="exact"/>
              <w:jc w:val="center"/>
              <w:rPr>
                <w:rFonts w:ascii="Times New Roman" w:hAnsi="Times New Roman" w:cs="Times New Roman"/>
                <w:bCs/>
                <w:color w:val="000000" w:themeColor="text1"/>
                <w:w w:val="99"/>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sz w:val="21"/>
                <w:szCs w:val="20"/>
                <w:highlight w:val="none"/>
                <w:lang w:val="en-US" w:bidi="ar-SA"/>
                <w14:textFill>
                  <w14:solidFill>
                    <w14:schemeClr w14:val="tx1"/>
                  </w14:solidFill>
                </w14:textFill>
              </w:rPr>
              <w:t xml:space="preserve">0.5-1.5m </w:t>
            </w:r>
            <w:r>
              <w:rPr>
                <w:rFonts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t>面状结构  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Merge w:val="continue"/>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973" w:type="dxa"/>
            <w:vMerge w:val="continue"/>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596" w:type="dxa"/>
            <w:vMerge w:val="continue"/>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811" w:type="dxa"/>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1.5-3m</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面状</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结构 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6" w:hRule="atLeast"/>
        </w:trPr>
        <w:tc>
          <w:tcPr>
            <w:tcW w:w="959" w:type="dxa"/>
            <w:vMerge w:val="continue"/>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973" w:type="dxa"/>
            <w:vMerge w:val="continue"/>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596" w:type="dxa"/>
            <w:vMerge w:val="continue"/>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811" w:type="dxa"/>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olor w:val="000000" w:themeColor="text1"/>
                <w:szCs w:val="21"/>
                <w:highlight w:val="none"/>
                <w:lang w:eastAsia="zh-CN"/>
                <w14:textFill>
                  <w14:solidFill>
                    <w14:schemeClr w14:val="tx1"/>
                  </w14:solidFill>
                </w14:textFill>
              </w:rPr>
              <w:drawing>
                <wp:inline distT="0" distB="0" distL="114300" distR="114300">
                  <wp:extent cx="1645920" cy="2194560"/>
                  <wp:effectExtent l="0" t="0" r="11430" b="15240"/>
                  <wp:docPr id="21" name="图片 3" descr="99d383ce3b84a850ddb26c0fbded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99d383ce3b84a850ddb26c0fbded386"/>
                          <pic:cNvPicPr>
                            <a:picLocks noChangeAspect="1"/>
                          </pic:cNvPicPr>
                        </pic:nvPicPr>
                        <pic:blipFill>
                          <a:blip r:embed="rId36"/>
                          <a:stretch>
                            <a:fillRect/>
                          </a:stretch>
                        </pic:blipFill>
                        <pic:spPr>
                          <a:xfrm>
                            <a:off x="0" y="0"/>
                            <a:ext cx="1645920" cy="21945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959" w:type="dxa"/>
            <w:vMerge w:val="restart"/>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宋体" w:hAnsi="宋体" w:eastAsia="宋体" w:cs="宋体"/>
                <w:color w:val="000000" w:themeColor="text1"/>
                <w:w w:val="99"/>
                <w:sz w:val="21"/>
                <w:szCs w:val="21"/>
                <w:highlight w:val="none"/>
                <w:lang w:val="en-US" w:eastAsia="zh-CN"/>
                <w14:textFill>
                  <w14:solidFill>
                    <w14:schemeClr w14:val="tx1"/>
                  </w14:solidFill>
                </w14:textFill>
              </w:rPr>
              <w:t>葡70-斜702井场内</w:t>
            </w:r>
          </w:p>
        </w:tc>
        <w:tc>
          <w:tcPr>
            <w:tcW w:w="2973" w:type="dxa"/>
            <w:vMerge w:val="restart"/>
            <w:vAlign w:val="center"/>
          </w:tcPr>
          <w:p>
            <w:pPr>
              <w:wordWrap w:val="0"/>
              <w:autoSpaceDE/>
              <w:autoSpaceDN/>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olor w:val="000000" w:themeColor="text1"/>
                <w:szCs w:val="21"/>
                <w:highlight w:val="none"/>
                <w:lang w:eastAsia="zh-CN"/>
                <w14:textFill>
                  <w14:solidFill>
                    <w14:schemeClr w14:val="tx1"/>
                  </w14:solidFill>
                </w14:textFill>
              </w:rPr>
              <w:drawing>
                <wp:inline distT="0" distB="0" distL="114300" distR="114300">
                  <wp:extent cx="1744980" cy="3291205"/>
                  <wp:effectExtent l="0" t="0" r="7620" b="4445"/>
                  <wp:docPr id="23" name="图片 4" descr="ad3490e70fb417b49b4191d7f45a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ad3490e70fb417b49b4191d7f45a6c9"/>
                          <pic:cNvPicPr>
                            <a:picLocks noChangeAspect="1"/>
                          </pic:cNvPicPr>
                        </pic:nvPicPr>
                        <pic:blipFill>
                          <a:blip r:embed="rId37"/>
                          <a:stretch>
                            <a:fillRect/>
                          </a:stretch>
                        </pic:blipFill>
                        <pic:spPr>
                          <a:xfrm>
                            <a:off x="0" y="0"/>
                            <a:ext cx="1744980" cy="3291205"/>
                          </a:xfrm>
                          <a:prstGeom prst="rect">
                            <a:avLst/>
                          </a:prstGeom>
                          <a:noFill/>
                          <a:ln>
                            <a:noFill/>
                          </a:ln>
                        </pic:spPr>
                      </pic:pic>
                    </a:graphicData>
                  </a:graphic>
                </wp:inline>
              </w:drawing>
            </w:r>
          </w:p>
        </w:tc>
        <w:tc>
          <w:tcPr>
            <w:tcW w:w="2596" w:type="dxa"/>
            <w:vMerge w:val="restart"/>
            <w:vAlign w:val="center"/>
          </w:tcPr>
          <w:p>
            <w:pPr>
              <w:wordWrap w:val="0"/>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olor w:val="000000" w:themeColor="text1"/>
                <w:szCs w:val="21"/>
                <w:highlight w:val="none"/>
                <w:lang w:eastAsia="zh-CN"/>
                <w14:textFill>
                  <w14:solidFill>
                    <w14:schemeClr w14:val="tx1"/>
                  </w14:solidFill>
                </w14:textFill>
              </w:rPr>
              <w:drawing>
                <wp:inline distT="0" distB="0" distL="114300" distR="114300">
                  <wp:extent cx="1507490" cy="3350260"/>
                  <wp:effectExtent l="0" t="0" r="16510" b="2540"/>
                  <wp:docPr id="37" name="图片 6" descr="ccc1445a0c8dfff75c3cc3c3b799b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ccc1445a0c8dfff75c3cc3c3b799bdb8"/>
                          <pic:cNvPicPr>
                            <a:picLocks noChangeAspect="1"/>
                          </pic:cNvPicPr>
                        </pic:nvPicPr>
                        <pic:blipFill>
                          <a:blip r:embed="rId38"/>
                          <a:stretch>
                            <a:fillRect/>
                          </a:stretch>
                        </pic:blipFill>
                        <pic:spPr>
                          <a:xfrm>
                            <a:off x="0" y="0"/>
                            <a:ext cx="1507490" cy="3350260"/>
                          </a:xfrm>
                          <a:prstGeom prst="rect">
                            <a:avLst/>
                          </a:prstGeom>
                          <a:noFill/>
                          <a:ln>
                            <a:noFill/>
                          </a:ln>
                        </pic:spPr>
                      </pic:pic>
                    </a:graphicData>
                  </a:graphic>
                </wp:inline>
              </w:drawing>
            </w:r>
          </w:p>
        </w:tc>
        <w:tc>
          <w:tcPr>
            <w:tcW w:w="2811" w:type="dxa"/>
            <w:vAlign w:val="center"/>
          </w:tcPr>
          <w:p>
            <w:pPr>
              <w:adjustRightInd w:val="0"/>
              <w:snapToGrid w:val="0"/>
              <w:spacing w:before="120" w:beforeLines="50"/>
              <w:jc w:val="center"/>
              <w:rPr>
                <w:rFonts w:ascii="Times New Roman" w:hAnsi="Times New Roman" w:eastAsia="黑体" w:cs="Times New Roman"/>
                <w:bCs/>
                <w:color w:val="000000" w:themeColor="text1"/>
                <w:w w:val="99"/>
                <w:sz w:val="24"/>
                <w:szCs w:val="21"/>
                <w:highlight w:val="none"/>
                <w:lang w:val="en-US" w:bidi="ar-SA"/>
                <w14:textFill>
                  <w14:solidFill>
                    <w14:schemeClr w14:val="tx1"/>
                  </w14:solidFill>
                </w14:textFill>
              </w:rPr>
            </w:pPr>
            <w:r>
              <w:rPr>
                <w:rFonts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t>0-0.5m  块状结构  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959" w:type="dxa"/>
            <w:vMerge w:val="continue"/>
            <w:vAlign w:val="center"/>
          </w:tcPr>
          <w:p>
            <w:pPr>
              <w:adjustRightInd w:val="0"/>
              <w:snapToGrid w:val="0"/>
              <w:spacing w:before="120" w:beforeLines="50"/>
              <w:jc w:val="center"/>
              <w:rPr>
                <w:rFonts w:ascii="Times New Roman" w:hAnsi="Times New Roman" w:eastAsia="黑体" w:cs="Times New Roman"/>
                <w:bCs/>
                <w:color w:val="000000" w:themeColor="text1"/>
                <w:w w:val="99"/>
                <w:sz w:val="24"/>
                <w:szCs w:val="24"/>
                <w:highlight w:val="none"/>
                <w:lang w:val="en-US" w:bidi="ar-SA"/>
                <w14:textFill>
                  <w14:solidFill>
                    <w14:schemeClr w14:val="tx1"/>
                  </w14:solidFill>
                </w14:textFill>
              </w:rPr>
            </w:pPr>
          </w:p>
        </w:tc>
        <w:tc>
          <w:tcPr>
            <w:tcW w:w="2973" w:type="dxa"/>
            <w:vMerge w:val="continue"/>
            <w:vAlign w:val="center"/>
          </w:tcPr>
          <w:p>
            <w:pPr>
              <w:adjustRightInd w:val="0"/>
              <w:snapToGrid w:val="0"/>
              <w:spacing w:before="120" w:beforeLines="50"/>
              <w:jc w:val="center"/>
              <w:rPr>
                <w:rFonts w:ascii="Times New Roman" w:hAnsi="Times New Roman" w:eastAsia="黑体" w:cs="Times New Roman"/>
                <w:bCs/>
                <w:color w:val="000000" w:themeColor="text1"/>
                <w:w w:val="99"/>
                <w:sz w:val="24"/>
                <w:szCs w:val="24"/>
                <w:highlight w:val="none"/>
                <w:lang w:val="en-US" w:bidi="ar-SA"/>
                <w14:textFill>
                  <w14:solidFill>
                    <w14:schemeClr w14:val="tx1"/>
                  </w14:solidFill>
                </w14:textFill>
              </w:rPr>
            </w:pPr>
          </w:p>
        </w:tc>
        <w:tc>
          <w:tcPr>
            <w:tcW w:w="2596" w:type="dxa"/>
            <w:vMerge w:val="continue"/>
            <w:vAlign w:val="center"/>
          </w:tcPr>
          <w:p>
            <w:pPr>
              <w:adjustRightInd w:val="0"/>
              <w:snapToGrid w:val="0"/>
              <w:spacing w:before="120" w:beforeLines="50"/>
              <w:jc w:val="center"/>
              <w:rPr>
                <w:rFonts w:ascii="Times New Roman" w:hAnsi="Times New Roman" w:eastAsia="黑体" w:cs="Times New Roman"/>
                <w:bCs/>
                <w:color w:val="000000" w:themeColor="text1"/>
                <w:w w:val="99"/>
                <w:sz w:val="24"/>
                <w:szCs w:val="24"/>
                <w:highlight w:val="none"/>
                <w:lang w:val="en-US" w:bidi="ar-SA"/>
                <w14:textFill>
                  <w14:solidFill>
                    <w14:schemeClr w14:val="tx1"/>
                  </w14:solidFill>
                </w14:textFill>
              </w:rPr>
            </w:pPr>
          </w:p>
        </w:tc>
        <w:tc>
          <w:tcPr>
            <w:tcW w:w="2811" w:type="dxa"/>
            <w:vAlign w:val="center"/>
          </w:tcPr>
          <w:p>
            <w:pPr>
              <w:adjustRightInd w:val="0"/>
              <w:snapToGrid w:val="0"/>
              <w:spacing w:before="120" w:beforeLines="50"/>
              <w:jc w:val="both"/>
              <w:rPr>
                <w:rFonts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sz w:val="21"/>
                <w:szCs w:val="20"/>
                <w:highlight w:val="none"/>
                <w:lang w:val="en-US" w:bidi="ar-SA"/>
                <w14:textFill>
                  <w14:solidFill>
                    <w14:schemeClr w14:val="tx1"/>
                  </w14:solidFill>
                </w14:textFill>
              </w:rPr>
              <w:t xml:space="preserve">0.5-1.5m </w:t>
            </w:r>
            <w:r>
              <w:rPr>
                <w:rFonts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t>面状结构  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959" w:type="dxa"/>
            <w:vMerge w:val="continue"/>
            <w:vAlign w:val="center"/>
          </w:tcPr>
          <w:p>
            <w:pPr>
              <w:adjustRightInd w:val="0"/>
              <w:snapToGrid w:val="0"/>
              <w:spacing w:before="120" w:beforeLines="50"/>
              <w:jc w:val="center"/>
              <w:rPr>
                <w:rFonts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pPr>
          </w:p>
        </w:tc>
        <w:tc>
          <w:tcPr>
            <w:tcW w:w="2973" w:type="dxa"/>
            <w:vMerge w:val="continue"/>
            <w:vAlign w:val="center"/>
          </w:tcPr>
          <w:p>
            <w:pPr>
              <w:adjustRightInd w:val="0"/>
              <w:snapToGrid w:val="0"/>
              <w:spacing w:before="120" w:beforeLines="50"/>
              <w:jc w:val="center"/>
              <w:rPr>
                <w:rFonts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pPr>
          </w:p>
        </w:tc>
        <w:tc>
          <w:tcPr>
            <w:tcW w:w="2596" w:type="dxa"/>
            <w:vMerge w:val="continue"/>
            <w:vAlign w:val="center"/>
          </w:tcPr>
          <w:p>
            <w:pPr>
              <w:adjustRightInd w:val="0"/>
              <w:snapToGrid w:val="0"/>
              <w:spacing w:before="120" w:beforeLines="50"/>
              <w:jc w:val="center"/>
              <w:rPr>
                <w:rFonts w:ascii="Times New Roman" w:hAnsi="Times New Roman" w:cs="Times New Roman"/>
                <w:bCs/>
                <w:snapToGrid w:val="0"/>
                <w:color w:val="000000" w:themeColor="text1"/>
                <w:w w:val="99"/>
                <w:sz w:val="21"/>
                <w:szCs w:val="21"/>
                <w:highlight w:val="none"/>
                <w:lang w:val="en-US" w:bidi="ar-SA"/>
                <w14:textFill>
                  <w14:solidFill>
                    <w14:schemeClr w14:val="tx1"/>
                  </w14:solidFill>
                </w14:textFill>
              </w:rPr>
            </w:pPr>
          </w:p>
        </w:tc>
        <w:tc>
          <w:tcPr>
            <w:tcW w:w="2811" w:type="dxa"/>
            <w:vAlign w:val="center"/>
          </w:tcPr>
          <w:p>
            <w:pPr>
              <w:wordWrap w:val="0"/>
              <w:autoSpaceDE/>
              <w:autoSpaceDN/>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1.5-3m</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面状</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结构 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9" w:hRule="atLeast"/>
        </w:trPr>
        <w:tc>
          <w:tcPr>
            <w:tcW w:w="959" w:type="dxa"/>
            <w:vMerge w:val="continue"/>
            <w:vAlign w:val="center"/>
          </w:tcPr>
          <w:p>
            <w:pPr>
              <w:wordWrap w:val="0"/>
              <w:autoSpaceDE/>
              <w:autoSpaceDN/>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973" w:type="dxa"/>
            <w:vMerge w:val="continue"/>
            <w:vAlign w:val="center"/>
          </w:tcPr>
          <w:p>
            <w:pPr>
              <w:wordWrap w:val="0"/>
              <w:autoSpaceDE/>
              <w:autoSpaceDN/>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596" w:type="dxa"/>
            <w:vMerge w:val="continue"/>
            <w:vAlign w:val="center"/>
          </w:tcPr>
          <w:p>
            <w:pPr>
              <w:wordWrap w:val="0"/>
              <w:autoSpaceDE/>
              <w:autoSpaceDN/>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811" w:type="dxa"/>
            <w:vAlign w:val="center"/>
          </w:tcPr>
          <w:p>
            <w:pPr>
              <w:tabs>
                <w:tab w:val="left" w:pos="1940"/>
              </w:tabs>
              <w:wordWrap w:val="0"/>
              <w:autoSpaceDE/>
              <w:autoSpaceDN/>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olor w:val="000000" w:themeColor="text1"/>
                <w:szCs w:val="21"/>
                <w:highlight w:val="none"/>
                <w:lang w:eastAsia="zh-CN"/>
                <w14:textFill>
                  <w14:solidFill>
                    <w14:schemeClr w14:val="tx1"/>
                  </w14:solidFill>
                </w14:textFill>
              </w:rPr>
              <w:drawing>
                <wp:inline distT="0" distB="0" distL="114300" distR="114300">
                  <wp:extent cx="1645920" cy="2691765"/>
                  <wp:effectExtent l="0" t="0" r="11430" b="13335"/>
                  <wp:docPr id="33" name="图片 5" descr="5128ddd7259c0292aaefd4cc5724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5128ddd7259c0292aaefd4cc5724e35"/>
                          <pic:cNvPicPr>
                            <a:picLocks noChangeAspect="1"/>
                          </pic:cNvPicPr>
                        </pic:nvPicPr>
                        <pic:blipFill>
                          <a:blip r:embed="rId39"/>
                          <a:stretch>
                            <a:fillRect/>
                          </a:stretch>
                        </pic:blipFill>
                        <pic:spPr>
                          <a:xfrm>
                            <a:off x="0" y="0"/>
                            <a:ext cx="1645920" cy="2691765"/>
                          </a:xfrm>
                          <a:prstGeom prst="rect">
                            <a:avLst/>
                          </a:prstGeom>
                          <a:noFill/>
                          <a:ln>
                            <a:noFill/>
                          </a:ln>
                        </pic:spPr>
                      </pic:pic>
                    </a:graphicData>
                  </a:graphic>
                </wp:inline>
              </w:drawing>
            </w:r>
          </w:p>
        </w:tc>
      </w:tr>
    </w:tbl>
    <w:p>
      <w:pPr>
        <w:pStyle w:val="14"/>
        <w:spacing w:line="440" w:lineRule="exact"/>
        <w:jc w:val="both"/>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eastAsia="黑体" w:cs="Times New Roman"/>
          <w:b/>
          <w:bCs/>
          <w:color w:val="000000" w:themeColor="text1"/>
          <w:w w:val="99"/>
          <w:sz w:val="24"/>
          <w:szCs w:val="24"/>
          <w:highlight w:val="none"/>
          <w:lang w:val="en-US"/>
          <w14:textFill>
            <w14:solidFill>
              <w14:schemeClr w14:val="tx1"/>
            </w14:solidFill>
          </w14:textFill>
        </w:rPr>
        <w:t>5</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.3 土壤采样及监测</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）监测布点</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土壤监测布点类型和</w:t>
      </w:r>
      <w:r>
        <w:rPr>
          <w:rFonts w:ascii="Times New Roman" w:hAnsi="Times New Roman" w:cs="Times New Roman"/>
          <w:color w:val="000000" w:themeColor="text1"/>
          <w:w w:val="99"/>
          <w:sz w:val="24"/>
          <w:szCs w:val="24"/>
          <w:highlight w:val="none"/>
          <w14:textFill>
            <w14:solidFill>
              <w14:schemeClr w14:val="tx1"/>
            </w14:solidFill>
          </w14:textFill>
        </w:rPr>
        <w:t>数量</w:t>
      </w:r>
      <w:r>
        <w:rPr>
          <w:rFonts w:hint="eastAsia" w:ascii="Times New Roman" w:hAnsi="Times New Roman" w:cs="Times New Roman"/>
          <w:color w:val="000000" w:themeColor="text1"/>
          <w:w w:val="99"/>
          <w:sz w:val="24"/>
          <w:szCs w:val="24"/>
          <w:highlight w:val="none"/>
          <w14:textFill>
            <w14:solidFill>
              <w14:schemeClr w14:val="tx1"/>
            </w14:solidFill>
          </w14:textFill>
        </w:rPr>
        <w:t>按一级污染影响型</w:t>
      </w:r>
      <w:r>
        <w:rPr>
          <w:rFonts w:ascii="Times New Roman" w:hAnsi="Times New Roman" w:cs="Times New Roman"/>
          <w:color w:val="000000" w:themeColor="text1"/>
          <w:w w:val="99"/>
          <w:sz w:val="24"/>
          <w:szCs w:val="24"/>
          <w:highlight w:val="none"/>
          <w14:textFill>
            <w14:solidFill>
              <w14:schemeClr w14:val="tx1"/>
            </w14:solidFill>
          </w14:textFill>
        </w:rPr>
        <w:t>，需要在</w:t>
      </w:r>
      <w:r>
        <w:rPr>
          <w:rFonts w:hint="eastAsia" w:ascii="Times New Roman" w:hAnsi="Times New Roman" w:cs="Times New Roman"/>
          <w:color w:val="000000" w:themeColor="text1"/>
          <w:w w:val="99"/>
          <w:sz w:val="24"/>
          <w:szCs w:val="24"/>
          <w:highlight w:val="none"/>
          <w14:textFill>
            <w14:solidFill>
              <w14:schemeClr w14:val="tx1"/>
            </w14:solidFill>
          </w14:textFill>
        </w:rPr>
        <w:t>永久占地范围</w:t>
      </w:r>
      <w:r>
        <w:rPr>
          <w:rFonts w:ascii="Times New Roman" w:hAnsi="Times New Roman" w:cs="Times New Roman"/>
          <w:color w:val="000000" w:themeColor="text1"/>
          <w:w w:val="99"/>
          <w:sz w:val="24"/>
          <w:szCs w:val="24"/>
          <w:highlight w:val="none"/>
          <w14:textFill>
            <w14:solidFill>
              <w14:schemeClr w14:val="tx1"/>
            </w14:solidFill>
          </w14:textFill>
        </w:rPr>
        <w:t>内</w:t>
      </w:r>
      <w:r>
        <w:rPr>
          <w:rFonts w:hint="eastAsia" w:ascii="Times New Roman" w:hAnsi="Times New Roman" w:cs="Times New Roman"/>
          <w:color w:val="000000" w:themeColor="text1"/>
          <w:w w:val="99"/>
          <w:sz w:val="24"/>
          <w:szCs w:val="24"/>
          <w:highlight w:val="none"/>
          <w14:textFill>
            <w14:solidFill>
              <w14:schemeClr w14:val="tx1"/>
            </w14:solidFill>
          </w14:textFill>
        </w:rPr>
        <w:t>布设5个</w:t>
      </w:r>
      <w:r>
        <w:rPr>
          <w:rFonts w:ascii="Times New Roman" w:hAnsi="Times New Roman" w:cs="Times New Roman"/>
          <w:color w:val="000000" w:themeColor="text1"/>
          <w:w w:val="99"/>
          <w:sz w:val="24"/>
          <w:szCs w:val="24"/>
          <w:highlight w:val="none"/>
          <w14:textFill>
            <w14:solidFill>
              <w14:schemeClr w14:val="tx1"/>
            </w14:solidFill>
          </w14:textFill>
        </w:rPr>
        <w:t>柱状点、</w:t>
      </w:r>
      <w:r>
        <w:rPr>
          <w:rFonts w:hint="eastAsia" w:ascii="Times New Roman" w:hAnsi="Times New Roman" w:cs="Times New Roman"/>
          <w:color w:val="000000" w:themeColor="text1"/>
          <w:w w:val="99"/>
          <w:sz w:val="24"/>
          <w:szCs w:val="24"/>
          <w:highlight w:val="none"/>
          <w14:textFill>
            <w14:solidFill>
              <w14:schemeClr w14:val="tx1"/>
            </w14:solidFill>
          </w14:textFill>
        </w:rPr>
        <w:t>2个</w:t>
      </w:r>
      <w:r>
        <w:rPr>
          <w:rFonts w:ascii="Times New Roman" w:hAnsi="Times New Roman" w:cs="Times New Roman"/>
          <w:color w:val="000000" w:themeColor="text1"/>
          <w:w w:val="99"/>
          <w:sz w:val="24"/>
          <w:szCs w:val="24"/>
          <w:highlight w:val="none"/>
          <w14:textFill>
            <w14:solidFill>
              <w14:schemeClr w14:val="tx1"/>
            </w14:solidFill>
          </w14:textFill>
        </w:rPr>
        <w:t>表层点，占地范围外布设</w:t>
      </w:r>
      <w:r>
        <w:rPr>
          <w:rFonts w:hint="eastAsia" w:ascii="Times New Roman" w:hAnsi="Times New Roman" w:cs="Times New Roman"/>
          <w:color w:val="000000" w:themeColor="text1"/>
          <w:w w:val="99"/>
          <w:sz w:val="24"/>
          <w:szCs w:val="24"/>
          <w:highlight w:val="none"/>
          <w14:textFill>
            <w14:solidFill>
              <w14:schemeClr w14:val="tx1"/>
            </w14:solidFill>
          </w14:textFill>
        </w:rPr>
        <w:t>4个</w:t>
      </w:r>
      <w:r>
        <w:rPr>
          <w:rFonts w:ascii="Times New Roman" w:hAnsi="Times New Roman" w:cs="Times New Roman"/>
          <w:color w:val="000000" w:themeColor="text1"/>
          <w:w w:val="99"/>
          <w:sz w:val="24"/>
          <w:szCs w:val="24"/>
          <w:highlight w:val="none"/>
          <w14:textFill>
            <w14:solidFill>
              <w14:schemeClr w14:val="tx1"/>
            </w14:solidFill>
          </w14:textFill>
        </w:rPr>
        <w:t>表层点。</w:t>
      </w:r>
      <w:r>
        <w:rPr>
          <w:rFonts w:hint="eastAsia" w:ascii="Times New Roman" w:hAnsi="Times New Roman" w:cs="Times New Roman"/>
          <w:color w:val="000000" w:themeColor="text1"/>
          <w:w w:val="99"/>
          <w:sz w:val="24"/>
          <w:szCs w:val="24"/>
          <w:highlight w:val="none"/>
          <w14:textFill>
            <w14:solidFill>
              <w14:schemeClr w14:val="tx1"/>
            </w14:solidFill>
          </w14:textFill>
        </w:rPr>
        <w:t>布点原则</w:t>
      </w:r>
      <w:r>
        <w:rPr>
          <w:rFonts w:ascii="Times New Roman" w:hAnsi="Times New Roman" w:cs="Times New Roman"/>
          <w:color w:val="000000" w:themeColor="text1"/>
          <w:w w:val="99"/>
          <w:sz w:val="24"/>
          <w:szCs w:val="24"/>
          <w:highlight w:val="none"/>
          <w14:textFill>
            <w14:solidFill>
              <w14:schemeClr w14:val="tx1"/>
            </w14:solidFill>
          </w14:textFill>
        </w:rPr>
        <w:t>考虑评价范围内每种土壤类型设一个表层点（</w:t>
      </w:r>
      <w:r>
        <w:rPr>
          <w:rFonts w:hint="eastAsia" w:ascii="Times New Roman" w:hAnsi="Times New Roman" w:cs="Times New Roman"/>
          <w:color w:val="000000" w:themeColor="text1"/>
          <w:w w:val="99"/>
          <w:sz w:val="24"/>
          <w:szCs w:val="24"/>
          <w:highlight w:val="none"/>
          <w14:textFill>
            <w14:solidFill>
              <w14:schemeClr w14:val="tx1"/>
            </w14:solidFill>
          </w14:textFill>
        </w:rPr>
        <w:t>包括</w:t>
      </w:r>
      <w:r>
        <w:rPr>
          <w:rFonts w:ascii="Times New Roman" w:hAnsi="Times New Roman" w:cs="Times New Roman"/>
          <w:color w:val="000000" w:themeColor="text1"/>
          <w:w w:val="99"/>
          <w:sz w:val="24"/>
          <w:szCs w:val="24"/>
          <w:highlight w:val="none"/>
          <w14:textFill>
            <w14:solidFill>
              <w14:schemeClr w14:val="tx1"/>
            </w14:solidFill>
          </w14:textFill>
        </w:rPr>
        <w:t>利用井井场内、井场外</w:t>
      </w:r>
      <w:r>
        <w:rPr>
          <w:rFonts w:hint="eastAsia" w:ascii="Times New Roman" w:hAnsi="Times New Roman" w:cs="Times New Roman"/>
          <w:color w:val="000000" w:themeColor="text1"/>
          <w:w w:val="99"/>
          <w:sz w:val="24"/>
          <w:szCs w:val="24"/>
          <w:highlight w:val="none"/>
          <w14:textFill>
            <w14:solidFill>
              <w14:schemeClr w14:val="tx1"/>
            </w14:solidFill>
          </w14:textFill>
        </w:rPr>
        <w:t>草地</w:t>
      </w:r>
      <w:r>
        <w:rPr>
          <w:rFonts w:ascii="Times New Roman" w:hAnsi="Times New Roman" w:cs="Times New Roman"/>
          <w:color w:val="000000" w:themeColor="text1"/>
          <w:w w:val="99"/>
          <w:sz w:val="24"/>
          <w:szCs w:val="24"/>
          <w:highlight w:val="none"/>
          <w14:textFill>
            <w14:solidFill>
              <w14:schemeClr w14:val="tx1"/>
            </w14:solidFill>
          </w14:textFill>
        </w:rPr>
        <w:t>等）</w:t>
      </w:r>
      <w:r>
        <w:rPr>
          <w:rFonts w:hint="eastAsia" w:ascii="Times New Roman" w:hAnsi="Times New Roman" w:cs="Times New Roman"/>
          <w:color w:val="000000" w:themeColor="text1"/>
          <w:w w:val="99"/>
          <w:sz w:val="24"/>
          <w:szCs w:val="24"/>
          <w:highlight w:val="none"/>
          <w14:textFill>
            <w14:solidFill>
              <w14:schemeClr w14:val="tx1"/>
            </w14:solidFill>
          </w14:textFill>
        </w:rPr>
        <w:t>，一级改扩建</w:t>
      </w:r>
      <w:r>
        <w:rPr>
          <w:rFonts w:ascii="Times New Roman" w:hAnsi="Times New Roman" w:cs="Times New Roman"/>
          <w:color w:val="000000" w:themeColor="text1"/>
          <w:w w:val="99"/>
          <w:sz w:val="24"/>
          <w:szCs w:val="24"/>
          <w:highlight w:val="none"/>
          <w14:textFill>
            <w14:solidFill>
              <w14:schemeClr w14:val="tx1"/>
            </w14:solidFill>
          </w14:textFill>
        </w:rPr>
        <w:t>项目应在现有工程厂界外可能产生影响的敏感目标处设点（</w:t>
      </w:r>
      <w:r>
        <w:rPr>
          <w:rFonts w:hint="eastAsia" w:ascii="Times New Roman" w:hAnsi="Times New Roman" w:cs="Times New Roman"/>
          <w:color w:val="000000" w:themeColor="text1"/>
          <w:w w:val="99"/>
          <w:sz w:val="24"/>
          <w:szCs w:val="24"/>
          <w:highlight w:val="none"/>
          <w14:textFill>
            <w14:solidFill>
              <w14:schemeClr w14:val="tx1"/>
            </w14:solidFill>
          </w14:textFill>
        </w:rPr>
        <w:t>包括</w:t>
      </w:r>
      <w:r>
        <w:rPr>
          <w:rFonts w:ascii="Times New Roman" w:hAnsi="Times New Roman" w:cs="Times New Roman"/>
          <w:color w:val="000000" w:themeColor="text1"/>
          <w:w w:val="99"/>
          <w:sz w:val="24"/>
          <w:szCs w:val="24"/>
          <w:highlight w:val="none"/>
          <w14:textFill>
            <w14:solidFill>
              <w14:schemeClr w14:val="tx1"/>
            </w14:solidFill>
          </w14:textFill>
        </w:rPr>
        <w:t>井场外</w:t>
      </w:r>
      <w:r>
        <w:rPr>
          <w:rFonts w:hint="eastAsia" w:ascii="Times New Roman" w:hAnsi="Times New Roman" w:cs="Times New Roman"/>
          <w:color w:val="000000" w:themeColor="text1"/>
          <w:w w:val="99"/>
          <w:sz w:val="24"/>
          <w:szCs w:val="24"/>
          <w:highlight w:val="none"/>
          <w14:textFill>
            <w14:solidFill>
              <w14:schemeClr w14:val="tx1"/>
            </w14:solidFill>
          </w14:textFill>
        </w:rPr>
        <w:t>草地和</w:t>
      </w:r>
      <w:r>
        <w:rPr>
          <w:rFonts w:ascii="Times New Roman" w:hAnsi="Times New Roman" w:cs="Times New Roman"/>
          <w:color w:val="000000" w:themeColor="text1"/>
          <w:w w:val="99"/>
          <w:sz w:val="24"/>
          <w:szCs w:val="24"/>
          <w:highlight w:val="none"/>
          <w14:textFill>
            <w14:solidFill>
              <w14:schemeClr w14:val="tx1"/>
            </w14:solidFill>
          </w14:textFill>
        </w:rPr>
        <w:t>耕地）</w:t>
      </w:r>
      <w:r>
        <w:rPr>
          <w:rFonts w:hint="eastAsia"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本次土壤环境质量监测数据委托大庆中环评价检测有限公司对评价区进行了监测。</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通过现场调查，根据土壤类型和项目情况，</w:t>
      </w:r>
      <w:r>
        <w:rPr>
          <w:rFonts w:ascii="Times New Roman" w:hAnsi="Times New Roman" w:cs="Times New Roman" w:eastAsiaTheme="minorEastAsia"/>
          <w:color w:val="000000" w:themeColor="text1"/>
          <w:w w:val="99"/>
          <w:kern w:val="21"/>
          <w:sz w:val="24"/>
          <w:szCs w:val="24"/>
          <w:highlight w:val="none"/>
          <w14:textFill>
            <w14:solidFill>
              <w14:schemeClr w14:val="tx1"/>
            </w14:solidFill>
          </w14:textFill>
        </w:rPr>
        <w:t>确定本项目占地范围内共布设2个表层样监测点，5个柱状样监测点，</w:t>
      </w:r>
      <w:r>
        <w:rPr>
          <w:rFonts w:ascii="Times New Roman" w:hAnsi="Times New Roman" w:cs="Times New Roman"/>
          <w:color w:val="000000" w:themeColor="text1"/>
          <w:w w:val="99"/>
          <w:sz w:val="24"/>
          <w:szCs w:val="24"/>
          <w:highlight w:val="none"/>
          <w14:textFill>
            <w14:solidFill>
              <w14:schemeClr w14:val="tx1"/>
            </w14:solidFill>
          </w14:textFill>
        </w:rPr>
        <w:t>取样深度：表层样采样深度0-0.2m；柱状样取样深度分别为：0-0.5m、0.5m-1.5m、1.5-3m。监测布点见表</w:t>
      </w:r>
      <w:r>
        <w:rPr>
          <w:rFonts w:ascii="Times New Roman" w:hAnsi="Times New Roman" w:cs="Times New Roman"/>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监测点位见附图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7</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0</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土壤现状监测点</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统计表</w:t>
      </w:r>
    </w:p>
    <w:tbl>
      <w:tblPr>
        <w:tblStyle w:val="3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40"/>
        <w:gridCol w:w="1563"/>
        <w:gridCol w:w="2295"/>
        <w:gridCol w:w="2263"/>
        <w:gridCol w:w="26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编号</w:t>
            </w:r>
          </w:p>
        </w:tc>
        <w:tc>
          <w:tcPr>
            <w:tcW w:w="841"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监测点名称</w:t>
            </w:r>
          </w:p>
        </w:tc>
        <w:tc>
          <w:tcPr>
            <w:tcW w:w="1234"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经纬度</w:t>
            </w: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坐标</w:t>
            </w:r>
          </w:p>
        </w:tc>
        <w:tc>
          <w:tcPr>
            <w:tcW w:w="1217"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执行标准</w:t>
            </w:r>
          </w:p>
        </w:tc>
        <w:tc>
          <w:tcPr>
            <w:tcW w:w="1415"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S1</w:t>
            </w:r>
          </w:p>
        </w:tc>
        <w:tc>
          <w:tcPr>
            <w:tcW w:w="841" w:type="pct"/>
            <w:vAlign w:val="center"/>
          </w:tcPr>
          <w:p>
            <w:pPr>
              <w:adjustRightInd w:val="0"/>
              <w:snapToGrid w:val="0"/>
              <w:ind w:firstLine="4" w:firstLineChars="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葡69-斜692井场内</w:t>
            </w:r>
          </w:p>
        </w:tc>
        <w:tc>
          <w:tcPr>
            <w:tcW w:w="1234"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宋体" w:hAnsi="宋体" w:eastAsia="宋体" w:cs="宋体"/>
                <w:color w:val="000000" w:themeColor="text1"/>
                <w:w w:val="99"/>
                <w:sz w:val="21"/>
                <w:szCs w:val="21"/>
                <w:highlight w:val="none"/>
                <w:lang w:val="en-US" w:eastAsia="zh-CN"/>
                <w14:textFill>
                  <w14:solidFill>
                    <w14:schemeClr w14:val="tx1"/>
                  </w14:solidFill>
                </w14:textFill>
              </w:rPr>
              <w:t>124.692085,46.010207</w:t>
            </w:r>
          </w:p>
        </w:tc>
        <w:tc>
          <w:tcPr>
            <w:tcW w:w="1217" w:type="pct"/>
            <w:vMerge w:val="restar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 xml:space="preserve">《土壤环境质量 </w:t>
            </w: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草地</w:t>
            </w: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土壤污染风险管控标准（试行）》（GB36600-2018）中第二类用地筛选值</w:t>
            </w: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采取柱状样，在0~0.5m、0.5~1.5m、1.5~3m分别取样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S2</w:t>
            </w:r>
          </w:p>
        </w:tc>
        <w:tc>
          <w:tcPr>
            <w:tcW w:w="841" w:type="pct"/>
            <w:vAlign w:val="center"/>
          </w:tcPr>
          <w:p>
            <w:pPr>
              <w:adjustRightInd w:val="0"/>
              <w:snapToGrid w:val="0"/>
              <w:ind w:firstLine="4" w:firstLineChars="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葡70-67井场内</w:t>
            </w:r>
          </w:p>
        </w:tc>
        <w:tc>
          <w:tcPr>
            <w:tcW w:w="1234"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124.68930,46.00253</w:t>
            </w:r>
          </w:p>
        </w:tc>
        <w:tc>
          <w:tcPr>
            <w:tcW w:w="1217" w:type="pct"/>
            <w:vMerge w:val="continue"/>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采取柱状样，在0~0.5m、0.5~1.5m、1.5~3m分别取样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S3</w:t>
            </w:r>
          </w:p>
        </w:tc>
        <w:tc>
          <w:tcPr>
            <w:tcW w:w="841" w:type="pct"/>
            <w:vAlign w:val="center"/>
          </w:tcPr>
          <w:p>
            <w:pPr>
              <w:adjustRightInd w:val="0"/>
              <w:snapToGrid w:val="0"/>
              <w:ind w:firstLine="4" w:firstLineChars="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葡72-斜682井场内</w:t>
            </w:r>
          </w:p>
        </w:tc>
        <w:tc>
          <w:tcPr>
            <w:tcW w:w="1234"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124.69700,46.00103</w:t>
            </w:r>
          </w:p>
        </w:tc>
        <w:tc>
          <w:tcPr>
            <w:tcW w:w="1217" w:type="pct"/>
            <w:vMerge w:val="continue"/>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采取柱状样，在0~0.5m、0.5~1.5m、1.5~3m分别取样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S4</w:t>
            </w:r>
          </w:p>
        </w:tc>
        <w:tc>
          <w:tcPr>
            <w:tcW w:w="841" w:type="pct"/>
            <w:vAlign w:val="center"/>
          </w:tcPr>
          <w:p>
            <w:pPr>
              <w:adjustRightInd w:val="0"/>
              <w:snapToGrid w:val="0"/>
              <w:ind w:firstLine="4" w:firstLineChars="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拟建</w:t>
            </w: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现场租用调驱设备厂址处</w:t>
            </w:r>
          </w:p>
        </w:tc>
        <w:tc>
          <w:tcPr>
            <w:tcW w:w="1234"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124.70758</w:t>
            </w: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w:t>
            </w: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46.00720</w:t>
            </w:r>
          </w:p>
        </w:tc>
        <w:tc>
          <w:tcPr>
            <w:tcW w:w="1217" w:type="pct"/>
            <w:vMerge w:val="continue"/>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采取柱状样，在0~0.5m、0.5~1.5m、1.5~3m分别取样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S5</w:t>
            </w:r>
          </w:p>
        </w:tc>
        <w:tc>
          <w:tcPr>
            <w:tcW w:w="841" w:type="pct"/>
            <w:vAlign w:val="center"/>
          </w:tcPr>
          <w:p>
            <w:pPr>
              <w:adjustRightInd w:val="0"/>
              <w:snapToGrid w:val="0"/>
              <w:ind w:firstLine="4" w:firstLineChars="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葡71-72井场内</w:t>
            </w:r>
          </w:p>
        </w:tc>
        <w:tc>
          <w:tcPr>
            <w:tcW w:w="1234"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124.70758</w:t>
            </w: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w:t>
            </w: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46.00720</w:t>
            </w:r>
          </w:p>
        </w:tc>
        <w:tc>
          <w:tcPr>
            <w:tcW w:w="1217" w:type="pct"/>
            <w:vMerge w:val="continue"/>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采取柱状样，在0~0.5m、0.5~1.5m、1.5~3m分别取样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S6</w:t>
            </w:r>
          </w:p>
        </w:tc>
        <w:tc>
          <w:tcPr>
            <w:tcW w:w="841" w:type="pct"/>
            <w:vAlign w:val="center"/>
          </w:tcPr>
          <w:p>
            <w:pPr>
              <w:adjustRightInd w:val="0"/>
              <w:snapToGrid w:val="0"/>
              <w:ind w:firstLine="4" w:firstLineChars="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葡73-71井场内</w:t>
            </w:r>
          </w:p>
        </w:tc>
        <w:tc>
          <w:tcPr>
            <w:tcW w:w="1234"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124.70830,46.00123</w:t>
            </w:r>
          </w:p>
        </w:tc>
        <w:tc>
          <w:tcPr>
            <w:tcW w:w="1217" w:type="pct"/>
            <w:vMerge w:val="continue"/>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采取表层样，在0~0.2m取样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S7</w:t>
            </w:r>
          </w:p>
        </w:tc>
        <w:tc>
          <w:tcPr>
            <w:tcW w:w="841" w:type="pct"/>
            <w:vAlign w:val="center"/>
          </w:tcPr>
          <w:p>
            <w:pPr>
              <w:adjustRightInd w:val="0"/>
              <w:snapToGrid w:val="0"/>
              <w:ind w:firstLine="4" w:firstLineChars="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葡70-斜702井场内</w:t>
            </w:r>
          </w:p>
        </w:tc>
        <w:tc>
          <w:tcPr>
            <w:tcW w:w="1234"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124.69876,46.00696</w:t>
            </w:r>
          </w:p>
        </w:tc>
        <w:tc>
          <w:tcPr>
            <w:tcW w:w="1217" w:type="pct"/>
            <w:vMerge w:val="continue"/>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采取表层样，在0~0.2m取样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S8</w:t>
            </w:r>
          </w:p>
        </w:tc>
        <w:tc>
          <w:tcPr>
            <w:tcW w:w="841" w:type="pct"/>
            <w:vAlign w:val="center"/>
          </w:tcPr>
          <w:p>
            <w:pPr>
              <w:adjustRightInd w:val="0"/>
              <w:snapToGrid w:val="0"/>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p>
          <w:p>
            <w:pPr>
              <w:adjustRightInd w:val="0"/>
              <w:snapToGrid w:val="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钱家屯居住用地</w:t>
            </w:r>
          </w:p>
        </w:tc>
        <w:tc>
          <w:tcPr>
            <w:tcW w:w="1234"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bidi="ar-SA"/>
                <w14:textFill>
                  <w14:solidFill>
                    <w14:schemeClr w14:val="tx1"/>
                  </w14:solidFill>
                </w14:textFill>
              </w:rPr>
              <w:t>124.70675,46.00912</w:t>
            </w:r>
          </w:p>
        </w:tc>
        <w:tc>
          <w:tcPr>
            <w:tcW w:w="1217"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《土壤环境质量 建设用地土壤污染风险管控标准（试行）》（GB36600-2018）中第一类用地筛选值</w:t>
            </w: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采取表层样，在0~0.2m取样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3"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S9</w:t>
            </w:r>
          </w:p>
        </w:tc>
        <w:tc>
          <w:tcPr>
            <w:tcW w:w="841" w:type="pct"/>
            <w:vAlign w:val="center"/>
          </w:tcPr>
          <w:p>
            <w:pPr>
              <w:adjustRightInd w:val="0"/>
              <w:snapToGrid w:val="0"/>
              <w:ind w:firstLine="4" w:firstLineChars="0"/>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葡69-斜692</w:t>
            </w:r>
          </w:p>
          <w:p>
            <w:pPr>
              <w:adjustRightInd w:val="0"/>
              <w:snapToGrid w:val="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井场北侧50m</w:t>
            </w:r>
          </w:p>
        </w:tc>
        <w:tc>
          <w:tcPr>
            <w:tcW w:w="1234" w:type="pct"/>
            <w:vAlign w:val="center"/>
          </w:tcPr>
          <w:p>
            <w:pPr>
              <w:widowControl/>
              <w:autoSpaceDE/>
              <w:autoSpaceDN/>
              <w:adjustRightInd w:val="0"/>
              <w:snapToGrid w:val="0"/>
              <w:jc w:val="center"/>
              <w:rPr>
                <w:rFonts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w w:val="99"/>
                <w:sz w:val="21"/>
                <w:szCs w:val="21"/>
                <w:highlight w:val="none"/>
                <w:lang w:val="en-US" w:eastAsia="zh-CN"/>
                <w14:textFill>
                  <w14:solidFill>
                    <w14:schemeClr w14:val="tx1"/>
                  </w14:solidFill>
                </w14:textFill>
              </w:rPr>
              <w:t>124.69208,46.01020</w:t>
            </w:r>
          </w:p>
        </w:tc>
        <w:tc>
          <w:tcPr>
            <w:tcW w:w="1217" w:type="pct"/>
            <w:vMerge w:val="restar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《土壤环境质量 农用地土壤污染风险管控标准（试行）》（GB 15618—2018）中的筛选值</w:t>
            </w: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采取表层样，在0~0.2m取</w:t>
            </w:r>
          </w:p>
          <w:p>
            <w:pPr>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S10</w:t>
            </w:r>
          </w:p>
        </w:tc>
        <w:tc>
          <w:tcPr>
            <w:tcW w:w="841" w:type="pct"/>
            <w:vAlign w:val="center"/>
          </w:tcPr>
          <w:p>
            <w:pPr>
              <w:adjustRightInd w:val="0"/>
              <w:snapToGrid w:val="0"/>
              <w:ind w:firstLine="4" w:firstLineChars="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拟建</w:t>
            </w: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现场租用调驱设备厂址处东侧100m</w:t>
            </w:r>
          </w:p>
        </w:tc>
        <w:tc>
          <w:tcPr>
            <w:tcW w:w="1234" w:type="pct"/>
            <w:vAlign w:val="center"/>
          </w:tcPr>
          <w:p>
            <w:pPr>
              <w:widowControl/>
              <w:autoSpaceDE/>
              <w:autoSpaceDN/>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124.70530,46.00243</w:t>
            </w:r>
          </w:p>
        </w:tc>
        <w:tc>
          <w:tcPr>
            <w:tcW w:w="1217" w:type="pct"/>
            <w:vMerge w:val="continue"/>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采取表层样，在0~0.2m取样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0" w:type="pct"/>
            <w:vAlign w:val="center"/>
          </w:tcPr>
          <w:p>
            <w:pPr>
              <w:widowControl/>
              <w:autoSpaceDE/>
              <w:autoSpaceDN/>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S11</w:t>
            </w:r>
          </w:p>
        </w:tc>
        <w:tc>
          <w:tcPr>
            <w:tcW w:w="841" w:type="pct"/>
            <w:vAlign w:val="center"/>
          </w:tcPr>
          <w:p>
            <w:pPr>
              <w:adjustRightInd w:val="0"/>
              <w:snapToGrid w:val="0"/>
              <w:ind w:firstLine="4" w:firstLineChars="0"/>
              <w:jc w:val="center"/>
              <w:rPr>
                <w:rFonts w:hint="default" w:ascii="Times New Roman" w:hAnsi="Times New Roman" w:eastAsia="宋体" w:cs="Times New Roman"/>
                <w:color w:val="000000" w:themeColor="text1"/>
                <w:w w:val="99"/>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葡70-68拟建管线上方</w:t>
            </w:r>
          </w:p>
        </w:tc>
        <w:tc>
          <w:tcPr>
            <w:tcW w:w="1234" w:type="pct"/>
            <w:vAlign w:val="center"/>
          </w:tcPr>
          <w:p>
            <w:pPr>
              <w:widowControl/>
              <w:autoSpaceDE/>
              <w:autoSpaceDN/>
              <w:jc w:val="center"/>
              <w:rPr>
                <w:rFonts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124.69630,46.00293</w:t>
            </w:r>
          </w:p>
        </w:tc>
        <w:tc>
          <w:tcPr>
            <w:tcW w:w="1217" w:type="pct"/>
            <w:vMerge w:val="continue"/>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p>
        </w:tc>
        <w:tc>
          <w:tcPr>
            <w:tcW w:w="1415" w:type="pct"/>
            <w:vAlign w:val="center"/>
          </w:tcPr>
          <w:p>
            <w:pPr>
              <w:widowControl/>
              <w:autoSpaceDE/>
              <w:autoSpaceDN/>
              <w:adjustRightInd w:val="0"/>
              <w:snapToGrid w:val="0"/>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采取表层样，在0~0.2m取样</w:t>
            </w:r>
          </w:p>
        </w:tc>
      </w:tr>
    </w:tbl>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）监测项目</w:t>
      </w:r>
    </w:p>
    <w:p>
      <w:pPr>
        <w:widowControl w:val="0"/>
        <w:spacing w:line="440" w:lineRule="exact"/>
        <w:ind w:firstLine="434" w:firstLineChars="200"/>
        <w:jc w:val="both"/>
        <w:rPr>
          <w:rFonts w:ascii="Times New Roman" w:hAnsi="Times New Roman" w:cs="Times New Roman" w:eastAsiaTheme="minorEastAsia"/>
          <w:color w:val="000000" w:themeColor="text1"/>
          <w:w w:val="99"/>
          <w:kern w:val="21"/>
          <w:highlight w:val="none"/>
          <w14:textFill>
            <w14:solidFill>
              <w14:schemeClr w14:val="tx1"/>
            </w14:solidFill>
          </w14:textFill>
        </w:rPr>
      </w:pPr>
      <w:r>
        <w:rPr>
          <w:rFonts w:ascii="Times New Roman" w:hAnsi="Times New Roman" w:cs="Times New Roman" w:eastAsiaTheme="minorEastAsia"/>
          <w:color w:val="000000" w:themeColor="text1"/>
          <w:w w:val="99"/>
          <w:kern w:val="21"/>
          <w:highlight w:val="none"/>
          <w14:textFill>
            <w14:solidFill>
              <w14:schemeClr w14:val="tx1"/>
            </w14:solidFill>
          </w14:textFill>
        </w:rPr>
        <w:t>1#~8#点位监测项目：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ascii="Times New Roman" w:hAnsi="Times New Roman" w:cs="Times New Roman" w:eastAsiaTheme="minorEastAsia"/>
          <w:color w:val="000000" w:themeColor="text1"/>
          <w:w w:val="99"/>
          <w:kern w:val="21"/>
          <w:highlight w:val="none"/>
          <w:vertAlign w:val="subscript"/>
          <w14:textFill>
            <w14:solidFill>
              <w14:schemeClr w14:val="tx1"/>
            </w14:solidFill>
          </w14:textFill>
        </w:rPr>
        <w:t>10</w:t>
      </w:r>
      <w:r>
        <w:rPr>
          <w:rFonts w:ascii="Times New Roman" w:hAnsi="Times New Roman" w:cs="Times New Roman" w:eastAsiaTheme="minorEastAsia"/>
          <w:color w:val="000000" w:themeColor="text1"/>
          <w:w w:val="99"/>
          <w:kern w:val="21"/>
          <w:highlight w:val="none"/>
          <w14:textFill>
            <w14:solidFill>
              <w14:schemeClr w14:val="tx1"/>
            </w14:solidFill>
          </w14:textFill>
        </w:rPr>
        <w:t>-C</w:t>
      </w:r>
      <w:r>
        <w:rPr>
          <w:rFonts w:ascii="Times New Roman" w:hAnsi="Times New Roman" w:cs="Times New Roman" w:eastAsiaTheme="minorEastAsia"/>
          <w:color w:val="000000" w:themeColor="text1"/>
          <w:w w:val="99"/>
          <w:kern w:val="21"/>
          <w:highlight w:val="none"/>
          <w:vertAlign w:val="subscript"/>
          <w14:textFill>
            <w14:solidFill>
              <w14:schemeClr w14:val="tx1"/>
            </w14:solidFill>
          </w14:textFill>
        </w:rPr>
        <w:t>40</w:t>
      </w:r>
      <w:r>
        <w:rPr>
          <w:rFonts w:ascii="Times New Roman" w:hAnsi="Times New Roman" w:cs="Times New Roman" w:eastAsiaTheme="minorEastAsia"/>
          <w:color w:val="000000" w:themeColor="text1"/>
          <w:w w:val="99"/>
          <w:kern w:val="21"/>
          <w:highlight w:val="none"/>
          <w14:textFill>
            <w14:solidFill>
              <w14:schemeClr w14:val="tx1"/>
            </w14:solidFill>
          </w14:textFill>
        </w:rPr>
        <w:t>）。共47项。</w:t>
      </w:r>
    </w:p>
    <w:p>
      <w:pPr>
        <w:spacing w:line="440" w:lineRule="exact"/>
        <w:ind w:firstLine="434" w:firstLineChars="200"/>
        <w:jc w:val="both"/>
        <w:rPr>
          <w:rFonts w:ascii="Times New Roman" w:hAnsi="Times New Roman" w:cs="Times New Roman" w:eastAsiaTheme="minorEastAsia"/>
          <w:color w:val="000000" w:themeColor="text1"/>
          <w:w w:val="99"/>
          <w:kern w:val="21"/>
          <w:highlight w:val="none"/>
          <w14:textFill>
            <w14:solidFill>
              <w14:schemeClr w14:val="tx1"/>
            </w14:solidFill>
          </w14:textFill>
        </w:rPr>
      </w:pPr>
      <w:r>
        <w:rPr>
          <w:rFonts w:ascii="Times New Roman" w:hAnsi="Times New Roman" w:cs="Times New Roman" w:eastAsiaTheme="minorEastAsia"/>
          <w:color w:val="000000" w:themeColor="text1"/>
          <w:w w:val="99"/>
          <w:kern w:val="21"/>
          <w:highlight w:val="none"/>
          <w14:textFill>
            <w14:solidFill>
              <w14:schemeClr w14:val="tx1"/>
            </w14:solidFill>
          </w14:textFill>
        </w:rPr>
        <w:t>9#~11#点位监测项目：pH、镉、汞、砷、铅、铬、铜、镍、锌、石油烃（C</w:t>
      </w:r>
      <w:r>
        <w:rPr>
          <w:rFonts w:ascii="Times New Roman" w:hAnsi="Times New Roman" w:cs="Times New Roman" w:eastAsiaTheme="minorEastAsia"/>
          <w:color w:val="000000" w:themeColor="text1"/>
          <w:w w:val="99"/>
          <w:kern w:val="21"/>
          <w:highlight w:val="none"/>
          <w:vertAlign w:val="subscript"/>
          <w14:textFill>
            <w14:solidFill>
              <w14:schemeClr w14:val="tx1"/>
            </w14:solidFill>
          </w14:textFill>
        </w:rPr>
        <w:t>10</w:t>
      </w:r>
      <w:r>
        <w:rPr>
          <w:rFonts w:ascii="Times New Roman" w:hAnsi="Times New Roman" w:cs="Times New Roman" w:eastAsiaTheme="minorEastAsia"/>
          <w:color w:val="000000" w:themeColor="text1"/>
          <w:w w:val="99"/>
          <w:kern w:val="21"/>
          <w:highlight w:val="none"/>
          <w14:textFill>
            <w14:solidFill>
              <w14:schemeClr w14:val="tx1"/>
            </w14:solidFill>
          </w14:textFill>
        </w:rPr>
        <w:t>-C</w:t>
      </w:r>
      <w:r>
        <w:rPr>
          <w:rFonts w:ascii="Times New Roman" w:hAnsi="Times New Roman" w:cs="Times New Roman" w:eastAsiaTheme="minorEastAsia"/>
          <w:color w:val="000000" w:themeColor="text1"/>
          <w:w w:val="99"/>
          <w:kern w:val="21"/>
          <w:highlight w:val="none"/>
          <w:vertAlign w:val="subscript"/>
          <w14:textFill>
            <w14:solidFill>
              <w14:schemeClr w14:val="tx1"/>
            </w14:solidFill>
          </w14:textFill>
        </w:rPr>
        <w:t>40</w:t>
      </w:r>
      <w:r>
        <w:rPr>
          <w:rFonts w:ascii="Times New Roman" w:hAnsi="Times New Roman" w:cs="Times New Roman" w:eastAsiaTheme="minorEastAsia"/>
          <w:color w:val="000000" w:themeColor="text1"/>
          <w:w w:val="99"/>
          <w:kern w:val="21"/>
          <w:highlight w:val="none"/>
          <w14:textFill>
            <w14:solidFill>
              <w14:schemeClr w14:val="tx1"/>
            </w14:solidFill>
          </w14:textFill>
        </w:rPr>
        <w:t>），共10项。</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4</w:t>
      </w:r>
      <w:r>
        <w:rPr>
          <w:rFonts w:ascii="Times New Roman" w:hAnsi="Times New Roman" w:cs="Times New Roman"/>
          <w:color w:val="000000" w:themeColor="text1"/>
          <w:w w:val="99"/>
          <w:sz w:val="24"/>
          <w:szCs w:val="24"/>
          <w:highlight w:val="none"/>
          <w14:textFill>
            <w14:solidFill>
              <w14:schemeClr w14:val="tx1"/>
            </w14:solidFill>
          </w14:textFill>
        </w:rPr>
        <w:t>）监测时间及频率</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监测频率：</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2021年8月30日</w:t>
      </w:r>
      <w:r>
        <w:rPr>
          <w:rFonts w:ascii="Times New Roman" w:hAnsi="Times New Roman" w:cs="Times New Roman"/>
          <w:color w:val="000000" w:themeColor="text1"/>
          <w:w w:val="99"/>
          <w:sz w:val="24"/>
          <w:szCs w:val="24"/>
          <w:highlight w:val="none"/>
          <w14:textFill>
            <w14:solidFill>
              <w14:schemeClr w14:val="tx1"/>
            </w14:solidFill>
          </w14:textFill>
        </w:rPr>
        <w:t>一次性采样</w:t>
      </w:r>
      <w:r>
        <w:rPr>
          <w:rFonts w:hint="eastAsia" w:ascii="Times New Roman" w:hAnsi="Times New Roman" w:cs="Times New Roman"/>
          <w:color w:val="000000" w:themeColor="text1"/>
          <w:w w:val="99"/>
          <w:sz w:val="24"/>
          <w:szCs w:val="24"/>
          <w:highlight w:val="none"/>
          <w14:textFill>
            <w14:solidFill>
              <w14:schemeClr w14:val="tx1"/>
            </w14:solidFill>
          </w14:textFill>
        </w:rPr>
        <w:t>。</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5</w:t>
      </w:r>
      <w:r>
        <w:rPr>
          <w:rFonts w:ascii="Times New Roman" w:hAnsi="Times New Roman" w:cs="Times New Roman"/>
          <w:color w:val="000000" w:themeColor="text1"/>
          <w:w w:val="99"/>
          <w:sz w:val="24"/>
          <w:szCs w:val="24"/>
          <w:highlight w:val="none"/>
          <w14:textFill>
            <w14:solidFill>
              <w14:schemeClr w14:val="tx1"/>
            </w14:solidFill>
          </w14:textFill>
        </w:rPr>
        <w:t>）监测结果</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土壤监测结果见表</w:t>
      </w:r>
      <w:r>
        <w:rPr>
          <w:rFonts w:ascii="Times New Roman" w:hAnsi="Times New Roman" w:cs="Times New Roman"/>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14"/>
        <w:spacing w:line="440" w:lineRule="exact"/>
        <w:ind w:firstLine="238" w:firstLineChars="1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1</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建设用地</w:t>
      </w:r>
      <w:r>
        <w:rPr>
          <w:rFonts w:ascii="Times New Roman" w:hAnsi="Times New Roman" w:cs="Times New Roman"/>
          <w:b/>
          <w:bCs/>
          <w:color w:val="000000" w:themeColor="text1"/>
          <w:w w:val="99"/>
          <w:sz w:val="24"/>
          <w:szCs w:val="24"/>
          <w:highlight w:val="none"/>
          <w:lang w:val="en-US"/>
          <w14:textFill>
            <w14:solidFill>
              <w14:schemeClr w14:val="tx1"/>
            </w14:solidFill>
          </w14:textFill>
        </w:rPr>
        <w:t>土壤环境监测结果</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（重金属和无机物） </w:t>
      </w:r>
      <w:r>
        <w:rPr>
          <w:rFonts w:ascii="Times New Roman" w:hAnsi="Times New Roman" w:cs="Times New Roman"/>
          <w:b/>
          <w:bCs/>
          <w:color w:val="000000" w:themeColor="text1"/>
          <w:w w:val="99"/>
          <w:sz w:val="24"/>
          <w:szCs w:val="24"/>
          <w:highlight w:val="none"/>
          <w:lang w:val="en-US"/>
          <w14:textFill>
            <w14:solidFill>
              <w14:schemeClr w14:val="tx1"/>
            </w14:solidFill>
          </w14:textFill>
        </w:rPr>
        <w:t>单位：mg/kg（pH无量纲）</w:t>
      </w:r>
    </w:p>
    <w:tbl>
      <w:tblPr>
        <w:tblStyle w:val="3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6"/>
        <w:gridCol w:w="1698"/>
        <w:gridCol w:w="1137"/>
        <w:gridCol w:w="992"/>
        <w:gridCol w:w="1130"/>
        <w:gridCol w:w="1086"/>
        <w:gridCol w:w="1086"/>
        <w:gridCol w:w="1091"/>
        <w:gridCol w:w="7"/>
        <w:gridCol w:w="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trHeight w:val="340" w:hRule="atLeast"/>
          <w:jc w:val="center"/>
        </w:trPr>
        <w:tc>
          <w:tcPr>
            <w:tcW w:w="706" w:type="dxa"/>
            <w:vMerge w:val="restart"/>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序号</w:t>
            </w:r>
          </w:p>
        </w:tc>
        <w:tc>
          <w:tcPr>
            <w:tcW w:w="1698" w:type="dxa"/>
            <w:vMerge w:val="restart"/>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监测项目</w:t>
            </w:r>
          </w:p>
        </w:tc>
        <w:tc>
          <w:tcPr>
            <w:tcW w:w="6529" w:type="dxa"/>
            <w:gridSpan w:val="7"/>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监测点位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698"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3259" w:type="dxa"/>
            <w:gridSpan w:val="3"/>
            <w:vAlign w:val="center"/>
          </w:tcPr>
          <w:p>
            <w:pPr>
              <w:autoSpaceDE/>
              <w:autoSpaceDN/>
              <w:snapToGrid w:val="0"/>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S1</w:t>
            </w: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w:t>
            </w:r>
          </w:p>
        </w:tc>
        <w:tc>
          <w:tcPr>
            <w:tcW w:w="3263" w:type="dxa"/>
            <w:gridSpan w:val="3"/>
            <w:vAlign w:val="center"/>
          </w:tcPr>
          <w:p>
            <w:pPr>
              <w:autoSpaceDE/>
              <w:autoSpaceDN/>
              <w:snapToGrid w:val="0"/>
              <w:jc w:val="center"/>
              <w:rPr>
                <w:rFonts w:hint="default"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S2#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698"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0-0.5m</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0.5-1.5m</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1.5-3m</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0-0.5m</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0.5-1.5m</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1.5-3m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7.99</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8.13</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8.20</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8.12</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8.19</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7.95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2</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镉（Cd）</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10</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0.08</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09</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0.11</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3</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汞（Hg）</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16</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020</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019</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19</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15</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4</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砷（As）</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3.44</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3.36</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3.39</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3.39</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3.43</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5</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铅（Pb）</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16</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20</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19</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22</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16</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6</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铬（六价）</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7</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铜（Cu）</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13</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19</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15</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8</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镍（Ni）</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23</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20</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18</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22</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20</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9</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石油烃</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Merge w:val="restart"/>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序号</w:t>
            </w:r>
          </w:p>
        </w:tc>
        <w:tc>
          <w:tcPr>
            <w:tcW w:w="1698" w:type="dxa"/>
            <w:vMerge w:val="restart"/>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监测项目</w:t>
            </w:r>
          </w:p>
        </w:tc>
        <w:tc>
          <w:tcPr>
            <w:tcW w:w="6522" w:type="dxa"/>
            <w:gridSpan w:val="6"/>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监测点位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698"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3259" w:type="dxa"/>
            <w:gridSpan w:val="3"/>
            <w:vAlign w:val="center"/>
          </w:tcPr>
          <w:p>
            <w:pPr>
              <w:autoSpaceDE/>
              <w:autoSpaceDN/>
              <w:adjustRightInd w:val="0"/>
              <w:snapToGrid w:val="0"/>
              <w:spacing w:line="280" w:lineRule="exact"/>
              <w:jc w:val="center"/>
              <w:rPr>
                <w:rFonts w:hint="default"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S3#</w:t>
            </w:r>
          </w:p>
        </w:tc>
        <w:tc>
          <w:tcPr>
            <w:tcW w:w="3263" w:type="dxa"/>
            <w:gridSpan w:val="3"/>
            <w:vAlign w:val="center"/>
          </w:tcPr>
          <w:p>
            <w:pPr>
              <w:autoSpaceDE/>
              <w:autoSpaceDN/>
              <w:adjustRightInd w:val="0"/>
              <w:snapToGrid w:val="0"/>
              <w:spacing w:line="280" w:lineRule="exact"/>
              <w:jc w:val="center"/>
              <w:rPr>
                <w:rFonts w:hint="default"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S4#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698"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0-0.5m</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0.5-1.5m</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1.5-3m</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0-0.5m</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0.5-1.5m</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1.5-3m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8.22</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7.88</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7.94</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7.84</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7.92</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7.73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2</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镉（Cd）</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08</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0.10</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0.06</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3</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汞（Hg）</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19</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20</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014</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15</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18</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4</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砷（As）</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3.36</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3.31</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3.40</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3.31</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3.40</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5</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铅（Pb）</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15</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18</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14</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17</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6</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铬（六价）</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7</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铜（Cu）</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16</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20</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13</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12</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16</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8</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镍（Ni）</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24</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19</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23</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18</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20</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9</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石油烃</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91"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Merge w:val="restart"/>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序号</w:t>
            </w:r>
          </w:p>
        </w:tc>
        <w:tc>
          <w:tcPr>
            <w:tcW w:w="1698" w:type="dxa"/>
            <w:vMerge w:val="restart"/>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监测项目</w:t>
            </w:r>
          </w:p>
        </w:tc>
        <w:tc>
          <w:tcPr>
            <w:tcW w:w="6538" w:type="dxa"/>
            <w:gridSpan w:val="8"/>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监测点位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698"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3259" w:type="dxa"/>
            <w:gridSpan w:val="3"/>
            <w:vAlign w:val="center"/>
          </w:tcPr>
          <w:p>
            <w:pPr>
              <w:autoSpaceDE/>
              <w:autoSpaceDN/>
              <w:adjustRightInd w:val="0"/>
              <w:snapToGrid w:val="0"/>
              <w:spacing w:line="280" w:lineRule="exact"/>
              <w:jc w:val="center"/>
              <w:rPr>
                <w:rFonts w:hint="default"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highlight w:val="none"/>
                <w:lang w:val="en-US" w:eastAsia="zh-CN" w:bidi="ar-SA"/>
                <w14:textFill>
                  <w14:solidFill>
                    <w14:schemeClr w14:val="tx1"/>
                  </w14:solidFill>
                </w14:textFill>
              </w:rPr>
              <w:t>S5#</w:t>
            </w:r>
          </w:p>
        </w:tc>
        <w:tc>
          <w:tcPr>
            <w:tcW w:w="1086" w:type="dxa"/>
            <w:vAlign w:val="center"/>
          </w:tcPr>
          <w:p>
            <w:pPr>
              <w:autoSpaceDE/>
              <w:autoSpaceDN/>
              <w:adjustRightInd w:val="0"/>
              <w:snapToGrid w:val="0"/>
              <w:spacing w:line="280" w:lineRule="exact"/>
              <w:jc w:val="center"/>
              <w:rPr>
                <w:rFonts w:hint="default"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宋体" w:hAnsi="宋体" w:eastAsia="宋体" w:cs="宋体"/>
                <w:color w:val="000000" w:themeColor="text1"/>
                <w:w w:val="99"/>
                <w:sz w:val="21"/>
                <w:szCs w:val="21"/>
                <w:highlight w:val="none"/>
                <w:lang w:val="en-US" w:eastAsia="zh-CN"/>
                <w14:textFill>
                  <w14:solidFill>
                    <w14:schemeClr w14:val="tx1"/>
                  </w14:solidFill>
                </w14:textFill>
              </w:rPr>
              <w:t>S6#</w:t>
            </w:r>
          </w:p>
        </w:tc>
        <w:tc>
          <w:tcPr>
            <w:tcW w:w="1086" w:type="dxa"/>
            <w:vAlign w:val="center"/>
          </w:tcPr>
          <w:p>
            <w:pPr>
              <w:autoSpaceDE/>
              <w:autoSpaceDN/>
              <w:adjustRightInd w:val="0"/>
              <w:snapToGrid w:val="0"/>
              <w:spacing w:line="280" w:lineRule="exact"/>
              <w:jc w:val="center"/>
              <w:rPr>
                <w:rFonts w:hint="default"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宋体" w:hAnsi="宋体" w:eastAsia="宋体" w:cs="宋体"/>
                <w:color w:val="000000" w:themeColor="text1"/>
                <w:w w:val="99"/>
                <w:sz w:val="21"/>
                <w:szCs w:val="21"/>
                <w:highlight w:val="none"/>
                <w:lang w:val="en-US" w:eastAsia="zh-CN"/>
                <w14:textFill>
                  <w14:solidFill>
                    <w14:schemeClr w14:val="tx1"/>
                  </w14:solidFill>
                </w14:textFill>
              </w:rPr>
              <w:t>S7#</w:t>
            </w:r>
          </w:p>
        </w:tc>
        <w:tc>
          <w:tcPr>
            <w:tcW w:w="1107" w:type="dxa"/>
            <w:gridSpan w:val="3"/>
            <w:vAlign w:val="center"/>
          </w:tcPr>
          <w:p>
            <w:pPr>
              <w:autoSpaceDE/>
              <w:autoSpaceDN/>
              <w:adjustRightInd w:val="0"/>
              <w:snapToGrid w:val="0"/>
              <w:spacing w:line="280" w:lineRule="exac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w w:val="99"/>
                <w:sz w:val="21"/>
                <w:szCs w:val="21"/>
                <w:highlight w:val="none"/>
                <w:lang w:val="en-US" w:eastAsia="zh-CN"/>
                <w14:textFill>
                  <w14:solidFill>
                    <w14:schemeClr w14:val="tx1"/>
                  </w14:solidFill>
                </w14:textFill>
              </w:rPr>
              <w:t>S8#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698" w:type="dxa"/>
            <w:vMerge w:val="continue"/>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0-0.5m</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0.5-1.5m</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1.5-3m</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0-0.2m</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0-0.2m</w:t>
            </w:r>
          </w:p>
        </w:tc>
        <w:tc>
          <w:tcPr>
            <w:tcW w:w="1107" w:type="dxa"/>
            <w:gridSpan w:val="3"/>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0-0.2m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8.28</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8.13</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8.07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7.97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8.07</w:t>
            </w:r>
          </w:p>
        </w:tc>
        <w:tc>
          <w:tcPr>
            <w:tcW w:w="1107" w:type="dxa"/>
            <w:gridSpan w:val="3"/>
            <w:vAlign w:val="center"/>
          </w:tcPr>
          <w:p>
            <w:pPr>
              <w:autoSpaceDE/>
              <w:autoSpaceDN/>
              <w:adjustRightInd w:val="0"/>
              <w:snapToGrid w:val="0"/>
              <w:spacing w:line="28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7.81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2</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镉（Cd）</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10</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0.06</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11</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0.09</w:t>
            </w:r>
          </w:p>
        </w:tc>
        <w:tc>
          <w:tcPr>
            <w:tcW w:w="1107" w:type="dxa"/>
            <w:gridSpan w:val="3"/>
            <w:vAlign w:val="center"/>
          </w:tcPr>
          <w:p>
            <w:pPr>
              <w:autoSpaceDE/>
              <w:autoSpaceDN/>
              <w:adjustRightInd w:val="0"/>
              <w:snapToGrid w:val="0"/>
              <w:spacing w:line="28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3</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汞（Hg）</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18</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16</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017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13</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0.0</w:t>
            </w: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17</w:t>
            </w:r>
          </w:p>
        </w:tc>
        <w:tc>
          <w:tcPr>
            <w:tcW w:w="1107" w:type="dxa"/>
            <w:gridSpan w:val="3"/>
            <w:vAlign w:val="center"/>
          </w:tcPr>
          <w:p>
            <w:pPr>
              <w:autoSpaceDE/>
              <w:autoSpaceDN/>
              <w:adjustRightInd w:val="0"/>
              <w:snapToGrid w:val="0"/>
              <w:spacing w:line="28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0.015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4</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砷（As）</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3.40</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3.31</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3.36</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3.35</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3.34</w:t>
            </w:r>
          </w:p>
        </w:tc>
        <w:tc>
          <w:tcPr>
            <w:tcW w:w="1107" w:type="dxa"/>
            <w:gridSpan w:val="3"/>
            <w:vAlign w:val="center"/>
          </w:tcPr>
          <w:p>
            <w:pPr>
              <w:autoSpaceDE/>
              <w:autoSpaceDN/>
              <w:adjustRightInd w:val="0"/>
              <w:snapToGrid w:val="0"/>
              <w:spacing w:line="28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3.30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5</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铅（Pb）</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15</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17</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16</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16</w:t>
            </w:r>
          </w:p>
        </w:tc>
        <w:tc>
          <w:tcPr>
            <w:tcW w:w="1107" w:type="dxa"/>
            <w:gridSpan w:val="3"/>
            <w:vAlign w:val="center"/>
          </w:tcPr>
          <w:p>
            <w:pPr>
              <w:autoSpaceDE/>
              <w:autoSpaceDN/>
              <w:adjustRightInd w:val="0"/>
              <w:snapToGrid w:val="0"/>
              <w:spacing w:line="28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6</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铬（六价）</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107" w:type="dxa"/>
            <w:gridSpan w:val="3"/>
            <w:vAlign w:val="center"/>
          </w:tcPr>
          <w:p>
            <w:pPr>
              <w:autoSpaceDE/>
              <w:autoSpaceDN/>
              <w:adjustRightInd w:val="0"/>
              <w:snapToGrid w:val="0"/>
              <w:spacing w:line="28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7</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铜（Cu）</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18</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15</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17</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13</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18</w:t>
            </w:r>
          </w:p>
        </w:tc>
        <w:tc>
          <w:tcPr>
            <w:tcW w:w="1107" w:type="dxa"/>
            <w:gridSpan w:val="3"/>
            <w:vAlign w:val="center"/>
          </w:tcPr>
          <w:p>
            <w:pPr>
              <w:autoSpaceDE/>
              <w:autoSpaceDN/>
              <w:adjustRightInd w:val="0"/>
              <w:snapToGrid w:val="0"/>
              <w:spacing w:line="280" w:lineRule="exac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8</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镍（Ni）</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25</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19</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24</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21</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23</w:t>
            </w:r>
          </w:p>
        </w:tc>
        <w:tc>
          <w:tcPr>
            <w:tcW w:w="1107" w:type="dxa"/>
            <w:gridSpan w:val="3"/>
            <w:vAlign w:val="center"/>
          </w:tcPr>
          <w:p>
            <w:pPr>
              <w:autoSpaceDE/>
              <w:autoSpaceDN/>
              <w:adjustRightInd w:val="0"/>
              <w:snapToGrid w:val="0"/>
              <w:spacing w:line="280" w:lineRule="exact"/>
              <w:jc w:val="center"/>
              <w:rPr>
                <w:rFonts w:hint="default"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6" w:type="dxa"/>
            <w:vAlign w:val="center"/>
          </w:tcPr>
          <w:p>
            <w:pPr>
              <w:autoSpaceDE/>
              <w:autoSpaceDN/>
              <w:snapToGri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9</w:t>
            </w:r>
          </w:p>
        </w:tc>
        <w:tc>
          <w:tcPr>
            <w:tcW w:w="169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石油烃</w:t>
            </w:r>
          </w:p>
        </w:tc>
        <w:tc>
          <w:tcPr>
            <w:tcW w:w="1137"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992"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130"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086" w:type="dxa"/>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c>
          <w:tcPr>
            <w:tcW w:w="1107" w:type="dxa"/>
            <w:gridSpan w:val="3"/>
            <w:vAlign w:val="center"/>
          </w:tcPr>
          <w:p>
            <w:pPr>
              <w:autoSpaceDE/>
              <w:autoSpaceDN/>
              <w:adjustRightInd w:val="0"/>
              <w:snapToGrid w:val="0"/>
              <w:spacing w:line="28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未检出</w:t>
            </w:r>
          </w:p>
        </w:tc>
      </w:tr>
    </w:tbl>
    <w:p>
      <w:pPr>
        <w:pStyle w:val="14"/>
        <w:spacing w:line="440" w:lineRule="exact"/>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b/>
          <w:bCs/>
          <w:color w:val="000000" w:themeColor="text1"/>
          <w:w w:val="99"/>
          <w:sz w:val="24"/>
          <w:szCs w:val="24"/>
          <w:highlight w:val="none"/>
          <w14:textFill>
            <w14:solidFill>
              <w14:schemeClr w14:val="tx1"/>
            </w14:solidFill>
          </w14:textFill>
        </w:rPr>
        <w:t>续</w:t>
      </w: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1</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建设用地</w:t>
      </w:r>
      <w:r>
        <w:rPr>
          <w:rFonts w:ascii="Times New Roman" w:hAnsi="Times New Roman" w:cs="Times New Roman"/>
          <w:b/>
          <w:bCs/>
          <w:color w:val="000000" w:themeColor="text1"/>
          <w:w w:val="99"/>
          <w:sz w:val="24"/>
          <w:szCs w:val="24"/>
          <w:highlight w:val="none"/>
          <w:lang w:val="en-US"/>
          <w14:textFill>
            <w14:solidFill>
              <w14:schemeClr w14:val="tx1"/>
            </w14:solidFill>
          </w14:textFill>
        </w:rPr>
        <w:t>土壤监测结果</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（挥发、半挥发有机物）</w:t>
      </w:r>
      <w:r>
        <w:rPr>
          <w:rFonts w:ascii="Times New Roman" w:hAnsi="Times New Roman" w:cs="Times New Roman"/>
          <w:b/>
          <w:bCs/>
          <w:color w:val="000000" w:themeColor="text1"/>
          <w:w w:val="99"/>
          <w:sz w:val="24"/>
          <w:szCs w:val="24"/>
          <w:highlight w:val="none"/>
          <w:lang w:val="en-US"/>
          <w14:textFill>
            <w14:solidFill>
              <w14:schemeClr w14:val="tx1"/>
            </w14:solidFill>
          </w14:textFill>
        </w:rPr>
        <w:t>单位：mg/kg（pH无量纲）</w:t>
      </w:r>
    </w:p>
    <w:tbl>
      <w:tblPr>
        <w:tblStyle w:val="32"/>
        <w:tblW w:w="894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1"/>
        <w:gridCol w:w="1914"/>
        <w:gridCol w:w="1592"/>
        <w:gridCol w:w="755"/>
        <w:gridCol w:w="2362"/>
        <w:gridCol w:w="17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Merge w:val="restart"/>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1914" w:type="dxa"/>
            <w:vMerge w:val="restart"/>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监测项目</w:t>
            </w:r>
          </w:p>
        </w:tc>
        <w:tc>
          <w:tcPr>
            <w:tcW w:w="1592"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监测点位</w:t>
            </w:r>
          </w:p>
        </w:tc>
        <w:tc>
          <w:tcPr>
            <w:tcW w:w="755" w:type="dxa"/>
            <w:vMerge w:val="restart"/>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2362" w:type="dxa"/>
            <w:vMerge w:val="restart"/>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监测项目</w:t>
            </w:r>
          </w:p>
        </w:tc>
        <w:tc>
          <w:tcPr>
            <w:tcW w:w="1728"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监测点位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Merge w:val="continue"/>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914" w:type="dxa"/>
            <w:vMerge w:val="continue"/>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92" w:type="dxa"/>
            <w:vAlign w:val="center"/>
          </w:tcPr>
          <w:p>
            <w:pPr>
              <w:autoSpaceDE/>
              <w:autoSpaceDN/>
              <w:snapToGrid w:val="0"/>
              <w:jc w:val="center"/>
              <w:rPr>
                <w:color w:val="000000" w:themeColor="text1"/>
                <w:highlight w:val="none"/>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S1#～S</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#点</w:t>
            </w:r>
          </w:p>
        </w:tc>
        <w:tc>
          <w:tcPr>
            <w:tcW w:w="755" w:type="dxa"/>
            <w:vMerge w:val="continue"/>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362" w:type="dxa"/>
            <w:vMerge w:val="continue"/>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28"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S1#～S</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四氯化碳</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氯苯</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氯仿</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21</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1,2-二氯苯</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氯甲烷</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22</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1,4-二氯苯</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1,1-二氯乙烷</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23</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乙苯</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1,2-二氯乙烷</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24</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苯乙烯</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1,1-二氯乙烯</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25</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甲苯</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顺-1,2-二氯乙烯</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26</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间，对二甲苯</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反-1,2-二氯乙烯</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27</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邻二甲苯</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二氯甲烷</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28</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硝基苯</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1,2-二氯丙烷</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29</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苯胺</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11</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1,1,1,2-四氯乙烷</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2-氯酚</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12</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1,1,2,2-四氯乙烷</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31</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苯并[a]蒽</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13</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四氯乙烯</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32</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苯并[a]芘</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14</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1,1,1-三氯乙烷</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33</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苯并[b]荧蒽</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15</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1,1,2-三氯乙烷</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34</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苯并[k]荧蒽</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16</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三氯乙烯</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35</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䓛</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17</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1,2,3-三氯丙烷</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36</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二苯并[a, h]蒽</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18</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氯乙烯</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37</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茚并[1,2,3-cd]芘</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19</w:t>
            </w:r>
          </w:p>
        </w:tc>
        <w:tc>
          <w:tcPr>
            <w:tcW w:w="1914"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苯</w:t>
            </w:r>
          </w:p>
        </w:tc>
        <w:tc>
          <w:tcPr>
            <w:tcW w:w="1592"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c>
          <w:tcPr>
            <w:tcW w:w="755" w:type="dxa"/>
            <w:vAlign w:val="center"/>
          </w:tcPr>
          <w:p>
            <w:pPr>
              <w:autoSpaceDE/>
              <w:autoSpaceDN/>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38</w:t>
            </w:r>
          </w:p>
        </w:tc>
        <w:tc>
          <w:tcPr>
            <w:tcW w:w="2362" w:type="dxa"/>
            <w:vAlign w:val="center"/>
          </w:tcPr>
          <w:p>
            <w:pPr>
              <w:widowControl/>
              <w:autoSpaceDE/>
              <w:autoSpaceDN/>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萘</w:t>
            </w:r>
          </w:p>
        </w:tc>
        <w:tc>
          <w:tcPr>
            <w:tcW w:w="1728" w:type="dxa"/>
          </w:tcPr>
          <w:p>
            <w:pPr>
              <w:autoSpaceDE/>
              <w:autoSpaceDN/>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未检出</w:t>
            </w:r>
          </w:p>
        </w:tc>
      </w:tr>
    </w:tbl>
    <w:p>
      <w:pPr>
        <w:widowControl/>
        <w:autoSpaceDE/>
        <w:autoSpaceDN/>
        <w:spacing w:line="500" w:lineRule="exact"/>
        <w:ind w:firstLine="476" w:firstLineChars="200"/>
        <w:jc w:val="both"/>
        <w:rPr>
          <w:rFonts w:ascii="Times New Roman" w:hAnsi="Times New Roman" w:cs="Times New Roman"/>
          <w:b/>
          <w:bCs/>
          <w:color w:val="000000" w:themeColor="text1"/>
          <w:w w:val="99"/>
          <w:kern w:val="21"/>
          <w:sz w:val="24"/>
          <w:szCs w:val="24"/>
          <w:highlight w:val="none"/>
          <w:lang w:val="en-US"/>
          <w14:textFill>
            <w14:solidFill>
              <w14:schemeClr w14:val="tx1"/>
            </w14:solidFill>
          </w14:textFill>
        </w:rPr>
      </w:pPr>
      <w:r>
        <w:rPr>
          <w:rFonts w:hint="eastAsia" w:ascii="Times New Roman" w:hAnsi="Times New Roman" w:cs="Times New Roman"/>
          <w:b/>
          <w:bCs/>
          <w:color w:val="000000" w:themeColor="text1"/>
          <w:w w:val="99"/>
          <w:kern w:val="21"/>
          <w:sz w:val="24"/>
          <w:szCs w:val="24"/>
          <w:highlight w:val="none"/>
          <w:lang w:val="en-US"/>
          <w14:textFill>
            <w14:solidFill>
              <w14:schemeClr w14:val="tx1"/>
            </w14:solidFill>
          </w14:textFill>
        </w:rPr>
        <w:t>续</w:t>
      </w:r>
      <w:r>
        <w:rPr>
          <w:rFonts w:ascii="Times New Roman" w:hAnsi="Times New Roman" w:cs="Times New Roman"/>
          <w:b/>
          <w:bCs/>
          <w:color w:val="000000" w:themeColor="text1"/>
          <w:w w:val="99"/>
          <w:kern w:val="21"/>
          <w:sz w:val="24"/>
          <w:szCs w:val="24"/>
          <w:highlight w:val="none"/>
          <w:lang w:val="en-US"/>
          <w14:textFill>
            <w14:solidFill>
              <w14:schemeClr w14:val="tx1"/>
            </w14:solidFill>
          </w14:textFill>
        </w:rPr>
        <w:t>表4.3-2</w:t>
      </w:r>
      <w:r>
        <w:rPr>
          <w:rFonts w:hint="eastAsia" w:ascii="Times New Roman" w:hAnsi="Times New Roman" w:cs="Times New Roman"/>
          <w:b/>
          <w:bCs/>
          <w:color w:val="000000" w:themeColor="text1"/>
          <w:w w:val="99"/>
          <w:kern w:val="21"/>
          <w:sz w:val="24"/>
          <w:szCs w:val="24"/>
          <w:highlight w:val="none"/>
          <w:lang w:val="en-US" w:eastAsia="zh-CN"/>
          <w14:textFill>
            <w14:solidFill>
              <w14:schemeClr w14:val="tx1"/>
            </w14:solidFill>
          </w14:textFill>
        </w:rPr>
        <w:t>1</w:t>
      </w:r>
      <w:r>
        <w:rPr>
          <w:rFonts w:ascii="Times New Roman" w:hAnsi="Times New Roman" w:cs="Times New Roman"/>
          <w:b/>
          <w:bCs/>
          <w:color w:val="000000" w:themeColor="text1"/>
          <w:w w:val="99"/>
          <w:kern w:val="21"/>
          <w:sz w:val="24"/>
          <w:szCs w:val="24"/>
          <w:highlight w:val="none"/>
          <w:lang w:val="en-US"/>
          <w14:textFill>
            <w14:solidFill>
              <w14:schemeClr w14:val="tx1"/>
            </w14:solidFill>
          </w14:textFill>
        </w:rPr>
        <w:t xml:space="preserve">        农用地土壤监测</w:t>
      </w:r>
      <w:r>
        <w:rPr>
          <w:rFonts w:hint="eastAsia" w:ascii="Times New Roman" w:hAnsi="Times New Roman" w:cs="Times New Roman"/>
          <w:b/>
          <w:bCs/>
          <w:color w:val="000000" w:themeColor="text1"/>
          <w:w w:val="99"/>
          <w:kern w:val="21"/>
          <w:sz w:val="24"/>
          <w:szCs w:val="24"/>
          <w:highlight w:val="none"/>
          <w:lang w:val="en-US"/>
          <w14:textFill>
            <w14:solidFill>
              <w14:schemeClr w14:val="tx1"/>
            </w14:solidFill>
          </w14:textFill>
        </w:rPr>
        <w:t>结果</w:t>
      </w:r>
      <w:r>
        <w:rPr>
          <w:rFonts w:ascii="Times New Roman" w:hAnsi="Times New Roman" w:cs="Times New Roman"/>
          <w:b/>
          <w:bCs/>
          <w:color w:val="000000" w:themeColor="text1"/>
          <w:w w:val="99"/>
          <w:kern w:val="21"/>
          <w:sz w:val="24"/>
          <w:szCs w:val="24"/>
          <w:highlight w:val="none"/>
          <w:lang w:val="en-US"/>
          <w14:textFill>
            <w14:solidFill>
              <w14:schemeClr w14:val="tx1"/>
            </w14:solidFill>
          </w14:textFill>
        </w:rPr>
        <w:t>表         单位：mg/kg（pH</w:t>
      </w:r>
      <w:r>
        <w:rPr>
          <w:rFonts w:hint="eastAsia" w:ascii="Times New Roman" w:hAnsi="Times New Roman" w:cs="Times New Roman"/>
          <w:b/>
          <w:bCs/>
          <w:color w:val="000000" w:themeColor="text1"/>
          <w:w w:val="99"/>
          <w:kern w:val="21"/>
          <w:sz w:val="24"/>
          <w:szCs w:val="24"/>
          <w:highlight w:val="none"/>
          <w:lang w:val="en-US"/>
          <w14:textFill>
            <w14:solidFill>
              <w14:schemeClr w14:val="tx1"/>
            </w14:solidFill>
          </w14:textFill>
        </w:rPr>
        <w:t>无量纲</w:t>
      </w:r>
      <w:r>
        <w:rPr>
          <w:rFonts w:ascii="Times New Roman" w:hAnsi="Times New Roman" w:cs="Times New Roman"/>
          <w:b/>
          <w:bCs/>
          <w:color w:val="000000" w:themeColor="text1"/>
          <w:w w:val="99"/>
          <w:kern w:val="21"/>
          <w:sz w:val="24"/>
          <w:szCs w:val="24"/>
          <w:highlight w:val="none"/>
          <w:lang w:val="en-US"/>
          <w14:textFill>
            <w14:solidFill>
              <w14:schemeClr w14:val="tx1"/>
            </w14:solidFill>
          </w14:textFill>
        </w:rPr>
        <w:t>）</w:t>
      </w:r>
    </w:p>
    <w:tbl>
      <w:tblPr>
        <w:tblStyle w:val="32"/>
        <w:tblW w:w="903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93"/>
        <w:gridCol w:w="2319"/>
        <w:gridCol w:w="2531"/>
        <w:gridCol w:w="2286"/>
        <w:gridCol w:w="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4" w:hRule="atLeast"/>
          <w:jc w:val="center"/>
        </w:trPr>
        <w:tc>
          <w:tcPr>
            <w:tcW w:w="1893" w:type="dxa"/>
            <w:vMerge w:val="restart"/>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监测项目</w:t>
            </w:r>
          </w:p>
        </w:tc>
        <w:tc>
          <w:tcPr>
            <w:tcW w:w="7146" w:type="dxa"/>
            <w:gridSpan w:val="4"/>
            <w:tcBorders>
              <w:right w:val="single" w:color="auto" w:sz="4" w:space="0"/>
            </w:tcBorders>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监测点位及监测结果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44" w:hRule="atLeast"/>
          <w:jc w:val="center"/>
        </w:trPr>
        <w:tc>
          <w:tcPr>
            <w:tcW w:w="1893" w:type="dxa"/>
            <w:vMerge w:val="continue"/>
            <w:vAlign w:val="center"/>
          </w:tcPr>
          <w:p>
            <w:pPr>
              <w:adjustRightIn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2319" w:type="dxa"/>
            <w:vAlign w:val="center"/>
          </w:tcPr>
          <w:p>
            <w:pPr>
              <w:autoSpaceDE/>
              <w:autoSpaceDN/>
              <w:adjustRightInd w:val="0"/>
              <w:snapToGrid w:val="0"/>
              <w:spacing w:line="28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S9#</w:t>
            </w:r>
          </w:p>
        </w:tc>
        <w:tc>
          <w:tcPr>
            <w:tcW w:w="2531" w:type="dxa"/>
            <w:vAlign w:val="center"/>
          </w:tcPr>
          <w:p>
            <w:pPr>
              <w:autoSpaceDE/>
              <w:autoSpaceDN/>
              <w:adjustRightInd w:val="0"/>
              <w:snapToGrid w:val="0"/>
              <w:spacing w:line="28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S10#</w:t>
            </w: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 xml:space="preserve"> </w:t>
            </w:r>
          </w:p>
        </w:tc>
        <w:tc>
          <w:tcPr>
            <w:tcW w:w="2286" w:type="dxa"/>
            <w:tcBorders>
              <w:right w:val="single" w:color="auto" w:sz="4" w:space="0"/>
            </w:tcBorders>
            <w:vAlign w:val="center"/>
          </w:tcPr>
          <w:p>
            <w:pPr>
              <w:autoSpaceDE/>
              <w:autoSpaceDN/>
              <w:adjustRightInd w:val="0"/>
              <w:snapToGrid w:val="0"/>
              <w:spacing w:line="280" w:lineRule="exact"/>
              <w:jc w:val="center"/>
              <w:rPr>
                <w:rFonts w:hint="eastAsia" w:ascii="Times New Roman" w:hAnsi="Times New Roman" w:eastAsia="宋体" w:cs="Times New Roman"/>
                <w:color w:val="000000" w:themeColor="text1"/>
                <w:w w:val="99"/>
                <w:kern w:val="24"/>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S11#</w:t>
            </w: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44" w:hRule="atLeast"/>
          <w:jc w:val="center"/>
        </w:trPr>
        <w:tc>
          <w:tcPr>
            <w:tcW w:w="1893"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2319"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7.78</w:t>
            </w:r>
          </w:p>
        </w:tc>
        <w:tc>
          <w:tcPr>
            <w:tcW w:w="253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7.71</w:t>
            </w:r>
          </w:p>
        </w:tc>
        <w:tc>
          <w:tcPr>
            <w:tcW w:w="2286"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7.88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44" w:hRule="atLeast"/>
          <w:jc w:val="center"/>
        </w:trPr>
        <w:tc>
          <w:tcPr>
            <w:tcW w:w="1893"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镉（Cd）</w:t>
            </w:r>
          </w:p>
        </w:tc>
        <w:tc>
          <w:tcPr>
            <w:tcW w:w="2319"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0.</w:t>
            </w: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07</w:t>
            </w:r>
          </w:p>
        </w:tc>
        <w:tc>
          <w:tcPr>
            <w:tcW w:w="253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0.0</w:t>
            </w: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8</w:t>
            </w:r>
          </w:p>
        </w:tc>
        <w:tc>
          <w:tcPr>
            <w:tcW w:w="2286"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44" w:hRule="atLeast"/>
          <w:jc w:val="center"/>
        </w:trPr>
        <w:tc>
          <w:tcPr>
            <w:tcW w:w="1893"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汞（Hg）</w:t>
            </w:r>
          </w:p>
        </w:tc>
        <w:tc>
          <w:tcPr>
            <w:tcW w:w="2319"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0.0</w:t>
            </w: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17</w:t>
            </w:r>
          </w:p>
        </w:tc>
        <w:tc>
          <w:tcPr>
            <w:tcW w:w="2531" w:type="dxa"/>
            <w:vAlign w:val="center"/>
          </w:tcPr>
          <w:p>
            <w:pPr>
              <w:autoSpaceDE/>
              <w:autoSpaceDN/>
              <w:adjustRightInd w:val="0"/>
              <w:snapToGrid w:val="0"/>
              <w:spacing w:line="280" w:lineRule="exact"/>
              <w:jc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0.0</w:t>
            </w: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12</w:t>
            </w:r>
          </w:p>
        </w:tc>
        <w:tc>
          <w:tcPr>
            <w:tcW w:w="2286"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0.016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44" w:hRule="atLeast"/>
          <w:jc w:val="center"/>
        </w:trPr>
        <w:tc>
          <w:tcPr>
            <w:tcW w:w="1893" w:type="dxa"/>
            <w:vAlign w:val="center"/>
          </w:tcPr>
          <w:p>
            <w:pPr>
              <w:autoSpaceDE/>
              <w:autoSpaceDN/>
              <w:adjustRightInd w:val="0"/>
              <w:snapToGrid w:val="0"/>
              <w:spacing w:line="28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砷（As）</w:t>
            </w:r>
          </w:p>
        </w:tc>
        <w:tc>
          <w:tcPr>
            <w:tcW w:w="2319"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3.</w:t>
            </w: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30</w:t>
            </w:r>
          </w:p>
        </w:tc>
        <w:tc>
          <w:tcPr>
            <w:tcW w:w="253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14:textFill>
                  <w14:solidFill>
                    <w14:schemeClr w14:val="tx1"/>
                  </w14:solidFill>
                </w14:textFill>
              </w:rPr>
              <w:t>3.</w:t>
            </w: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33</w:t>
            </w:r>
          </w:p>
        </w:tc>
        <w:tc>
          <w:tcPr>
            <w:tcW w:w="2286"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3.46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44" w:hRule="atLeast"/>
          <w:jc w:val="center"/>
        </w:trPr>
        <w:tc>
          <w:tcPr>
            <w:tcW w:w="1893" w:type="dxa"/>
            <w:vAlign w:val="center"/>
          </w:tcPr>
          <w:p>
            <w:pPr>
              <w:autoSpaceDE/>
              <w:autoSpaceDN/>
              <w:adjustRightInd w:val="0"/>
              <w:snapToGrid w:val="0"/>
              <w:spacing w:line="28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铅（Pb）</w:t>
            </w:r>
          </w:p>
        </w:tc>
        <w:tc>
          <w:tcPr>
            <w:tcW w:w="2319"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16</w:t>
            </w:r>
          </w:p>
        </w:tc>
        <w:tc>
          <w:tcPr>
            <w:tcW w:w="253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15</w:t>
            </w:r>
          </w:p>
        </w:tc>
        <w:tc>
          <w:tcPr>
            <w:tcW w:w="2286"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44" w:hRule="atLeast"/>
          <w:jc w:val="center"/>
        </w:trPr>
        <w:tc>
          <w:tcPr>
            <w:tcW w:w="1893" w:type="dxa"/>
            <w:vAlign w:val="center"/>
          </w:tcPr>
          <w:p>
            <w:pPr>
              <w:autoSpaceDE/>
              <w:autoSpaceDN/>
              <w:adjustRightInd w:val="0"/>
              <w:snapToGrid w:val="0"/>
              <w:spacing w:line="28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铬（Cr）</w:t>
            </w:r>
          </w:p>
        </w:tc>
        <w:tc>
          <w:tcPr>
            <w:tcW w:w="2319"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46</w:t>
            </w:r>
          </w:p>
        </w:tc>
        <w:tc>
          <w:tcPr>
            <w:tcW w:w="253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52</w:t>
            </w:r>
          </w:p>
        </w:tc>
        <w:tc>
          <w:tcPr>
            <w:tcW w:w="2286"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44" w:hRule="atLeast"/>
          <w:jc w:val="center"/>
        </w:trPr>
        <w:tc>
          <w:tcPr>
            <w:tcW w:w="1893"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铜（Cu）</w:t>
            </w:r>
          </w:p>
        </w:tc>
        <w:tc>
          <w:tcPr>
            <w:tcW w:w="2319"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14</w:t>
            </w:r>
          </w:p>
        </w:tc>
        <w:tc>
          <w:tcPr>
            <w:tcW w:w="253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18</w:t>
            </w:r>
          </w:p>
        </w:tc>
        <w:tc>
          <w:tcPr>
            <w:tcW w:w="2286"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44" w:hRule="atLeast"/>
          <w:jc w:val="center"/>
        </w:trPr>
        <w:tc>
          <w:tcPr>
            <w:tcW w:w="1893"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镍（Ni）</w:t>
            </w:r>
          </w:p>
        </w:tc>
        <w:tc>
          <w:tcPr>
            <w:tcW w:w="2319"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21</w:t>
            </w:r>
          </w:p>
        </w:tc>
        <w:tc>
          <w:tcPr>
            <w:tcW w:w="253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19</w:t>
            </w:r>
          </w:p>
        </w:tc>
        <w:tc>
          <w:tcPr>
            <w:tcW w:w="2286"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44" w:hRule="atLeast"/>
          <w:jc w:val="center"/>
        </w:trPr>
        <w:tc>
          <w:tcPr>
            <w:tcW w:w="1893"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锌(Zn)</w:t>
            </w:r>
          </w:p>
        </w:tc>
        <w:tc>
          <w:tcPr>
            <w:tcW w:w="2319"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50</w:t>
            </w:r>
          </w:p>
        </w:tc>
        <w:tc>
          <w:tcPr>
            <w:tcW w:w="253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t>46</w:t>
            </w:r>
          </w:p>
        </w:tc>
        <w:tc>
          <w:tcPr>
            <w:tcW w:w="2286"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sz w:val="21"/>
                <w:szCs w:val="21"/>
                <w:highlight w:val="none"/>
                <w:lang w:val="en-US"/>
                <w14:textFill>
                  <w14:solidFill>
                    <w14:schemeClr w14:val="tx1"/>
                  </w14:solidFill>
                </w14:textFill>
              </w:rPr>
            </w:pPr>
            <w:r>
              <w:rPr>
                <w:rFonts w:ascii="Times New Roman" w:hAnsi="Times New Roman" w:eastAsia="宋体" w:cs="Times New Roman"/>
                <w:color w:val="000000" w:themeColor="text1"/>
                <w:w w:val="99"/>
                <w:sz w:val="21"/>
                <w:szCs w:val="21"/>
                <w:highlight w:val="none"/>
                <w14:textFill>
                  <w14:solidFill>
                    <w14:schemeClr w14:val="tx1"/>
                  </w14:solidFill>
                </w14:textFill>
              </w:rPr>
              <w:t>54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0" w:type="dxa"/>
          <w:cantSplit/>
          <w:trHeight w:val="362" w:hRule="atLeast"/>
          <w:jc w:val="center"/>
        </w:trPr>
        <w:tc>
          <w:tcPr>
            <w:tcW w:w="1893"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石油烃</w:t>
            </w:r>
          </w:p>
        </w:tc>
        <w:tc>
          <w:tcPr>
            <w:tcW w:w="2319"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未检出</w:t>
            </w:r>
          </w:p>
        </w:tc>
        <w:tc>
          <w:tcPr>
            <w:tcW w:w="2531"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未检出</w:t>
            </w:r>
          </w:p>
        </w:tc>
        <w:tc>
          <w:tcPr>
            <w:tcW w:w="2286" w:type="dxa"/>
            <w:tcBorders>
              <w:right w:val="single" w:color="auto" w:sz="4" w:space="0"/>
            </w:tcBorders>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未检出</w:t>
            </w:r>
          </w:p>
        </w:tc>
      </w:tr>
    </w:tbl>
    <w:p>
      <w:pPr>
        <w:pStyle w:val="14"/>
        <w:spacing w:line="500" w:lineRule="exact"/>
        <w:jc w:val="both"/>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eastAsia="黑体" w:cs="Times New Roman"/>
          <w:b/>
          <w:bCs/>
          <w:color w:val="000000" w:themeColor="text1"/>
          <w:w w:val="99"/>
          <w:sz w:val="24"/>
          <w:szCs w:val="24"/>
          <w:highlight w:val="none"/>
          <w:lang w:val="en-US"/>
          <w14:textFill>
            <w14:solidFill>
              <w14:schemeClr w14:val="tx1"/>
            </w14:solidFill>
          </w14:textFill>
        </w:rPr>
        <w:t>5</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.4</w:t>
      </w:r>
      <w:r>
        <w:rPr>
          <w:rFonts w:hint="eastAsia" w:ascii="Times New Roman" w:hAnsi="Times New Roman" w:eastAsia="黑体" w:cs="Times New Roman"/>
          <w:b/>
          <w:bCs/>
          <w:color w:val="000000" w:themeColor="text1"/>
          <w:w w:val="99"/>
          <w:sz w:val="24"/>
          <w:szCs w:val="24"/>
          <w:highlight w:val="none"/>
          <w:lang w:val="en-US"/>
          <w14:textFill>
            <w14:solidFill>
              <w14:schemeClr w14:val="tx1"/>
            </w14:solidFill>
          </w14:textFill>
        </w:rPr>
        <w:t>土壤环境质量</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现状评价</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）评价方法</w:t>
      </w:r>
    </w:p>
    <w:p>
      <w:pPr>
        <w:spacing w:line="440" w:lineRule="exact"/>
        <w:ind w:firstLine="474" w:firstLineChars="200"/>
        <w:jc w:val="both"/>
        <w:rPr>
          <w:rFonts w:ascii="Times New Roman" w:hAnsi="Times New Roman" w:cs="Times New Roman"/>
          <w:bCs/>
          <w:color w:val="000000" w:themeColor="text1"/>
          <w:w w:val="99"/>
          <w:kern w:val="2"/>
          <w:sz w:val="24"/>
          <w:highlight w:val="none"/>
          <w:lang w:val="en-US" w:bidi="ar-SA"/>
          <w14:textFill>
            <w14:solidFill>
              <w14:schemeClr w14:val="tx1"/>
            </w14:solidFill>
          </w14:textFill>
        </w:rPr>
      </w:pPr>
      <w:r>
        <w:rPr>
          <w:rFonts w:ascii="Times New Roman" w:hAnsi="Times New Roman" w:cs="Times New Roman"/>
          <w:bCs/>
          <w:color w:val="000000" w:themeColor="text1"/>
          <w:w w:val="99"/>
          <w:kern w:val="2"/>
          <w:sz w:val="24"/>
          <w:highlight w:val="none"/>
          <w:lang w:val="en-US" w:bidi="ar-SA"/>
          <w14:textFill>
            <w14:solidFill>
              <w14:schemeClr w14:val="tx1"/>
            </w14:solidFill>
          </w14:textFill>
        </w:rPr>
        <w:t>利用单项污染指数法进行评价。评价公式如下：</w:t>
      </w:r>
    </w:p>
    <w:p>
      <w:pPr>
        <w:ind w:firstLine="476" w:firstLineChars="200"/>
        <w:jc w:val="center"/>
        <w:rPr>
          <w:rFonts w:ascii="Times New Roman" w:hAnsi="Times New Roman" w:cs="Times New Roman"/>
          <w:bCs/>
          <w:color w:val="000000" w:themeColor="text1"/>
          <w:w w:val="99"/>
          <w:kern w:val="2"/>
          <w:sz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highlight w:val="none"/>
          <w:lang w:val="en-US" w:bidi="ar-SA"/>
          <w14:textFill>
            <w14:solidFill>
              <w14:schemeClr w14:val="tx1"/>
            </w14:solidFill>
          </w14:textFill>
        </w:rPr>
        <w:drawing>
          <wp:inline distT="0" distB="0" distL="114300" distR="114300">
            <wp:extent cx="523875" cy="390525"/>
            <wp:effectExtent l="0" t="0" r="8890" b="825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0"/>
                    <a:stretch>
                      <a:fillRect/>
                    </a:stretch>
                  </pic:blipFill>
                  <pic:spPr>
                    <a:xfrm>
                      <a:off x="0" y="0"/>
                      <a:ext cx="523875" cy="390525"/>
                    </a:xfrm>
                    <a:prstGeom prst="rect">
                      <a:avLst/>
                    </a:prstGeom>
                    <a:noFill/>
                    <a:ln>
                      <a:noFill/>
                    </a:ln>
                  </pic:spPr>
                </pic:pic>
              </a:graphicData>
            </a:graphic>
          </wp:inline>
        </w:drawing>
      </w:r>
    </w:p>
    <w:p>
      <w:pPr>
        <w:spacing w:line="440" w:lineRule="exact"/>
        <w:ind w:firstLine="474" w:firstLineChars="200"/>
        <w:jc w:val="both"/>
        <w:rPr>
          <w:rFonts w:ascii="Times New Roman" w:hAnsi="Times New Roman" w:cs="Times New Roman"/>
          <w:bCs/>
          <w:color w:val="000000" w:themeColor="text1"/>
          <w:w w:val="99"/>
          <w:kern w:val="2"/>
          <w:sz w:val="24"/>
          <w:highlight w:val="none"/>
          <w:lang w:val="en-US" w:bidi="ar-SA"/>
          <w14:textFill>
            <w14:solidFill>
              <w14:schemeClr w14:val="tx1"/>
            </w14:solidFill>
          </w14:textFill>
        </w:rPr>
      </w:pPr>
      <w:r>
        <w:rPr>
          <w:rFonts w:ascii="Times New Roman" w:hAnsi="Times New Roman" w:cs="Times New Roman"/>
          <w:bCs/>
          <w:color w:val="000000" w:themeColor="text1"/>
          <w:w w:val="99"/>
          <w:kern w:val="2"/>
          <w:sz w:val="24"/>
          <w:highlight w:val="none"/>
          <w:lang w:val="en-US" w:bidi="ar-SA"/>
          <w14:textFill>
            <w14:solidFill>
              <w14:schemeClr w14:val="tx1"/>
            </w14:solidFill>
          </w14:textFill>
        </w:rPr>
        <w:t>式中：</w:t>
      </w:r>
      <w:r>
        <w:rPr>
          <w:rFonts w:ascii="Times New Roman" w:hAnsi="Times New Roman" w:cs="Times New Roman"/>
          <w:bCs/>
          <w:i/>
          <w:iCs/>
          <w:color w:val="000000" w:themeColor="text1"/>
          <w:w w:val="99"/>
          <w:kern w:val="2"/>
          <w:sz w:val="24"/>
          <w:highlight w:val="none"/>
          <w:lang w:val="en-US" w:bidi="ar-SA"/>
          <w14:textFill>
            <w14:solidFill>
              <w14:schemeClr w14:val="tx1"/>
            </w14:solidFill>
          </w14:textFill>
        </w:rPr>
        <w:t>P</w:t>
      </w:r>
      <w:r>
        <w:rPr>
          <w:rFonts w:ascii="Times New Roman" w:hAnsi="Times New Roman" w:cs="Times New Roman"/>
          <w:bCs/>
          <w:i/>
          <w:iCs/>
          <w:color w:val="000000" w:themeColor="text1"/>
          <w:w w:val="99"/>
          <w:kern w:val="2"/>
          <w:sz w:val="24"/>
          <w:highlight w:val="none"/>
          <w:vertAlign w:val="subscript"/>
          <w:lang w:val="en-US" w:bidi="ar-SA"/>
          <w14:textFill>
            <w14:solidFill>
              <w14:schemeClr w14:val="tx1"/>
            </w14:solidFill>
          </w14:textFill>
        </w:rPr>
        <w:t>i</w:t>
      </w:r>
      <w:r>
        <w:rPr>
          <w:rFonts w:ascii="Times New Roman" w:hAnsi="Times New Roman" w:cs="Times New Roman"/>
          <w:bCs/>
          <w:color w:val="000000" w:themeColor="text1"/>
          <w:w w:val="99"/>
          <w:kern w:val="2"/>
          <w:sz w:val="24"/>
          <w:highlight w:val="none"/>
          <w:lang w:val="en-US" w:bidi="ar-SA"/>
          <w14:textFill>
            <w14:solidFill>
              <w14:schemeClr w14:val="tx1"/>
            </w14:solidFill>
          </w14:textFill>
        </w:rPr>
        <w:t>-土壤中i种污染物污染指数；</w:t>
      </w:r>
    </w:p>
    <w:p>
      <w:pPr>
        <w:spacing w:line="440" w:lineRule="exact"/>
        <w:ind w:firstLine="1185" w:firstLineChars="500"/>
        <w:jc w:val="both"/>
        <w:rPr>
          <w:rFonts w:ascii="Times New Roman" w:hAnsi="Times New Roman" w:cs="Times New Roman"/>
          <w:bCs/>
          <w:color w:val="000000" w:themeColor="text1"/>
          <w:w w:val="99"/>
          <w:kern w:val="2"/>
          <w:sz w:val="24"/>
          <w:highlight w:val="none"/>
          <w:lang w:val="en-US" w:bidi="ar-SA"/>
          <w14:textFill>
            <w14:solidFill>
              <w14:schemeClr w14:val="tx1"/>
            </w14:solidFill>
          </w14:textFill>
        </w:rPr>
      </w:pPr>
      <w:r>
        <w:rPr>
          <w:rFonts w:ascii="Times New Roman" w:hAnsi="Times New Roman" w:cs="Times New Roman"/>
          <w:bCs/>
          <w:i/>
          <w:iCs/>
          <w:color w:val="000000" w:themeColor="text1"/>
          <w:w w:val="99"/>
          <w:kern w:val="2"/>
          <w:sz w:val="24"/>
          <w:highlight w:val="none"/>
          <w:lang w:val="en-US" w:bidi="ar-SA"/>
          <w14:textFill>
            <w14:solidFill>
              <w14:schemeClr w14:val="tx1"/>
            </w14:solidFill>
          </w14:textFill>
        </w:rPr>
        <w:t>C</w:t>
      </w:r>
      <w:r>
        <w:rPr>
          <w:rFonts w:ascii="Times New Roman" w:hAnsi="Times New Roman" w:cs="Times New Roman"/>
          <w:bCs/>
          <w:i/>
          <w:iCs/>
          <w:color w:val="000000" w:themeColor="text1"/>
          <w:w w:val="99"/>
          <w:kern w:val="2"/>
          <w:sz w:val="24"/>
          <w:highlight w:val="none"/>
          <w:vertAlign w:val="subscript"/>
          <w:lang w:val="en-US" w:bidi="ar-SA"/>
          <w14:textFill>
            <w14:solidFill>
              <w14:schemeClr w14:val="tx1"/>
            </w14:solidFill>
          </w14:textFill>
        </w:rPr>
        <w:t>i</w:t>
      </w:r>
      <w:r>
        <w:rPr>
          <w:rFonts w:ascii="Times New Roman" w:hAnsi="Times New Roman" w:cs="Times New Roman"/>
          <w:bCs/>
          <w:color w:val="000000" w:themeColor="text1"/>
          <w:w w:val="99"/>
          <w:kern w:val="2"/>
          <w:sz w:val="24"/>
          <w:highlight w:val="none"/>
          <w:lang w:val="en-US" w:bidi="ar-SA"/>
          <w14:textFill>
            <w14:solidFill>
              <w14:schemeClr w14:val="tx1"/>
            </w14:solidFill>
          </w14:textFill>
        </w:rPr>
        <w:t>-土壤中i种污染物实测值（mg/kg）；</w:t>
      </w:r>
    </w:p>
    <w:p>
      <w:pPr>
        <w:pStyle w:val="14"/>
        <w:spacing w:line="440" w:lineRule="exact"/>
        <w:ind w:firstLine="1185" w:firstLineChars="5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bCs/>
          <w:i/>
          <w:iCs/>
          <w:color w:val="000000" w:themeColor="text1"/>
          <w:w w:val="99"/>
          <w:kern w:val="2"/>
          <w:sz w:val="24"/>
          <w:highlight w:val="none"/>
          <w:lang w:val="en-US" w:bidi="ar-SA"/>
          <w14:textFill>
            <w14:solidFill>
              <w14:schemeClr w14:val="tx1"/>
            </w14:solidFill>
          </w14:textFill>
        </w:rPr>
        <w:t>S</w:t>
      </w:r>
      <w:r>
        <w:rPr>
          <w:rFonts w:ascii="Times New Roman" w:hAnsi="Times New Roman" w:cs="Times New Roman"/>
          <w:bCs/>
          <w:i/>
          <w:iCs/>
          <w:color w:val="000000" w:themeColor="text1"/>
          <w:w w:val="99"/>
          <w:kern w:val="2"/>
          <w:sz w:val="24"/>
          <w:highlight w:val="none"/>
          <w:vertAlign w:val="subscript"/>
          <w:lang w:val="en-US" w:bidi="ar-SA"/>
          <w14:textFill>
            <w14:solidFill>
              <w14:schemeClr w14:val="tx1"/>
            </w14:solidFill>
          </w14:textFill>
        </w:rPr>
        <w:t>i</w:t>
      </w:r>
      <w:r>
        <w:rPr>
          <w:rFonts w:ascii="Times New Roman" w:hAnsi="Times New Roman" w:cs="Times New Roman"/>
          <w:bCs/>
          <w:color w:val="000000" w:themeColor="text1"/>
          <w:w w:val="99"/>
          <w:kern w:val="2"/>
          <w:sz w:val="24"/>
          <w:highlight w:val="none"/>
          <w:lang w:val="en-US" w:bidi="ar-SA"/>
          <w14:textFill>
            <w14:solidFill>
              <w14:schemeClr w14:val="tx1"/>
            </w14:solidFill>
          </w14:textFill>
        </w:rPr>
        <w:t>-土壤中i种污染物评价标准（mg/kg）。</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评价标准</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1#~7#</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、12</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16</w:t>
      </w:r>
      <w:r>
        <w:rPr>
          <w:rFonts w:ascii="Times New Roman" w:hAnsi="Times New Roman" w:cs="Times New Roman"/>
          <w:color w:val="000000" w:themeColor="text1"/>
          <w:w w:val="99"/>
          <w:sz w:val="24"/>
          <w:szCs w:val="24"/>
          <w:highlight w:val="none"/>
          <w:lang w:val="en-US"/>
          <w14:textFill>
            <w14:solidFill>
              <w14:schemeClr w14:val="tx1"/>
            </w14:solidFill>
          </w14:textFill>
        </w:rPr>
        <w:t>#监测点位土壤执行《土壤环境质量 建设用地土壤污染风险管控标准（试行）》（GB36600-2018）中表1建设用地土壤污染风险筛选值（基本项目）中第二类用地筛选值标准，以及表2（其他项目）中第二类用地</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石油烃</w:t>
      </w:r>
      <w:r>
        <w:rPr>
          <w:rFonts w:ascii="Times New Roman" w:hAnsi="Times New Roman" w:cs="Times New Roman"/>
          <w:color w:val="000000" w:themeColor="text1"/>
          <w:w w:val="99"/>
          <w:sz w:val="24"/>
          <w:szCs w:val="24"/>
          <w:highlight w:val="none"/>
          <w:lang w:val="en-US"/>
          <w14:textFill>
            <w14:solidFill>
              <w14:schemeClr w14:val="tx1"/>
            </w14:solidFill>
          </w14:textFill>
        </w:rPr>
        <w:t>筛选值标准；8#监测点位土壤执行《土壤环境质量 建设用地土壤污染风险管控标准（试行）》（GB36600-2018）中表1建设用地土壤污染风险筛选值（基本项目）中第一类用地筛选值标准，以及表2（其他项目）中第一类用地筛选值标准；9#~11#</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17#~23#监测点位土壤执行《土壤环境质量 农用地土壤污染风险管控标准（试行）》（GB15618-2018）表1农用地土壤风险筛选值（基本项目）中标准。</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（3）</w:t>
      </w:r>
      <w:r>
        <w:rPr>
          <w:rFonts w:ascii="Times New Roman" w:hAnsi="Times New Roman" w:cs="Times New Roman"/>
          <w:color w:val="000000" w:themeColor="text1"/>
          <w:w w:val="99"/>
          <w:sz w:val="24"/>
          <w:szCs w:val="24"/>
          <w:highlight w:val="none"/>
          <w14:textFill>
            <w14:solidFill>
              <w14:schemeClr w14:val="tx1"/>
            </w14:solidFill>
          </w14:textFill>
        </w:rPr>
        <w:t>评价结果</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建设用地土壤环境质量现状评价结果见表4.3-2</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w:t>
      </w:r>
      <w:r>
        <w:rPr>
          <w:rFonts w:ascii="Times New Roman" w:hAnsi="Times New Roman" w:cs="Times New Roman"/>
          <w:color w:val="000000" w:themeColor="text1"/>
          <w:w w:val="99"/>
          <w:sz w:val="24"/>
          <w:szCs w:val="24"/>
          <w:highlight w:val="none"/>
          <w:lang w:val="en-US"/>
          <w14:textFill>
            <w14:solidFill>
              <w14:schemeClr w14:val="tx1"/>
            </w14:solidFill>
          </w14:textFill>
        </w:rPr>
        <w:t>。农用地土壤环境质量现状评价结果见表4.3-</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23</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2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建设用地</w:t>
      </w:r>
      <w:r>
        <w:rPr>
          <w:rFonts w:ascii="Times New Roman" w:hAnsi="Times New Roman" w:cs="Times New Roman"/>
          <w:b/>
          <w:bCs/>
          <w:color w:val="000000" w:themeColor="text1"/>
          <w:w w:val="99"/>
          <w:sz w:val="24"/>
          <w:szCs w:val="24"/>
          <w:highlight w:val="none"/>
          <w:lang w:val="en-US"/>
          <w14:textFill>
            <w14:solidFill>
              <w14:schemeClr w14:val="tx1"/>
            </w14:solidFill>
          </w14:textFill>
        </w:rPr>
        <w:t>土壤环境现状监测评价结果</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（重金属和无机物）</w:t>
      </w:r>
    </w:p>
    <w:tbl>
      <w:tblPr>
        <w:tblStyle w:val="3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64"/>
        <w:gridCol w:w="1840"/>
        <w:gridCol w:w="1086"/>
        <w:gridCol w:w="1086"/>
        <w:gridCol w:w="1087"/>
        <w:gridCol w:w="1086"/>
        <w:gridCol w:w="1086"/>
        <w:gridCol w:w="1091"/>
        <w:gridCol w:w="7"/>
        <w:gridCol w:w="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trHeight w:val="340" w:hRule="atLeast"/>
          <w:jc w:val="center"/>
        </w:trPr>
        <w:tc>
          <w:tcPr>
            <w:tcW w:w="564" w:type="dxa"/>
            <w:vMerge w:val="restart"/>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序号</w:t>
            </w:r>
          </w:p>
        </w:tc>
        <w:tc>
          <w:tcPr>
            <w:tcW w:w="1840" w:type="dxa"/>
            <w:vMerge w:val="restart"/>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监测项目</w:t>
            </w:r>
          </w:p>
        </w:tc>
        <w:tc>
          <w:tcPr>
            <w:tcW w:w="6529" w:type="dxa"/>
            <w:gridSpan w:val="7"/>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监测点位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840"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3259" w:type="dxa"/>
            <w:gridSpan w:val="3"/>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S1#</w:t>
            </w:r>
          </w:p>
        </w:tc>
        <w:tc>
          <w:tcPr>
            <w:tcW w:w="3263" w:type="dxa"/>
            <w:gridSpan w:val="3"/>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S2#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840"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0-0.5m</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0.5-1.5m</w:t>
            </w:r>
          </w:p>
        </w:tc>
        <w:tc>
          <w:tcPr>
            <w:tcW w:w="1087"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1.5-3m</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0-0.5m</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0.5-1.5m</w:t>
            </w:r>
          </w:p>
        </w:tc>
        <w:tc>
          <w:tcPr>
            <w:tcW w:w="1091"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1.5-3m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1086"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7"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91"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2</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镉（Cd）</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0.0015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0.0012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0.0011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0.0014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0.0017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0.0012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3</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汞（Hg）</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0.0004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0.0005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0.0005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0.0005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0.0004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0.0004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4</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砷（As）</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0.0573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0.0560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0.0565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0.0565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0.0572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0.0563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5</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铅（Pb）</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0.0200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0.0250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0.0238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0.0275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0.0200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0.0238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6</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铬（六价）</w:t>
            </w:r>
          </w:p>
        </w:tc>
        <w:tc>
          <w:tcPr>
            <w:tcW w:w="1086" w:type="dxa"/>
            <w:vAlign w:val="center"/>
          </w:tcPr>
          <w:p>
            <w:pPr>
              <w:autoSpaceDE/>
              <w:autoSpaceDN/>
              <w:adjustRightInd w:val="0"/>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7" w:type="dxa"/>
            <w:vAlign w:val="center"/>
          </w:tcPr>
          <w:p>
            <w:pPr>
              <w:autoSpaceDE/>
              <w:autoSpaceDN/>
              <w:adjustRightInd w:val="0"/>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91" w:type="dxa"/>
            <w:vAlign w:val="center"/>
          </w:tcPr>
          <w:p>
            <w:pPr>
              <w:autoSpaceDE/>
              <w:autoSpaceDN/>
              <w:adjustRightInd w:val="0"/>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7</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铜（Cu）</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0.0007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0.0011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0.0009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0.0009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0.0008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0.0009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8</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镍（Ni）</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0.0256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0.0222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0.0200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0.0244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0.0222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0.0200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9</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石油烃</w:t>
            </w:r>
          </w:p>
        </w:tc>
        <w:tc>
          <w:tcPr>
            <w:tcW w:w="1086"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7"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91"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Merge w:val="restart"/>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序号</w:t>
            </w:r>
          </w:p>
        </w:tc>
        <w:tc>
          <w:tcPr>
            <w:tcW w:w="1840" w:type="dxa"/>
            <w:vMerge w:val="restart"/>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监测项目</w:t>
            </w:r>
          </w:p>
        </w:tc>
        <w:tc>
          <w:tcPr>
            <w:tcW w:w="6522" w:type="dxa"/>
            <w:gridSpan w:val="6"/>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监测点位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840"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3259" w:type="dxa"/>
            <w:gridSpan w:val="3"/>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S3#</w:t>
            </w:r>
          </w:p>
        </w:tc>
        <w:tc>
          <w:tcPr>
            <w:tcW w:w="3263" w:type="dxa"/>
            <w:gridSpan w:val="3"/>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S4#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840"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0-0.5m</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0.5-1.5m</w:t>
            </w:r>
          </w:p>
        </w:tc>
        <w:tc>
          <w:tcPr>
            <w:tcW w:w="1087"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1.5-3m</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0-0.5m</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0.5-1.5m</w:t>
            </w:r>
          </w:p>
        </w:tc>
        <w:tc>
          <w:tcPr>
            <w:tcW w:w="1091"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1.5-3m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7"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91"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2</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镉（Cd）</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0.0012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0.0015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0.0011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0.0011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0.0009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0.0014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3</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汞（Hg）</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0.0005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0.0005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0.0004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0.0004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0.0005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0.0003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4</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砷（As）</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0.0560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0.0552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0.0567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0.0552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0.0567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0.0550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5</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铅（Pb）</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0.0188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0.0225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0.0213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0.0175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0.0213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0.0188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6</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铬（六价）</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7</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铜（Cu）</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0.0009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0.0011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0.0007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0.0007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0.0009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0.0008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8</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镍（Ni）</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0.0267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0.0211 </w:t>
            </w:r>
          </w:p>
        </w:tc>
        <w:tc>
          <w:tcPr>
            <w:tcW w:w="1087"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0.0256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0.0200 </w:t>
            </w:r>
          </w:p>
        </w:tc>
        <w:tc>
          <w:tcPr>
            <w:tcW w:w="1086"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0.0222 </w:t>
            </w:r>
          </w:p>
        </w:tc>
        <w:tc>
          <w:tcPr>
            <w:tcW w:w="1091"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0.0211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16" w:type="dxa"/>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9</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石油烃</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7"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91"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Merge w:val="restart"/>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序号</w:t>
            </w:r>
          </w:p>
        </w:tc>
        <w:tc>
          <w:tcPr>
            <w:tcW w:w="1840" w:type="dxa"/>
            <w:vMerge w:val="restart"/>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监测项目</w:t>
            </w:r>
          </w:p>
        </w:tc>
        <w:tc>
          <w:tcPr>
            <w:tcW w:w="6538" w:type="dxa"/>
            <w:gridSpan w:val="8"/>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监测点位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840"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3259" w:type="dxa"/>
            <w:gridSpan w:val="3"/>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S5#</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S6#</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S7#</w:t>
            </w:r>
          </w:p>
        </w:tc>
        <w:tc>
          <w:tcPr>
            <w:tcW w:w="1107" w:type="dxa"/>
            <w:gridSpan w:val="3"/>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S8#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840" w:type="dxa"/>
            <w:vMerge w:val="continue"/>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0-0.5m</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0.5-1.5m</w:t>
            </w:r>
          </w:p>
        </w:tc>
        <w:tc>
          <w:tcPr>
            <w:tcW w:w="1087"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1.5-3m</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0-0.2m</w:t>
            </w:r>
          </w:p>
        </w:tc>
        <w:tc>
          <w:tcPr>
            <w:tcW w:w="1086"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0-0.2m</w:t>
            </w:r>
          </w:p>
        </w:tc>
        <w:tc>
          <w:tcPr>
            <w:tcW w:w="1107" w:type="dxa"/>
            <w:gridSpan w:val="3"/>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0-0.2m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7"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107" w:type="dxa"/>
            <w:gridSpan w:val="3"/>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2</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镉（Cd）</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0.0015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0.0009 </w:t>
            </w:r>
          </w:p>
        </w:tc>
        <w:tc>
          <w:tcPr>
            <w:tcW w:w="1087"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0.0011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0.0017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0.0014 </w:t>
            </w:r>
          </w:p>
        </w:tc>
        <w:tc>
          <w:tcPr>
            <w:tcW w:w="1107" w:type="dxa"/>
            <w:gridSpan w:val="3"/>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0.0012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3</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汞（Hg）</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0.0005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0.0004 </w:t>
            </w:r>
          </w:p>
        </w:tc>
        <w:tc>
          <w:tcPr>
            <w:tcW w:w="1087"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0.0004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0.0003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0.0004 </w:t>
            </w:r>
          </w:p>
        </w:tc>
        <w:tc>
          <w:tcPr>
            <w:tcW w:w="1107" w:type="dxa"/>
            <w:gridSpan w:val="3"/>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0.0004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4</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砷（As）</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0.0567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0.0552 </w:t>
            </w:r>
          </w:p>
        </w:tc>
        <w:tc>
          <w:tcPr>
            <w:tcW w:w="1087"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0.0560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0.0558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0.0557 </w:t>
            </w:r>
          </w:p>
        </w:tc>
        <w:tc>
          <w:tcPr>
            <w:tcW w:w="1107" w:type="dxa"/>
            <w:gridSpan w:val="3"/>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0.0550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5</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铅（Pb）</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0.0188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0.0213 </w:t>
            </w:r>
          </w:p>
        </w:tc>
        <w:tc>
          <w:tcPr>
            <w:tcW w:w="1087"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0.0200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0.0213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0.0200 </w:t>
            </w:r>
          </w:p>
        </w:tc>
        <w:tc>
          <w:tcPr>
            <w:tcW w:w="1107" w:type="dxa"/>
            <w:gridSpan w:val="3"/>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0.0163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6</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铬（六价）</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w:t>
            </w:r>
          </w:p>
        </w:tc>
        <w:tc>
          <w:tcPr>
            <w:tcW w:w="1087"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w:t>
            </w:r>
          </w:p>
        </w:tc>
        <w:tc>
          <w:tcPr>
            <w:tcW w:w="1107" w:type="dxa"/>
            <w:gridSpan w:val="3"/>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7</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铜（Cu）</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0.0010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0.0008 </w:t>
            </w:r>
          </w:p>
        </w:tc>
        <w:tc>
          <w:tcPr>
            <w:tcW w:w="1087"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0.0009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0.0007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0.0010 </w:t>
            </w:r>
          </w:p>
        </w:tc>
        <w:tc>
          <w:tcPr>
            <w:tcW w:w="1107" w:type="dxa"/>
            <w:gridSpan w:val="3"/>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0.0009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8</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镍（Ni）</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0.0278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0.0211 </w:t>
            </w:r>
          </w:p>
        </w:tc>
        <w:tc>
          <w:tcPr>
            <w:tcW w:w="1087"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0.0267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0.0233 </w:t>
            </w:r>
          </w:p>
        </w:tc>
        <w:tc>
          <w:tcPr>
            <w:tcW w:w="1086" w:type="dxa"/>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0.0256 </w:t>
            </w:r>
          </w:p>
        </w:tc>
        <w:tc>
          <w:tcPr>
            <w:tcW w:w="1107" w:type="dxa"/>
            <w:gridSpan w:val="3"/>
            <w:vAlign w:val="center"/>
          </w:tcPr>
          <w:p>
            <w:pPr>
              <w:autoSpaceDE/>
              <w:autoSpaceDN/>
              <w:snapToGrid w:val="0"/>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t xml:space="preserve">0.0222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64" w:type="dxa"/>
            <w:vAlign w:val="center"/>
          </w:tcPr>
          <w:p>
            <w:pPr>
              <w:autoSpaceDE/>
              <w:autoSpaceDN/>
              <w:snapToGrid w:val="0"/>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9</w:t>
            </w:r>
          </w:p>
        </w:tc>
        <w:tc>
          <w:tcPr>
            <w:tcW w:w="1840"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石油烃</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7"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86"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107" w:type="dxa"/>
            <w:gridSpan w:val="3"/>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bl>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续表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4.3-2</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2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土壤环境现状监测评价结果</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（挥发、半挥发有机物）</w:t>
      </w:r>
    </w:p>
    <w:tbl>
      <w:tblPr>
        <w:tblStyle w:val="32"/>
        <w:tblW w:w="894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2"/>
        <w:gridCol w:w="1914"/>
        <w:gridCol w:w="1592"/>
        <w:gridCol w:w="755"/>
        <w:gridCol w:w="2361"/>
        <w:gridCol w:w="17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Merge w:val="restart"/>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1914" w:type="dxa"/>
            <w:vMerge w:val="restart"/>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监测项目</w:t>
            </w:r>
          </w:p>
        </w:tc>
        <w:tc>
          <w:tcPr>
            <w:tcW w:w="1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监测点位</w:t>
            </w:r>
          </w:p>
        </w:tc>
        <w:tc>
          <w:tcPr>
            <w:tcW w:w="755" w:type="dxa"/>
            <w:vMerge w:val="restart"/>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2361" w:type="dxa"/>
            <w:vMerge w:val="restart"/>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监测项目</w:t>
            </w:r>
          </w:p>
        </w:tc>
        <w:tc>
          <w:tcPr>
            <w:tcW w:w="1728"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监测点位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592" w:type="dxa"/>
            <w:vMerge w:val="continue"/>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914" w:type="dxa"/>
            <w:vMerge w:val="continue"/>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S1#～S</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#点</w:t>
            </w:r>
          </w:p>
        </w:tc>
        <w:tc>
          <w:tcPr>
            <w:tcW w:w="755" w:type="dxa"/>
            <w:vMerge w:val="continue"/>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361" w:type="dxa"/>
            <w:vMerge w:val="continue"/>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28" w:type="dxa"/>
            <w:vAlign w:val="center"/>
          </w:tcPr>
          <w:p>
            <w:pPr>
              <w:autoSpaceDE/>
              <w:autoSpaceDN/>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S1#～S</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四氯化碳</w:t>
            </w:r>
          </w:p>
        </w:tc>
        <w:tc>
          <w:tcPr>
            <w:tcW w:w="1592" w:type="dxa"/>
            <w:vAlign w:val="center"/>
          </w:tcPr>
          <w:p>
            <w:pPr>
              <w:widowControl/>
              <w:autoSpaceDE/>
              <w:autoSpaceDN/>
              <w:spacing w:line="360" w:lineRule="exact"/>
              <w:jc w:val="center"/>
              <w:textAlignment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氯苯</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氯仿</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21</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1,2-二氯苯</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氯甲烷</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22</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1,4-二氯苯</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1,1-二氯乙烷</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23</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乙苯</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1,2-二氯乙烷</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24</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苯乙烯</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1,1-二氯乙烯</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25</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甲苯</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顺-1,2-二氯乙烯</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26</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间二甲苯+对二甲苯</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反-1,2-二氯乙烯</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27</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邻二甲苯</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二氯甲烷</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28</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硝基苯</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1,2-二氯丙烷</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29</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苯胺</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11</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1,1,1,2-四氯乙烷</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2-氯酚</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12</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1,1,2,2-四氯乙烷</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31</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苯并[a]蒽</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13</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四氯乙烯</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32</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苯并[a]芘</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14</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1,1,1-三氯乙烷</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33</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苯并[b]荧蒽</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15</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1,1,2-三氯乙烷</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34</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苯并[k]荧蒽</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16</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三氯乙烯</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35</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䓛</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17</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1,2,3-三氯丙烷</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36</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二苯并[a, h]蒽</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18</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氯乙烯</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37</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茚并[1,2,3-cd]芘</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2"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19</w:t>
            </w:r>
          </w:p>
        </w:tc>
        <w:tc>
          <w:tcPr>
            <w:tcW w:w="1914"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苯</w:t>
            </w:r>
          </w:p>
        </w:tc>
        <w:tc>
          <w:tcPr>
            <w:tcW w:w="1592"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755" w:type="dxa"/>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38</w:t>
            </w:r>
          </w:p>
        </w:tc>
        <w:tc>
          <w:tcPr>
            <w:tcW w:w="2361" w:type="dxa"/>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萘</w:t>
            </w:r>
          </w:p>
        </w:tc>
        <w:tc>
          <w:tcPr>
            <w:tcW w:w="1728" w:type="dxa"/>
          </w:tcPr>
          <w:p>
            <w:pPr>
              <w:autoSpaceDE/>
              <w:autoSpaceDN/>
              <w:spacing w:line="360" w:lineRule="exact"/>
              <w:jc w:val="center"/>
              <w:rPr>
                <w:rFonts w:ascii="Times New Roman" w:hAnsi="Times New Roman" w:cs="Times New Roman"/>
                <w:color w:val="000000" w:themeColor="text1"/>
                <w:w w:val="99"/>
                <w:kern w:val="2"/>
                <w:sz w:val="21"/>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bl>
    <w:p>
      <w:pPr>
        <w:autoSpaceDE/>
        <w:autoSpaceDN/>
        <w:adjustRightInd w:val="0"/>
        <w:snapToGrid w:val="0"/>
        <w:spacing w:line="500" w:lineRule="exact"/>
        <w:ind w:firstLine="714" w:firstLineChars="300"/>
        <w:rPr>
          <w:rFonts w:ascii="Times New Roman" w:hAnsi="Times New Roman" w:cs="Times New Roman"/>
          <w:b/>
          <w:bCs/>
          <w:color w:val="000000" w:themeColor="text1"/>
          <w:w w:val="99"/>
          <w:kern w:val="21"/>
          <w:sz w:val="24"/>
          <w:szCs w:val="24"/>
          <w:highlight w:val="none"/>
          <w:lang w:val="en-US"/>
          <w14:textFill>
            <w14:solidFill>
              <w14:schemeClr w14:val="tx1"/>
            </w14:solidFill>
          </w14:textFill>
        </w:rPr>
      </w:pPr>
      <w:r>
        <w:rPr>
          <w:rFonts w:ascii="Times New Roman" w:hAnsi="Times New Roman" w:cs="Times New Roman"/>
          <w:b/>
          <w:bCs/>
          <w:color w:val="000000" w:themeColor="text1"/>
          <w:w w:val="99"/>
          <w:kern w:val="21"/>
          <w:sz w:val="24"/>
          <w:szCs w:val="24"/>
          <w:highlight w:val="none"/>
          <w:lang w:val="en-US"/>
          <w14:textFill>
            <w14:solidFill>
              <w14:schemeClr w14:val="tx1"/>
            </w14:solidFill>
          </w14:textFill>
        </w:rPr>
        <w:t>表4.3-</w:t>
      </w:r>
      <w:r>
        <w:rPr>
          <w:rFonts w:hint="eastAsia" w:ascii="Times New Roman" w:hAnsi="Times New Roman" w:cs="Times New Roman"/>
          <w:b/>
          <w:bCs/>
          <w:color w:val="000000" w:themeColor="text1"/>
          <w:w w:val="99"/>
          <w:kern w:val="21"/>
          <w:sz w:val="24"/>
          <w:szCs w:val="24"/>
          <w:highlight w:val="none"/>
          <w:lang w:val="en-US" w:eastAsia="zh-CN"/>
          <w14:textFill>
            <w14:solidFill>
              <w14:schemeClr w14:val="tx1"/>
            </w14:solidFill>
          </w14:textFill>
        </w:rPr>
        <w:t>23</w:t>
      </w:r>
      <w:r>
        <w:rPr>
          <w:rFonts w:ascii="Times New Roman" w:hAnsi="Times New Roman" w:cs="Times New Roman"/>
          <w:b/>
          <w:bCs/>
          <w:color w:val="000000" w:themeColor="text1"/>
          <w:w w:val="99"/>
          <w:kern w:val="21"/>
          <w:sz w:val="24"/>
          <w:szCs w:val="24"/>
          <w:highlight w:val="none"/>
          <w:lang w:val="en-US"/>
          <w14:textFill>
            <w14:solidFill>
              <w14:schemeClr w14:val="tx1"/>
            </w14:solidFill>
          </w14:textFill>
        </w:rPr>
        <w:t xml:space="preserve">         农用地土壤环境质量现状评价结果</w:t>
      </w:r>
    </w:p>
    <w:tbl>
      <w:tblPr>
        <w:tblStyle w:val="32"/>
        <w:tblW w:w="907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78"/>
        <w:gridCol w:w="2301"/>
        <w:gridCol w:w="2510"/>
        <w:gridCol w:w="23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9" w:hRule="atLeast"/>
          <w:jc w:val="center"/>
        </w:trPr>
        <w:tc>
          <w:tcPr>
            <w:tcW w:w="1878" w:type="dxa"/>
            <w:vMerge w:val="restart"/>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监测项目</w:t>
            </w:r>
          </w:p>
        </w:tc>
        <w:tc>
          <w:tcPr>
            <w:tcW w:w="7201" w:type="dxa"/>
            <w:gridSpan w:val="3"/>
            <w:tcBorders>
              <w:bottom w:val="single" w:color="auto" w:sz="4" w:space="0"/>
              <w:right w:val="single" w:color="auto" w:sz="4" w:space="0"/>
            </w:tcBorders>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监测点位及监测结果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9" w:hRule="atLeast"/>
          <w:jc w:val="center"/>
        </w:trPr>
        <w:tc>
          <w:tcPr>
            <w:tcW w:w="1878" w:type="dxa"/>
            <w:vMerge w:val="continue"/>
            <w:vAlign w:val="center"/>
          </w:tcPr>
          <w:p>
            <w:pPr>
              <w:adjustRightInd w:val="0"/>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2301" w:type="dxa"/>
            <w:tcBorders>
              <w:top w:val="single" w:color="auto" w:sz="4" w:space="0"/>
            </w:tcBorders>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S9#</w:t>
            </w: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 xml:space="preserve">  </w:t>
            </w:r>
          </w:p>
        </w:tc>
        <w:tc>
          <w:tcPr>
            <w:tcW w:w="2510" w:type="dxa"/>
            <w:tcBorders>
              <w:top w:val="single" w:color="auto" w:sz="4" w:space="0"/>
            </w:tcBorders>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S10#</w:t>
            </w: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 xml:space="preserve"> </w:t>
            </w:r>
          </w:p>
        </w:tc>
        <w:tc>
          <w:tcPr>
            <w:tcW w:w="2390" w:type="dxa"/>
            <w:tcBorders>
              <w:top w:val="single" w:color="auto" w:sz="4" w:space="0"/>
              <w:right w:val="single" w:color="auto" w:sz="4" w:space="0"/>
            </w:tcBorders>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bidi="ar-SA"/>
                <w14:textFill>
                  <w14:solidFill>
                    <w14:schemeClr w14:val="tx1"/>
                  </w14:solidFill>
                </w14:textFill>
              </w:rPr>
              <w:t>S11#</w:t>
            </w: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9" w:hRule="atLeast"/>
          <w:jc w:val="center"/>
        </w:trPr>
        <w:tc>
          <w:tcPr>
            <w:tcW w:w="187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镉（Cd）</w:t>
            </w:r>
          </w:p>
        </w:tc>
        <w:tc>
          <w:tcPr>
            <w:tcW w:w="230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0.117</w:t>
            </w:r>
          </w:p>
        </w:tc>
        <w:tc>
          <w:tcPr>
            <w:tcW w:w="2510"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0.133</w:t>
            </w:r>
          </w:p>
        </w:tc>
        <w:tc>
          <w:tcPr>
            <w:tcW w:w="2390"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9" w:hRule="atLeast"/>
          <w:jc w:val="center"/>
        </w:trPr>
        <w:tc>
          <w:tcPr>
            <w:tcW w:w="187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汞（Hg）</w:t>
            </w:r>
          </w:p>
        </w:tc>
        <w:tc>
          <w:tcPr>
            <w:tcW w:w="230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0.005</w:t>
            </w:r>
          </w:p>
        </w:tc>
        <w:tc>
          <w:tcPr>
            <w:tcW w:w="2510"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0.004</w:t>
            </w:r>
          </w:p>
        </w:tc>
        <w:tc>
          <w:tcPr>
            <w:tcW w:w="2390"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9" w:hRule="atLeast"/>
          <w:jc w:val="center"/>
        </w:trPr>
        <w:tc>
          <w:tcPr>
            <w:tcW w:w="1878" w:type="dxa"/>
            <w:vAlign w:val="center"/>
          </w:tcPr>
          <w:p>
            <w:pPr>
              <w:autoSpaceDE/>
              <w:autoSpaceDN/>
              <w:adjustRightInd w:val="0"/>
              <w:snapToGrid w:val="0"/>
              <w:spacing w:line="28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砷（As）</w:t>
            </w:r>
          </w:p>
        </w:tc>
        <w:tc>
          <w:tcPr>
            <w:tcW w:w="230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0.132</w:t>
            </w:r>
          </w:p>
        </w:tc>
        <w:tc>
          <w:tcPr>
            <w:tcW w:w="2510"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0.133</w:t>
            </w:r>
          </w:p>
        </w:tc>
        <w:tc>
          <w:tcPr>
            <w:tcW w:w="2390"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9" w:hRule="atLeast"/>
          <w:jc w:val="center"/>
        </w:trPr>
        <w:tc>
          <w:tcPr>
            <w:tcW w:w="1878" w:type="dxa"/>
            <w:vAlign w:val="center"/>
          </w:tcPr>
          <w:p>
            <w:pPr>
              <w:autoSpaceDE/>
              <w:autoSpaceDN/>
              <w:adjustRightInd w:val="0"/>
              <w:snapToGrid w:val="0"/>
              <w:spacing w:line="28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铅（Pb）</w:t>
            </w:r>
          </w:p>
        </w:tc>
        <w:tc>
          <w:tcPr>
            <w:tcW w:w="230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0.094</w:t>
            </w:r>
          </w:p>
        </w:tc>
        <w:tc>
          <w:tcPr>
            <w:tcW w:w="2510"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0.088</w:t>
            </w:r>
          </w:p>
        </w:tc>
        <w:tc>
          <w:tcPr>
            <w:tcW w:w="2390"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0.094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9" w:hRule="atLeast"/>
          <w:jc w:val="center"/>
        </w:trPr>
        <w:tc>
          <w:tcPr>
            <w:tcW w:w="1878" w:type="dxa"/>
            <w:vAlign w:val="center"/>
          </w:tcPr>
          <w:p>
            <w:pPr>
              <w:autoSpaceDE/>
              <w:autoSpaceDN/>
              <w:adjustRightInd w:val="0"/>
              <w:snapToGrid w:val="0"/>
              <w:spacing w:line="28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铬（Cr）</w:t>
            </w:r>
          </w:p>
        </w:tc>
        <w:tc>
          <w:tcPr>
            <w:tcW w:w="230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0.184</w:t>
            </w:r>
          </w:p>
        </w:tc>
        <w:tc>
          <w:tcPr>
            <w:tcW w:w="2510"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0.208</w:t>
            </w:r>
          </w:p>
        </w:tc>
        <w:tc>
          <w:tcPr>
            <w:tcW w:w="2390"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0.188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9" w:hRule="atLeast"/>
          <w:jc w:val="center"/>
        </w:trPr>
        <w:tc>
          <w:tcPr>
            <w:tcW w:w="187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铜（Cu）</w:t>
            </w:r>
          </w:p>
        </w:tc>
        <w:tc>
          <w:tcPr>
            <w:tcW w:w="230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0.140</w:t>
            </w:r>
          </w:p>
        </w:tc>
        <w:tc>
          <w:tcPr>
            <w:tcW w:w="2510"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0.180</w:t>
            </w:r>
          </w:p>
        </w:tc>
        <w:tc>
          <w:tcPr>
            <w:tcW w:w="2390"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9" w:hRule="atLeast"/>
          <w:jc w:val="center"/>
        </w:trPr>
        <w:tc>
          <w:tcPr>
            <w:tcW w:w="187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镍（Ni）</w:t>
            </w:r>
          </w:p>
        </w:tc>
        <w:tc>
          <w:tcPr>
            <w:tcW w:w="230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0.111</w:t>
            </w:r>
          </w:p>
        </w:tc>
        <w:tc>
          <w:tcPr>
            <w:tcW w:w="2510"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0.100</w:t>
            </w:r>
          </w:p>
        </w:tc>
        <w:tc>
          <w:tcPr>
            <w:tcW w:w="2390"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9" w:hRule="atLeast"/>
          <w:jc w:val="center"/>
        </w:trPr>
        <w:tc>
          <w:tcPr>
            <w:tcW w:w="187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锌(Zn)</w:t>
            </w:r>
          </w:p>
        </w:tc>
        <w:tc>
          <w:tcPr>
            <w:tcW w:w="2301"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0.167</w:t>
            </w:r>
          </w:p>
        </w:tc>
        <w:tc>
          <w:tcPr>
            <w:tcW w:w="2510" w:type="dxa"/>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0.153</w:t>
            </w:r>
          </w:p>
        </w:tc>
        <w:tc>
          <w:tcPr>
            <w:tcW w:w="2390" w:type="dxa"/>
            <w:tcBorders>
              <w:right w:val="single" w:color="auto" w:sz="4" w:space="0"/>
            </w:tcBorders>
            <w:vAlign w:val="center"/>
          </w:tcPr>
          <w:p>
            <w:pPr>
              <w:autoSpaceDE/>
              <w:autoSpaceDN/>
              <w:adjustRightInd w:val="0"/>
              <w:snapToGrid w:val="0"/>
              <w:spacing w:line="28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t>0.180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9" w:hRule="atLeast"/>
          <w:jc w:val="center"/>
        </w:trPr>
        <w:tc>
          <w:tcPr>
            <w:tcW w:w="1878"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4"/>
                <w:sz w:val="21"/>
                <w:szCs w:val="21"/>
                <w:highlight w:val="none"/>
                <w:lang w:val="en-US" w:bidi="ar-SA"/>
                <w14:textFill>
                  <w14:solidFill>
                    <w14:schemeClr w14:val="tx1"/>
                  </w14:solidFill>
                </w14:textFill>
              </w:rPr>
              <w:t>石油烃</w:t>
            </w:r>
          </w:p>
        </w:tc>
        <w:tc>
          <w:tcPr>
            <w:tcW w:w="2301"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未检出</w:t>
            </w:r>
          </w:p>
        </w:tc>
        <w:tc>
          <w:tcPr>
            <w:tcW w:w="2510" w:type="dxa"/>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未检出</w:t>
            </w:r>
          </w:p>
        </w:tc>
        <w:tc>
          <w:tcPr>
            <w:tcW w:w="2390" w:type="dxa"/>
            <w:tcBorders>
              <w:right w:val="single" w:color="auto" w:sz="4" w:space="0"/>
            </w:tcBorders>
            <w:vAlign w:val="center"/>
          </w:tcPr>
          <w:p>
            <w:pPr>
              <w:autoSpaceDE/>
              <w:autoSpaceDN/>
              <w:adjustRightInd w:val="0"/>
              <w:snapToGrid w:val="0"/>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未检出</w:t>
            </w:r>
          </w:p>
        </w:tc>
      </w:tr>
    </w:tbl>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（4）评价</w:t>
      </w:r>
      <w:r>
        <w:rPr>
          <w:rFonts w:ascii="Times New Roman" w:hAnsi="Times New Roman" w:cs="Times New Roman"/>
          <w:color w:val="000000" w:themeColor="text1"/>
          <w:w w:val="99"/>
          <w:sz w:val="24"/>
          <w:szCs w:val="24"/>
          <w:highlight w:val="none"/>
          <w14:textFill>
            <w14:solidFill>
              <w14:schemeClr w14:val="tx1"/>
            </w14:solidFill>
          </w14:textFill>
        </w:rPr>
        <w:t>结论</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从表中可以看出，评价区域内土壤环境质量较好，没有出现超标情况。本项目永久占地内土壤满足《土壤环境质量 建设用地土壤污染风险管控标准（试行）》（GB36600-2018）中表1建设用地土壤污染风险筛选值（基本项目）中第二类用地筛选值标准，以及表2（其他项目）中第二类用地</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石油烃</w:t>
      </w:r>
      <w:r>
        <w:rPr>
          <w:rFonts w:ascii="Times New Roman" w:hAnsi="Times New Roman" w:cs="Times New Roman"/>
          <w:color w:val="000000" w:themeColor="text1"/>
          <w:w w:val="99"/>
          <w:sz w:val="24"/>
          <w:szCs w:val="24"/>
          <w:highlight w:val="none"/>
          <w:lang w:val="en-US"/>
          <w14:textFill>
            <w14:solidFill>
              <w14:schemeClr w14:val="tx1"/>
            </w14:solidFill>
          </w14:textFill>
        </w:rPr>
        <w:t>筛选值标准；评价范围内村屯土壤满足《土壤环境质量 建设用地土壤污染风险管控标准（试行）》（GB36600-2018）中表1建设用地土壤污染风险筛选值（基本项目）中第一类用地筛选值标准，以及表2（其他项目）中第一类用地</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石油烃</w:t>
      </w:r>
      <w:r>
        <w:rPr>
          <w:rFonts w:ascii="Times New Roman" w:hAnsi="Times New Roman" w:cs="Times New Roman"/>
          <w:color w:val="000000" w:themeColor="text1"/>
          <w:w w:val="99"/>
          <w:sz w:val="24"/>
          <w:szCs w:val="24"/>
          <w:highlight w:val="none"/>
          <w:lang w:val="en-US"/>
          <w14:textFill>
            <w14:solidFill>
              <w14:schemeClr w14:val="tx1"/>
            </w14:solidFill>
          </w14:textFill>
        </w:rPr>
        <w:t>筛选值标准；评价范围内草地、耕地土壤满足《土壤环境质量 农用地土壤污染风险管控标准（试行）》（GB15618-2018）表1农用地土壤风险筛选值（基本项目）中标准。</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4.3.</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 生态环境现状调查与评价</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4.3.6.1 生态环境现状分析</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）生态功能区划</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根据《全国生态功能区划》（修编版，2015），</w:t>
      </w:r>
      <w:r>
        <w:rPr>
          <w:rFonts w:ascii="Times New Roman" w:hAnsi="Times New Roman" w:cs="Times New Roman"/>
          <w:iCs/>
          <w:color w:val="000000" w:themeColor="text1"/>
          <w:w w:val="99"/>
          <w:sz w:val="24"/>
          <w:szCs w:val="24"/>
          <w:highlight w:val="none"/>
          <w:lang w:val="en-US"/>
          <w14:textFill>
            <w14:solidFill>
              <w14:schemeClr w14:val="tx1"/>
            </w14:solidFill>
          </w14:textFill>
        </w:rPr>
        <w:t>本工程</w:t>
      </w: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大同区</w:t>
      </w:r>
      <w:r>
        <w:rPr>
          <w:rFonts w:ascii="Times New Roman" w:hAnsi="Times New Roman" w:cs="Times New Roman"/>
          <w:iCs/>
          <w:color w:val="000000" w:themeColor="text1"/>
          <w:w w:val="99"/>
          <w:sz w:val="24"/>
          <w:szCs w:val="24"/>
          <w:highlight w:val="none"/>
          <w:lang w:val="en-US"/>
          <w14:textFill>
            <w14:solidFill>
              <w14:schemeClr w14:val="tx1"/>
            </w14:solidFill>
          </w14:textFill>
        </w:rPr>
        <w:t>所在区域位于</w:t>
      </w: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Ⅰ</w:t>
      </w:r>
      <w:r>
        <w:rPr>
          <w:rFonts w:ascii="Times New Roman" w:hAnsi="Times New Roman" w:cs="Times New Roman"/>
          <w:iCs/>
          <w:color w:val="000000" w:themeColor="text1"/>
          <w:w w:val="99"/>
          <w:sz w:val="24"/>
          <w:szCs w:val="24"/>
          <w:highlight w:val="none"/>
          <w:lang w:val="en-US"/>
          <w14:textFill>
            <w14:solidFill>
              <w14:schemeClr w14:val="tx1"/>
            </w14:solidFill>
          </w14:textFill>
        </w:rPr>
        <w:t>-6-1-2</w:t>
      </w: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大庆地区矿业</w:t>
      </w:r>
      <w:r>
        <w:rPr>
          <w:rFonts w:ascii="Times New Roman" w:hAnsi="Times New Roman" w:cs="Times New Roman"/>
          <w:iCs/>
          <w:color w:val="000000" w:themeColor="text1"/>
          <w:w w:val="99"/>
          <w:sz w:val="24"/>
          <w:szCs w:val="24"/>
          <w:highlight w:val="none"/>
          <w:lang w:val="en-US"/>
          <w14:textFill>
            <w14:solidFill>
              <w14:schemeClr w14:val="tx1"/>
            </w14:solidFill>
          </w14:textFill>
        </w:rPr>
        <w:t>与土壤保持生态功能区</w:t>
      </w: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，该区位于黑龙江省大庆市，总面积</w:t>
      </w:r>
      <w:r>
        <w:rPr>
          <w:rFonts w:ascii="Times New Roman" w:hAnsi="Times New Roman" w:cs="Times New Roman"/>
          <w:iCs/>
          <w:color w:val="000000" w:themeColor="text1"/>
          <w:w w:val="99"/>
          <w:sz w:val="24"/>
          <w:szCs w:val="24"/>
          <w:highlight w:val="none"/>
          <w:lang w:val="en-US"/>
          <w14:textFill>
            <w14:solidFill>
              <w14:schemeClr w14:val="tx1"/>
            </w14:solidFill>
          </w14:textFill>
        </w:rPr>
        <w:t>5170</w:t>
      </w: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km</w:t>
      </w:r>
      <w:r>
        <w:rPr>
          <w:rFonts w:ascii="Times New Roman" w:hAnsi="Times New Roman" w:cs="Times New Roman"/>
          <w:iCs/>
          <w:color w:val="000000" w:themeColor="text1"/>
          <w:w w:val="99"/>
          <w:sz w:val="24"/>
          <w:szCs w:val="24"/>
          <w:highlight w:val="none"/>
          <w:vertAlign w:val="superscript"/>
          <w:lang w:val="en-US"/>
          <w14:textFill>
            <w14:solidFill>
              <w14:schemeClr w14:val="tx1"/>
            </w14:solidFill>
          </w14:textFill>
        </w:rPr>
        <w:t>2</w:t>
      </w: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，该功能区的主要生态系统服务功能为沙漠化控制</w:t>
      </w:r>
      <w:r>
        <w:rPr>
          <w:rFonts w:ascii="Times New Roman" w:hAnsi="Times New Roman" w:cs="Times New Roman"/>
          <w:iCs/>
          <w:color w:val="000000" w:themeColor="text1"/>
          <w:w w:val="99"/>
          <w:sz w:val="24"/>
          <w:szCs w:val="24"/>
          <w:highlight w:val="none"/>
          <w:lang w:val="en-US"/>
          <w14:textFill>
            <w14:solidFill>
              <w14:schemeClr w14:val="tx1"/>
            </w14:solidFill>
          </w14:textFill>
        </w:rPr>
        <w:t>、</w:t>
      </w: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植被保护</w:t>
      </w:r>
      <w:r>
        <w:rPr>
          <w:rFonts w:ascii="Times New Roman" w:hAnsi="Times New Roman" w:cs="Times New Roman"/>
          <w:iCs/>
          <w:color w:val="000000" w:themeColor="text1"/>
          <w:w w:val="99"/>
          <w:sz w:val="24"/>
          <w:szCs w:val="24"/>
          <w:highlight w:val="none"/>
          <w:lang w:val="en-US"/>
          <w14:textFill>
            <w14:solidFill>
              <w14:schemeClr w14:val="tx1"/>
            </w14:solidFill>
          </w14:textFill>
        </w:rPr>
        <w:t>、生物多样性保护、石油开采</w:t>
      </w: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。肇源县</w:t>
      </w:r>
      <w:r>
        <w:rPr>
          <w:rFonts w:ascii="Times New Roman" w:hAnsi="Times New Roman" w:cs="Times New Roman"/>
          <w:iCs/>
          <w:color w:val="000000" w:themeColor="text1"/>
          <w:w w:val="99"/>
          <w:sz w:val="24"/>
          <w:szCs w:val="24"/>
          <w:highlight w:val="none"/>
          <w:lang w:val="en-US"/>
          <w14:textFill>
            <w14:solidFill>
              <w14:schemeClr w14:val="tx1"/>
            </w14:solidFill>
          </w14:textFill>
        </w:rPr>
        <w:t>位于</w:t>
      </w: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Ⅰ</w:t>
      </w:r>
      <w:r>
        <w:rPr>
          <w:rFonts w:ascii="Times New Roman" w:hAnsi="Times New Roman" w:cs="Times New Roman"/>
          <w:iCs/>
          <w:color w:val="000000" w:themeColor="text1"/>
          <w:w w:val="99"/>
          <w:sz w:val="24"/>
          <w:szCs w:val="24"/>
          <w:highlight w:val="none"/>
          <w:lang w:val="en-US"/>
          <w14:textFill>
            <w14:solidFill>
              <w14:schemeClr w14:val="tx1"/>
            </w14:solidFill>
          </w14:textFill>
        </w:rPr>
        <w:t>-6-1-1 嫩江下游湿地保护与沙化和盐渍化控制生态功能区，该区由黑龙江省西南部的肇源县、杜尔伯特蒙古自治县和泰来县组成，总面积 14200</w:t>
      </w: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km</w:t>
      </w:r>
      <w:r>
        <w:rPr>
          <w:rFonts w:ascii="Times New Roman" w:hAnsi="Times New Roman" w:cs="Times New Roman"/>
          <w:iCs/>
          <w:color w:val="000000" w:themeColor="text1"/>
          <w:w w:val="99"/>
          <w:sz w:val="24"/>
          <w:szCs w:val="24"/>
          <w:highlight w:val="none"/>
          <w:vertAlign w:val="superscript"/>
          <w:lang w:val="en-US"/>
          <w14:textFill>
            <w14:solidFill>
              <w14:schemeClr w14:val="tx1"/>
            </w14:solidFill>
          </w14:textFill>
        </w:rPr>
        <w:t>2</w:t>
      </w:r>
      <w:r>
        <w:rPr>
          <w:rFonts w:ascii="Times New Roman" w:hAnsi="Times New Roman" w:cs="Times New Roman"/>
          <w:iCs/>
          <w:color w:val="000000" w:themeColor="text1"/>
          <w:w w:val="99"/>
          <w:sz w:val="24"/>
          <w:szCs w:val="24"/>
          <w:highlight w:val="none"/>
          <w:lang w:val="en-US"/>
          <w14:textFill>
            <w14:solidFill>
              <w14:schemeClr w14:val="tx1"/>
            </w14:solidFill>
          </w14:textFill>
        </w:rPr>
        <w:t>。该区主要生态环境问题为草地面积减小，草原沙化、碱化、退化现象严重，沙化动态仍呈扩展趋势。</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在全国生态功能区划的基础上，结合黑龙江省详细的生态功能区划，对本项目所在的生态功能区划进行详细说明。根据黑龙江省人民政府批准的《黑龙江省生态功能区划》（黑政函[2006]75 号），本项目所在区域属于松嫩平原西部草甸草原生态区，松嫩平原西部草甸草原与农业生态亚区，嫩江下游湿地保护与沙化和盐渍化控制生态功能区。本项目区生态功能区划见表</w:t>
      </w:r>
      <w:r>
        <w:rPr>
          <w:rFonts w:ascii="Times New Roman" w:hAnsi="Times New Roman" w:cs="Times New Roman"/>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4</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生态功能区划图见附图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14</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p>
    <w:p>
      <w:pPr>
        <w:pStyle w:val="14"/>
        <w:spacing w:line="440" w:lineRule="exact"/>
        <w:ind w:firstLine="476" w:firstLineChars="200"/>
        <w:jc w:val="both"/>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14:textFill>
            <w14:solidFill>
              <w14:schemeClr w14:val="tx1"/>
            </w14:solidFill>
          </w14:textFill>
        </w:rPr>
        <w:t>表</w:t>
      </w:r>
      <w:r>
        <w:rPr>
          <w:rFonts w:ascii="Times New Roman" w:hAnsi="Times New Roman" w:cs="Times New Roman"/>
          <w:b/>
          <w:bCs/>
          <w:color w:val="000000" w:themeColor="text1"/>
          <w:w w:val="99"/>
          <w:sz w:val="24"/>
          <w:szCs w:val="24"/>
          <w:highlight w:val="none"/>
          <w:lang w:val="en-US"/>
          <w14:textFill>
            <w14:solidFill>
              <w14:schemeClr w14:val="tx1"/>
            </w14:solidFill>
          </w14:textFill>
        </w:rPr>
        <w:t>4.3-</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b/>
          <w:bCs/>
          <w:color w:val="000000" w:themeColor="text1"/>
          <w:w w:val="99"/>
          <w:sz w:val="24"/>
          <w:szCs w:val="24"/>
          <w:highlight w:val="none"/>
          <w:lang w:val="en-US" w:eastAsia="zh-CN"/>
          <w14:textFill>
            <w14:solidFill>
              <w14:schemeClr w14:val="tx1"/>
            </w14:solidFill>
          </w14:textFill>
        </w:rPr>
        <w:t xml:space="preserve">4    </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lang w:val="en-US"/>
          <w14:textFill>
            <w14:solidFill>
              <w14:schemeClr w14:val="tx1"/>
            </w14:solidFill>
          </w14:textFill>
        </w:rPr>
        <w:t>本工程区域生态功能区划表</w:t>
      </w:r>
    </w:p>
    <w:tbl>
      <w:tblPr>
        <w:tblStyle w:val="32"/>
        <w:tblW w:w="95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1746"/>
        <w:gridCol w:w="1895"/>
        <w:gridCol w:w="1968"/>
        <w:gridCol w:w="2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5041" w:type="dxa"/>
            <w:gridSpan w:val="3"/>
            <w:tcBorders>
              <w:tl2br w:val="nil"/>
              <w:tr2bl w:val="nil"/>
            </w:tcBorders>
            <w:vAlign w:val="center"/>
          </w:tcPr>
          <w:p>
            <w:pPr>
              <w:pStyle w:val="49"/>
              <w:autoSpaceDE/>
              <w:autoSpaceDN/>
              <w:spacing w:line="360" w:lineRule="exact"/>
              <w:jc w:val="center"/>
              <w:rPr>
                <w:rFonts w:ascii="Times New Roman" w:hAnsi="Times New Roman" w:cs="Times New Roman"/>
                <w:color w:val="000000" w:themeColor="text1"/>
                <w:w w:val="99"/>
                <w:kern w:val="2"/>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Cs w:val="21"/>
                <w:highlight w:val="none"/>
                <w:lang w:val="en-US" w:bidi="ar-SA"/>
                <w14:textFill>
                  <w14:solidFill>
                    <w14:schemeClr w14:val="tx1"/>
                  </w14:solidFill>
                </w14:textFill>
              </w:rPr>
              <w:t>项目区生态功能分区单元</w:t>
            </w:r>
          </w:p>
        </w:tc>
        <w:tc>
          <w:tcPr>
            <w:tcW w:w="1968" w:type="dxa"/>
            <w:tcBorders>
              <w:tl2br w:val="nil"/>
              <w:tr2bl w:val="nil"/>
            </w:tcBorders>
            <w:vAlign w:val="center"/>
          </w:tcPr>
          <w:p>
            <w:pPr>
              <w:pStyle w:val="49"/>
              <w:autoSpaceDE/>
              <w:autoSpaceDN/>
              <w:spacing w:line="360" w:lineRule="exact"/>
              <w:jc w:val="center"/>
              <w:rPr>
                <w:rFonts w:ascii="Times New Roman" w:hAnsi="Times New Roman" w:cs="Times New Roman"/>
                <w:color w:val="000000" w:themeColor="text1"/>
                <w:w w:val="99"/>
                <w:kern w:val="2"/>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Cs w:val="21"/>
                <w:highlight w:val="none"/>
                <w:lang w:val="en-US" w:bidi="ar-SA"/>
                <w14:textFill>
                  <w14:solidFill>
                    <w14:schemeClr w14:val="tx1"/>
                  </w14:solidFill>
                </w14:textFill>
              </w:rPr>
              <w:t>主要生态系统服务</w:t>
            </w:r>
          </w:p>
          <w:p>
            <w:pPr>
              <w:pStyle w:val="49"/>
              <w:autoSpaceDE/>
              <w:autoSpaceDN/>
              <w:spacing w:line="360" w:lineRule="exact"/>
              <w:jc w:val="center"/>
              <w:rPr>
                <w:rFonts w:ascii="Times New Roman" w:hAnsi="Times New Roman" w:cs="Times New Roman"/>
                <w:color w:val="000000" w:themeColor="text1"/>
                <w:w w:val="99"/>
                <w:kern w:val="2"/>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Cs w:val="21"/>
                <w:highlight w:val="none"/>
                <w:lang w:val="en-US" w:bidi="ar-SA"/>
                <w14:textFill>
                  <w14:solidFill>
                    <w14:schemeClr w14:val="tx1"/>
                  </w14:solidFill>
                </w14:textFill>
              </w:rPr>
              <w:t>功能</w:t>
            </w:r>
          </w:p>
        </w:tc>
        <w:tc>
          <w:tcPr>
            <w:tcW w:w="2539" w:type="dxa"/>
            <w:tcBorders>
              <w:tl2br w:val="nil"/>
              <w:tr2bl w:val="nil"/>
            </w:tcBorders>
            <w:vAlign w:val="center"/>
          </w:tcPr>
          <w:p>
            <w:pPr>
              <w:pStyle w:val="49"/>
              <w:autoSpaceDE/>
              <w:autoSpaceDN/>
              <w:spacing w:line="360" w:lineRule="exact"/>
              <w:jc w:val="center"/>
              <w:rPr>
                <w:rFonts w:ascii="Times New Roman" w:hAnsi="Times New Roman" w:cs="Times New Roman"/>
                <w:color w:val="000000" w:themeColor="text1"/>
                <w:w w:val="99"/>
                <w:kern w:val="2"/>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Cs w:val="21"/>
                <w:highlight w:val="none"/>
                <w:lang w:val="en-US" w:bidi="ar-SA"/>
                <w14:textFill>
                  <w14:solidFill>
                    <w14:schemeClr w14:val="tx1"/>
                  </w14:solidFill>
                </w14:textFill>
              </w:rPr>
              <w:t>保护措施与发展方向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jc w:val="center"/>
        </w:trPr>
        <w:tc>
          <w:tcPr>
            <w:tcW w:w="1400" w:type="dxa"/>
            <w:tcBorders>
              <w:tl2br w:val="nil"/>
              <w:tr2bl w:val="nil"/>
            </w:tcBorders>
            <w:vAlign w:val="center"/>
          </w:tcPr>
          <w:p>
            <w:pPr>
              <w:pStyle w:val="46"/>
              <w:spacing w:before="137" w:line="242" w:lineRule="auto"/>
              <w:ind w:left="235" w:right="122" w:hanging="60"/>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Ⅰ</w:t>
            </w:r>
            <w:r>
              <w:rPr>
                <w:rFonts w:eastAsia="宋体"/>
                <w:color w:val="000000" w:themeColor="text1"/>
                <w:w w:val="99"/>
                <w:kern w:val="2"/>
                <w:sz w:val="21"/>
                <w:szCs w:val="21"/>
                <w:highlight w:val="none"/>
                <w:lang w:val="en-US" w:bidi="ar-SA"/>
                <w14:textFill>
                  <w14:solidFill>
                    <w14:schemeClr w14:val="tx1"/>
                  </w14:solidFill>
                </w14:textFill>
              </w:rPr>
              <w:t>-06 松嫩平原西部草甸草原生态区</w:t>
            </w:r>
          </w:p>
        </w:tc>
        <w:tc>
          <w:tcPr>
            <w:tcW w:w="1746" w:type="dxa"/>
            <w:tcBorders>
              <w:tl2br w:val="nil"/>
              <w:tr2bl w:val="nil"/>
            </w:tcBorders>
            <w:vAlign w:val="center"/>
          </w:tcPr>
          <w:p>
            <w:pPr>
              <w:pStyle w:val="46"/>
              <w:spacing w:before="1"/>
              <w:ind w:left="189"/>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Ⅰ</w:t>
            </w:r>
            <w:r>
              <w:rPr>
                <w:rFonts w:eastAsia="宋体"/>
                <w:color w:val="000000" w:themeColor="text1"/>
                <w:w w:val="99"/>
                <w:kern w:val="2"/>
                <w:sz w:val="21"/>
                <w:szCs w:val="21"/>
                <w:highlight w:val="none"/>
                <w:lang w:val="en-US" w:bidi="ar-SA"/>
                <w14:textFill>
                  <w14:solidFill>
                    <w14:schemeClr w14:val="tx1"/>
                  </w14:solidFill>
                </w14:textFill>
              </w:rPr>
              <w:t>-06-01 松</w:t>
            </w:r>
          </w:p>
          <w:p>
            <w:pPr>
              <w:pStyle w:val="46"/>
              <w:spacing w:before="2" w:line="242" w:lineRule="auto"/>
              <w:ind w:left="177" w:right="143"/>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嫩平原西部草甸草原与农业生态亚区</w:t>
            </w:r>
          </w:p>
        </w:tc>
        <w:tc>
          <w:tcPr>
            <w:tcW w:w="1895" w:type="dxa"/>
            <w:tcBorders>
              <w:tl2br w:val="nil"/>
              <w:tr2bl w:val="nil"/>
            </w:tcBorders>
            <w:vAlign w:val="center"/>
          </w:tcPr>
          <w:p>
            <w:pPr>
              <w:pStyle w:val="46"/>
              <w:spacing w:before="137"/>
              <w:ind w:left="141" w:right="110"/>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Ⅰ</w:t>
            </w:r>
            <w:r>
              <w:rPr>
                <w:rFonts w:eastAsia="宋体"/>
                <w:color w:val="000000" w:themeColor="text1"/>
                <w:w w:val="99"/>
                <w:kern w:val="2"/>
                <w:sz w:val="21"/>
                <w:szCs w:val="21"/>
                <w:highlight w:val="none"/>
                <w:lang w:val="en-US" w:bidi="ar-SA"/>
                <w14:textFill>
                  <w14:solidFill>
                    <w14:schemeClr w14:val="tx1"/>
                  </w14:solidFill>
                </w14:textFill>
              </w:rPr>
              <w:t>-06-01-2 大</w:t>
            </w:r>
          </w:p>
          <w:p>
            <w:pPr>
              <w:pStyle w:val="46"/>
              <w:spacing w:before="3" w:line="242" w:lineRule="auto"/>
              <w:ind w:left="143" w:right="110"/>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庆地区矿业与土壤保持生态功能区</w:t>
            </w:r>
          </w:p>
        </w:tc>
        <w:tc>
          <w:tcPr>
            <w:tcW w:w="1968" w:type="dxa"/>
            <w:tcBorders>
              <w:tl2br w:val="nil"/>
              <w:tr2bl w:val="nil"/>
            </w:tcBorders>
            <w:vAlign w:val="center"/>
          </w:tcPr>
          <w:p>
            <w:pPr>
              <w:pStyle w:val="46"/>
              <w:spacing w:before="137" w:line="242" w:lineRule="auto"/>
              <w:ind w:left="139" w:right="110"/>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沙漠化控制、植被保护、生物多样性保护、石油开采</w:t>
            </w:r>
          </w:p>
        </w:tc>
        <w:tc>
          <w:tcPr>
            <w:tcW w:w="2539" w:type="dxa"/>
            <w:tcBorders>
              <w:tl2br w:val="nil"/>
              <w:tr2bl w:val="nil"/>
            </w:tcBorders>
            <w:vAlign w:val="center"/>
          </w:tcPr>
          <w:p>
            <w:pPr>
              <w:pStyle w:val="46"/>
              <w:spacing w:before="1" w:line="242" w:lineRule="auto"/>
              <w:ind w:left="163" w:right="139"/>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逐步恢复草原面积，加大对漏斗区的回注，防止漏斗区继续形成，控制对水环境的影响，科学发展农牧业</w:t>
            </w:r>
          </w:p>
        </w:tc>
      </w:tr>
    </w:tbl>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2</w:t>
      </w:r>
      <w:r>
        <w:rPr>
          <w:rFonts w:ascii="Times New Roman" w:hAnsi="Times New Roman" w:cs="Times New Roman"/>
          <w:color w:val="000000" w:themeColor="text1"/>
          <w:w w:val="99"/>
          <w:sz w:val="24"/>
          <w:szCs w:val="24"/>
          <w:highlight w:val="none"/>
          <w14:textFill>
            <w14:solidFill>
              <w14:schemeClr w14:val="tx1"/>
            </w14:solidFill>
          </w14:textFill>
        </w:rPr>
        <w:t>）土地利用现状</w:t>
      </w:r>
    </w:p>
    <w:p>
      <w:pPr>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评价区域土地类型主要为草地、</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耕地、</w:t>
      </w:r>
      <w:r>
        <w:rPr>
          <w:rFonts w:ascii="Times New Roman" w:hAnsi="Times New Roman" w:cs="Times New Roman"/>
          <w:color w:val="000000" w:themeColor="text1"/>
          <w:w w:val="99"/>
          <w:sz w:val="24"/>
          <w:szCs w:val="24"/>
          <w:highlight w:val="none"/>
          <w:lang w:val="en-US"/>
          <w14:textFill>
            <w14:solidFill>
              <w14:schemeClr w14:val="tx1"/>
            </w14:solidFill>
          </w14:textFill>
        </w:rPr>
        <w:t>住宅用地</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水域等，草地主要为一般草地</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耕地主要为旱田。项目区域土地利用现状图见</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附图</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13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w:t>
      </w:r>
      <w:r>
        <w:rPr>
          <w:rFonts w:ascii="Times New Roman" w:hAnsi="Times New Roman" w:cs="Times New Roman"/>
          <w:color w:val="000000" w:themeColor="text1"/>
          <w:w w:val="99"/>
          <w:sz w:val="24"/>
          <w:szCs w:val="24"/>
          <w:highlight w:val="none"/>
          <w:lang w:val="en-US"/>
          <w14:textFill>
            <w14:solidFill>
              <w14:schemeClr w14:val="tx1"/>
            </w14:solidFill>
          </w14:textFill>
        </w:rPr>
        <w:t>生态评价范围内土地利用类型见表</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4.3-2</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5</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表4.3-</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5</w:t>
      </w: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评价</w:t>
      </w:r>
      <w:r>
        <w:rPr>
          <w:rFonts w:ascii="Times New Roman" w:hAnsi="Times New Roman" w:cs="Times New Roman"/>
          <w:color w:val="000000" w:themeColor="text1"/>
          <w:w w:val="99"/>
          <w:sz w:val="24"/>
          <w:szCs w:val="24"/>
          <w:highlight w:val="none"/>
          <w:lang w:val="en-US"/>
          <w14:textFill>
            <w14:solidFill>
              <w14:schemeClr w14:val="tx1"/>
            </w14:solidFill>
          </w14:textFill>
        </w:rPr>
        <w:t>区域土地利用类型</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表</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327"/>
        <w:gridCol w:w="2647"/>
        <w:gridCol w:w="2806"/>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2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序号</w:t>
            </w:r>
          </w:p>
        </w:tc>
        <w:tc>
          <w:tcPr>
            <w:tcW w:w="1450"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土地类型</w:t>
            </w:r>
          </w:p>
        </w:tc>
        <w:tc>
          <w:tcPr>
            <w:tcW w:w="153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占地面积（hm</w:t>
            </w:r>
            <w:r>
              <w:rPr>
                <w:rFonts w:ascii="Times New Roman" w:hAnsi="Times New Roman" w:cs="Times New Roman" w:eastAsiaTheme="minorEastAsia"/>
                <w:color w:val="000000" w:themeColor="text1"/>
                <w:w w:val="99"/>
                <w:kern w:val="2"/>
                <w:sz w:val="21"/>
                <w:szCs w:val="21"/>
                <w:highlight w:val="none"/>
                <w:vertAlign w:val="superscript"/>
                <w14:textFill>
                  <w14:solidFill>
                    <w14:schemeClr w14:val="tx1"/>
                  </w14:solidFill>
                </w14:textFill>
              </w:rPr>
              <w:t>2</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w:t>
            </w:r>
          </w:p>
        </w:tc>
        <w:tc>
          <w:tcPr>
            <w:tcW w:w="1286"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百分比</w:t>
            </w: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2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1</w:t>
            </w:r>
          </w:p>
        </w:tc>
        <w:tc>
          <w:tcPr>
            <w:tcW w:w="1450"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草地</w:t>
            </w:r>
          </w:p>
        </w:tc>
        <w:tc>
          <w:tcPr>
            <w:tcW w:w="153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36.</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7</w:t>
            </w: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4</w:t>
            </w:r>
          </w:p>
        </w:tc>
        <w:tc>
          <w:tcPr>
            <w:tcW w:w="1286"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34.</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2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2</w:t>
            </w:r>
          </w:p>
        </w:tc>
        <w:tc>
          <w:tcPr>
            <w:tcW w:w="1450"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耕地</w:t>
            </w:r>
          </w:p>
        </w:tc>
        <w:tc>
          <w:tcPr>
            <w:tcW w:w="153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5</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2.61</w:t>
            </w:r>
          </w:p>
        </w:tc>
        <w:tc>
          <w:tcPr>
            <w:tcW w:w="1286"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2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3</w:t>
            </w:r>
          </w:p>
        </w:tc>
        <w:tc>
          <w:tcPr>
            <w:tcW w:w="1450"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住宅用地</w:t>
            </w:r>
          </w:p>
        </w:tc>
        <w:tc>
          <w:tcPr>
            <w:tcW w:w="153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8.</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1</w:t>
            </w: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5</w:t>
            </w:r>
          </w:p>
        </w:tc>
        <w:tc>
          <w:tcPr>
            <w:tcW w:w="1286"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2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lang w:val="en-US"/>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lang w:val="en-US"/>
                <w14:textFill>
                  <w14:solidFill>
                    <w14:schemeClr w14:val="tx1"/>
                  </w14:solidFill>
                </w14:textFill>
              </w:rPr>
              <w:t>4</w:t>
            </w:r>
          </w:p>
        </w:tc>
        <w:tc>
          <w:tcPr>
            <w:tcW w:w="1450"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水域</w:t>
            </w:r>
          </w:p>
        </w:tc>
        <w:tc>
          <w:tcPr>
            <w:tcW w:w="153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7.91</w:t>
            </w:r>
          </w:p>
        </w:tc>
        <w:tc>
          <w:tcPr>
            <w:tcW w:w="1286"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2177" w:type="pct"/>
            <w:gridSpan w:val="2"/>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合计</w:t>
            </w:r>
          </w:p>
        </w:tc>
        <w:tc>
          <w:tcPr>
            <w:tcW w:w="1537"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lang w:val="en-US"/>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14:textFill>
                  <w14:solidFill>
                    <w14:schemeClr w14:val="tx1"/>
                  </w14:solidFill>
                </w14:textFill>
              </w:rPr>
              <w:t>105.4</w:t>
            </w:r>
          </w:p>
        </w:tc>
        <w:tc>
          <w:tcPr>
            <w:tcW w:w="1286" w:type="pct"/>
            <w:vAlign w:val="center"/>
          </w:tcPr>
          <w:p>
            <w:pPr>
              <w:tabs>
                <w:tab w:val="center" w:pos="4153"/>
                <w:tab w:val="right" w:pos="8306"/>
              </w:tabs>
              <w:spacing w:line="360" w:lineRule="exact"/>
              <w:jc w:val="center"/>
              <w:rPr>
                <w:rFonts w:ascii="Times New Roman" w:hAnsi="Times New Roman" w:cs="Times New Roman" w:eastAsiaTheme="minorEastAsia"/>
                <w:color w:val="000000" w:themeColor="text1"/>
                <w:w w:val="99"/>
                <w:kern w:val="2"/>
                <w:sz w:val="21"/>
                <w:szCs w:val="21"/>
                <w:highlight w:val="none"/>
                <w:shd w:val="clear" w:color="FFFFFF" w:fill="D9D9D9"/>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14:textFill>
                  <w14:solidFill>
                    <w14:schemeClr w14:val="tx1"/>
                  </w14:solidFill>
                </w14:textFill>
              </w:rPr>
              <w:t>100</w:t>
            </w:r>
          </w:p>
        </w:tc>
      </w:tr>
    </w:tbl>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4.3.6.2植被现状调查</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大庆市位于松嫩平原中部，地势低，地带性植被为草甸草原，是我国温带草原的一部分，也是欧亚大陆草原的最东端，以丛生禾草和根茎禾草为其主要成分。由于湖泊、沼泽和盐碱化洼地的大面积分布，非地带性植被面积也较大，并有较多的盐生植物群落。</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（1）植物区系特征</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本区植物区系成分主要包括长白植物区系、蒙古植物区系、华北植物区系和大兴安岭植物区系。以蒙古草原植物区系成分占优势，常见的优势种和伴生种多属蒙古植物区系成分， 如羊草(</w:t>
      </w:r>
      <w:r>
        <w:rPr>
          <w:rFonts w:ascii="Times New Roman" w:hAnsi="Times New Roman" w:cs="Times New Roman"/>
          <w:i/>
          <w:color w:val="000000" w:themeColor="text1"/>
          <w:w w:val="99"/>
          <w:sz w:val="24"/>
          <w:szCs w:val="24"/>
          <w:highlight w:val="none"/>
          <w14:textFill>
            <w14:solidFill>
              <w14:schemeClr w14:val="tx1"/>
            </w14:solidFill>
          </w14:textFill>
        </w:rPr>
        <w:t>Aneurolepidium chinense</w:t>
      </w:r>
      <w:r>
        <w:rPr>
          <w:rFonts w:ascii="Times New Roman" w:hAnsi="Times New Roman" w:cs="Times New Roman"/>
          <w:color w:val="000000" w:themeColor="text1"/>
          <w:w w:val="99"/>
          <w:sz w:val="24"/>
          <w:szCs w:val="24"/>
          <w:highlight w:val="none"/>
          <w14:textFill>
            <w14:solidFill>
              <w14:schemeClr w14:val="tx1"/>
            </w14:solidFill>
          </w14:textFill>
        </w:rPr>
        <w:t>) 、贝加尔针茅(</w:t>
      </w:r>
      <w:r>
        <w:rPr>
          <w:rFonts w:ascii="Times New Roman" w:hAnsi="Times New Roman" w:cs="Times New Roman"/>
          <w:i/>
          <w:color w:val="000000" w:themeColor="text1"/>
          <w:w w:val="99"/>
          <w:sz w:val="24"/>
          <w:szCs w:val="24"/>
          <w:highlight w:val="none"/>
          <w14:textFill>
            <w14:solidFill>
              <w14:schemeClr w14:val="tx1"/>
            </w14:solidFill>
          </w14:textFill>
        </w:rPr>
        <w:t>Stipabaicalensis</w:t>
      </w:r>
      <w:r>
        <w:rPr>
          <w:rFonts w:ascii="Times New Roman" w:hAnsi="Times New Roman" w:cs="Times New Roman"/>
          <w:color w:val="000000" w:themeColor="text1"/>
          <w:w w:val="99"/>
          <w:sz w:val="24"/>
          <w:szCs w:val="24"/>
          <w:highlight w:val="none"/>
          <w14:textFill>
            <w14:solidFill>
              <w14:schemeClr w14:val="tx1"/>
            </w14:solidFill>
          </w14:textFill>
        </w:rPr>
        <w:t>)、大针茅（</w:t>
      </w:r>
      <w:r>
        <w:rPr>
          <w:rFonts w:ascii="Times New Roman" w:hAnsi="Times New Roman" w:cs="Times New Roman"/>
          <w:i/>
          <w:color w:val="000000" w:themeColor="text1"/>
          <w:w w:val="99"/>
          <w:sz w:val="24"/>
          <w:szCs w:val="24"/>
          <w:highlight w:val="none"/>
          <w14:textFill>
            <w14:solidFill>
              <w14:schemeClr w14:val="tx1"/>
            </w14:solidFill>
          </w14:textFill>
        </w:rPr>
        <w:t>S. grandis</w:t>
      </w:r>
      <w:r>
        <w:rPr>
          <w:rFonts w:ascii="Times New Roman" w:hAnsi="Times New Roman" w:cs="Times New Roman"/>
          <w:color w:val="000000" w:themeColor="text1"/>
          <w:w w:val="99"/>
          <w:sz w:val="24"/>
          <w:szCs w:val="24"/>
          <w:highlight w:val="none"/>
          <w14:textFill>
            <w14:solidFill>
              <w14:schemeClr w14:val="tx1"/>
            </w14:solidFill>
          </w14:textFill>
        </w:rPr>
        <w:t>）、线叶菊（</w:t>
      </w:r>
      <w:r>
        <w:rPr>
          <w:rFonts w:ascii="Times New Roman" w:hAnsi="Times New Roman" w:cs="Times New Roman"/>
          <w:i/>
          <w:color w:val="000000" w:themeColor="text1"/>
          <w:w w:val="99"/>
          <w:sz w:val="24"/>
          <w:szCs w:val="24"/>
          <w:highlight w:val="none"/>
          <w14:textFill>
            <w14:solidFill>
              <w14:schemeClr w14:val="tx1"/>
            </w14:solidFill>
          </w14:textFill>
        </w:rPr>
        <w:t>Filifolium sibiricum</w:t>
      </w:r>
      <w:r>
        <w:rPr>
          <w:rFonts w:ascii="Times New Roman" w:hAnsi="Times New Roman" w:cs="Times New Roman"/>
          <w:color w:val="000000" w:themeColor="text1"/>
          <w:w w:val="99"/>
          <w:sz w:val="24"/>
          <w:szCs w:val="24"/>
          <w:highlight w:val="none"/>
          <w14:textFill>
            <w14:solidFill>
              <w14:schemeClr w14:val="tx1"/>
            </w14:solidFill>
          </w14:textFill>
        </w:rPr>
        <w:t>）、星星草（</w:t>
      </w:r>
      <w:r>
        <w:rPr>
          <w:rFonts w:ascii="Times New Roman" w:hAnsi="Times New Roman" w:cs="Times New Roman"/>
          <w:i/>
          <w:color w:val="000000" w:themeColor="text1"/>
          <w:w w:val="99"/>
          <w:sz w:val="24"/>
          <w:szCs w:val="24"/>
          <w:highlight w:val="none"/>
          <w14:textFill>
            <w14:solidFill>
              <w14:schemeClr w14:val="tx1"/>
            </w14:solidFill>
          </w14:textFill>
        </w:rPr>
        <w:t>Puccinellia tenuifolia</w:t>
      </w:r>
      <w:r>
        <w:rPr>
          <w:rFonts w:ascii="Times New Roman" w:hAnsi="Times New Roman" w:cs="Times New Roman"/>
          <w:color w:val="000000" w:themeColor="text1"/>
          <w:w w:val="99"/>
          <w:sz w:val="24"/>
          <w:szCs w:val="24"/>
          <w:highlight w:val="none"/>
          <w14:textFill>
            <w14:solidFill>
              <w14:schemeClr w14:val="tx1"/>
            </w14:solidFill>
          </w14:textFill>
        </w:rPr>
        <w:t>）等。长白植物区系，也称满洲植物区系，在本区分布的种数仅次于蒙古植物区系，如木贼（</w:t>
      </w:r>
      <w:r>
        <w:rPr>
          <w:rFonts w:ascii="Times New Roman" w:hAnsi="Times New Roman" w:cs="Times New Roman"/>
          <w:i/>
          <w:color w:val="000000" w:themeColor="text1"/>
          <w:w w:val="99"/>
          <w:sz w:val="24"/>
          <w:szCs w:val="24"/>
          <w:highlight w:val="none"/>
          <w14:textFill>
            <w14:solidFill>
              <w14:schemeClr w14:val="tx1"/>
            </w14:solidFill>
          </w14:textFill>
        </w:rPr>
        <w:t>Equisetum hyemale</w:t>
      </w:r>
      <w:r>
        <w:rPr>
          <w:rFonts w:ascii="Times New Roman" w:hAnsi="Times New Roman" w:cs="Times New Roman"/>
          <w:color w:val="000000" w:themeColor="text1"/>
          <w:w w:val="99"/>
          <w:sz w:val="24"/>
          <w:szCs w:val="24"/>
          <w:highlight w:val="none"/>
          <w14:textFill>
            <w14:solidFill>
              <w14:schemeClr w14:val="tx1"/>
            </w14:solidFill>
          </w14:textFill>
        </w:rPr>
        <w:t>）、普通蓼（</w:t>
      </w:r>
      <w:r>
        <w:rPr>
          <w:rFonts w:ascii="Times New Roman" w:hAnsi="Times New Roman" w:cs="Times New Roman"/>
          <w:i/>
          <w:color w:val="000000" w:themeColor="text1"/>
          <w:w w:val="99"/>
          <w:sz w:val="24"/>
          <w:szCs w:val="24"/>
          <w:highlight w:val="none"/>
          <w14:textFill>
            <w14:solidFill>
              <w14:schemeClr w14:val="tx1"/>
            </w14:solidFill>
          </w14:textFill>
        </w:rPr>
        <w:t>Polygoeum manshuricum</w:t>
      </w:r>
      <w:r>
        <w:rPr>
          <w:rFonts w:ascii="Times New Roman" w:hAnsi="Times New Roman" w:cs="Times New Roman"/>
          <w:color w:val="000000" w:themeColor="text1"/>
          <w:w w:val="99"/>
          <w:sz w:val="24"/>
          <w:szCs w:val="24"/>
          <w:highlight w:val="none"/>
          <w14:textFill>
            <w14:solidFill>
              <w14:schemeClr w14:val="tx1"/>
            </w14:solidFill>
          </w14:textFill>
        </w:rPr>
        <w:t>）、野大豆（</w:t>
      </w:r>
      <w:r>
        <w:rPr>
          <w:rFonts w:ascii="Times New Roman" w:hAnsi="Times New Roman" w:cs="Times New Roman"/>
          <w:i/>
          <w:color w:val="000000" w:themeColor="text1"/>
          <w:w w:val="99"/>
          <w:sz w:val="24"/>
          <w:szCs w:val="24"/>
          <w:highlight w:val="none"/>
          <w14:textFill>
            <w14:solidFill>
              <w14:schemeClr w14:val="tx1"/>
            </w14:solidFill>
          </w14:textFill>
        </w:rPr>
        <w:t xml:space="preserve">Glycine  soja </w:t>
      </w:r>
      <w:r>
        <w:rPr>
          <w:rFonts w:ascii="Times New Roman" w:hAnsi="Times New Roman" w:cs="Times New Roman"/>
          <w:color w:val="000000" w:themeColor="text1"/>
          <w:w w:val="99"/>
          <w:sz w:val="24"/>
          <w:szCs w:val="24"/>
          <w:highlight w:val="none"/>
          <w14:textFill>
            <w14:solidFill>
              <w14:schemeClr w14:val="tx1"/>
            </w14:solidFill>
          </w14:textFill>
        </w:rPr>
        <w:t>）、水车前（</w:t>
      </w:r>
      <w:r>
        <w:rPr>
          <w:rFonts w:ascii="Times New Roman" w:hAnsi="Times New Roman" w:cs="Times New Roman"/>
          <w:i/>
          <w:color w:val="000000" w:themeColor="text1"/>
          <w:w w:val="99"/>
          <w:sz w:val="24"/>
          <w:szCs w:val="24"/>
          <w:highlight w:val="none"/>
          <w14:textFill>
            <w14:solidFill>
              <w14:schemeClr w14:val="tx1"/>
            </w14:solidFill>
          </w14:textFill>
        </w:rPr>
        <w:t>Ottelia  alimoides</w:t>
      </w:r>
      <w:r>
        <w:rPr>
          <w:rFonts w:ascii="Times New Roman" w:hAnsi="Times New Roman" w:cs="Times New Roman"/>
          <w:color w:val="000000" w:themeColor="text1"/>
          <w:w w:val="99"/>
          <w:sz w:val="24"/>
          <w:szCs w:val="24"/>
          <w:highlight w:val="none"/>
          <w14:textFill>
            <w14:solidFill>
              <w14:schemeClr w14:val="tx1"/>
            </w14:solidFill>
          </w14:textFill>
        </w:rPr>
        <w:t>）、狼爪瓦松（</w:t>
      </w:r>
      <w:r>
        <w:rPr>
          <w:rFonts w:ascii="Times New Roman" w:hAnsi="Times New Roman" w:cs="Times New Roman"/>
          <w:i/>
          <w:color w:val="000000" w:themeColor="text1"/>
          <w:w w:val="99"/>
          <w:sz w:val="24"/>
          <w:szCs w:val="24"/>
          <w:highlight w:val="none"/>
          <w14:textFill>
            <w14:solidFill>
              <w14:schemeClr w14:val="tx1"/>
            </w14:solidFill>
          </w14:textFill>
        </w:rPr>
        <w:t>Orostachys cartilaginous</w:t>
      </w:r>
      <w:r>
        <w:rPr>
          <w:rFonts w:ascii="Times New Roman" w:hAnsi="Times New Roman" w:cs="Times New Roman"/>
          <w:color w:val="000000" w:themeColor="text1"/>
          <w:w w:val="99"/>
          <w:sz w:val="24"/>
          <w:szCs w:val="24"/>
          <w:highlight w:val="none"/>
          <w14:textFill>
            <w14:solidFill>
              <w14:schemeClr w14:val="tx1"/>
            </w14:solidFill>
          </w14:textFill>
        </w:rPr>
        <w:t>）等。华北植物区系成分所占比例不大，主要有细叶地榆（</w:t>
      </w:r>
      <w:r>
        <w:rPr>
          <w:rFonts w:ascii="Times New Roman" w:hAnsi="Times New Roman" w:cs="Times New Roman"/>
          <w:i/>
          <w:color w:val="000000" w:themeColor="text1"/>
          <w:w w:val="99"/>
          <w:sz w:val="24"/>
          <w:szCs w:val="24"/>
          <w:highlight w:val="none"/>
          <w14:textFill>
            <w14:solidFill>
              <w14:schemeClr w14:val="tx1"/>
            </w14:solidFill>
          </w14:textFill>
        </w:rPr>
        <w:t>Samguisorba tenuifolia</w:t>
      </w:r>
      <w:r>
        <w:rPr>
          <w:rFonts w:ascii="Times New Roman" w:hAnsi="Times New Roman" w:cs="Times New Roman"/>
          <w:color w:val="000000" w:themeColor="text1"/>
          <w:w w:val="99"/>
          <w:sz w:val="24"/>
          <w:szCs w:val="24"/>
          <w:highlight w:val="none"/>
          <w14:textFill>
            <w14:solidFill>
              <w14:schemeClr w14:val="tx1"/>
            </w14:solidFill>
          </w14:textFill>
        </w:rPr>
        <w:t>）、柴胡（</w:t>
      </w:r>
      <w:r>
        <w:rPr>
          <w:rFonts w:ascii="Times New Roman" w:hAnsi="Times New Roman" w:cs="Times New Roman"/>
          <w:i/>
          <w:color w:val="000000" w:themeColor="text1"/>
          <w:w w:val="99"/>
          <w:sz w:val="24"/>
          <w:szCs w:val="24"/>
          <w:highlight w:val="none"/>
          <w14:textFill>
            <w14:solidFill>
              <w14:schemeClr w14:val="tx1"/>
            </w14:solidFill>
          </w14:textFill>
        </w:rPr>
        <w:t>Bupleurum scorzonerifolium</w:t>
      </w:r>
      <w:r>
        <w:rPr>
          <w:rFonts w:ascii="Times New Roman" w:hAnsi="Times New Roman" w:cs="Times New Roman"/>
          <w:color w:val="000000" w:themeColor="text1"/>
          <w:w w:val="99"/>
          <w:sz w:val="24"/>
          <w:szCs w:val="24"/>
          <w:highlight w:val="none"/>
          <w14:textFill>
            <w14:solidFill>
              <w14:schemeClr w14:val="tx1"/>
            </w14:solidFill>
          </w14:textFill>
        </w:rPr>
        <w:t>）、糙隐子草(</w:t>
      </w:r>
      <w:r>
        <w:rPr>
          <w:rFonts w:ascii="Times New Roman" w:hAnsi="Times New Roman" w:cs="Times New Roman"/>
          <w:i/>
          <w:color w:val="000000" w:themeColor="text1"/>
          <w:w w:val="99"/>
          <w:sz w:val="24"/>
          <w:szCs w:val="24"/>
          <w:highlight w:val="none"/>
          <w14:textFill>
            <w14:solidFill>
              <w14:schemeClr w14:val="tx1"/>
            </w14:solidFill>
          </w14:textFill>
        </w:rPr>
        <w:t>C. squarrosa)</w:t>
      </w:r>
      <w:r>
        <w:rPr>
          <w:rFonts w:ascii="Times New Roman" w:hAnsi="Times New Roman" w:cs="Times New Roman"/>
          <w:color w:val="000000" w:themeColor="text1"/>
          <w:w w:val="99"/>
          <w:sz w:val="24"/>
          <w:szCs w:val="24"/>
          <w:highlight w:val="none"/>
          <w14:textFill>
            <w14:solidFill>
              <w14:schemeClr w14:val="tx1"/>
            </w14:solidFill>
          </w14:textFill>
        </w:rPr>
        <w:t>等。</w:t>
      </w:r>
    </w:p>
    <w:p>
      <w:pPr>
        <w:pStyle w:val="45"/>
        <w:tabs>
          <w:tab w:val="left" w:pos="1552"/>
        </w:tabs>
        <w:spacing w:before="121"/>
        <w:ind w:left="0"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cs="Times New Roman"/>
          <w:color w:val="000000" w:themeColor="text1"/>
          <w:w w:val="99"/>
          <w:sz w:val="24"/>
          <w:szCs w:val="24"/>
          <w:highlight w:val="none"/>
          <w14:textFill>
            <w14:solidFill>
              <w14:schemeClr w14:val="tx1"/>
            </w14:solidFill>
          </w14:textFill>
        </w:rPr>
        <w:t>主要植被类型</w:t>
      </w:r>
    </w:p>
    <w:p>
      <w:pPr>
        <w:pStyle w:val="14"/>
        <w:spacing w:line="440" w:lineRule="exact"/>
        <w:ind w:firstLine="474" w:firstLineChars="200"/>
        <w:jc w:val="both"/>
        <w:rPr>
          <w:rFonts w:ascii="Times New Roman" w:hAnsi="Times New Roman" w:cs="Times New Roman"/>
          <w:iCs/>
          <w:color w:val="000000" w:themeColor="text1"/>
          <w:w w:val="99"/>
          <w:sz w:val="24"/>
          <w:szCs w:val="24"/>
          <w:highlight w:val="none"/>
          <w14:textFill>
            <w14:solidFill>
              <w14:schemeClr w14:val="tx1"/>
            </w14:solidFill>
          </w14:textFill>
        </w:rPr>
      </w:pPr>
      <w:r>
        <w:rPr>
          <w:rFonts w:ascii="Times New Roman" w:hAnsi="Times New Roman" w:cs="Times New Roman"/>
          <w:iCs/>
          <w:color w:val="000000" w:themeColor="text1"/>
          <w:w w:val="99"/>
          <w:sz w:val="24"/>
          <w:szCs w:val="24"/>
          <w:highlight w:val="none"/>
          <w14:textFill>
            <w14:solidFill>
              <w14:schemeClr w14:val="tx1"/>
            </w14:solidFill>
          </w14:textFill>
        </w:rPr>
        <w:t>评价区域内植被类型以草甸为主，主要包括草甸草原植被和盐生草甸植被。</w:t>
      </w:r>
    </w:p>
    <w:p>
      <w:pPr>
        <w:pStyle w:val="45"/>
        <w:tabs>
          <w:tab w:val="left" w:pos="1039"/>
        </w:tabs>
        <w:spacing w:line="440" w:lineRule="exact"/>
        <w:ind w:left="440" w:leftChars="200" w:firstLine="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①</w:t>
      </w:r>
      <w:r>
        <w:rPr>
          <w:rFonts w:ascii="Times New Roman" w:hAnsi="Times New Roman" w:cs="Times New Roman"/>
          <w:color w:val="000000" w:themeColor="text1"/>
          <w:w w:val="99"/>
          <w:sz w:val="24"/>
          <w:szCs w:val="24"/>
          <w:highlight w:val="none"/>
          <w14:textFill>
            <w14:solidFill>
              <w14:schemeClr w14:val="tx1"/>
            </w14:solidFill>
          </w14:textFill>
        </w:rPr>
        <w:t>草甸草原植被</w:t>
      </w:r>
    </w:p>
    <w:p>
      <w:pPr>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羊草草甸草原</w:t>
      </w: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（Form.  </w:t>
      </w:r>
      <w:r>
        <w:rPr>
          <w:rFonts w:ascii="Times New Roman" w:hAnsi="Times New Roman" w:cs="Times New Roman"/>
          <w:i/>
          <w:color w:val="000000" w:themeColor="text1"/>
          <w:w w:val="99"/>
          <w:sz w:val="24"/>
          <w:szCs w:val="24"/>
          <w:highlight w:val="none"/>
          <w:lang w:val="en-US"/>
          <w14:textFill>
            <w14:solidFill>
              <w14:schemeClr w14:val="tx1"/>
            </w14:solidFill>
          </w14:textFill>
        </w:rPr>
        <w:t>Leymus  chinensis</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。羊草草甸草原是欧亚大陆草原区东部一种特有和优势的草原类型</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也是本市主要的草甸草原类型。由于羊草具有强烈的根茎繁殖能力，排挤其它植物侵入，故种类组成比较单纯，在群落中羊草占绝对优势，是稳定的建群成分。但由于小生境，尤其是土壤类型和土壤盐碱含量的变化，群落组成结构有明显差异，可以区分若干群丛。如羊草-野古草群丛（</w:t>
      </w:r>
      <w:r>
        <w:rPr>
          <w:rFonts w:ascii="Times New Roman" w:hAnsi="Times New Roman" w:cs="Times New Roman"/>
          <w:i/>
          <w:color w:val="000000" w:themeColor="text1"/>
          <w:w w:val="99"/>
          <w:sz w:val="24"/>
          <w:szCs w:val="24"/>
          <w:highlight w:val="none"/>
          <w14:textFill>
            <w14:solidFill>
              <w14:schemeClr w14:val="tx1"/>
            </w14:solidFill>
          </w14:textFill>
        </w:rPr>
        <w:t xml:space="preserve">Leymus chinensis-Spodipogon     sibiticus   </w:t>
      </w:r>
      <w:r>
        <w:rPr>
          <w:rFonts w:ascii="Times New Roman" w:hAnsi="Times New Roman" w:cs="Times New Roman"/>
          <w:color w:val="000000" w:themeColor="text1"/>
          <w:w w:val="99"/>
          <w:sz w:val="24"/>
          <w:szCs w:val="24"/>
          <w:highlight w:val="none"/>
          <w14:textFill>
            <w14:solidFill>
              <w14:schemeClr w14:val="tx1"/>
            </w14:solidFill>
          </w14:textFill>
        </w:rPr>
        <w:t xml:space="preserve">）、 羊 草 -   箭 头 唐 松 草 群 丛（ </w:t>
      </w:r>
      <w:r>
        <w:rPr>
          <w:rFonts w:ascii="Times New Roman" w:hAnsi="Times New Roman" w:cs="Times New Roman"/>
          <w:i/>
          <w:color w:val="000000" w:themeColor="text1"/>
          <w:w w:val="99"/>
          <w:sz w:val="24"/>
          <w:szCs w:val="24"/>
          <w:highlight w:val="none"/>
          <w14:textFill>
            <w14:solidFill>
              <w14:schemeClr w14:val="tx1"/>
            </w14:solidFill>
          </w14:textFill>
        </w:rPr>
        <w:t>Leymuschinensis-Thalictretum</w:t>
      </w:r>
      <w:r>
        <w:rPr>
          <w:rFonts w:ascii="Times New Roman" w:hAnsi="Times New Roman" w:cs="Times New Roman"/>
          <w:i/>
          <w:color w:val="000000" w:themeColor="text1"/>
          <w:w w:val="99"/>
          <w:sz w:val="24"/>
          <w:szCs w:val="24"/>
          <w:highlight w:val="none"/>
          <w14:textFill>
            <w14:solidFill>
              <w14:schemeClr w14:val="tx1"/>
            </w14:solidFill>
          </w14:textFill>
        </w:rPr>
        <w:tab/>
      </w:r>
      <w:r>
        <w:rPr>
          <w:rFonts w:ascii="Times New Roman" w:hAnsi="Times New Roman" w:cs="Times New Roman"/>
          <w:i/>
          <w:color w:val="000000" w:themeColor="text1"/>
          <w:w w:val="99"/>
          <w:sz w:val="24"/>
          <w:szCs w:val="24"/>
          <w:highlight w:val="none"/>
          <w14:textFill>
            <w14:solidFill>
              <w14:schemeClr w14:val="tx1"/>
            </w14:solidFill>
          </w14:textFill>
        </w:rPr>
        <w:t xml:space="preserve">simplex   </w:t>
      </w:r>
      <w:r>
        <w:rPr>
          <w:rFonts w:ascii="Times New Roman" w:hAnsi="Times New Roman" w:cs="Times New Roman"/>
          <w:color w:val="000000" w:themeColor="text1"/>
          <w:w w:val="99"/>
          <w:sz w:val="24"/>
          <w:szCs w:val="24"/>
          <w:highlight w:val="none"/>
          <w14:textFill>
            <w14:solidFill>
              <w14:schemeClr w14:val="tx1"/>
            </w14:solidFill>
          </w14:textFill>
        </w:rPr>
        <w:t xml:space="preserve">） 、 羊 草 -  拂 子 茅 群 丛（ </w:t>
      </w:r>
      <w:r>
        <w:rPr>
          <w:rFonts w:ascii="Times New Roman" w:hAnsi="Times New Roman" w:cs="Times New Roman"/>
          <w:i/>
          <w:color w:val="000000" w:themeColor="text1"/>
          <w:w w:val="99"/>
          <w:sz w:val="24"/>
          <w:szCs w:val="24"/>
          <w:highlight w:val="none"/>
          <w14:textFill>
            <w14:solidFill>
              <w14:schemeClr w14:val="tx1"/>
            </w14:solidFill>
          </w14:textFill>
        </w:rPr>
        <w:t>LeymusChinensis-Calamagrostis</w:t>
      </w:r>
      <w:r>
        <w:rPr>
          <w:rFonts w:ascii="Times New Roman" w:hAnsi="Times New Roman" w:cs="Times New Roman"/>
          <w:i/>
          <w:color w:val="000000" w:themeColor="text1"/>
          <w:w w:val="99"/>
          <w:sz w:val="24"/>
          <w:szCs w:val="24"/>
          <w:highlight w:val="none"/>
          <w14:textFill>
            <w14:solidFill>
              <w14:schemeClr w14:val="tx1"/>
            </w14:solidFill>
          </w14:textFill>
        </w:rPr>
        <w:tab/>
      </w:r>
      <w:r>
        <w:rPr>
          <w:rFonts w:ascii="Times New Roman" w:hAnsi="Times New Roman" w:cs="Times New Roman"/>
          <w:i/>
          <w:color w:val="000000" w:themeColor="text1"/>
          <w:w w:val="99"/>
          <w:sz w:val="24"/>
          <w:szCs w:val="24"/>
          <w:highlight w:val="none"/>
          <w14:textFill>
            <w14:solidFill>
              <w14:schemeClr w14:val="tx1"/>
            </w14:solidFill>
          </w14:textFill>
        </w:rPr>
        <w:t xml:space="preserve">epigejos  </w:t>
      </w:r>
      <w:r>
        <w:rPr>
          <w:rFonts w:ascii="Times New Roman" w:hAnsi="Times New Roman" w:cs="Times New Roman"/>
          <w:color w:val="000000" w:themeColor="text1"/>
          <w:w w:val="99"/>
          <w:sz w:val="24"/>
          <w:szCs w:val="24"/>
          <w:highlight w:val="none"/>
          <w14:textFill>
            <w14:solidFill>
              <w14:schemeClr w14:val="tx1"/>
            </w14:solidFill>
          </w14:textFill>
        </w:rPr>
        <w:t xml:space="preserve">） 、 羊 草 -  糙 隐 子 草 群 丛（ </w:t>
      </w:r>
      <w:r>
        <w:rPr>
          <w:rFonts w:ascii="Times New Roman" w:hAnsi="Times New Roman" w:cs="Times New Roman"/>
          <w:i/>
          <w:color w:val="000000" w:themeColor="text1"/>
          <w:w w:val="99"/>
          <w:sz w:val="24"/>
          <w:szCs w:val="24"/>
          <w:highlight w:val="none"/>
          <w14:textFill>
            <w14:solidFill>
              <w14:schemeClr w14:val="tx1"/>
            </w14:solidFill>
          </w14:textFill>
        </w:rPr>
        <w:t>LeymusChinensis-Cleistogenes</w:t>
      </w:r>
      <w:r>
        <w:rPr>
          <w:rFonts w:ascii="Times New Roman" w:hAnsi="Times New Roman" w:cs="Times New Roman"/>
          <w:i/>
          <w:color w:val="000000" w:themeColor="text1"/>
          <w:w w:val="99"/>
          <w:sz w:val="24"/>
          <w:szCs w:val="24"/>
          <w:highlight w:val="none"/>
          <w14:textFill>
            <w14:solidFill>
              <w14:schemeClr w14:val="tx1"/>
            </w14:solidFill>
          </w14:textFill>
        </w:rPr>
        <w:tab/>
      </w:r>
      <w:r>
        <w:rPr>
          <w:rFonts w:ascii="Times New Roman" w:hAnsi="Times New Roman" w:cs="Times New Roman"/>
          <w:i/>
          <w:color w:val="000000" w:themeColor="text1"/>
          <w:w w:val="99"/>
          <w:sz w:val="24"/>
          <w:szCs w:val="24"/>
          <w:highlight w:val="none"/>
          <w14:textFill>
            <w14:solidFill>
              <w14:schemeClr w14:val="tx1"/>
            </w14:solidFill>
          </w14:textFill>
        </w:rPr>
        <w:t xml:space="preserve">squarrosa   </w:t>
      </w:r>
      <w:r>
        <w:rPr>
          <w:rFonts w:ascii="Times New Roman" w:hAnsi="Times New Roman" w:cs="Times New Roman"/>
          <w:color w:val="000000" w:themeColor="text1"/>
          <w:w w:val="99"/>
          <w:sz w:val="24"/>
          <w:szCs w:val="24"/>
          <w:highlight w:val="none"/>
          <w14:textFill>
            <w14:solidFill>
              <w14:schemeClr w14:val="tx1"/>
            </w14:solidFill>
          </w14:textFill>
        </w:rPr>
        <w:t xml:space="preserve">） 、 羊 草 -   野 大 麦 群 丛（ </w:t>
      </w:r>
      <w:r>
        <w:rPr>
          <w:rFonts w:ascii="Times New Roman" w:hAnsi="Times New Roman" w:cs="Times New Roman"/>
          <w:i/>
          <w:color w:val="000000" w:themeColor="text1"/>
          <w:w w:val="99"/>
          <w:sz w:val="24"/>
          <w:szCs w:val="24"/>
          <w:highlight w:val="none"/>
          <w14:textFill>
            <w14:solidFill>
              <w14:schemeClr w14:val="tx1"/>
            </w14:solidFill>
          </w14:textFill>
        </w:rPr>
        <w:t xml:space="preserve">LeymusChinensis-Hordetum </w:t>
      </w:r>
      <w:r>
        <w:rPr>
          <w:rFonts w:ascii="Times New Roman" w:hAnsi="Times New Roman" w:cs="Times New Roman"/>
          <w:color w:val="000000" w:themeColor="text1"/>
          <w:w w:val="99"/>
          <w:sz w:val="24"/>
          <w:szCs w:val="24"/>
          <w:highlight w:val="none"/>
          <w14:textFill>
            <w14:solidFill>
              <w14:schemeClr w14:val="tx1"/>
            </w14:solidFill>
          </w14:textFill>
        </w:rPr>
        <w:t xml:space="preserve">）、羊草- 虎尾草群丛（ </w:t>
      </w:r>
      <w:r>
        <w:rPr>
          <w:rFonts w:ascii="Times New Roman" w:hAnsi="Times New Roman" w:cs="Times New Roman"/>
          <w:i/>
          <w:color w:val="000000" w:themeColor="text1"/>
          <w:w w:val="99"/>
          <w:sz w:val="24"/>
          <w:szCs w:val="24"/>
          <w:highlight w:val="none"/>
          <w14:textFill>
            <w14:solidFill>
              <w14:schemeClr w14:val="tx1"/>
            </w14:solidFill>
          </w14:textFill>
        </w:rPr>
        <w:t>Leymus Chinensis-Chioris vigata</w:t>
      </w:r>
      <w:r>
        <w:rPr>
          <w:rFonts w:ascii="Times New Roman" w:hAnsi="Times New Roman" w:cs="Times New Roman"/>
          <w:color w:val="000000" w:themeColor="text1"/>
          <w:w w:val="99"/>
          <w:sz w:val="24"/>
          <w:szCs w:val="24"/>
          <w:highlight w:val="none"/>
          <w14:textFill>
            <w14:solidFill>
              <w14:schemeClr w14:val="tx1"/>
            </w14:solidFill>
          </w14:textFill>
        </w:rPr>
        <w:t>）、羊草-碱蒿群丛（</w:t>
      </w:r>
      <w:r>
        <w:rPr>
          <w:rFonts w:ascii="Times New Roman" w:hAnsi="Times New Roman" w:cs="Times New Roman"/>
          <w:i/>
          <w:color w:val="000000" w:themeColor="text1"/>
          <w:w w:val="99"/>
          <w:sz w:val="24"/>
          <w:szCs w:val="24"/>
          <w:highlight w:val="none"/>
          <w14:textFill>
            <w14:solidFill>
              <w14:schemeClr w14:val="tx1"/>
            </w14:solidFill>
          </w14:textFill>
        </w:rPr>
        <w:t>Leymus Chinensis-Artemisetum</w:t>
      </w:r>
      <w:r>
        <w:rPr>
          <w:rFonts w:ascii="Times New Roman" w:hAnsi="Times New Roman" w:cs="Times New Roman"/>
          <w:color w:val="000000" w:themeColor="text1"/>
          <w:w w:val="99"/>
          <w:sz w:val="24"/>
          <w:szCs w:val="24"/>
          <w:highlight w:val="none"/>
          <w14:textFill>
            <w14:solidFill>
              <w14:schemeClr w14:val="tx1"/>
            </w14:solidFill>
          </w14:textFill>
        </w:rPr>
        <w:t>）等。羊草草甸草原是草原植被中经济价值最高的类型。由于羊草营养价值在整个生长季都很高，适口性强，适于调制干草，是最重要的自然割草场和放牧场。但目前因过度放牧和碱化， 草场退化严重。</w:t>
      </w:r>
    </w:p>
    <w:p>
      <w:pPr>
        <w:pStyle w:val="45"/>
        <w:tabs>
          <w:tab w:val="left" w:pos="1039"/>
        </w:tabs>
        <w:spacing w:line="440" w:lineRule="exact"/>
        <w:ind w:left="440" w:leftChars="200" w:firstLine="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②</w:t>
      </w:r>
      <w:r>
        <w:rPr>
          <w:rFonts w:ascii="Times New Roman" w:hAnsi="Times New Roman" w:cs="Times New Roman"/>
          <w:color w:val="000000" w:themeColor="text1"/>
          <w:w w:val="99"/>
          <w:sz w:val="24"/>
          <w:szCs w:val="24"/>
          <w:highlight w:val="none"/>
          <w14:textFill>
            <w14:solidFill>
              <w14:schemeClr w14:val="tx1"/>
            </w14:solidFill>
          </w14:textFill>
        </w:rPr>
        <w:t>盐生草甸植被</w:t>
      </w:r>
    </w:p>
    <w:p>
      <w:pPr>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星星草草甸</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i/>
          <w:color w:val="000000" w:themeColor="text1"/>
          <w:w w:val="99"/>
          <w:sz w:val="24"/>
          <w:szCs w:val="24"/>
          <w:highlight w:val="none"/>
          <w:lang w:val="en-US"/>
          <w14:textFill>
            <w14:solidFill>
              <w14:schemeClr w14:val="tx1"/>
            </w14:solidFill>
          </w14:textFill>
        </w:rPr>
        <w:t>Form.Puccinellia tenuiflora</w:t>
      </w:r>
      <w:r>
        <w:rPr>
          <w:rFonts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14:textFill>
            <w14:solidFill>
              <w14:schemeClr w14:val="tx1"/>
            </w14:solidFill>
          </w14:textFill>
        </w:rPr>
        <w:t xml:space="preserve">。广泛分布在退化草地的碱斑和盐碱化湖泡周围，但面积较小，生境较低湿，常有短期积水。此类草甸盖度变化很大， 40%～80%。由于生境条件严酷，常以星星草为单优势，甚至无伴生种，可混有少量羊草、野大麦 （ </w:t>
      </w:r>
      <w:r>
        <w:rPr>
          <w:rFonts w:ascii="Times New Roman" w:hAnsi="Times New Roman" w:cs="Times New Roman"/>
          <w:i/>
          <w:color w:val="000000" w:themeColor="text1"/>
          <w:w w:val="99"/>
          <w:sz w:val="24"/>
          <w:szCs w:val="24"/>
          <w:highlight w:val="none"/>
          <w14:textFill>
            <w14:solidFill>
              <w14:schemeClr w14:val="tx1"/>
            </w14:solidFill>
          </w14:textFill>
        </w:rPr>
        <w:t xml:space="preserve">Hordeum brevisublatum </w:t>
      </w:r>
      <w:r>
        <w:rPr>
          <w:rFonts w:ascii="Times New Roman" w:hAnsi="Times New Roman" w:cs="Times New Roman"/>
          <w:color w:val="000000" w:themeColor="text1"/>
          <w:w w:val="99"/>
          <w:sz w:val="24"/>
          <w:szCs w:val="24"/>
          <w:highlight w:val="none"/>
          <w14:textFill>
            <w14:solidFill>
              <w14:schemeClr w14:val="tx1"/>
            </w14:solidFill>
          </w14:textFill>
        </w:rPr>
        <w:t xml:space="preserve">）、朝鲜碱茅（ </w:t>
      </w:r>
      <w:r>
        <w:rPr>
          <w:rFonts w:ascii="Times New Roman" w:hAnsi="Times New Roman" w:cs="Times New Roman"/>
          <w:i/>
          <w:color w:val="000000" w:themeColor="text1"/>
          <w:w w:val="99"/>
          <w:sz w:val="24"/>
          <w:szCs w:val="24"/>
          <w:highlight w:val="none"/>
          <w14:textFill>
            <w14:solidFill>
              <w14:schemeClr w14:val="tx1"/>
            </w14:solidFill>
          </w14:textFill>
        </w:rPr>
        <w:t>Puccinellia chinampoensis</w:t>
      </w:r>
      <w:r>
        <w:rPr>
          <w:rFonts w:ascii="Times New Roman" w:hAnsi="Times New Roman" w:cs="Times New Roman"/>
          <w:color w:val="000000" w:themeColor="text1"/>
          <w:w w:val="99"/>
          <w:sz w:val="24"/>
          <w:szCs w:val="24"/>
          <w:highlight w:val="none"/>
          <w14:textFill>
            <w14:solidFill>
              <w14:schemeClr w14:val="tx1"/>
            </w14:solidFill>
          </w14:textFill>
        </w:rPr>
        <w:t>）、碱地风毛菊（</w:t>
      </w:r>
      <w:r>
        <w:rPr>
          <w:rFonts w:ascii="Times New Roman" w:hAnsi="Times New Roman" w:cs="Times New Roman"/>
          <w:i/>
          <w:color w:val="000000" w:themeColor="text1"/>
          <w:w w:val="99"/>
          <w:sz w:val="24"/>
          <w:szCs w:val="24"/>
          <w:highlight w:val="none"/>
          <w14:textFill>
            <w14:solidFill>
              <w14:schemeClr w14:val="tx1"/>
            </w14:solidFill>
          </w14:textFill>
        </w:rPr>
        <w:t>Saussurea runcinata</w:t>
      </w:r>
      <w:r>
        <w:rPr>
          <w:rFonts w:ascii="Times New Roman" w:hAnsi="Times New Roman" w:cs="Times New Roman"/>
          <w:color w:val="000000" w:themeColor="text1"/>
          <w:w w:val="99"/>
          <w:sz w:val="24"/>
          <w:szCs w:val="24"/>
          <w:highlight w:val="none"/>
          <w14:textFill>
            <w14:solidFill>
              <w14:schemeClr w14:val="tx1"/>
            </w14:solidFill>
          </w14:textFill>
        </w:rPr>
        <w:t>）、碱地肤（</w:t>
      </w:r>
      <w:r>
        <w:rPr>
          <w:rFonts w:ascii="Times New Roman" w:hAnsi="Times New Roman" w:cs="Times New Roman"/>
          <w:i/>
          <w:color w:val="000000" w:themeColor="text1"/>
          <w:w w:val="99"/>
          <w:sz w:val="24"/>
          <w:szCs w:val="24"/>
          <w:highlight w:val="none"/>
          <w14:textFill>
            <w14:solidFill>
              <w14:schemeClr w14:val="tx1"/>
            </w14:solidFill>
          </w14:textFill>
        </w:rPr>
        <w:t>Kochia sieversianavar.  suaedaefolia</w:t>
      </w:r>
      <w:r>
        <w:rPr>
          <w:rFonts w:ascii="Times New Roman" w:hAnsi="Times New Roman" w:cs="Times New Roman"/>
          <w:color w:val="000000" w:themeColor="text1"/>
          <w:w w:val="99"/>
          <w:sz w:val="24"/>
          <w:szCs w:val="24"/>
          <w:highlight w:val="none"/>
          <w14:textFill>
            <w14:solidFill>
              <w14:schemeClr w14:val="tx1"/>
            </w14:solidFill>
          </w14:textFill>
        </w:rPr>
        <w:t>）、碱蒿（</w:t>
      </w:r>
      <w:r>
        <w:rPr>
          <w:rFonts w:ascii="Times New Roman" w:hAnsi="Times New Roman" w:cs="Times New Roman"/>
          <w:i/>
          <w:color w:val="000000" w:themeColor="text1"/>
          <w:w w:val="99"/>
          <w:sz w:val="24"/>
          <w:szCs w:val="24"/>
          <w:highlight w:val="none"/>
          <w14:textFill>
            <w14:solidFill>
              <w14:schemeClr w14:val="tx1"/>
            </w14:solidFill>
          </w14:textFill>
        </w:rPr>
        <w:t>Artemisia  anethifolia</w:t>
      </w:r>
      <w:r>
        <w:rPr>
          <w:rFonts w:ascii="Times New Roman" w:hAnsi="Times New Roman" w:cs="Times New Roman"/>
          <w:color w:val="000000" w:themeColor="text1"/>
          <w:w w:val="99"/>
          <w:sz w:val="24"/>
          <w:szCs w:val="24"/>
          <w:highlight w:val="none"/>
          <w14:textFill>
            <w14:solidFill>
              <w14:schemeClr w14:val="tx1"/>
            </w14:solidFill>
          </w14:textFill>
        </w:rPr>
        <w:t>），以及常混有少量一年生的碱蓬（</w:t>
      </w:r>
      <w:r>
        <w:rPr>
          <w:rFonts w:ascii="Times New Roman" w:hAnsi="Times New Roman" w:cs="Times New Roman"/>
          <w:i/>
          <w:color w:val="000000" w:themeColor="text1"/>
          <w:w w:val="99"/>
          <w:sz w:val="24"/>
          <w:szCs w:val="24"/>
          <w:highlight w:val="none"/>
          <w14:textFill>
            <w14:solidFill>
              <w14:schemeClr w14:val="tx1"/>
            </w14:solidFill>
          </w14:textFill>
        </w:rPr>
        <w:t>Suaeda glauca</w:t>
      </w:r>
      <w:r>
        <w:rPr>
          <w:rFonts w:ascii="Times New Roman" w:hAnsi="Times New Roman" w:cs="Times New Roman"/>
          <w:color w:val="000000" w:themeColor="text1"/>
          <w:w w:val="99"/>
          <w:sz w:val="24"/>
          <w:szCs w:val="24"/>
          <w:highlight w:val="none"/>
          <w14:textFill>
            <w14:solidFill>
              <w14:schemeClr w14:val="tx1"/>
            </w14:solidFill>
          </w14:textFill>
        </w:rPr>
        <w:t>）和角碱蓬（</w:t>
      </w:r>
      <w:r>
        <w:rPr>
          <w:rFonts w:ascii="Times New Roman" w:hAnsi="Times New Roman" w:cs="Times New Roman"/>
          <w:i/>
          <w:color w:val="000000" w:themeColor="text1"/>
          <w:w w:val="99"/>
          <w:sz w:val="24"/>
          <w:szCs w:val="24"/>
          <w:highlight w:val="none"/>
          <w14:textFill>
            <w14:solidFill>
              <w14:schemeClr w14:val="tx1"/>
            </w14:solidFill>
          </w14:textFill>
        </w:rPr>
        <w:t>S.corniculata</w:t>
      </w:r>
      <w:r>
        <w:rPr>
          <w:rFonts w:ascii="Times New Roman" w:hAnsi="Times New Roman" w:cs="Times New Roman"/>
          <w:color w:val="000000" w:themeColor="text1"/>
          <w:w w:val="99"/>
          <w:sz w:val="24"/>
          <w:szCs w:val="24"/>
          <w:highlight w:val="none"/>
          <w14:textFill>
            <w14:solidFill>
              <w14:schemeClr w14:val="tx1"/>
            </w14:solidFill>
          </w14:textFill>
        </w:rPr>
        <w:t>）等。马蔺草甸（</w:t>
      </w:r>
      <w:r>
        <w:rPr>
          <w:rFonts w:ascii="Times New Roman" w:hAnsi="Times New Roman" w:cs="Times New Roman"/>
          <w:i/>
          <w:color w:val="000000" w:themeColor="text1"/>
          <w:w w:val="99"/>
          <w:sz w:val="24"/>
          <w:szCs w:val="24"/>
          <w:highlight w:val="none"/>
          <w14:textFill>
            <w14:solidFill>
              <w14:schemeClr w14:val="tx1"/>
            </w14:solidFill>
          </w14:textFill>
        </w:rPr>
        <w:t>Form. Iris ensata</w:t>
      </w:r>
      <w:r>
        <w:rPr>
          <w:rFonts w:ascii="Times New Roman" w:hAnsi="Times New Roman" w:cs="Times New Roman"/>
          <w:color w:val="000000" w:themeColor="text1"/>
          <w:w w:val="99"/>
          <w:sz w:val="24"/>
          <w:szCs w:val="24"/>
          <w:highlight w:val="none"/>
          <w14:textFill>
            <w14:solidFill>
              <w14:schemeClr w14:val="tx1"/>
            </w14:solidFill>
          </w14:textFill>
        </w:rPr>
        <w:t>）。主要分布在严重退化草地的碱斑周围。组成以马蔺为优势，伴生种随着小生境土壤的盐分、湿润度的不同而有变化，主要有无脉苔草（</w:t>
      </w:r>
      <w:r>
        <w:rPr>
          <w:rFonts w:ascii="Times New Roman" w:hAnsi="Times New Roman" w:cs="Times New Roman"/>
          <w:i/>
          <w:color w:val="000000" w:themeColor="text1"/>
          <w:w w:val="99"/>
          <w:sz w:val="24"/>
          <w:szCs w:val="24"/>
          <w:highlight w:val="none"/>
          <w14:textFill>
            <w14:solidFill>
              <w14:schemeClr w14:val="tx1"/>
            </w14:solidFill>
          </w14:textFill>
        </w:rPr>
        <w:t>Carex  enervis</w:t>
      </w:r>
      <w:r>
        <w:rPr>
          <w:rFonts w:ascii="Times New Roman" w:hAnsi="Times New Roman" w:cs="Times New Roman"/>
          <w:color w:val="000000" w:themeColor="text1"/>
          <w:w w:val="99"/>
          <w:sz w:val="24"/>
          <w:szCs w:val="24"/>
          <w:highlight w:val="none"/>
          <w14:textFill>
            <w14:solidFill>
              <w14:schemeClr w14:val="tx1"/>
            </w14:solidFill>
          </w14:textFill>
        </w:rPr>
        <w:t>）、走茎苔草（</w:t>
      </w:r>
      <w:r>
        <w:rPr>
          <w:rFonts w:ascii="Times New Roman" w:hAnsi="Times New Roman" w:cs="Times New Roman"/>
          <w:i/>
          <w:color w:val="000000" w:themeColor="text1"/>
          <w:w w:val="99"/>
          <w:sz w:val="24"/>
          <w:szCs w:val="24"/>
          <w:highlight w:val="none"/>
          <w14:textFill>
            <w14:solidFill>
              <w14:schemeClr w14:val="tx1"/>
            </w14:solidFill>
          </w14:textFill>
        </w:rPr>
        <w:t>C.  reptabunda</w:t>
      </w:r>
      <w:r>
        <w:rPr>
          <w:rFonts w:ascii="Times New Roman" w:hAnsi="Times New Roman" w:cs="Times New Roman"/>
          <w:color w:val="000000" w:themeColor="text1"/>
          <w:w w:val="99"/>
          <w:sz w:val="24"/>
          <w:szCs w:val="24"/>
          <w:highlight w:val="none"/>
          <w14:textFill>
            <w14:solidFill>
              <w14:schemeClr w14:val="tx1"/>
            </w14:solidFill>
          </w14:textFill>
        </w:rPr>
        <w:t>）、寸草、羊草、赖草及芨芨草（</w:t>
      </w:r>
      <w:r>
        <w:rPr>
          <w:rFonts w:ascii="Times New Roman" w:hAnsi="Times New Roman" w:cs="Times New Roman"/>
          <w:i/>
          <w:color w:val="000000" w:themeColor="text1"/>
          <w:w w:val="99"/>
          <w:sz w:val="24"/>
          <w:szCs w:val="24"/>
          <w:highlight w:val="none"/>
          <w14:textFill>
            <w14:solidFill>
              <w14:schemeClr w14:val="tx1"/>
            </w14:solidFill>
          </w14:textFill>
        </w:rPr>
        <w:t>Achnatherum splendens</w:t>
      </w:r>
      <w:r>
        <w:rPr>
          <w:rFonts w:ascii="Times New Roman" w:hAnsi="Times New Roman" w:cs="Times New Roman"/>
          <w:color w:val="000000" w:themeColor="text1"/>
          <w:w w:val="99"/>
          <w:sz w:val="24"/>
          <w:szCs w:val="24"/>
          <w:highlight w:val="none"/>
          <w14:textFill>
            <w14:solidFill>
              <w14:schemeClr w14:val="tx1"/>
            </w14:solidFill>
          </w14:textFill>
        </w:rPr>
        <w:t>），其次间或混有少量的各类杂类草。碱蓬草甸（</w:t>
      </w:r>
      <w:r>
        <w:rPr>
          <w:rFonts w:ascii="Times New Roman" w:hAnsi="Times New Roman" w:cs="Times New Roman"/>
          <w:i/>
          <w:color w:val="000000" w:themeColor="text1"/>
          <w:w w:val="99"/>
          <w:sz w:val="24"/>
          <w:szCs w:val="24"/>
          <w:highlight w:val="none"/>
          <w14:textFill>
            <w14:solidFill>
              <w14:schemeClr w14:val="tx1"/>
            </w14:solidFill>
          </w14:textFill>
        </w:rPr>
        <w:t>Form.  Suaedion  glancae</w:t>
      </w:r>
      <w:r>
        <w:rPr>
          <w:rFonts w:ascii="Times New Roman" w:hAnsi="Times New Roman" w:cs="Times New Roman"/>
          <w:color w:val="000000" w:themeColor="text1"/>
          <w:w w:val="99"/>
          <w:sz w:val="24"/>
          <w:szCs w:val="24"/>
          <w:highlight w:val="none"/>
          <w14:textFill>
            <w14:solidFill>
              <w14:schemeClr w14:val="tx1"/>
            </w14:solidFill>
          </w14:textFill>
        </w:rPr>
        <w:t>）。广泛分布在碱湖周围的碱土和严重退化草地的碱斑上，是草地土壤严重碱化的标志之一，在土壤碱化度达到 50%以上的地段仍能正常生长。它包括原生和次生的群落，一般面积较小，但在村庄附近、放牧点、饮水点、极度放牧的地方也可连成大片。组成群落的种类简单，多为盐生植物，碱蓬和碱蒿在群落中占主要地位，虎尾草在某些地段也可有较多数量。该群落只在夏季雨水充足的情况才有很好的发育，否则植物稀疏。角碱蓬草甸（</w:t>
      </w:r>
      <w:r>
        <w:rPr>
          <w:rFonts w:ascii="Times New Roman" w:hAnsi="Times New Roman" w:cs="Times New Roman"/>
          <w:i/>
          <w:color w:val="000000" w:themeColor="text1"/>
          <w:w w:val="99"/>
          <w:sz w:val="24"/>
          <w:szCs w:val="24"/>
          <w:highlight w:val="none"/>
          <w14:textFill>
            <w14:solidFill>
              <w14:schemeClr w14:val="tx1"/>
            </w14:solidFill>
          </w14:textFill>
        </w:rPr>
        <w:t>From. Suaedetum corniculatae</w:t>
      </w:r>
      <w:r>
        <w:rPr>
          <w:rFonts w:ascii="Times New Roman" w:hAnsi="Times New Roman" w:cs="Times New Roman"/>
          <w:color w:val="000000" w:themeColor="text1"/>
          <w:w w:val="99"/>
          <w:sz w:val="24"/>
          <w:szCs w:val="24"/>
          <w:highlight w:val="none"/>
          <w14:textFill>
            <w14:solidFill>
              <w14:schemeClr w14:val="tx1"/>
            </w14:solidFill>
          </w14:textFill>
        </w:rPr>
        <w:t>）。角碱蓬的生境与碱蓬相似，常与其形成复合分布，也包括原生和次生群落，种类组成较单纯，角碱蓬占绝对优势。</w:t>
      </w:r>
    </w:p>
    <w:p>
      <w:pPr>
        <w:pStyle w:val="45"/>
        <w:tabs>
          <w:tab w:val="left" w:pos="1552"/>
        </w:tabs>
        <w:spacing w:before="121"/>
        <w:ind w:left="0" w:firstLine="474" w:firstLineChars="200"/>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（3）</w:t>
      </w:r>
      <w:r>
        <w:rPr>
          <w:rFonts w:hint="eastAsia" w:ascii="Times New Roman" w:hAnsi="Times New Roman" w:cs="Times New Roman"/>
          <w:color w:val="000000" w:themeColor="text1"/>
          <w:w w:val="99"/>
          <w:sz w:val="24"/>
          <w:szCs w:val="24"/>
          <w:highlight w:val="none"/>
          <w14:textFill>
            <w14:solidFill>
              <w14:schemeClr w14:val="tx1"/>
            </w14:solidFill>
          </w14:textFill>
        </w:rPr>
        <w:t>人工林</w:t>
      </w:r>
    </w:p>
    <w:p>
      <w:pPr>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在评价区内</w:t>
      </w:r>
      <w:r>
        <w:rPr>
          <w:rFonts w:hint="eastAsia" w:ascii="Times New Roman" w:hAnsi="Times New Roman" w:cs="Times New Roman"/>
          <w:color w:val="000000" w:themeColor="text1"/>
          <w:w w:val="99"/>
          <w:sz w:val="24"/>
          <w:szCs w:val="24"/>
          <w:highlight w:val="none"/>
          <w14:textFill>
            <w14:solidFill>
              <w14:schemeClr w14:val="tx1"/>
            </w14:solidFill>
          </w14:textFill>
        </w:rPr>
        <w:t>人工</w:t>
      </w:r>
      <w:r>
        <w:rPr>
          <w:rFonts w:ascii="Times New Roman" w:hAnsi="Times New Roman" w:cs="Times New Roman"/>
          <w:color w:val="000000" w:themeColor="text1"/>
          <w:w w:val="99"/>
          <w:sz w:val="24"/>
          <w:szCs w:val="24"/>
          <w:highlight w:val="none"/>
          <w14:textFill>
            <w14:solidFill>
              <w14:schemeClr w14:val="tx1"/>
            </w14:solidFill>
          </w14:textFill>
        </w:rPr>
        <w:t>林主要为杨树林（</w:t>
      </w:r>
      <w:r>
        <w:rPr>
          <w:rFonts w:ascii="Times New Roman" w:hAnsi="Times New Roman" w:cs="Times New Roman"/>
          <w:i/>
          <w:color w:val="000000" w:themeColor="text1"/>
          <w:w w:val="99"/>
          <w:sz w:val="24"/>
          <w:szCs w:val="24"/>
          <w:highlight w:val="none"/>
          <w14:textFill>
            <w14:solidFill>
              <w14:schemeClr w14:val="tx1"/>
            </w14:solidFill>
          </w14:textFill>
        </w:rPr>
        <w:t>Form. Populus canadensis</w:t>
      </w:r>
      <w:r>
        <w:rPr>
          <w:rFonts w:ascii="Times New Roman" w:hAnsi="Times New Roman" w:cs="Times New Roman"/>
          <w:color w:val="000000" w:themeColor="text1"/>
          <w:w w:val="99"/>
          <w:sz w:val="24"/>
          <w:szCs w:val="24"/>
          <w:highlight w:val="none"/>
          <w14:textFill>
            <w14:solidFill>
              <w14:schemeClr w14:val="tx1"/>
            </w14:solidFill>
          </w14:textFill>
        </w:rPr>
        <w:t>）。杨树林是评价区主要林种之一，也是评价区内分布最多，最广泛的林木， 主要分布在村庄附近、道路两侧及农田周围。杨树林平均树高 10～15m，平均胸径 15～25cm，平均冠幅 2.5m×2.5m。</w:t>
      </w:r>
    </w:p>
    <w:p>
      <w:pPr>
        <w:pStyle w:val="45"/>
        <w:tabs>
          <w:tab w:val="left" w:pos="1552"/>
        </w:tabs>
        <w:spacing w:line="440" w:lineRule="exact"/>
        <w:ind w:left="0" w:firstLine="474" w:firstLineChars="200"/>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（4）农田植被 </w:t>
      </w:r>
    </w:p>
    <w:p>
      <w:pPr>
        <w:pStyle w:val="45"/>
        <w:tabs>
          <w:tab w:val="left" w:pos="1552"/>
        </w:tabs>
        <w:spacing w:line="440" w:lineRule="exact"/>
        <w:ind w:left="0" w:firstLine="474" w:firstLineChars="200"/>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评价区属于松嫩平原区，粮食耕作历史悠久，栽培植被是最重要的植被类型，但是目前由于旱涝、盐碱、风沙等因素，区域内的农田多属于中、低产农田。粮食作物主要为玉米。</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4.3.6.</w:t>
      </w:r>
      <w:r>
        <w:rPr>
          <w:rFonts w:hint="eastAsia" w:ascii="Times New Roman" w:hAnsi="Times New Roman" w:cs="Times New Roman" w:eastAsiaTheme="minorEastAsia"/>
          <w:b/>
          <w:color w:val="000000" w:themeColor="text1"/>
          <w:w w:val="99"/>
          <w:sz w:val="24"/>
          <w:szCs w:val="24"/>
          <w:highlight w:val="none"/>
          <w:lang w:val="en-US" w:eastAsia="zh-CN"/>
          <w14:textFill>
            <w14:solidFill>
              <w14:schemeClr w14:val="tx1"/>
            </w14:solidFill>
          </w14:textFill>
        </w:rPr>
        <w:t>3</w:t>
      </w: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 xml:space="preserve"> 防沙治沙现状调查</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本地区防沙治沙工作开展的比较晚，水利部门、林业部门、畜牧部门曾在风沙区和草原区进行过人工植树、封育管护和人工种草、开发饲料基地等工作，取得了一定的经验及成效，区域生态环境得到了恢复和改善，但由于资金少、措施单一、治理范围小，目前尚未形成规模。</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4.3.6.5</w:t>
      </w:r>
      <w:r>
        <w:rPr>
          <w:rFonts w:hint="eastAsia" w:ascii="Times New Roman" w:hAnsi="Times New Roman" w:cs="Times New Roman" w:eastAsiaTheme="minorEastAsia"/>
          <w:b/>
          <w:color w:val="000000" w:themeColor="text1"/>
          <w:w w:val="99"/>
          <w:sz w:val="24"/>
          <w:szCs w:val="24"/>
          <w:highlight w:val="none"/>
          <w:lang w:val="en-US" w:eastAsia="zh-CN"/>
          <w14:textFill>
            <w14:solidFill>
              <w14:schemeClr w14:val="tx1"/>
            </w14:solidFill>
          </w14:textFill>
        </w:rPr>
        <w:t>4</w:t>
      </w: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生态系统现状调查</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（1）</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农田生态系统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8"/>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耕地生产条件分析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大庆市属北温带大陆季风气候，夏季高温多雨，雨热同季，有利于农作物生长发育，为当地的农业生产带来有利条件。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8"/>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农业生态系统生产力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农业生态系统属于比较典型的人工生态系统，带有强烈的人工干扰，因此其生产力水平视人工投入量的多少而定。区域光、热、水等农业生产条件比较充足，土壤为黑钙土、草甸土、盐碱土。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8"/>
          <w:highlight w:val="none"/>
          <w:lang w:val="en-US"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农田动物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评价范围内农业生产活动频度和强度都比较高，地域原有的野生动物基本消失，伴之而来的地域物种主要与农业生产活动有关，较大型哺乳类动物基本绝迹，但小型哺乳类特别是鼠类仍为常见种。野生动物主要有普通刺猬</w:t>
      </w:r>
      <w:r>
        <w:rPr>
          <w:rFonts w:ascii="Times New Roman" w:hAnsi="Times New Roman" w:cs="Times New Roman"/>
          <w:i/>
          <w:iCs/>
          <w:color w:val="000000" w:themeColor="text1"/>
          <w:w w:val="99"/>
          <w:kern w:val="2"/>
          <w:sz w:val="24"/>
          <w:szCs w:val="28"/>
          <w:highlight w:val="none"/>
          <w:lang w:val="en-US" w:bidi="ar-SA"/>
          <w14:textFill>
            <w14:solidFill>
              <w14:schemeClr w14:val="tx1"/>
            </w14:solidFill>
          </w14:textFill>
        </w:rPr>
        <w:t>（Erinaceusamurensis Schrenk）</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、东北兔</w:t>
      </w:r>
      <w:r>
        <w:rPr>
          <w:rFonts w:ascii="Times New Roman" w:hAnsi="Times New Roman" w:cs="Times New Roman"/>
          <w:i/>
          <w:iCs/>
          <w:color w:val="000000" w:themeColor="text1"/>
          <w:w w:val="99"/>
          <w:kern w:val="2"/>
          <w:sz w:val="24"/>
          <w:szCs w:val="28"/>
          <w:highlight w:val="none"/>
          <w:lang w:val="en-US" w:bidi="ar-SA"/>
          <w14:textFill>
            <w14:solidFill>
              <w14:schemeClr w14:val="tx1"/>
            </w14:solidFill>
          </w14:textFill>
        </w:rPr>
        <w:t>（Lepus mandschuricus Radde）</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、黄鼬</w:t>
      </w:r>
      <w:r>
        <w:rPr>
          <w:rFonts w:ascii="Times New Roman" w:hAnsi="Times New Roman" w:cs="Times New Roman"/>
          <w:i/>
          <w:iCs/>
          <w:color w:val="000000" w:themeColor="text1"/>
          <w:w w:val="99"/>
          <w:kern w:val="2"/>
          <w:sz w:val="24"/>
          <w:szCs w:val="28"/>
          <w:highlight w:val="none"/>
          <w:lang w:val="en-US" w:bidi="ar-SA"/>
          <w14:textFill>
            <w14:solidFill>
              <w14:schemeClr w14:val="tx1"/>
            </w14:solidFill>
          </w14:textFill>
        </w:rPr>
        <w:t>（Mustela sibiricaPallas）</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、褐家鼠</w:t>
      </w:r>
      <w:r>
        <w:rPr>
          <w:rFonts w:ascii="Times New Roman" w:hAnsi="Times New Roman" w:cs="Times New Roman"/>
          <w:i/>
          <w:iCs/>
          <w:color w:val="000000" w:themeColor="text1"/>
          <w:w w:val="99"/>
          <w:kern w:val="2"/>
          <w:sz w:val="24"/>
          <w:szCs w:val="28"/>
          <w:highlight w:val="none"/>
          <w:lang w:val="en-US" w:bidi="ar-SA"/>
          <w14:textFill>
            <w14:solidFill>
              <w14:schemeClr w14:val="tx1"/>
            </w14:solidFill>
          </w14:textFill>
        </w:rPr>
        <w:t>（Rattus nitidus）</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、小家鼠</w:t>
      </w:r>
      <w:r>
        <w:rPr>
          <w:rFonts w:ascii="Times New Roman" w:hAnsi="Times New Roman" w:cs="Times New Roman"/>
          <w:i/>
          <w:iCs/>
          <w:color w:val="000000" w:themeColor="text1"/>
          <w:w w:val="99"/>
          <w:kern w:val="2"/>
          <w:sz w:val="24"/>
          <w:szCs w:val="28"/>
          <w:highlight w:val="none"/>
          <w:lang w:val="en-US" w:bidi="ar-SA"/>
          <w14:textFill>
            <w14:solidFill>
              <w14:schemeClr w14:val="tx1"/>
            </w14:solidFill>
          </w14:textFill>
        </w:rPr>
        <w:t>（Mus musculus L.）</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、大仓鼠（Cricetulustriton）、东方田鼠（M icrotus fortis Buchner）、普通田鼠</w:t>
      </w:r>
      <w:r>
        <w:rPr>
          <w:rFonts w:ascii="Times New Roman" w:hAnsi="Times New Roman" w:cs="Times New Roman"/>
          <w:i/>
          <w:iCs/>
          <w:color w:val="000000" w:themeColor="text1"/>
          <w:w w:val="99"/>
          <w:kern w:val="2"/>
          <w:sz w:val="24"/>
          <w:szCs w:val="28"/>
          <w:highlight w:val="none"/>
          <w:lang w:val="en-US" w:bidi="ar-SA"/>
          <w14:textFill>
            <w14:solidFill>
              <w14:schemeClr w14:val="tx1"/>
            </w14:solidFill>
          </w14:textFill>
        </w:rPr>
        <w:t>（Microtus arvalis）</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等10余种啮齿目、兔形目和食肉目动物。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由于农业区内人类活动干扰较大，躲避天敌的条件较差，因此鸟类一般不会在此繁殖。区内鸟类主要为村栖型等伴人鸟类，如喜鹊</w:t>
      </w:r>
      <w:r>
        <w:rPr>
          <w:rFonts w:ascii="Times New Roman" w:hAnsi="Times New Roman" w:cs="Times New Roman"/>
          <w:i/>
          <w:iCs/>
          <w:color w:val="000000" w:themeColor="text1"/>
          <w:w w:val="99"/>
          <w:kern w:val="2"/>
          <w:sz w:val="24"/>
          <w:szCs w:val="28"/>
          <w:highlight w:val="none"/>
          <w:lang w:val="en-US" w:bidi="ar-SA"/>
          <w14:textFill>
            <w14:solidFill>
              <w14:schemeClr w14:val="tx1"/>
            </w14:solidFill>
          </w14:textFill>
        </w:rPr>
        <w:t>（P. pica sericea Gould）</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、小嘴乌鸦</w:t>
      </w:r>
      <w:r>
        <w:rPr>
          <w:rFonts w:ascii="Times New Roman" w:hAnsi="Times New Roman" w:cs="Times New Roman"/>
          <w:i/>
          <w:iCs/>
          <w:color w:val="000000" w:themeColor="text1"/>
          <w:w w:val="99"/>
          <w:kern w:val="2"/>
          <w:sz w:val="24"/>
          <w:szCs w:val="28"/>
          <w:highlight w:val="none"/>
          <w:lang w:val="en-US" w:bidi="ar-SA"/>
          <w14:textFill>
            <w14:solidFill>
              <w14:schemeClr w14:val="tx1"/>
            </w14:solidFill>
          </w14:textFill>
        </w:rPr>
        <w:t>（C.corone orientalis Evers）</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、麻雀（P. montanus montanus）、家燕</w:t>
      </w:r>
      <w:r>
        <w:rPr>
          <w:rFonts w:ascii="Times New Roman" w:hAnsi="Times New Roman" w:cs="Times New Roman"/>
          <w:i/>
          <w:iCs/>
          <w:color w:val="000000" w:themeColor="text1"/>
          <w:w w:val="99"/>
          <w:kern w:val="2"/>
          <w:sz w:val="24"/>
          <w:szCs w:val="28"/>
          <w:highlight w:val="none"/>
          <w:lang w:val="en-US" w:bidi="ar-SA"/>
          <w14:textFill>
            <w14:solidFill>
              <w14:schemeClr w14:val="tx1"/>
            </w14:solidFill>
          </w14:textFill>
        </w:rPr>
        <w:t>（H rusticagutturalis Scopoli）</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等，也有一些小型水鸟在芦苇荡内栖息和繁殖。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8"/>
          <w:highlight w:val="none"/>
          <w:lang w:val="en-US" w:bidi="ar-SA"/>
          <w14:textFill>
            <w14:solidFill>
              <w14:schemeClr w14:val="tx1"/>
            </w14:solidFill>
          </w14:textFill>
        </w:rPr>
        <w:instrText xml:space="preserve">4</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农田防护林体系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人工防护林是本区耕地生态系统的重要组成部分。本区的耕地防护林属于“三北”防护林体系，经过多年建设，在评价区内已经形成林网体系。耕地防护林树种均为杨树，已有30几年的树龄，胸径20～30cm，树高10～15m，多为成树林和近熟林。区内无天然林分布。耕地防护林对于防风、改善耕地小气候等发挥着重要的生态功能。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（2）</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草地生态系统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8"/>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植被群落与分布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草地主要集中分布于评价区内西部、北部和东部地区，该区域以前主要是以羊草为代表的羊草－杂类草草甸，目前已退化；覆盖度一般在50%左右，在部分碱斑上的植被发育不良或裸露，株高一般不超过30cm，以碱蓬为主。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盐碱化草甸原有的地带性植被为羊草草原，由于地势低洼积水，地下返盐，造成土壤的盐渍化，加上过渡放牧，草甸逐渐演变成盐化草甸，植被群落也演替为盐生植被。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盐化草甸组成群落类型的主要成分是一些耐盐碱的多年生和一年生的中生植物。种类成分较单纯，据不完全统计有65种，分属21科，42属。</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除了地势较高处生长羊草外，低洼积水处生长着一些盐生植被，如碱茅、碱蓬、马蔺等。盐碱化草甸生态系统十分脆弱，破坏后不易恢复，也是本区土壤风蚀的主要部位之一。</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8"/>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草地植被生物量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植被的生物量反映了植被的生产力水平，是区域生态环境质量的重要标志。区内羊草—杂类草草原由于气候和人为等原因，破坏比较严重，盐碱化程度较高，虽然近年进行了生态恢复治理，使已退化的草地植被逐渐有所恢复，但与六、七十年代相比其草原质量也仅是原来的50~60%。整个草地盖度在40~60%左右，平均株高44~55cm。杂类草较多，优质牧草比例较低，除羊草外还大量生长着虎耳草、拂子茅、针茅、糙隐子草、飞燕草、角蒿、碱篷、碱蒿等。据样方调查，草地生物量为0.65~0.85t/hm</w:t>
      </w:r>
      <w:r>
        <w:rPr>
          <w:rFonts w:ascii="Times New Roman" w:hAnsi="Times New Roman" w:cs="Times New Roman"/>
          <w:color w:val="000000" w:themeColor="text1"/>
          <w:w w:val="99"/>
          <w:kern w:val="2"/>
          <w:sz w:val="24"/>
          <w:szCs w:val="28"/>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（地面以上部分的风干重），平均为在0.75t/hm</w:t>
      </w:r>
      <w:r>
        <w:rPr>
          <w:rFonts w:ascii="Times New Roman" w:hAnsi="Times New Roman" w:cs="Times New Roman"/>
          <w:color w:val="000000" w:themeColor="text1"/>
          <w:w w:val="99"/>
          <w:kern w:val="2"/>
          <w:sz w:val="24"/>
          <w:szCs w:val="28"/>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 xml:space="preserve"> 左右。 </w:t>
      </w:r>
    </w:p>
    <w:p>
      <w:pPr>
        <w:widowControl/>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8"/>
          <w:highlight w:val="none"/>
          <w:lang w:val="en-US"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fldChar w:fldCharType="end"/>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草地生态系统</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动物调查</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草甸草原生境中的动物群包括两栖类的中华大蟾蜍，花背蟾蜍和无斑雨蛙，爬行类的白条锦蛇及红点锦蛇；鸟类有白尾鹞（ Circus  cyaneus ）、白头鹞 （ C.aeruginosus ）、环颈雉（ P.   colchicus  karpowi  Rothschild ）、蒙古百灵 （Melanocorypha mongolica）、小沙百灵（Calandrella cheleensis cheleensis）、云雀（Alauda  arvensis  intermedia）、白鹡鸰（Motacilla  alba）、灰鹡鸰（Motacilla cinerea）、角百灵（Eremophila alpestris）、家燕（Hirundo rustica）等、兽类有普通刺猬（Erinaceus europaeus rinnaens）、蒙古兔（Repus capensis rinnaeus）、草原黄鼠（Citellus dauricus Rranolt）、五趾跳鼠（Allactaga sibirica Forsten）、黑线仓鼠、布氏田鼠、草原鼢鼠、巢鼠，以及狐（Vulpus vulpus rinnaeus）、艾鼬（Mustela eversmanni lesson）等。</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4.3.6.</w:t>
      </w:r>
      <w:r>
        <w:rPr>
          <w:rFonts w:hint="eastAsia" w:ascii="Times New Roman" w:hAnsi="Times New Roman" w:cs="Times New Roman" w:eastAsiaTheme="minorEastAsia"/>
          <w:b/>
          <w:color w:val="000000" w:themeColor="text1"/>
          <w:w w:val="99"/>
          <w:sz w:val="24"/>
          <w:szCs w:val="24"/>
          <w:highlight w:val="none"/>
          <w:lang w:val="en-US" w:eastAsia="zh-CN"/>
          <w14:textFill>
            <w14:solidFill>
              <w14:schemeClr w14:val="tx1"/>
            </w14:solidFill>
          </w14:textFill>
        </w:rPr>
        <w:t>5</w:t>
      </w: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 xml:space="preserve"> 生态环境现状评价结论</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本项目位于大庆市</w:t>
      </w:r>
      <w:r>
        <w:rPr>
          <w:rFonts w:hint="eastAsia" w:ascii="Times New Roman" w:hAnsi="Times New Roman" w:cs="Times New Roman"/>
          <w:color w:val="000000" w:themeColor="text1"/>
          <w:w w:val="99"/>
          <w:sz w:val="24"/>
          <w:szCs w:val="24"/>
          <w:highlight w:val="none"/>
          <w14:textFill>
            <w14:solidFill>
              <w14:schemeClr w14:val="tx1"/>
            </w14:solidFill>
          </w14:textFill>
        </w:rPr>
        <w:t>大同区</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八井子乡</w:t>
      </w:r>
      <w:r>
        <w:rPr>
          <w:rFonts w:ascii="Times New Roman" w:hAnsi="Times New Roman" w:cs="Times New Roman"/>
          <w:color w:val="000000" w:themeColor="text1"/>
          <w:w w:val="99"/>
          <w:sz w:val="24"/>
          <w:szCs w:val="24"/>
          <w:highlight w:val="none"/>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本项目评价范围内生态系统类型包括草地生态系统和农田生态系统。本项目评价范围内土地利用类型以耕地为主，工程所在区域内主要土壤类型以黑钙土、草甸土、盐碱土为主，工程所在区域人类活动频繁，野生动物较少，本项目区域生态环境总体质量较好。</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40" w:name="_Toc6100"/>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4.4 区域环境污染源调查</w:t>
      </w:r>
      <w:bookmarkEnd w:id="140"/>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bookmarkStart w:id="141" w:name="_Toc32693"/>
      <w:bookmarkStart w:id="142" w:name="_Toc17898214"/>
      <w:bookmarkStart w:id="143" w:name="_Toc508022100"/>
      <w:bookmarkStart w:id="144" w:name="_Toc57707961"/>
      <w:bookmarkStart w:id="145" w:name="_Toc57976713"/>
      <w:bookmarkStart w:id="146" w:name="_Toc57203291"/>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4.4.1 大气污染源</w:t>
      </w:r>
      <w:bookmarkEnd w:id="141"/>
      <w:bookmarkEnd w:id="142"/>
      <w:bookmarkEnd w:id="143"/>
      <w:bookmarkEnd w:id="144"/>
      <w:bookmarkEnd w:id="145"/>
      <w:bookmarkEnd w:id="146"/>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建设项目位于农村地区，区域大气污染源主要来自农村居民生活燃用燃料（煤、植物秸秆等）排放的烟气，污染物主要为SO</w:t>
      </w:r>
      <w:r>
        <w:rPr>
          <w:rFonts w:ascii="Times New Roman" w:hAnsi="Times New Roman" w:cs="Times New Roman"/>
          <w:color w:val="000000" w:themeColor="text1"/>
          <w:w w:val="99"/>
          <w:sz w:val="24"/>
          <w:szCs w:val="24"/>
          <w:highlight w:val="none"/>
          <w:vertAlign w:val="subscript"/>
          <w:lang w:val="en-US"/>
          <w14:textFill>
            <w14:solidFill>
              <w14:schemeClr w14:val="tx1"/>
            </w14:solidFill>
          </w14:textFill>
        </w:rPr>
        <w:t>2</w:t>
      </w:r>
      <w:r>
        <w:rPr>
          <w:rFonts w:ascii="Times New Roman" w:hAnsi="Times New Roman" w:cs="Times New Roman"/>
          <w:color w:val="000000" w:themeColor="text1"/>
          <w:w w:val="99"/>
          <w:sz w:val="24"/>
          <w:szCs w:val="24"/>
          <w:highlight w:val="none"/>
          <w:lang w:val="en-US"/>
          <w14:textFill>
            <w14:solidFill>
              <w14:schemeClr w14:val="tx1"/>
            </w14:solidFill>
          </w14:textFill>
        </w:rPr>
        <w:t>、NO</w:t>
      </w:r>
      <w:r>
        <w:rPr>
          <w:rFonts w:ascii="Times New Roman" w:hAnsi="Times New Roman" w:cs="Times New Roman"/>
          <w:color w:val="000000" w:themeColor="text1"/>
          <w:w w:val="99"/>
          <w:sz w:val="24"/>
          <w:szCs w:val="24"/>
          <w:highlight w:val="none"/>
          <w:vertAlign w:val="subscript"/>
          <w:lang w:val="en-US"/>
          <w14:textFill>
            <w14:solidFill>
              <w14:schemeClr w14:val="tx1"/>
            </w14:solidFill>
          </w14:textFill>
        </w:rPr>
        <w:t>x</w:t>
      </w:r>
      <w:r>
        <w:rPr>
          <w:rFonts w:ascii="Times New Roman" w:hAnsi="Times New Roman" w:cs="Times New Roman"/>
          <w:color w:val="000000" w:themeColor="text1"/>
          <w:w w:val="99"/>
          <w:sz w:val="24"/>
          <w:szCs w:val="24"/>
          <w:highlight w:val="none"/>
          <w:lang w:val="en-US"/>
          <w14:textFill>
            <w14:solidFill>
              <w14:schemeClr w14:val="tx1"/>
            </w14:solidFill>
          </w14:textFill>
        </w:rPr>
        <w:t>及颗粒物等。</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w:t>
      </w:r>
      <w:r>
        <w:rPr>
          <w:rFonts w:ascii="Times New Roman" w:hAnsi="Times New Roman" w:cs="Times New Roman"/>
          <w:color w:val="000000" w:themeColor="text1"/>
          <w:w w:val="99"/>
          <w:sz w:val="24"/>
          <w:szCs w:val="24"/>
          <w:highlight w:val="none"/>
          <w:lang w:val="en-US"/>
          <w14:textFill>
            <w14:solidFill>
              <w14:schemeClr w14:val="tx1"/>
            </w14:solidFill>
          </w14:textFill>
        </w:rPr>
        <w:t>区域分布</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有</w:t>
      </w:r>
      <w:r>
        <w:rPr>
          <w:rFonts w:ascii="Times New Roman" w:hAnsi="Times New Roman" w:cs="Times New Roman"/>
          <w:color w:val="000000" w:themeColor="text1"/>
          <w:w w:val="99"/>
          <w:sz w:val="24"/>
          <w:szCs w:val="24"/>
          <w:highlight w:val="none"/>
          <w:lang w:val="en-US"/>
          <w14:textFill>
            <w14:solidFill>
              <w14:schemeClr w14:val="tx1"/>
            </w14:solidFill>
          </w14:textFill>
        </w:rPr>
        <w:t>葡北10#转油站</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葡北</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9</w:t>
      </w:r>
      <w:r>
        <w:rPr>
          <w:rFonts w:ascii="Times New Roman" w:hAnsi="Times New Roman" w:cs="Times New Roman"/>
          <w:color w:val="000000" w:themeColor="text1"/>
          <w:w w:val="99"/>
          <w:sz w:val="24"/>
          <w:szCs w:val="24"/>
          <w:highlight w:val="none"/>
          <w:lang w:val="en-US"/>
          <w14:textFill>
            <w14:solidFill>
              <w14:schemeClr w14:val="tx1"/>
            </w14:solidFill>
          </w14:textFill>
        </w:rPr>
        <w:t>#转油站等项目依托场站</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及其</w:t>
      </w:r>
      <w:r>
        <w:rPr>
          <w:rFonts w:ascii="Times New Roman" w:hAnsi="Times New Roman" w:cs="Times New Roman"/>
          <w:color w:val="000000" w:themeColor="text1"/>
          <w:w w:val="99"/>
          <w:sz w:val="24"/>
          <w:szCs w:val="24"/>
          <w:highlight w:val="none"/>
          <w:lang w:val="en-US"/>
          <w14:textFill>
            <w14:solidFill>
              <w14:schemeClr w14:val="tx1"/>
            </w14:solidFill>
          </w14:textFill>
        </w:rPr>
        <w:t>下属计量间，主要排放油田特征污染物非甲烷总烃，转油站站内加热炉排放的主要污染物为SO</w:t>
      </w:r>
      <w:r>
        <w:rPr>
          <w:rFonts w:ascii="Times New Roman" w:hAnsi="Times New Roman" w:cs="Times New Roman"/>
          <w:color w:val="000000" w:themeColor="text1"/>
          <w:w w:val="99"/>
          <w:sz w:val="24"/>
          <w:szCs w:val="24"/>
          <w:highlight w:val="none"/>
          <w:vertAlign w:val="subscript"/>
          <w:lang w:val="en-US"/>
          <w14:textFill>
            <w14:solidFill>
              <w14:schemeClr w14:val="tx1"/>
            </w14:solidFill>
          </w14:textFill>
        </w:rPr>
        <w:t>2</w:t>
      </w:r>
      <w:r>
        <w:rPr>
          <w:rFonts w:ascii="Times New Roman" w:hAnsi="Times New Roman" w:cs="Times New Roman"/>
          <w:color w:val="000000" w:themeColor="text1"/>
          <w:w w:val="99"/>
          <w:sz w:val="24"/>
          <w:szCs w:val="24"/>
          <w:highlight w:val="none"/>
          <w:lang w:val="en-US"/>
          <w14:textFill>
            <w14:solidFill>
              <w14:schemeClr w14:val="tx1"/>
            </w14:solidFill>
          </w14:textFill>
        </w:rPr>
        <w:t>、NOx及颗粒物等</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。项目区域无其他工业企业等环境污染源</w:t>
      </w:r>
      <w:r>
        <w:rPr>
          <w:rFonts w:ascii="Times New Roman" w:hAnsi="Times New Roman" w:cs="Times New Roman"/>
          <w:color w:val="000000" w:themeColor="text1"/>
          <w:w w:val="99"/>
          <w:sz w:val="24"/>
          <w:szCs w:val="24"/>
          <w:highlight w:val="none"/>
          <w:lang w:val="en-US"/>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pPr>
      <w:bookmarkStart w:id="147" w:name="_Toc508022101"/>
      <w:bookmarkStart w:id="148" w:name="_Toc24267"/>
      <w:bookmarkStart w:id="149" w:name="_Toc17898215"/>
      <w:bookmarkStart w:id="150" w:name="_Toc57203292"/>
      <w:bookmarkStart w:id="151" w:name="_Toc57976714"/>
      <w:bookmarkStart w:id="152" w:name="_Toc57707962"/>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4.4.2 地表水</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污染源</w:t>
      </w:r>
      <w:bookmarkEnd w:id="147"/>
      <w:bookmarkEnd w:id="148"/>
      <w:bookmarkEnd w:id="149"/>
      <w:bookmarkEnd w:id="150"/>
      <w:bookmarkEnd w:id="151"/>
      <w:bookmarkEnd w:id="152"/>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建设项目评价区域地表水污染源，主要为</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村屯</w:t>
      </w:r>
      <w:r>
        <w:rPr>
          <w:rFonts w:ascii="Times New Roman" w:hAnsi="Times New Roman" w:cs="Times New Roman"/>
          <w:color w:val="000000" w:themeColor="text1"/>
          <w:w w:val="99"/>
          <w:sz w:val="24"/>
          <w:szCs w:val="24"/>
          <w:highlight w:val="none"/>
          <w:lang w:val="en-US"/>
          <w14:textFill>
            <w14:solidFill>
              <w14:schemeClr w14:val="tx1"/>
            </w14:solidFill>
          </w14:textFill>
        </w:rPr>
        <w:t>生活设施排放的生活污水、区域农业生产农药、化肥使用形成的面源，雨季随地表径流携带污染物汇入地表水体。</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bookmarkStart w:id="153" w:name="_Toc508022102"/>
      <w:bookmarkStart w:id="154" w:name="_Toc57707963"/>
      <w:bookmarkStart w:id="155" w:name="_Toc57976715"/>
      <w:bookmarkStart w:id="156" w:name="_Toc17898216"/>
      <w:bookmarkStart w:id="157" w:name="_Toc16252"/>
      <w:bookmarkStart w:id="158" w:name="_Toc57203293"/>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4.4.3 地下水污染源</w:t>
      </w:r>
      <w:bookmarkEnd w:id="153"/>
      <w:bookmarkEnd w:id="154"/>
      <w:bookmarkEnd w:id="155"/>
      <w:bookmarkEnd w:id="156"/>
      <w:bookmarkEnd w:id="157"/>
      <w:bookmarkEnd w:id="158"/>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建设项目评价区域地下水污染源，主要为区域农业生产农药、化肥使用形成的面源，雨季随地表径流携带污染物入渗地下水体。</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bookmarkStart w:id="159" w:name="_Toc57976716"/>
      <w:bookmarkStart w:id="160" w:name="_Toc508022103"/>
      <w:bookmarkStart w:id="161" w:name="_Toc29567"/>
      <w:bookmarkStart w:id="162" w:name="_Toc17898217"/>
      <w:bookmarkStart w:id="163" w:name="_Toc57203294"/>
      <w:bookmarkStart w:id="164" w:name="_Toc57707964"/>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4.4.4 噪声污染源</w:t>
      </w:r>
      <w:bookmarkEnd w:id="159"/>
      <w:bookmarkEnd w:id="160"/>
      <w:bookmarkEnd w:id="161"/>
      <w:bookmarkEnd w:id="162"/>
      <w:bookmarkEnd w:id="163"/>
      <w:bookmarkEnd w:id="164"/>
    </w:p>
    <w:p>
      <w:pPr>
        <w:pStyle w:val="14"/>
        <w:spacing w:line="440" w:lineRule="exact"/>
        <w:ind w:firstLine="474" w:firstLineChars="200"/>
        <w:jc w:val="both"/>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建设项目评价区域空旷，无工业噪声污染源存在；区域声环境主要受道路交通噪声、农村生活噪声影响。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4.4.5 土壤污染源</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油田生产过程中，石油类进入土壤的途径主要通过油井作业和事故时产生的落地油。由于油井作业时采用污油污水回收装置和洗井水回收装置回收污油污水，同时将作业范围严格控制在井场占地范围内，因此可有效减少石油类进入土壤，根据对现有井场土壤的调查结果，得出在采油井场附近，石油对土壤的污染程度与距井口距离成反比，即离井位越近，土壤中石油的含量越多，污染程度越重；反之，离井位越远，土壤中石油含量越低，污染程度越轻。从平面上看，石油污染物集中在离井 20～30m 的范围内，约占总量的 90%以上。在此范围之外，土壤中的石油含量迅速降低，在离井 100m 处已经接近背景值。在垂直方向上，土壤石油污染主要集中在 0～20cm 的表层土壤中。由于土壤本身具有的吸附和生物降解等自净作用，石油在土壤中的迁移深度较浅</w:t>
      </w:r>
      <w:r>
        <w:rPr>
          <w:rFonts w:ascii="Times New Roman" w:hAnsi="Times New Roman" w:cs="Times New Roman"/>
          <w:color w:val="000000" w:themeColor="text1"/>
          <w:w w:val="99"/>
          <w:sz w:val="24"/>
          <w:szCs w:val="24"/>
          <w:highlight w:val="none"/>
          <w14:textFill>
            <w14:solidFill>
              <w14:schemeClr w14:val="tx1"/>
            </w14:solidFill>
          </w14:textFill>
        </w:rPr>
        <w:t>。</w:t>
      </w:r>
    </w:p>
    <w:p>
      <w:pPr>
        <w:pStyle w:val="40"/>
        <w:jc w:val="left"/>
        <w:rPr>
          <w:color w:val="000000" w:themeColor="text1"/>
          <w:highlight w:val="none"/>
          <w:lang w:bidi="zh-CN"/>
          <w14:textFill>
            <w14:solidFill>
              <w14:schemeClr w14:val="tx1"/>
            </w14:solidFill>
          </w14:textFill>
        </w:rPr>
      </w:pPr>
    </w:p>
    <w:p>
      <w:pPr>
        <w:rPr>
          <w:color w:val="000000" w:themeColor="text1"/>
          <w:highlight w:val="none"/>
          <w:lang w:val="en-US"/>
          <w14:textFill>
            <w14:solidFill>
              <w14:schemeClr w14:val="tx1"/>
            </w14:solidFill>
          </w14:textFill>
        </w:rPr>
      </w:pPr>
    </w:p>
    <w:p>
      <w:pPr>
        <w:pStyle w:val="2"/>
        <w:rPr>
          <w:color w:val="000000" w:themeColor="text1"/>
          <w:highlight w:val="none"/>
          <w:lang w:val="en-US"/>
          <w14:textFill>
            <w14:solidFill>
              <w14:schemeClr w14:val="tx1"/>
            </w14:solidFill>
          </w14:textFill>
        </w:rPr>
      </w:pPr>
    </w:p>
    <w:p>
      <w:pPr>
        <w:rPr>
          <w:color w:val="000000" w:themeColor="text1"/>
          <w:highlight w:val="none"/>
          <w:lang w:val="en-US"/>
          <w14:textFill>
            <w14:solidFill>
              <w14:schemeClr w14:val="tx1"/>
            </w14:solidFill>
          </w14:textFill>
        </w:rPr>
      </w:pPr>
    </w:p>
    <w:p>
      <w:pPr>
        <w:pStyle w:val="2"/>
        <w:rPr>
          <w:color w:val="000000" w:themeColor="text1"/>
          <w:highlight w:val="none"/>
          <w:lang w:val="en-US"/>
          <w14:textFill>
            <w14:solidFill>
              <w14:schemeClr w14:val="tx1"/>
            </w14:solidFill>
          </w14:textFill>
        </w:rPr>
      </w:pPr>
    </w:p>
    <w:p>
      <w:pPr>
        <w:rPr>
          <w:color w:val="000000" w:themeColor="text1"/>
          <w:highlight w:val="none"/>
          <w:lang w:val="en-US"/>
          <w14:textFill>
            <w14:solidFill>
              <w14:schemeClr w14:val="tx1"/>
            </w14:solidFill>
          </w14:textFill>
        </w:rPr>
      </w:pPr>
    </w:p>
    <w:p>
      <w:pPr>
        <w:pStyle w:val="2"/>
        <w:rPr>
          <w:color w:val="000000" w:themeColor="text1"/>
          <w:highlight w:val="none"/>
          <w:lang w:val="en-US"/>
          <w14:textFill>
            <w14:solidFill>
              <w14:schemeClr w14:val="tx1"/>
            </w14:solidFill>
          </w14:textFill>
        </w:rPr>
      </w:pPr>
    </w:p>
    <w:p>
      <w:pPr>
        <w:pStyle w:val="40"/>
        <w:rPr>
          <w:color w:val="000000" w:themeColor="text1"/>
          <w:highlight w:val="none"/>
          <w:lang w:bidi="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before="180" w:after="180" w:line="440" w:lineRule="exact"/>
        <w:ind w:left="0" w:firstLine="0"/>
        <w:textAlignment w:val="auto"/>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pPr>
      <w:bookmarkStart w:id="165" w:name="_bookmark21"/>
      <w:bookmarkEnd w:id="165"/>
      <w:bookmarkStart w:id="166" w:name="_bookmark30"/>
      <w:bookmarkEnd w:id="166"/>
      <w:bookmarkStart w:id="167" w:name="_bookmark26"/>
      <w:bookmarkEnd w:id="167"/>
      <w:bookmarkStart w:id="168" w:name="_Toc11747"/>
      <w:r>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t>5 环境影响预测与评价</w:t>
      </w:r>
      <w:bookmarkEnd w:id="168"/>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69" w:name="_bookmark31"/>
      <w:bookmarkEnd w:id="169"/>
      <w:bookmarkStart w:id="170" w:name="_Toc26240"/>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5.1 环境空气影响预测与评价</w:t>
      </w:r>
      <w:bookmarkEnd w:id="170"/>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5.1.1 施工期</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大气</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环境影响分析</w:t>
      </w:r>
    </w:p>
    <w:p>
      <w:pPr>
        <w:pStyle w:val="14"/>
        <w:spacing w:line="440" w:lineRule="exact"/>
        <w:ind w:firstLine="454" w:firstLineChars="200"/>
        <w:jc w:val="both"/>
        <w:rPr>
          <w:rFonts w:ascii="Times New Roman" w:hAnsi="Times New Roman" w:cs="Times New Roman"/>
          <w:color w:val="000000" w:themeColor="text1"/>
          <w:spacing w:val="-5"/>
          <w:w w:val="99"/>
          <w:sz w:val="24"/>
          <w:szCs w:val="24"/>
          <w:highlight w:val="none"/>
          <w14:textFill>
            <w14:solidFill>
              <w14:schemeClr w14:val="tx1"/>
            </w14:solidFill>
          </w14:textFill>
        </w:rPr>
      </w:pPr>
      <w:r>
        <w:rPr>
          <w:rFonts w:hint="eastAsia" w:ascii="Times New Roman" w:hAnsi="Times New Roman" w:cs="Times New Roman"/>
          <w:color w:val="000000" w:themeColor="text1"/>
          <w:spacing w:val="-5"/>
          <w:w w:val="99"/>
          <w:sz w:val="24"/>
          <w:szCs w:val="24"/>
          <w:highlight w:val="none"/>
          <w14:textFill>
            <w14:solidFill>
              <w14:schemeClr w14:val="tx1"/>
            </w14:solidFill>
          </w14:textFill>
        </w:rPr>
        <w:t>（1）施工扬尘</w:t>
      </w:r>
    </w:p>
    <w:p>
      <w:pPr>
        <w:pStyle w:val="14"/>
        <w:spacing w:line="440" w:lineRule="exact"/>
        <w:ind w:firstLine="454" w:firstLineChars="200"/>
        <w:jc w:val="both"/>
        <w:rPr>
          <w:rFonts w:ascii="Times New Roman" w:hAnsi="Times New Roman" w:cs="Times New Roman"/>
          <w:color w:val="000000" w:themeColor="text1"/>
          <w:spacing w:val="-5"/>
          <w:w w:val="99"/>
          <w:sz w:val="24"/>
          <w:szCs w:val="24"/>
          <w:highlight w:val="none"/>
          <w14:textFill>
            <w14:solidFill>
              <w14:schemeClr w14:val="tx1"/>
            </w14:solidFill>
          </w14:textFill>
        </w:rPr>
      </w:pPr>
      <w:r>
        <w:rPr>
          <w:rFonts w:ascii="Times New Roman" w:hAnsi="Times New Roman" w:cs="Times New Roman"/>
          <w:color w:val="000000" w:themeColor="text1"/>
          <w:spacing w:val="-5"/>
          <w:w w:val="99"/>
          <w:sz w:val="24"/>
          <w:szCs w:val="24"/>
          <w:highlight w:val="none"/>
          <w14:textFill>
            <w14:solidFill>
              <w14:schemeClr w14:val="tx1"/>
            </w14:solidFill>
          </w14:textFill>
        </w:rPr>
        <w:t>本工程施工期间排放的废气主要是施工活动产生的扬尘。场站、井场、道路、管道施工和进出施工场地的运输车辆都会造成施工作业场所和道路沿线近地面粉尘浓度的升高，施工及运输车辆引起的扬尘仅对路边30m范围以内影响较大。通过向施工现场洒水消尘，在运输和堆置过程中对易起尘的建筑材料加盖遮盖物，施工场地设置围护等一系列环保措施，施工期场界扬尘浓度满足《大气污染物综合排放标准》（GB16297-1996）要求，对区域空气环境及环保目标的影响较小。</w:t>
      </w:r>
    </w:p>
    <w:p>
      <w:pPr>
        <w:pStyle w:val="14"/>
        <w:spacing w:line="440" w:lineRule="exact"/>
        <w:ind w:firstLine="454" w:firstLineChars="200"/>
        <w:jc w:val="both"/>
        <w:rPr>
          <w:rFonts w:ascii="Times New Roman" w:hAnsi="Times New Roman" w:cs="Times New Roman"/>
          <w:color w:val="000000" w:themeColor="text1"/>
          <w:spacing w:val="-5"/>
          <w:w w:val="99"/>
          <w:sz w:val="24"/>
          <w:szCs w:val="24"/>
          <w:highlight w:val="none"/>
          <w14:textFill>
            <w14:solidFill>
              <w14:schemeClr w14:val="tx1"/>
            </w14:solidFill>
          </w14:textFill>
        </w:rPr>
      </w:pPr>
      <w:r>
        <w:rPr>
          <w:rFonts w:hint="eastAsia" w:ascii="Times New Roman" w:hAnsi="Times New Roman" w:cs="Times New Roman"/>
          <w:color w:val="000000" w:themeColor="text1"/>
          <w:spacing w:val="-5"/>
          <w:w w:val="99"/>
          <w:sz w:val="24"/>
          <w:szCs w:val="24"/>
          <w:highlight w:val="none"/>
          <w14:textFill>
            <w14:solidFill>
              <w14:schemeClr w14:val="tx1"/>
            </w14:solidFill>
          </w14:textFill>
        </w:rPr>
        <w:t>（2）焊接烟尘</w:t>
      </w:r>
    </w:p>
    <w:p>
      <w:pPr>
        <w:pStyle w:val="14"/>
        <w:spacing w:line="440" w:lineRule="exact"/>
        <w:ind w:firstLine="454" w:firstLineChars="200"/>
        <w:jc w:val="both"/>
        <w:rPr>
          <w:rFonts w:ascii="Times New Roman" w:hAnsi="Times New Roman" w:cs="Times New Roman"/>
          <w:color w:val="000000" w:themeColor="text1"/>
          <w:spacing w:val="-5"/>
          <w:w w:val="99"/>
          <w:sz w:val="24"/>
          <w:szCs w:val="24"/>
          <w:highlight w:val="none"/>
          <w14:textFill>
            <w14:solidFill>
              <w14:schemeClr w14:val="tx1"/>
            </w14:solidFill>
          </w14:textFill>
        </w:rPr>
      </w:pPr>
      <w:r>
        <w:rPr>
          <w:rFonts w:ascii="Times New Roman" w:hAnsi="Times New Roman" w:cs="Times New Roman"/>
          <w:color w:val="000000" w:themeColor="text1"/>
          <w:spacing w:val="-5"/>
          <w:w w:val="99"/>
          <w:sz w:val="24"/>
          <w:szCs w:val="24"/>
          <w:highlight w:val="none"/>
          <w14:textFill>
            <w14:solidFill>
              <w14:schemeClr w14:val="tx1"/>
            </w14:solidFill>
          </w14:textFill>
        </w:rPr>
        <w:t>项目管道焊接主要方式为电焊，焊接过程中会产生少量焊接烟气，焊接烟气中有毒有害气体的成份主要为 CO、CO</w:t>
      </w:r>
      <w:r>
        <w:rPr>
          <w:rFonts w:ascii="Times New Roman" w:hAnsi="Times New Roman" w:cs="Times New Roman"/>
          <w:color w:val="000000" w:themeColor="text1"/>
          <w:spacing w:val="-5"/>
          <w:w w:val="99"/>
          <w:sz w:val="24"/>
          <w:szCs w:val="24"/>
          <w:highlight w:val="none"/>
          <w:vertAlign w:val="subscript"/>
          <w14:textFill>
            <w14:solidFill>
              <w14:schemeClr w14:val="tx1"/>
            </w14:solidFill>
          </w14:textFill>
        </w:rPr>
        <w:t>2</w:t>
      </w:r>
      <w:r>
        <w:rPr>
          <w:rFonts w:ascii="Times New Roman" w:hAnsi="Times New Roman" w:cs="Times New Roman"/>
          <w:color w:val="000000" w:themeColor="text1"/>
          <w:spacing w:val="-5"/>
          <w:w w:val="99"/>
          <w:sz w:val="24"/>
          <w:szCs w:val="24"/>
          <w:highlight w:val="none"/>
          <w14:textFill>
            <w14:solidFill>
              <w14:schemeClr w14:val="tx1"/>
            </w14:solidFill>
          </w14:textFill>
        </w:rPr>
        <w:t>、O</w:t>
      </w:r>
      <w:r>
        <w:rPr>
          <w:rFonts w:ascii="Times New Roman" w:hAnsi="Times New Roman" w:cs="Times New Roman"/>
          <w:color w:val="000000" w:themeColor="text1"/>
          <w:spacing w:val="-5"/>
          <w:w w:val="99"/>
          <w:sz w:val="24"/>
          <w:szCs w:val="24"/>
          <w:highlight w:val="none"/>
          <w:vertAlign w:val="subscript"/>
          <w14:textFill>
            <w14:solidFill>
              <w14:schemeClr w14:val="tx1"/>
            </w14:solidFill>
          </w14:textFill>
        </w:rPr>
        <w:t>3</w:t>
      </w:r>
      <w:r>
        <w:rPr>
          <w:rFonts w:ascii="Times New Roman" w:hAnsi="Times New Roman" w:cs="Times New Roman"/>
          <w:color w:val="000000" w:themeColor="text1"/>
          <w:spacing w:val="-5"/>
          <w:w w:val="99"/>
          <w:sz w:val="24"/>
          <w:szCs w:val="24"/>
          <w:highlight w:val="none"/>
          <w14:textFill>
            <w14:solidFill>
              <w14:schemeClr w14:val="tx1"/>
            </w14:solidFill>
          </w14:textFill>
        </w:rPr>
        <w:t>、NOx、CH</w:t>
      </w:r>
      <w:r>
        <w:rPr>
          <w:rFonts w:ascii="Times New Roman" w:hAnsi="Times New Roman" w:cs="Times New Roman"/>
          <w:color w:val="000000" w:themeColor="text1"/>
          <w:spacing w:val="-5"/>
          <w:w w:val="99"/>
          <w:sz w:val="24"/>
          <w:szCs w:val="24"/>
          <w:highlight w:val="none"/>
          <w:vertAlign w:val="subscript"/>
          <w14:textFill>
            <w14:solidFill>
              <w14:schemeClr w14:val="tx1"/>
            </w14:solidFill>
          </w14:textFill>
        </w:rPr>
        <w:t>4</w:t>
      </w:r>
      <w:r>
        <w:rPr>
          <w:rFonts w:ascii="Times New Roman" w:hAnsi="Times New Roman" w:cs="Times New Roman"/>
          <w:color w:val="000000" w:themeColor="text1"/>
          <w:spacing w:val="-5"/>
          <w:w w:val="99"/>
          <w:sz w:val="24"/>
          <w:szCs w:val="24"/>
          <w:highlight w:val="none"/>
          <w14:textFill>
            <w14:solidFill>
              <w14:schemeClr w14:val="tx1"/>
            </w14:solidFill>
          </w14:textFill>
        </w:rPr>
        <w:t>等，其中以 CO 所占的比例最大，但由于项目</w:t>
      </w:r>
      <w:r>
        <w:rPr>
          <w:rFonts w:hint="eastAsia" w:ascii="Times New Roman" w:hAnsi="Times New Roman" w:cs="Times New Roman"/>
          <w:color w:val="000000" w:themeColor="text1"/>
          <w:spacing w:val="-5"/>
          <w:w w:val="99"/>
          <w:sz w:val="24"/>
          <w:szCs w:val="24"/>
          <w:highlight w:val="none"/>
          <w14:textFill>
            <w14:solidFill>
              <w14:schemeClr w14:val="tx1"/>
            </w14:solidFill>
          </w14:textFill>
        </w:rPr>
        <w:t>施工期较短</w:t>
      </w:r>
      <w:r>
        <w:rPr>
          <w:rFonts w:ascii="Times New Roman" w:hAnsi="Times New Roman" w:cs="Times New Roman"/>
          <w:color w:val="000000" w:themeColor="text1"/>
          <w:spacing w:val="-5"/>
          <w:w w:val="99"/>
          <w:sz w:val="24"/>
          <w:szCs w:val="24"/>
          <w:highlight w:val="none"/>
          <w14:textFill>
            <w14:solidFill>
              <w14:schemeClr w14:val="tx1"/>
            </w14:solidFill>
          </w14:textFill>
        </w:rPr>
        <w:t>，产生的焊接烟气量较小，且项目位于室外，空气扩散条件较好，对大气环境影响较小。</w:t>
      </w:r>
    </w:p>
    <w:p>
      <w:pPr>
        <w:pStyle w:val="14"/>
        <w:spacing w:line="440" w:lineRule="exact"/>
        <w:ind w:firstLine="454" w:firstLineChars="200"/>
        <w:jc w:val="both"/>
        <w:rPr>
          <w:rFonts w:ascii="Times New Roman" w:hAnsi="Times New Roman" w:cs="Times New Roman"/>
          <w:color w:val="000000" w:themeColor="text1"/>
          <w:spacing w:val="-5"/>
          <w:w w:val="99"/>
          <w:sz w:val="24"/>
          <w:szCs w:val="24"/>
          <w:highlight w:val="none"/>
          <w14:textFill>
            <w14:solidFill>
              <w14:schemeClr w14:val="tx1"/>
            </w14:solidFill>
          </w14:textFill>
        </w:rPr>
      </w:pPr>
      <w:r>
        <w:rPr>
          <w:rFonts w:ascii="Times New Roman" w:hAnsi="Times New Roman" w:cs="Times New Roman"/>
          <w:color w:val="000000" w:themeColor="text1"/>
          <w:spacing w:val="-5"/>
          <w:w w:val="99"/>
          <w:sz w:val="24"/>
          <w:szCs w:val="24"/>
          <w:highlight w:val="none"/>
          <w14:textFill>
            <w14:solidFill>
              <w14:schemeClr w14:val="tx1"/>
            </w14:solidFill>
          </w14:textFill>
        </w:rPr>
        <w:t>综上所述，项目施工期产生的废气主要为施工扬尘</w:t>
      </w:r>
      <w:r>
        <w:rPr>
          <w:rFonts w:hint="eastAsia" w:ascii="Times New Roman" w:hAnsi="Times New Roman" w:cs="Times New Roman"/>
          <w:color w:val="000000" w:themeColor="text1"/>
          <w:spacing w:val="-5"/>
          <w:w w:val="99"/>
          <w:sz w:val="24"/>
          <w:szCs w:val="24"/>
          <w:highlight w:val="none"/>
          <w14:textFill>
            <w14:solidFill>
              <w14:schemeClr w14:val="tx1"/>
            </w14:solidFill>
          </w14:textFill>
        </w:rPr>
        <w:t>和</w:t>
      </w:r>
      <w:r>
        <w:rPr>
          <w:rFonts w:ascii="Times New Roman" w:hAnsi="Times New Roman" w:cs="Times New Roman"/>
          <w:color w:val="000000" w:themeColor="text1"/>
          <w:spacing w:val="-5"/>
          <w:w w:val="99"/>
          <w:sz w:val="24"/>
          <w:szCs w:val="24"/>
          <w:highlight w:val="none"/>
          <w14:textFill>
            <w14:solidFill>
              <w14:schemeClr w14:val="tx1"/>
            </w14:solidFill>
          </w14:textFill>
        </w:rPr>
        <w:t>少量</w:t>
      </w:r>
      <w:r>
        <w:rPr>
          <w:rFonts w:hint="eastAsia" w:ascii="Times New Roman" w:hAnsi="Times New Roman" w:cs="Times New Roman"/>
          <w:color w:val="000000" w:themeColor="text1"/>
          <w:spacing w:val="-5"/>
          <w:w w:val="99"/>
          <w:sz w:val="24"/>
          <w:szCs w:val="24"/>
          <w:highlight w:val="none"/>
          <w14:textFill>
            <w14:solidFill>
              <w14:schemeClr w14:val="tx1"/>
            </w14:solidFill>
          </w14:textFill>
        </w:rPr>
        <w:t>管线</w:t>
      </w:r>
      <w:r>
        <w:rPr>
          <w:rFonts w:ascii="Times New Roman" w:hAnsi="Times New Roman" w:cs="Times New Roman"/>
          <w:color w:val="000000" w:themeColor="text1"/>
          <w:spacing w:val="-5"/>
          <w:w w:val="99"/>
          <w:sz w:val="24"/>
          <w:szCs w:val="24"/>
          <w:highlight w:val="none"/>
          <w14:textFill>
            <w14:solidFill>
              <w14:schemeClr w14:val="tx1"/>
            </w14:solidFill>
          </w14:textFill>
        </w:rPr>
        <w:t>焊接</w:t>
      </w:r>
      <w:r>
        <w:rPr>
          <w:rFonts w:hint="eastAsia" w:ascii="Times New Roman" w:hAnsi="Times New Roman" w:cs="Times New Roman"/>
          <w:color w:val="000000" w:themeColor="text1"/>
          <w:spacing w:val="-5"/>
          <w:w w:val="99"/>
          <w:sz w:val="24"/>
          <w:szCs w:val="24"/>
          <w:highlight w:val="none"/>
          <w14:textFill>
            <w14:solidFill>
              <w14:schemeClr w14:val="tx1"/>
            </w14:solidFill>
          </w14:textFill>
        </w:rPr>
        <w:t>废</w:t>
      </w:r>
      <w:r>
        <w:rPr>
          <w:rFonts w:ascii="Times New Roman" w:hAnsi="Times New Roman" w:cs="Times New Roman"/>
          <w:color w:val="000000" w:themeColor="text1"/>
          <w:spacing w:val="-5"/>
          <w:w w:val="99"/>
          <w:sz w:val="24"/>
          <w:szCs w:val="24"/>
          <w:highlight w:val="none"/>
          <w14:textFill>
            <w14:solidFill>
              <w14:schemeClr w14:val="tx1"/>
            </w14:solidFill>
          </w14:textFill>
        </w:rPr>
        <w:t>气， 通过采取有效地抑尘、规划行车路线及管理养护措施，施工期场界扬尘浓度满足《大气污染物综合排放标准》（ GB16297-1996）要求，对区域空气环境及环保目标的影响较小。</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5.1.2 运营期大气环境影响预测与评价</w:t>
      </w:r>
    </w:p>
    <w:p>
      <w:pPr>
        <w:pStyle w:val="14"/>
        <w:spacing w:line="440" w:lineRule="exact"/>
        <w:ind w:firstLine="474" w:firstLineChars="200"/>
        <w:jc w:val="both"/>
        <w:rPr>
          <w:rFonts w:ascii="Times New Roman" w:hAnsi="Times New Roman" w:cs="Times New Roman"/>
          <w:color w:val="000000" w:themeColor="text1"/>
          <w:spacing w:val="-5"/>
          <w:w w:val="99"/>
          <w:sz w:val="24"/>
          <w:szCs w:val="24"/>
          <w:highlight w:val="none"/>
          <w14:textFill>
            <w14:solidFill>
              <w14:schemeClr w14:val="tx1"/>
            </w14:solidFill>
          </w14:textFill>
        </w:rPr>
      </w:pP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大庆市气象局近20年气象观测资料显示，</w:t>
      </w:r>
      <w:r>
        <w:rPr>
          <w:rFonts w:ascii="Times New Roman" w:hAnsi="Times New Roman" w:cs="Times New Roman"/>
          <w:color w:val="000000" w:themeColor="text1"/>
          <w:spacing w:val="-5"/>
          <w:w w:val="99"/>
          <w:sz w:val="24"/>
          <w:szCs w:val="24"/>
          <w:highlight w:val="none"/>
          <w14:textFill>
            <w14:solidFill>
              <w14:schemeClr w14:val="tx1"/>
            </w14:solidFill>
          </w14:textFill>
        </w:rPr>
        <w:t>该地区属北温带大陆性季风气候，四季分明，受蒙古内陆冷空气和海洋暖流季风影响较大，冬季漫长而寒冷干燥，夏季短暂而温湿多雨，春秋季风交替，气温变化大，冰封期长，无霜期短，冻土深达2~2.2m。该区全年气压稳定，降水集中在六、七、八月，蒸发量冬季明显降低，春秋季相对湿度小。年降水量平均442mm，年最大降水量651.2mm。年平均气压：0.9944MPa。蒸发量：年平均蒸发量1531.4mm，年最大蒸发量1711.0mm，年最小蒸发量1378.4mm。湿度：年平均相对湿度为63%。年平均气温3.3℃，极端最低气温-36.2℃，极端最高气温38.9℃。年平均风速3.7m/s，年最大风速为22.7m/s。全年主导风向不明显，西北风、西北北风（NW、NNW）、南风（S）的风频较高。全年风向玫瑰图见图5.1-1。</w:t>
      </w: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31" w:type="dxa"/>
          </w:tcPr>
          <w:p>
            <w:pPr>
              <w:pStyle w:val="14"/>
              <w:tabs>
                <w:tab w:val="left" w:pos="4154"/>
                <w:tab w:val="center" w:pos="8305"/>
              </w:tabs>
              <w:spacing w:before="10" w:line="440" w:lineRule="exact"/>
              <w:jc w:val="center"/>
              <w:rPr>
                <w:rFonts w:ascii="Times New Roman" w:hAnsi="Times New Roman" w:cs="Times New Roman"/>
                <w:color w:val="000000" w:themeColor="text1"/>
                <w:w w:val="99"/>
                <w:sz w:val="7"/>
                <w:highlight w:val="none"/>
                <w14:textFill>
                  <w14:solidFill>
                    <w14:schemeClr w14:val="tx1"/>
                  </w14:solidFill>
                </w14:textFill>
              </w:rPr>
            </w:pPr>
            <w:r>
              <w:rPr>
                <w:rFonts w:ascii="Times New Roman" w:hAnsi="Times New Roman" w:cs="Times New Roman"/>
                <w:color w:val="000000" w:themeColor="text1"/>
                <w:w w:val="99"/>
                <w:sz w:val="7"/>
                <w:highlight w:val="none"/>
                <w:lang w:val="en-US" w:bidi="ar-SA"/>
                <w14:textFill>
                  <w14:solidFill>
                    <w14:schemeClr w14:val="tx1"/>
                  </w14:solidFill>
                </w14:textFill>
              </w:rPr>
              <w:drawing>
                <wp:anchor distT="0" distB="0" distL="114300" distR="114300" simplePos="0" relativeHeight="251689984" behindDoc="0" locked="0" layoutInCell="1" allowOverlap="1">
                  <wp:simplePos x="0" y="0"/>
                  <wp:positionH relativeFrom="margin">
                    <wp:align>center</wp:align>
                  </wp:positionH>
                  <wp:positionV relativeFrom="margin">
                    <wp:align>center</wp:align>
                  </wp:positionV>
                  <wp:extent cx="1647825" cy="1621790"/>
                  <wp:effectExtent l="0" t="0" r="9525" b="16510"/>
                  <wp:wrapSquare wrapText="bothSides"/>
                  <wp:docPr id="1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6.jpeg"/>
                          <pic:cNvPicPr>
                            <a:picLocks noChangeAspect="1"/>
                          </pic:cNvPicPr>
                        </pic:nvPicPr>
                        <pic:blipFill>
                          <a:blip r:embed="rId41" cstate="print"/>
                          <a:stretch>
                            <a:fillRect/>
                          </a:stretch>
                        </pic:blipFill>
                        <pic:spPr>
                          <a:xfrm>
                            <a:off x="0" y="0"/>
                            <a:ext cx="1647894" cy="1622004"/>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31" w:type="dxa"/>
          </w:tcPr>
          <w:p>
            <w:pPr>
              <w:pStyle w:val="14"/>
              <w:tabs>
                <w:tab w:val="left" w:pos="4154"/>
                <w:tab w:val="center" w:pos="8305"/>
              </w:tabs>
              <w:spacing w:line="440" w:lineRule="exact"/>
              <w:jc w:val="center"/>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b/>
                <w:bCs/>
                <w:color w:val="000000" w:themeColor="text1"/>
                <w:spacing w:val="-5"/>
                <w:w w:val="99"/>
                <w:sz w:val="24"/>
                <w:szCs w:val="24"/>
                <w:highlight w:val="none"/>
                <w14:textFill>
                  <w14:solidFill>
                    <w14:schemeClr w14:val="tx1"/>
                  </w14:solidFill>
                </w14:textFill>
              </w:rPr>
              <w:t>图5.1-1</w:t>
            </w:r>
            <w:r>
              <w:rPr>
                <w:rFonts w:hint="eastAsia" w:ascii="Times New Roman" w:hAnsi="Times New Roman" w:cs="Times New Roman"/>
                <w:b/>
                <w:bCs/>
                <w:color w:val="000000" w:themeColor="text1"/>
                <w:spacing w:val="-5"/>
                <w:w w:val="99"/>
                <w:sz w:val="24"/>
                <w:szCs w:val="24"/>
                <w:highlight w:val="none"/>
                <w14:textFill>
                  <w14:solidFill>
                    <w14:schemeClr w14:val="tx1"/>
                  </w14:solidFill>
                </w14:textFill>
              </w:rPr>
              <w:t xml:space="preserve">    </w:t>
            </w:r>
            <w:r>
              <w:rPr>
                <w:rFonts w:ascii="Times New Roman" w:hAnsi="Times New Roman" w:cs="Times New Roman"/>
                <w:b/>
                <w:bCs/>
                <w:color w:val="000000" w:themeColor="text1"/>
                <w:spacing w:val="-5"/>
                <w:w w:val="99"/>
                <w:sz w:val="24"/>
                <w:szCs w:val="24"/>
                <w:highlight w:val="none"/>
                <w14:textFill>
                  <w14:solidFill>
                    <w14:schemeClr w14:val="tx1"/>
                  </w14:solidFill>
                </w14:textFill>
              </w:rPr>
              <w:t>全年风向玫瑰图</w:t>
            </w:r>
          </w:p>
        </w:tc>
      </w:tr>
    </w:tbl>
    <w:p>
      <w:pPr>
        <w:wordWrap w:val="0"/>
        <w:spacing w:line="500" w:lineRule="exact"/>
        <w:ind w:firstLine="434" w:firstLineChars="200"/>
        <w:jc w:val="both"/>
        <w:rPr>
          <w:rFonts w:ascii="Times New Roman" w:hAnsi="Times New Roman" w:cs="Times New Roman" w:eastAsiaTheme="minorEastAsia"/>
          <w:color w:val="000000" w:themeColor="text1"/>
          <w:w w:val="99"/>
          <w:highlight w:val="none"/>
          <w14:textFill>
            <w14:solidFill>
              <w14:schemeClr w14:val="tx1"/>
            </w14:solidFill>
          </w14:textFill>
        </w:rPr>
      </w:pPr>
      <w:r>
        <w:rPr>
          <w:rFonts w:ascii="Times New Roman" w:hAnsi="Times New Roman" w:cs="Times New Roman" w:eastAsiaTheme="minorEastAsia"/>
          <w:color w:val="000000" w:themeColor="text1"/>
          <w:w w:val="99"/>
          <w:highlight w:val="none"/>
          <w14:textFill>
            <w14:solidFill>
              <w14:schemeClr w14:val="tx1"/>
            </w14:solidFill>
          </w14:textFill>
        </w:rPr>
        <w:t>本项目运行期的大气污染主要来自油田集输过程中烃类的无组织挥发、</w:t>
      </w:r>
      <w:r>
        <w:rPr>
          <w:rFonts w:ascii="Times New Roman" w:hAnsi="Times New Roman" w:cs="Times New Roman" w:eastAsiaTheme="minorEastAsia"/>
          <w:color w:val="000000" w:themeColor="text1"/>
          <w:w w:val="99"/>
          <w:highlight w:val="none"/>
          <w:lang w:val="zh-CN"/>
          <w14:textFill>
            <w14:solidFill>
              <w14:schemeClr w14:val="tx1"/>
            </w14:solidFill>
          </w14:textFill>
        </w:rPr>
        <w:t>依托场站</w:t>
      </w:r>
      <w:r>
        <w:rPr>
          <w:rFonts w:ascii="Times New Roman" w:hAnsi="Times New Roman" w:cs="Times New Roman" w:eastAsiaTheme="minorEastAsia"/>
          <w:color w:val="000000" w:themeColor="text1"/>
          <w:w w:val="99"/>
          <w:highlight w:val="none"/>
          <w14:textFill>
            <w14:solidFill>
              <w14:schemeClr w14:val="tx1"/>
            </w14:solidFill>
          </w14:textFill>
        </w:rPr>
        <w:t>加热装置新增负荷增加的烟气。</w:t>
      </w:r>
    </w:p>
    <w:p>
      <w:pPr>
        <w:pStyle w:val="14"/>
        <w:spacing w:line="440" w:lineRule="exact"/>
        <w:ind w:firstLine="438" w:firstLineChars="200"/>
        <w:jc w:val="both"/>
        <w:rPr>
          <w:rFonts w:hint="eastAsia" w:ascii="Times New Roman" w:hAnsi="Times New Roman" w:eastAsia="宋体" w:cs="Times New Roman"/>
          <w:color w:val="000000" w:themeColor="text1"/>
          <w:spacing w:val="-9"/>
          <w:w w:val="99"/>
          <w:sz w:val="24"/>
          <w:szCs w:val="24"/>
          <w:highlight w:val="none"/>
          <w:lang w:eastAsia="zh-CN"/>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1</w:t>
      </w:r>
      <w:r>
        <w:rPr>
          <w:rFonts w:ascii="Times New Roman" w:hAnsi="Times New Roman" w:cs="Times New Roman"/>
          <w:color w:val="000000" w:themeColor="text1"/>
          <w:spacing w:val="-9"/>
          <w:w w:val="99"/>
          <w:sz w:val="24"/>
          <w:szCs w:val="24"/>
          <w:highlight w:val="none"/>
          <w14:textFill>
            <w14:solidFill>
              <w14:schemeClr w14:val="tx1"/>
            </w14:solidFill>
          </w14:textFill>
        </w:rPr>
        <w:t>）</w:t>
      </w:r>
      <w:r>
        <w:rPr>
          <w:rFonts w:hint="eastAsia" w:ascii="Times New Roman" w:hAnsi="Times New Roman" w:cs="Times New Roman"/>
          <w:color w:val="000000" w:themeColor="text1"/>
          <w:spacing w:val="-9"/>
          <w:w w:val="99"/>
          <w:sz w:val="24"/>
          <w:szCs w:val="24"/>
          <w:highlight w:val="none"/>
          <w:lang w:eastAsia="zh-CN"/>
          <w14:textFill>
            <w14:solidFill>
              <w14:schemeClr w14:val="tx1"/>
            </w14:solidFill>
          </w14:textFill>
        </w:rPr>
        <w:t>烃类气体</w:t>
      </w:r>
    </w:p>
    <w:p>
      <w:pPr>
        <w:pStyle w:val="14"/>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本工程排放的无组织挥发非甲烷总烃为面源形式排放，油气集输采用密闭流程，可有效控制烃类物质的排放，根据工程分析可知整个原油集输过程中非甲烷总烃挥发量为</w:t>
      </w:r>
      <w:r>
        <w:rPr>
          <w:rFonts w:hint="eastAsia" w:ascii="Times New Roman" w:hAnsi="Times New Roman" w:cs="Times New Roman" w:eastAsiaTheme="minorEastAsia"/>
          <w:color w:val="000000" w:themeColor="text1"/>
          <w:w w:val="99"/>
          <w:sz w:val="24"/>
          <w:szCs w:val="24"/>
          <w:highlight w:val="none"/>
          <w:lang w:val="en-US" w:eastAsia="zh-CN"/>
          <w14:textFill>
            <w14:solidFill>
              <w14:schemeClr w14:val="tx1"/>
            </w14:solidFill>
          </w14:textFill>
        </w:rPr>
        <w:t>24.24</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t/a，主要排放位置有井场、集输管道阀门、计量间、阀组间等位置，均以面源形式排放</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w:t>
      </w:r>
      <w:r>
        <w:rPr>
          <w:rFonts w:ascii="Times New Roman" w:hAnsi="Times New Roman" w:cs="Times New Roman"/>
          <w:bCs/>
          <w:color w:val="000000" w:themeColor="text1"/>
          <w:w w:val="99"/>
          <w:sz w:val="24"/>
          <w:szCs w:val="20"/>
          <w:highlight w:val="none"/>
          <w:lang w:val="en-US"/>
          <w14:textFill>
            <w14:solidFill>
              <w14:schemeClr w14:val="tx1"/>
            </w14:solidFill>
          </w14:textFill>
        </w:rPr>
        <w:t>面源污染源参数见表5.1-</w:t>
      </w:r>
      <w:r>
        <w:rPr>
          <w:rFonts w:hint="eastAsia" w:ascii="Times New Roman" w:hAnsi="Times New Roman" w:cs="Times New Roman"/>
          <w:bCs/>
          <w:color w:val="000000" w:themeColor="text1"/>
          <w:w w:val="99"/>
          <w:sz w:val="24"/>
          <w:szCs w:val="20"/>
          <w:highlight w:val="none"/>
          <w:lang w:val="en-US" w:eastAsia="zh-CN"/>
          <w14:textFill>
            <w14:solidFill>
              <w14:schemeClr w14:val="tx1"/>
            </w14:solidFill>
          </w14:textFill>
        </w:rPr>
        <w:t>1</w:t>
      </w:r>
      <w:r>
        <w:rPr>
          <w:rFonts w:ascii="Times New Roman" w:hAnsi="Times New Roman" w:cs="Times New Roman"/>
          <w:bCs/>
          <w:color w:val="000000" w:themeColor="text1"/>
          <w:w w:val="99"/>
          <w:sz w:val="24"/>
          <w:szCs w:val="20"/>
          <w:highlight w:val="none"/>
          <w:lang w:val="en-US"/>
          <w14:textFill>
            <w14:solidFill>
              <w14:schemeClr w14:val="tx1"/>
            </w14:solidFill>
          </w14:textFill>
        </w:rPr>
        <w:t>。</w:t>
      </w:r>
    </w:p>
    <w:p>
      <w:pPr>
        <w:pStyle w:val="14"/>
        <w:spacing w:line="440" w:lineRule="exact"/>
        <w:ind w:firstLine="440" w:firstLineChars="200"/>
        <w:jc w:val="both"/>
        <w:rPr>
          <w:rFonts w:ascii="Times New Roman" w:hAnsi="Times New Roman" w:cs="Times New Roman"/>
          <w:b/>
          <w:bCs/>
          <w:color w:val="000000" w:themeColor="text1"/>
          <w:w w:val="99"/>
          <w:sz w:val="24"/>
          <w:szCs w:val="20"/>
          <w:highlight w:val="none"/>
          <w:lang w:val="en-US"/>
          <w14:textFill>
            <w14:solidFill>
              <w14:schemeClr w14:val="tx1"/>
            </w14:solidFill>
          </w14:textFill>
        </w:rPr>
      </w:pPr>
      <w:r>
        <w:rPr>
          <w:rFonts w:ascii="Times New Roman" w:hAnsi="Times New Roman" w:cs="Times New Roman"/>
          <w:b/>
          <w:bCs/>
          <w:color w:val="000000" w:themeColor="text1"/>
          <w:spacing w:val="-9"/>
          <w:w w:val="99"/>
          <w:sz w:val="24"/>
          <w:szCs w:val="24"/>
          <w:highlight w:val="none"/>
          <w14:textFill>
            <w14:solidFill>
              <w14:schemeClr w14:val="tx1"/>
            </w14:solidFill>
          </w14:textFill>
        </w:rPr>
        <w:t>表</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5.1-</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 xml:space="preserve">1    </w:t>
      </w:r>
      <w:r>
        <w:rPr>
          <w:rFonts w:hint="eastAsia"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面源参数调查清单</w:t>
      </w:r>
    </w:p>
    <w:tbl>
      <w:tblPr>
        <w:tblStyle w:val="32"/>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64"/>
        <w:gridCol w:w="700"/>
        <w:gridCol w:w="734"/>
        <w:gridCol w:w="637"/>
        <w:gridCol w:w="653"/>
        <w:gridCol w:w="712"/>
        <w:gridCol w:w="688"/>
        <w:gridCol w:w="862"/>
        <w:gridCol w:w="800"/>
        <w:gridCol w:w="702"/>
        <w:gridCol w:w="14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64"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名称</w:t>
            </w:r>
          </w:p>
        </w:tc>
        <w:tc>
          <w:tcPr>
            <w:tcW w:w="1434" w:type="dxa"/>
            <w:gridSpan w:val="2"/>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面源起点坐标</w:t>
            </w:r>
          </w:p>
        </w:tc>
        <w:tc>
          <w:tcPr>
            <w:tcW w:w="637"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面源海拔高度/m</w:t>
            </w:r>
          </w:p>
        </w:tc>
        <w:tc>
          <w:tcPr>
            <w:tcW w:w="653"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面源长度/m</w:t>
            </w:r>
          </w:p>
        </w:tc>
        <w:tc>
          <w:tcPr>
            <w:tcW w:w="712"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面源宽度/m</w:t>
            </w:r>
          </w:p>
        </w:tc>
        <w:tc>
          <w:tcPr>
            <w:tcW w:w="688"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与正北向夹角/°</w:t>
            </w:r>
          </w:p>
        </w:tc>
        <w:tc>
          <w:tcPr>
            <w:tcW w:w="862"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面源有效排放高度/m</w:t>
            </w:r>
          </w:p>
        </w:tc>
        <w:tc>
          <w:tcPr>
            <w:tcW w:w="800"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年排放小时数/h</w:t>
            </w:r>
          </w:p>
        </w:tc>
        <w:tc>
          <w:tcPr>
            <w:tcW w:w="702" w:type="dxa"/>
            <w:vMerge w:val="restart"/>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排放工况</w:t>
            </w:r>
          </w:p>
        </w:tc>
        <w:tc>
          <w:tcPr>
            <w:tcW w:w="1420" w:type="dxa"/>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污染物排放速率/（kg/h）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1164"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700" w:type="dxa"/>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0"/>
                <w:szCs w:val="20"/>
                <w:highlight w:val="none"/>
                <w:lang w:val="en-US" w:bidi="ar-SA"/>
                <w14:textFill>
                  <w14:solidFill>
                    <w14:schemeClr w14:val="tx1"/>
                  </w14:solidFill>
                </w14:textFill>
              </w:rPr>
              <w:t>东经</w:t>
            </w:r>
          </w:p>
        </w:tc>
        <w:tc>
          <w:tcPr>
            <w:tcW w:w="734" w:type="dxa"/>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0"/>
                <w:szCs w:val="20"/>
                <w:highlight w:val="none"/>
                <w:lang w:val="en-US" w:bidi="ar-SA"/>
                <w14:textFill>
                  <w14:solidFill>
                    <w14:schemeClr w14:val="tx1"/>
                  </w14:solidFill>
                </w14:textFill>
              </w:rPr>
              <w:t>北纬</w:t>
            </w:r>
          </w:p>
        </w:tc>
        <w:tc>
          <w:tcPr>
            <w:tcW w:w="637"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653"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712"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688"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862"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800"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702" w:type="dxa"/>
            <w:vMerge w:val="continue"/>
            <w:vAlign w:val="center"/>
          </w:tcPr>
          <w:p>
            <w:pPr>
              <w:autoSpaceDE/>
              <w:autoSpaceDN/>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420" w:type="dxa"/>
            <w:vAlign w:val="center"/>
          </w:tcPr>
          <w:p>
            <w:pPr>
              <w:adjustRightInd w:val="0"/>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非甲烷总烃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64" w:type="dxa"/>
            <w:vAlign w:val="center"/>
          </w:tcPr>
          <w:p>
            <w:pPr>
              <w:autoSpaceDE/>
              <w:autoSpaceDN/>
              <w:adjustRightInd w:val="0"/>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18"/>
                <w:szCs w:val="18"/>
                <w:highlight w:val="none"/>
                <w:lang w:val="en-US" w:eastAsia="zh-CN" w:bidi="ar-SA"/>
                <w14:textFill>
                  <w14:solidFill>
                    <w14:schemeClr w14:val="tx1"/>
                  </w14:solidFill>
                </w14:textFill>
              </w:rPr>
              <w:t>单</w:t>
            </w:r>
            <w:r>
              <w:rPr>
                <w:rFonts w:hint="eastAsia" w:ascii="Times New Roman" w:hAnsi="Times New Roman" w:cs="Times New Roman"/>
                <w:bCs/>
                <w:color w:val="000000" w:themeColor="text1"/>
                <w:w w:val="99"/>
                <w:kern w:val="2"/>
                <w:sz w:val="18"/>
                <w:szCs w:val="18"/>
                <w:highlight w:val="none"/>
                <w:lang w:val="en-US" w:bidi="ar-SA"/>
                <w14:textFill>
                  <w14:solidFill>
                    <w14:schemeClr w14:val="tx1"/>
                  </w14:solidFill>
                </w14:textFill>
              </w:rPr>
              <w:t>井</w:t>
            </w:r>
            <w:r>
              <w:rPr>
                <w:rFonts w:hint="eastAsia" w:ascii="Times New Roman" w:hAnsi="Times New Roman" w:cs="Times New Roman"/>
                <w:bCs/>
                <w:color w:val="000000" w:themeColor="text1"/>
                <w:w w:val="99"/>
                <w:kern w:val="2"/>
                <w:sz w:val="18"/>
                <w:szCs w:val="18"/>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w w:val="99"/>
                <w:kern w:val="2"/>
                <w:sz w:val="18"/>
                <w:szCs w:val="18"/>
                <w:highlight w:val="none"/>
                <w:lang w:val="en-US" w:bidi="ar-SA"/>
                <w14:textFill>
                  <w14:solidFill>
                    <w14:schemeClr w14:val="tx1"/>
                  </w14:solidFill>
                </w14:textFill>
              </w:rPr>
              <w:t>葡70-斜702</w:t>
            </w:r>
            <w:r>
              <w:rPr>
                <w:rFonts w:hint="eastAsia" w:ascii="Times New Roman" w:hAnsi="Times New Roman" w:cs="Times New Roman"/>
                <w:bCs/>
                <w:color w:val="000000" w:themeColor="text1"/>
                <w:w w:val="99"/>
                <w:kern w:val="2"/>
                <w:sz w:val="18"/>
                <w:szCs w:val="18"/>
                <w:highlight w:val="none"/>
                <w:lang w:val="en-US" w:eastAsia="zh-CN" w:bidi="ar-SA"/>
                <w14:textFill>
                  <w14:solidFill>
                    <w14:schemeClr w14:val="tx1"/>
                  </w14:solidFill>
                </w14:textFill>
              </w:rPr>
              <w:t>）</w:t>
            </w:r>
          </w:p>
        </w:tc>
        <w:tc>
          <w:tcPr>
            <w:tcW w:w="700"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124.70576</w:t>
            </w:r>
          </w:p>
        </w:tc>
        <w:tc>
          <w:tcPr>
            <w:tcW w:w="734"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46.00856</w:t>
            </w:r>
          </w:p>
        </w:tc>
        <w:tc>
          <w:tcPr>
            <w:tcW w:w="637"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131</w:t>
            </w:r>
          </w:p>
        </w:tc>
        <w:tc>
          <w:tcPr>
            <w:tcW w:w="653"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40</w:t>
            </w:r>
          </w:p>
        </w:tc>
        <w:tc>
          <w:tcPr>
            <w:tcW w:w="712"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30</w:t>
            </w:r>
          </w:p>
        </w:tc>
        <w:tc>
          <w:tcPr>
            <w:tcW w:w="688"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862"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800"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8760</w:t>
            </w:r>
          </w:p>
        </w:tc>
        <w:tc>
          <w:tcPr>
            <w:tcW w:w="702"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连续</w:t>
            </w:r>
          </w:p>
        </w:tc>
        <w:tc>
          <w:tcPr>
            <w:tcW w:w="1420"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64" w:type="dxa"/>
            <w:vAlign w:val="center"/>
          </w:tcPr>
          <w:p>
            <w:pPr>
              <w:autoSpaceDE/>
              <w:autoSpaceDN/>
              <w:adjustRightInd w:val="0"/>
              <w:jc w:val="center"/>
              <w:rPr>
                <w:rFonts w:hint="default" w:ascii="Times New Roman" w:hAnsi="Times New Roman" w:eastAsia="宋体" w:cs="Times New Roman"/>
                <w:bCs/>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kern w:val="2"/>
                <w:sz w:val="18"/>
                <w:szCs w:val="18"/>
                <w:highlight w:val="none"/>
                <w:lang w:val="en-US" w:eastAsia="zh-CN" w:bidi="ar-SA"/>
                <w14:textFill>
                  <w14:solidFill>
                    <w14:schemeClr w14:val="tx1"/>
                  </w14:solidFill>
                </w14:textFill>
              </w:rPr>
              <w:t>平台井</w:t>
            </w:r>
            <w:r>
              <w:rPr>
                <w:rFonts w:hint="eastAsia" w:ascii="Times New Roman" w:hAnsi="Times New Roman" w:cs="Times New Roman"/>
                <w:bCs/>
                <w:color w:val="000000" w:themeColor="text1"/>
                <w:w w:val="99"/>
                <w:sz w:val="18"/>
                <w:szCs w:val="18"/>
                <w:highlight w:val="none"/>
                <w:lang w:val="en-US" w:eastAsia="zh-CN"/>
                <w14:textFill>
                  <w14:solidFill>
                    <w14:schemeClr w14:val="tx1"/>
                  </w14:solidFill>
                </w14:textFill>
              </w:rPr>
              <w:t>（葡73-69、葡73-702、葡72-斜702井场）</w:t>
            </w:r>
          </w:p>
        </w:tc>
        <w:tc>
          <w:tcPr>
            <w:tcW w:w="700"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124.71409</w:t>
            </w:r>
          </w:p>
        </w:tc>
        <w:tc>
          <w:tcPr>
            <w:tcW w:w="734" w:type="dxa"/>
            <w:vAlign w:val="center"/>
          </w:tcPr>
          <w:p>
            <w:pPr>
              <w:autoSpaceDE/>
              <w:autoSpaceDN/>
              <w:adjustRightIn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46.00113</w:t>
            </w:r>
          </w:p>
        </w:tc>
        <w:tc>
          <w:tcPr>
            <w:tcW w:w="637"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127</w:t>
            </w:r>
          </w:p>
        </w:tc>
        <w:tc>
          <w:tcPr>
            <w:tcW w:w="653"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46</w:t>
            </w:r>
          </w:p>
        </w:tc>
        <w:tc>
          <w:tcPr>
            <w:tcW w:w="712"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30</w:t>
            </w:r>
          </w:p>
        </w:tc>
        <w:tc>
          <w:tcPr>
            <w:tcW w:w="688" w:type="dxa"/>
            <w:vAlign w:val="center"/>
          </w:tcPr>
          <w:p>
            <w:pPr>
              <w:autoSpaceDE/>
              <w:autoSpaceDN/>
              <w:adjustRightInd w:val="0"/>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w:t>
            </w:r>
          </w:p>
        </w:tc>
        <w:tc>
          <w:tcPr>
            <w:tcW w:w="862" w:type="dxa"/>
            <w:vAlign w:val="center"/>
          </w:tcPr>
          <w:p>
            <w:pPr>
              <w:autoSpaceDE/>
              <w:autoSpaceDN/>
              <w:adjustRightInd w:val="0"/>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800" w:type="dxa"/>
            <w:vAlign w:val="center"/>
          </w:tcPr>
          <w:p>
            <w:pPr>
              <w:autoSpaceDE/>
              <w:autoSpaceDN/>
              <w:adjustRightInd w:val="0"/>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8760</w:t>
            </w:r>
          </w:p>
        </w:tc>
        <w:tc>
          <w:tcPr>
            <w:tcW w:w="702" w:type="dxa"/>
            <w:vAlign w:val="center"/>
          </w:tcPr>
          <w:p>
            <w:pPr>
              <w:autoSpaceDE/>
              <w:autoSpaceDN/>
              <w:adjustRightInd w:val="0"/>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连续</w:t>
            </w:r>
          </w:p>
        </w:tc>
        <w:tc>
          <w:tcPr>
            <w:tcW w:w="1420" w:type="dxa"/>
            <w:vAlign w:val="center"/>
          </w:tcPr>
          <w:p>
            <w:pPr>
              <w:autoSpaceDE/>
              <w:autoSpaceDN/>
              <w:adjustRightIn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0.0079</w:t>
            </w:r>
          </w:p>
        </w:tc>
      </w:tr>
    </w:tbl>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spacing w:val="-9"/>
          <w:w w:val="99"/>
          <w:sz w:val="24"/>
          <w:szCs w:val="24"/>
          <w:highlight w:val="none"/>
          <w:lang w:val="en-US"/>
          <w14:textFill>
            <w14:solidFill>
              <w14:schemeClr w14:val="tx1"/>
            </w14:solidFill>
          </w14:textFill>
        </w:rPr>
        <w:t>通过采用AERSCREEN软件对拟建工程主要污染物烃类气体对大气环境质量的影响进行分析，</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面源预测结果见表5.1-</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2</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w:t>
      </w:r>
    </w:p>
    <w:p>
      <w:pPr>
        <w:pStyle w:val="14"/>
        <w:spacing w:line="440" w:lineRule="exact"/>
        <w:ind w:firstLine="440" w:firstLineChars="200"/>
        <w:jc w:val="both"/>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b/>
          <w:bCs/>
          <w:color w:val="000000" w:themeColor="text1"/>
          <w:spacing w:val="-9"/>
          <w:w w:val="99"/>
          <w:sz w:val="24"/>
          <w:szCs w:val="24"/>
          <w:highlight w:val="none"/>
          <w14:textFill>
            <w14:solidFill>
              <w14:schemeClr w14:val="tx1"/>
            </w14:solidFill>
          </w14:textFill>
        </w:rPr>
        <w:t>表</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5.1-</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 xml:space="preserve">2    </w:t>
      </w:r>
      <w:r>
        <w:rPr>
          <w:rFonts w:hint="eastAsia"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面</w:t>
      </w:r>
      <w:r>
        <w:rPr>
          <w:rFonts w:ascii="Times New Roman" w:hAnsi="Times New Roman" w:cs="Times New Roman"/>
          <w:b/>
          <w:bCs/>
          <w:color w:val="000000" w:themeColor="text1"/>
          <w:spacing w:val="-9"/>
          <w:w w:val="99"/>
          <w:sz w:val="24"/>
          <w:szCs w:val="24"/>
          <w:highlight w:val="none"/>
          <w14:textFill>
            <w14:solidFill>
              <w14:schemeClr w14:val="tx1"/>
            </w14:solidFill>
          </w14:textFill>
        </w:rPr>
        <w:t>源预测估算模型计算结果表</w:t>
      </w:r>
    </w:p>
    <w:tbl>
      <w:tblPr>
        <w:tblStyle w:val="3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2167"/>
        <w:gridCol w:w="2133"/>
        <w:gridCol w:w="1467"/>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下风向距离</w:t>
            </w:r>
          </w:p>
        </w:tc>
        <w:tc>
          <w:tcPr>
            <w:tcW w:w="7366" w:type="dxa"/>
            <w:gridSpan w:val="4"/>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矩形面源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300" w:type="dxa"/>
            <w:gridSpan w:val="2"/>
            <w:tcBorders>
              <w:tl2br w:val="nil"/>
              <w:tr2bl w:val="nil"/>
            </w:tcBorders>
            <w:vAlign w:val="center"/>
          </w:tcPr>
          <w:p>
            <w:pPr>
              <w:autoSpaceDE/>
              <w:autoSpaceDN/>
              <w:adjustRightInd w:val="0"/>
              <w:snapToGrid w:val="0"/>
              <w:spacing w:line="360" w:lineRule="exact"/>
              <w:jc w:val="cente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平台井场</w:t>
            </w:r>
          </w:p>
          <w:p>
            <w:pPr>
              <w:autoSpaceDE/>
              <w:autoSpaceDN/>
              <w:adjustRightInd w:val="0"/>
              <w:snapToGrid w:val="0"/>
              <w:spacing w:line="360" w:lineRule="exact"/>
              <w:jc w:val="both"/>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w w:val="99"/>
                <w:sz w:val="21"/>
                <w:szCs w:val="21"/>
                <w:highlight w:val="none"/>
                <w:lang w:val="en-US" w:eastAsia="zh-CN"/>
                <w14:textFill>
                  <w14:solidFill>
                    <w14:schemeClr w14:val="tx1"/>
                  </w14:solidFill>
                </w14:textFill>
              </w:rPr>
              <w:t>（葡73-69、葡73-702、葡72-斜702井场）</w:t>
            </w:r>
          </w:p>
        </w:tc>
        <w:tc>
          <w:tcPr>
            <w:tcW w:w="3066" w:type="dxa"/>
            <w:gridSpan w:val="2"/>
            <w:tcBorders>
              <w:tl2br w:val="nil"/>
              <w:tr2bl w:val="nil"/>
            </w:tcBorders>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单井井场</w:t>
            </w: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w:t>
            </w: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葡70-斜702</w:t>
            </w:r>
            <w:r>
              <w:rPr>
                <w:rFonts w:hint="eastAsia" w:ascii="Times New Roman" w:hAnsi="Times New Roman" w:cs="Times New Roman"/>
                <w:bCs/>
                <w:color w:val="000000" w:themeColor="text1"/>
                <w:w w:val="99"/>
                <w:kern w:val="2"/>
                <w:sz w:val="21"/>
                <w:szCs w:val="21"/>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NMHC浓度(μg/m³)</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NMHC占标率(%)</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NMHC浓度(μg/m³)</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NMHC占标率(%)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50.0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29.5930</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1.4797</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9.9101</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0.4955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26.3300</w:t>
            </w:r>
          </w:p>
        </w:tc>
        <w:tc>
          <w:tcPr>
            <w:tcW w:w="2133" w:type="dxa"/>
            <w:tcBorders>
              <w:tl2br w:val="nil"/>
              <w:tr2bl w:val="nil"/>
            </w:tcBorders>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1.3165</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8.7624</w:t>
            </w:r>
          </w:p>
        </w:tc>
        <w:tc>
          <w:tcPr>
            <w:tcW w:w="1599" w:type="dxa"/>
            <w:tcBorders>
              <w:tl2br w:val="nil"/>
              <w:tr2bl w:val="nil"/>
            </w:tcBorders>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0.4381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21.2540</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1.0627</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7.0672</w:t>
            </w:r>
          </w:p>
        </w:tc>
        <w:tc>
          <w:tcPr>
            <w:tcW w:w="1599" w:type="dxa"/>
            <w:tcBorders>
              <w:tl2br w:val="nil"/>
              <w:tr2bl w:val="nil"/>
            </w:tcBorders>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0.3534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300.0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16.8290</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0.8415</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5.5955</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0.2798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400.0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13.7270</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0.6864</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4.5641</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0.2282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500.0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11.6590</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0.5830</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3.8767</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600.0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10.0970</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0.5049</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3.3583</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0.1679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700.0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8.9004</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0.4450</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2.9605</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800.0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8.1371</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0.4069</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2.7058</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900.0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7.5939</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0.3797</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2.5252</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0.1263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1000.0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7.0029</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0.3501</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2.3287</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0.1164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1200.0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6.0712</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0.3036</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2.0188</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1400.0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5.3457</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0.2673</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1.7776</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0.0889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1600.0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4.7635</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0.2382</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1.5840</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0.0792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1800.0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4.2871</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0.2144</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1.4256</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0.0713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2000.0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3.8909</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0.1945</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1.2938</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0.0647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2500.0</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3.1439</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0.1572</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1.0454</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0.0523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下风向最大浓度</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及</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占标率</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29.8340</w:t>
            </w:r>
          </w:p>
        </w:tc>
        <w:tc>
          <w:tcPr>
            <w:tcW w:w="2133"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1.4917</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9.9101</w:t>
            </w:r>
          </w:p>
        </w:tc>
        <w:tc>
          <w:tcPr>
            <w:tcW w:w="1599"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0.4955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下风向最大浓度出现距离（m）</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57.0</w:t>
            </w:r>
          </w:p>
        </w:tc>
        <w:tc>
          <w:tcPr>
            <w:tcW w:w="2133" w:type="dxa"/>
            <w:tcBorders>
              <w:tl2br w:val="nil"/>
              <w:tr2bl w:val="nil"/>
            </w:tcBorders>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57.0</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56.0</w:t>
            </w:r>
          </w:p>
        </w:tc>
        <w:tc>
          <w:tcPr>
            <w:tcW w:w="1599" w:type="dxa"/>
            <w:tcBorders>
              <w:tl2br w:val="nil"/>
              <w:tr2bl w:val="nil"/>
            </w:tcBorders>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sz w:val="21"/>
                <w:szCs w:val="21"/>
                <w:highlight w:val="none"/>
                <w:lang w:val="en-US" w:bidi="ar-SA"/>
                <w14:textFill>
                  <w14:solidFill>
                    <w14:schemeClr w14:val="tx1"/>
                  </w14:solidFill>
                </w14:textFill>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D10%最远距离</w:t>
            </w:r>
          </w:p>
        </w:tc>
        <w:tc>
          <w:tcPr>
            <w:tcW w:w="216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2133" w:type="dxa"/>
            <w:tcBorders>
              <w:tl2br w:val="nil"/>
              <w:tr2bl w:val="nil"/>
            </w:tcBorders>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w:t>
            </w:r>
          </w:p>
        </w:tc>
        <w:tc>
          <w:tcPr>
            <w:tcW w:w="146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599" w:type="dxa"/>
            <w:tcBorders>
              <w:tl2br w:val="nil"/>
              <w:tr2bl w:val="nil"/>
            </w:tcBorders>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w:t>
            </w:r>
          </w:p>
        </w:tc>
      </w:tr>
    </w:tbl>
    <w:p>
      <w:pPr>
        <w:pStyle w:val="14"/>
        <w:spacing w:line="440" w:lineRule="exact"/>
        <w:ind w:firstLine="438" w:firstLineChars="200"/>
        <w:jc w:val="both"/>
        <w:rPr>
          <w:rFonts w:hint="eastAsia" w:ascii="Times New Roman" w:hAnsi="Times New Roman" w:eastAsia="宋体" w:cs="Times New Roman"/>
          <w:color w:val="000000" w:themeColor="text1"/>
          <w:spacing w:val="-9"/>
          <w:w w:val="99"/>
          <w:sz w:val="24"/>
          <w:szCs w:val="24"/>
          <w:highlight w:val="none"/>
          <w:lang w:eastAsia="zh-CN"/>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pacing w:val="-9"/>
          <w:w w:val="99"/>
          <w:sz w:val="24"/>
          <w:szCs w:val="24"/>
          <w:highlight w:val="none"/>
          <w:lang w:eastAsia="zh-CN"/>
          <w14:textFill>
            <w14:solidFill>
              <w14:schemeClr w14:val="tx1"/>
            </w14:solidFill>
          </w14:textFill>
        </w:rPr>
        <w:t>）加热装置烟气</w:t>
      </w:r>
    </w:p>
    <w:p>
      <w:pPr>
        <w:pStyle w:val="14"/>
        <w:spacing w:line="440" w:lineRule="exact"/>
        <w:ind w:firstLine="474"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本工程运营期产生的废气主要来自依托场站加热炉烟气量，预测因子为SO</w:t>
      </w:r>
      <w:r>
        <w:rPr>
          <w:rFonts w:ascii="Times New Roman" w:hAnsi="Times New Roman" w:cs="Times New Roman" w:eastAsiaTheme="minorEastAsia"/>
          <w:color w:val="000000" w:themeColor="text1"/>
          <w:w w:val="99"/>
          <w:sz w:val="24"/>
          <w:szCs w:val="24"/>
          <w:highlight w:val="none"/>
          <w:vertAlign w:val="subscript"/>
          <w14:textFill>
            <w14:solidFill>
              <w14:schemeClr w14:val="tx1"/>
            </w14:solidFill>
          </w14:textFill>
        </w:rPr>
        <w:t>2</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、NO</w:t>
      </w:r>
      <w:r>
        <w:rPr>
          <w:rFonts w:ascii="Times New Roman" w:hAnsi="Times New Roman" w:cs="Times New Roman" w:eastAsiaTheme="minorEastAsia"/>
          <w:color w:val="000000" w:themeColor="text1"/>
          <w:w w:val="99"/>
          <w:sz w:val="24"/>
          <w:szCs w:val="24"/>
          <w:highlight w:val="none"/>
          <w:vertAlign w:val="subscript"/>
          <w14:textFill>
            <w14:solidFill>
              <w14:schemeClr w14:val="tx1"/>
            </w14:solidFill>
          </w14:textFill>
        </w:rPr>
        <w:t>x</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、颗粒物，依托场站新增污染物排放量见表</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5.1-</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3</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w:t>
      </w:r>
    </w:p>
    <w:p>
      <w:pPr>
        <w:pStyle w:val="14"/>
        <w:spacing w:line="440" w:lineRule="exact"/>
        <w:ind w:firstLine="440" w:firstLineChars="200"/>
        <w:jc w:val="both"/>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pPr>
      <w:r>
        <w:rPr>
          <w:rFonts w:hint="eastAsia" w:ascii="Times New Roman" w:hAnsi="Times New Roman" w:cs="Times New Roman"/>
          <w:b/>
          <w:bCs/>
          <w:color w:val="000000" w:themeColor="text1"/>
          <w:spacing w:val="-9"/>
          <w:w w:val="99"/>
          <w:sz w:val="24"/>
          <w:szCs w:val="24"/>
          <w:highlight w:val="none"/>
          <w:lang w:val="en-US"/>
          <w14:textFill>
            <w14:solidFill>
              <w14:schemeClr w14:val="tx1"/>
            </w14:solidFill>
          </w14:textFill>
        </w:rPr>
        <w:t>表5.1</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-3</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w:t>
      </w:r>
      <w:r>
        <w:rPr>
          <w:rFonts w:hint="eastAsia" w:ascii="Times New Roman" w:hAnsi="Times New Roman" w:cs="Times New Roman"/>
          <w:b/>
          <w:bCs/>
          <w:color w:val="000000" w:themeColor="text1"/>
          <w:spacing w:val="-9"/>
          <w:w w:val="99"/>
          <w:sz w:val="24"/>
          <w:szCs w:val="24"/>
          <w:highlight w:val="none"/>
          <w:lang w:val="en-US"/>
          <w14:textFill>
            <w14:solidFill>
              <w14:schemeClr w14:val="tx1"/>
            </w14:solidFill>
          </w14:textFill>
        </w:rPr>
        <w:t>点源</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参数表</w:t>
      </w:r>
    </w:p>
    <w:tbl>
      <w:tblPr>
        <w:tblStyle w:val="32"/>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64"/>
        <w:gridCol w:w="1434"/>
        <w:gridCol w:w="633"/>
        <w:gridCol w:w="600"/>
        <w:gridCol w:w="750"/>
        <w:gridCol w:w="550"/>
        <w:gridCol w:w="522"/>
        <w:gridCol w:w="567"/>
        <w:gridCol w:w="600"/>
        <w:gridCol w:w="400"/>
        <w:gridCol w:w="911"/>
        <w:gridCol w:w="955"/>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4" w:type="dxa"/>
            <w:vMerge w:val="restart"/>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名称</w:t>
            </w:r>
          </w:p>
        </w:tc>
        <w:tc>
          <w:tcPr>
            <w:tcW w:w="1434" w:type="dxa"/>
            <w:vMerge w:val="restar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废气源名称</w:t>
            </w:r>
          </w:p>
        </w:tc>
        <w:tc>
          <w:tcPr>
            <w:tcW w:w="1233" w:type="dxa"/>
            <w:gridSpan w:val="2"/>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烟囱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底部中心坐</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标</w:t>
            </w:r>
          </w:p>
        </w:tc>
        <w:tc>
          <w:tcPr>
            <w:tcW w:w="750" w:type="dxa"/>
            <w:vMerge w:val="restart"/>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烟囱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高度（m）</w:t>
            </w:r>
          </w:p>
        </w:tc>
        <w:tc>
          <w:tcPr>
            <w:tcW w:w="550" w:type="dxa"/>
            <w:vMerge w:val="restart"/>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烟囱</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出口内径m</w:t>
            </w:r>
          </w:p>
        </w:tc>
        <w:tc>
          <w:tcPr>
            <w:tcW w:w="522" w:type="dxa"/>
            <w:vMerge w:val="restart"/>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烟气流速m/s</w:t>
            </w:r>
          </w:p>
        </w:tc>
        <w:tc>
          <w:tcPr>
            <w:tcW w:w="567" w:type="dxa"/>
            <w:vMerge w:val="restart"/>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烟气温</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度℃</w:t>
            </w:r>
          </w:p>
        </w:tc>
        <w:tc>
          <w:tcPr>
            <w:tcW w:w="600" w:type="dxa"/>
            <w:vMerge w:val="restart"/>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年排放小时数h</w:t>
            </w:r>
          </w:p>
        </w:tc>
        <w:tc>
          <w:tcPr>
            <w:tcW w:w="400" w:type="dxa"/>
            <w:vMerge w:val="restart"/>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排放工况</w:t>
            </w:r>
          </w:p>
        </w:tc>
        <w:tc>
          <w:tcPr>
            <w:tcW w:w="2708" w:type="dxa"/>
            <w:gridSpan w:val="3"/>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污染物排放情况</w:t>
            </w:r>
          </w:p>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kg/h</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4" w:type="dxa"/>
            <w:vMerge w:val="continue"/>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34" w:type="dxa"/>
            <w:vMerge w:val="continue"/>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p>
        </w:tc>
        <w:tc>
          <w:tcPr>
            <w:tcW w:w="633" w:type="dxa"/>
            <w:tcBorders>
              <w:tl2br w:val="nil"/>
              <w:tr2bl w:val="nil"/>
            </w:tcBorders>
            <w:tcMar>
              <w:left w:w="28" w:type="dxa"/>
              <w:right w:w="28" w:type="dxa"/>
            </w:tcMar>
            <w:vAlign w:val="center"/>
          </w:tcPr>
          <w:p>
            <w:pPr>
              <w:adjustRightInd w:val="0"/>
              <w:snapToGrid w:val="0"/>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东经</w:t>
            </w:r>
          </w:p>
        </w:tc>
        <w:tc>
          <w:tcPr>
            <w:tcW w:w="600" w:type="dxa"/>
            <w:tcBorders>
              <w:tl2br w:val="nil"/>
              <w:tr2bl w:val="nil"/>
            </w:tcBorders>
            <w:tcMar>
              <w:left w:w="28" w:type="dxa"/>
              <w:right w:w="28" w:type="dxa"/>
            </w:tcMar>
            <w:vAlign w:val="center"/>
          </w:tcPr>
          <w:p>
            <w:pPr>
              <w:adjustRightInd w:val="0"/>
              <w:snapToGrid w:val="0"/>
              <w:jc w:val="center"/>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北纬</w:t>
            </w:r>
          </w:p>
        </w:tc>
        <w:tc>
          <w:tcPr>
            <w:tcW w:w="750" w:type="dxa"/>
            <w:vMerge w:val="continue"/>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550" w:type="dxa"/>
            <w:vMerge w:val="continue"/>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522" w:type="dxa"/>
            <w:vMerge w:val="continue"/>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567" w:type="dxa"/>
            <w:vMerge w:val="continue"/>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00" w:type="dxa"/>
            <w:vMerge w:val="continue"/>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00" w:type="dxa"/>
            <w:vMerge w:val="continue"/>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11" w:type="dxa"/>
            <w:tcBorders>
              <w:tl2br w:val="nil"/>
              <w:tr2bl w:val="nil"/>
            </w:tcBorders>
            <w:tcMar>
              <w:left w:w="28" w:type="dxa"/>
              <w:right w:w="28" w:type="dxa"/>
            </w:tcMar>
            <w:vAlign w:val="center"/>
          </w:tcPr>
          <w:p>
            <w:pPr>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14:textFill>
                  <w14:solidFill>
                    <w14:schemeClr w14:val="tx1"/>
                  </w14:solidFill>
                </w14:textFill>
              </w:rPr>
              <w:t>PM</w:t>
            </w:r>
            <w:r>
              <w:rPr>
                <w:rFonts w:hint="eastAsia" w:ascii="Times New Roman" w:hAnsi="Times New Roman" w:cs="Times New Roman"/>
                <w:color w:val="000000" w:themeColor="text1"/>
                <w:w w:val="99"/>
                <w:kern w:val="2"/>
                <w:sz w:val="21"/>
                <w:szCs w:val="21"/>
                <w:highlight w:val="none"/>
                <w:vertAlign w:val="subscript"/>
                <w:lang w:val="en-US" w:eastAsia="zh-CN"/>
                <w14:textFill>
                  <w14:solidFill>
                    <w14:schemeClr w14:val="tx1"/>
                  </w14:solidFill>
                </w14:textFill>
              </w:rPr>
              <w:t>10</w:t>
            </w:r>
          </w:p>
        </w:tc>
        <w:tc>
          <w:tcPr>
            <w:tcW w:w="955" w:type="dxa"/>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14:textFill>
                  <w14:solidFill>
                    <w14:schemeClr w14:val="tx1"/>
                  </w14:solidFill>
                </w14:textFill>
              </w:rPr>
              <w:t>2</w:t>
            </w:r>
          </w:p>
        </w:tc>
        <w:tc>
          <w:tcPr>
            <w:tcW w:w="842" w:type="dxa"/>
            <w:tcBorders>
              <w:tl2br w:val="nil"/>
              <w:tr2bl w:val="nil"/>
            </w:tcBorders>
            <w:tcMar>
              <w:left w:w="28" w:type="dxa"/>
              <w:right w:w="28" w:type="dxa"/>
            </w:tcMar>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14:textFill>
                  <w14:solidFill>
                    <w14:schemeClr w14:val="tx1"/>
                  </w14:solidFill>
                </w14:textFill>
              </w:rPr>
              <w:t>NO</w:t>
            </w:r>
            <w:r>
              <w:rPr>
                <w:rFonts w:ascii="Times New Roman" w:hAnsi="Times New Roman" w:cs="Times New Roman"/>
                <w:color w:val="000000" w:themeColor="text1"/>
                <w:w w:val="99"/>
                <w:kern w:val="2"/>
                <w:sz w:val="21"/>
                <w:szCs w:val="21"/>
                <w:highlight w:val="none"/>
                <w:vertAlign w:val="subscript"/>
                <w14:textFill>
                  <w14:solidFill>
                    <w14:schemeClr w14:val="tx1"/>
                  </w14:solidFill>
                </w14:textFill>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4" w:type="dxa"/>
            <w:vMerge w:val="restart"/>
            <w:tcBorders>
              <w:tl2br w:val="nil"/>
              <w:tr2bl w:val="nil"/>
            </w:tcBorders>
            <w:vAlign w:val="center"/>
          </w:tcPr>
          <w:p>
            <w:pPr>
              <w:adjustRightInd w:val="0"/>
              <w:snapToGrid w:val="0"/>
              <w:jc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葡北</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#转油站</w:t>
            </w:r>
          </w:p>
        </w:tc>
        <w:tc>
          <w:tcPr>
            <w:tcW w:w="14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1#“四合一”装置排气筒</w:t>
            </w:r>
          </w:p>
        </w:tc>
        <w:tc>
          <w:tcPr>
            <w:tcW w:w="633"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124.72231</w:t>
            </w:r>
          </w:p>
        </w:tc>
        <w:tc>
          <w:tcPr>
            <w:tcW w:w="600" w:type="dxa"/>
            <w:tcBorders>
              <w:tl2br w:val="nil"/>
              <w:tr2bl w:val="nil"/>
            </w:tcBorders>
            <w:vAlign w:val="center"/>
          </w:tcPr>
          <w:p>
            <w:pPr>
              <w:adjustRightInd w:val="0"/>
              <w:snapToGrid w:val="0"/>
              <w:jc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45.988065</w:t>
            </w:r>
          </w:p>
        </w:tc>
        <w:tc>
          <w:tcPr>
            <w:tcW w:w="750"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12</w:t>
            </w:r>
          </w:p>
        </w:tc>
        <w:tc>
          <w:tcPr>
            <w:tcW w:w="550" w:type="dxa"/>
            <w:tcBorders>
              <w:tl2br w:val="nil"/>
              <w:tr2bl w:val="nil"/>
            </w:tcBorders>
            <w:vAlign w:val="center"/>
          </w:tcPr>
          <w:p>
            <w:pPr>
              <w:adjustRightInd w:val="0"/>
              <w:snapToGrid w:val="0"/>
              <w:jc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0.</w:t>
            </w:r>
            <w:r>
              <w:rPr>
                <w:rFonts w:ascii="Times New Roman" w:hAnsi="Times New Roman" w:cs="Times New Roman"/>
                <w:color w:val="000000" w:themeColor="text1"/>
                <w:w w:val="99"/>
                <w:sz w:val="21"/>
                <w:szCs w:val="21"/>
                <w:highlight w:val="none"/>
                <w:lang w:val="en-US" w:bidi="ar"/>
                <w14:textFill>
                  <w14:solidFill>
                    <w14:schemeClr w14:val="tx1"/>
                  </w14:solidFill>
                </w14:textFill>
              </w:rPr>
              <w:t>3</w:t>
            </w:r>
          </w:p>
        </w:tc>
        <w:tc>
          <w:tcPr>
            <w:tcW w:w="522" w:type="dxa"/>
            <w:tcBorders>
              <w:tl2br w:val="nil"/>
              <w:tr2bl w:val="nil"/>
            </w:tcBorders>
            <w:vAlign w:val="center"/>
          </w:tcPr>
          <w:p>
            <w:pPr>
              <w:adjustRightInd w:val="0"/>
              <w:snapToGrid w:val="0"/>
              <w:jc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2.3</w:t>
            </w:r>
          </w:p>
        </w:tc>
        <w:tc>
          <w:tcPr>
            <w:tcW w:w="567"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92</w:t>
            </w:r>
          </w:p>
        </w:tc>
        <w:tc>
          <w:tcPr>
            <w:tcW w:w="600"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8760</w:t>
            </w:r>
          </w:p>
        </w:tc>
        <w:tc>
          <w:tcPr>
            <w:tcW w:w="400" w:type="dxa"/>
            <w:tcBorders>
              <w:tl2br w:val="nil"/>
              <w:tr2bl w:val="nil"/>
            </w:tcBorders>
            <w:vAlign w:val="center"/>
          </w:tcPr>
          <w:p>
            <w:pPr>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正常</w:t>
            </w:r>
          </w:p>
        </w:tc>
        <w:tc>
          <w:tcPr>
            <w:tcW w:w="911" w:type="dxa"/>
            <w:tcBorders>
              <w:tl2br w:val="nil"/>
              <w:tr2bl w:val="nil"/>
            </w:tcBorders>
            <w:vAlign w:val="center"/>
          </w:tcPr>
          <w:p>
            <w:pPr>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0194</w:t>
            </w:r>
          </w:p>
        </w:tc>
        <w:tc>
          <w:tcPr>
            <w:tcW w:w="955" w:type="dxa"/>
            <w:tcBorders>
              <w:tl2br w:val="nil"/>
              <w:tr2bl w:val="nil"/>
            </w:tcBorders>
            <w:vAlign w:val="center"/>
          </w:tcPr>
          <w:p>
            <w:pPr>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031</w:t>
            </w:r>
          </w:p>
        </w:tc>
        <w:tc>
          <w:tcPr>
            <w:tcW w:w="842" w:type="dxa"/>
            <w:tcBorders>
              <w:tl2br w:val="nil"/>
              <w:tr2bl w:val="nil"/>
            </w:tcBorders>
            <w:vAlign w:val="center"/>
          </w:tcPr>
          <w:p>
            <w:pPr>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4" w:type="dxa"/>
            <w:vMerge w:val="continue"/>
            <w:tcBorders>
              <w:tl2br w:val="nil"/>
              <w:tr2bl w:val="nil"/>
            </w:tcBorders>
            <w:vAlign w:val="center"/>
          </w:tcPr>
          <w:p>
            <w:pPr>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2#“四合一”装置排气筒</w:t>
            </w:r>
          </w:p>
        </w:tc>
        <w:tc>
          <w:tcPr>
            <w:tcW w:w="633"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124.72241</w:t>
            </w:r>
          </w:p>
        </w:tc>
        <w:tc>
          <w:tcPr>
            <w:tcW w:w="60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45.988065</w:t>
            </w:r>
          </w:p>
        </w:tc>
        <w:tc>
          <w:tcPr>
            <w:tcW w:w="75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12</w:t>
            </w:r>
          </w:p>
        </w:tc>
        <w:tc>
          <w:tcPr>
            <w:tcW w:w="55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0.</w:t>
            </w:r>
            <w:r>
              <w:rPr>
                <w:rFonts w:ascii="Times New Roman" w:hAnsi="Times New Roman" w:cs="Times New Roman"/>
                <w:color w:val="000000" w:themeColor="text1"/>
                <w:w w:val="99"/>
                <w:sz w:val="21"/>
                <w:szCs w:val="21"/>
                <w:highlight w:val="none"/>
                <w:lang w:val="en-US" w:bidi="ar"/>
                <w14:textFill>
                  <w14:solidFill>
                    <w14:schemeClr w14:val="tx1"/>
                  </w14:solidFill>
                </w14:textFill>
              </w:rPr>
              <w:t>3</w:t>
            </w:r>
          </w:p>
        </w:tc>
        <w:tc>
          <w:tcPr>
            <w:tcW w:w="522"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2.3</w:t>
            </w:r>
          </w:p>
        </w:tc>
        <w:tc>
          <w:tcPr>
            <w:tcW w:w="567"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92</w:t>
            </w:r>
          </w:p>
        </w:tc>
        <w:tc>
          <w:tcPr>
            <w:tcW w:w="600"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8760</w:t>
            </w:r>
          </w:p>
        </w:tc>
        <w:tc>
          <w:tcPr>
            <w:tcW w:w="400" w:type="dxa"/>
            <w:tcBorders>
              <w:tl2br w:val="nil"/>
              <w:tr2bl w:val="nil"/>
            </w:tcBorders>
            <w:vAlign w:val="center"/>
          </w:tcPr>
          <w:p>
            <w:pPr>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正常</w:t>
            </w:r>
          </w:p>
        </w:tc>
        <w:tc>
          <w:tcPr>
            <w:tcW w:w="911" w:type="dxa"/>
            <w:tcBorders>
              <w:tl2br w:val="nil"/>
              <w:tr2bl w:val="nil"/>
            </w:tcBorders>
            <w:vAlign w:val="center"/>
          </w:tcPr>
          <w:p>
            <w:pPr>
              <w:autoSpaceDE/>
              <w:autoSpaceDN/>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0194</w:t>
            </w:r>
          </w:p>
        </w:tc>
        <w:tc>
          <w:tcPr>
            <w:tcW w:w="955" w:type="dxa"/>
            <w:tcBorders>
              <w:tl2br w:val="nil"/>
              <w:tr2bl w:val="nil"/>
            </w:tcBorders>
            <w:vAlign w:val="center"/>
          </w:tcPr>
          <w:p>
            <w:pPr>
              <w:autoSpaceDE/>
              <w:autoSpaceDN/>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031</w:t>
            </w:r>
          </w:p>
        </w:tc>
        <w:tc>
          <w:tcPr>
            <w:tcW w:w="842" w:type="dxa"/>
            <w:tcBorders>
              <w:tl2br w:val="nil"/>
              <w:tr2bl w:val="nil"/>
            </w:tcBorders>
            <w:vAlign w:val="center"/>
          </w:tcPr>
          <w:p>
            <w:pPr>
              <w:autoSpaceDE/>
              <w:autoSpaceDN/>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4" w:type="dxa"/>
            <w:vMerge w:val="continue"/>
            <w:tcBorders>
              <w:tl2br w:val="nil"/>
              <w:tr2bl w:val="nil"/>
            </w:tcBorders>
            <w:vAlign w:val="center"/>
          </w:tcPr>
          <w:p>
            <w:pPr>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3#“四合一”装置排气筒</w:t>
            </w:r>
          </w:p>
        </w:tc>
        <w:tc>
          <w:tcPr>
            <w:tcW w:w="633"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124.72</w:t>
            </w: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25</w:t>
            </w: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1</w:t>
            </w:r>
          </w:p>
        </w:tc>
        <w:tc>
          <w:tcPr>
            <w:tcW w:w="600"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45.988065</w:t>
            </w:r>
          </w:p>
        </w:tc>
        <w:tc>
          <w:tcPr>
            <w:tcW w:w="75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12</w:t>
            </w:r>
          </w:p>
        </w:tc>
        <w:tc>
          <w:tcPr>
            <w:tcW w:w="55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0.</w:t>
            </w:r>
            <w:r>
              <w:rPr>
                <w:rFonts w:ascii="Times New Roman" w:hAnsi="Times New Roman" w:cs="Times New Roman"/>
                <w:color w:val="000000" w:themeColor="text1"/>
                <w:w w:val="99"/>
                <w:sz w:val="21"/>
                <w:szCs w:val="21"/>
                <w:highlight w:val="none"/>
                <w:lang w:val="en-US" w:bidi="ar"/>
                <w14:textFill>
                  <w14:solidFill>
                    <w14:schemeClr w14:val="tx1"/>
                  </w14:solidFill>
                </w14:textFill>
              </w:rPr>
              <w:t>3</w:t>
            </w:r>
          </w:p>
        </w:tc>
        <w:tc>
          <w:tcPr>
            <w:tcW w:w="522"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2.3</w:t>
            </w:r>
          </w:p>
        </w:tc>
        <w:tc>
          <w:tcPr>
            <w:tcW w:w="567"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92</w:t>
            </w:r>
          </w:p>
        </w:tc>
        <w:tc>
          <w:tcPr>
            <w:tcW w:w="600"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8760</w:t>
            </w:r>
          </w:p>
        </w:tc>
        <w:tc>
          <w:tcPr>
            <w:tcW w:w="400" w:type="dxa"/>
            <w:tcBorders>
              <w:tl2br w:val="nil"/>
              <w:tr2bl w:val="nil"/>
            </w:tcBorders>
            <w:vAlign w:val="center"/>
          </w:tcPr>
          <w:p>
            <w:pPr>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正常</w:t>
            </w:r>
          </w:p>
        </w:tc>
        <w:tc>
          <w:tcPr>
            <w:tcW w:w="911" w:type="dxa"/>
            <w:tcBorders>
              <w:tl2br w:val="nil"/>
              <w:tr2bl w:val="nil"/>
            </w:tcBorders>
            <w:vAlign w:val="center"/>
          </w:tcPr>
          <w:p>
            <w:pPr>
              <w:autoSpaceDE/>
              <w:autoSpaceDN/>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0194</w:t>
            </w:r>
          </w:p>
        </w:tc>
        <w:tc>
          <w:tcPr>
            <w:tcW w:w="955" w:type="dxa"/>
            <w:tcBorders>
              <w:tl2br w:val="nil"/>
              <w:tr2bl w:val="nil"/>
            </w:tcBorders>
            <w:vAlign w:val="center"/>
          </w:tcPr>
          <w:p>
            <w:pPr>
              <w:autoSpaceDE/>
              <w:autoSpaceDN/>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0.00</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031</w:t>
            </w:r>
          </w:p>
        </w:tc>
        <w:tc>
          <w:tcPr>
            <w:tcW w:w="842" w:type="dxa"/>
            <w:tcBorders>
              <w:tl2br w:val="nil"/>
              <w:tr2bl w:val="nil"/>
            </w:tcBorders>
            <w:vAlign w:val="center"/>
          </w:tcPr>
          <w:p>
            <w:pPr>
              <w:autoSpaceDE/>
              <w:autoSpaceDN/>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4" w:type="dxa"/>
            <w:vMerge w:val="restart"/>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葡北</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10#转油站</w:t>
            </w:r>
          </w:p>
        </w:tc>
        <w:tc>
          <w:tcPr>
            <w:tcW w:w="14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w:t>
            </w:r>
            <w:r>
              <w:rPr>
                <w:rFonts w:ascii="Times New Roman" w:hAnsi="Times New Roman" w:cs="Times New Roman"/>
                <w:bCs/>
                <w:color w:val="000000" w:themeColor="text1"/>
                <w:w w:val="99"/>
                <w:sz w:val="24"/>
                <w:szCs w:val="20"/>
                <w:highlight w:val="none"/>
                <w:lang w:val="en-US"/>
                <w14:textFill>
                  <w14:solidFill>
                    <w14:schemeClr w14:val="tx1"/>
                  </w14:solidFill>
                </w14:textFill>
              </w:rPr>
              <w:t>掺水热洗炉</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排气筒</w:t>
            </w:r>
          </w:p>
        </w:tc>
        <w:tc>
          <w:tcPr>
            <w:tcW w:w="633"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124.68896</w:t>
            </w:r>
          </w:p>
        </w:tc>
        <w:tc>
          <w:tcPr>
            <w:tcW w:w="60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46.00813</w:t>
            </w:r>
          </w:p>
        </w:tc>
        <w:tc>
          <w:tcPr>
            <w:tcW w:w="750"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8</w:t>
            </w:r>
          </w:p>
        </w:tc>
        <w:tc>
          <w:tcPr>
            <w:tcW w:w="550" w:type="dxa"/>
            <w:tcBorders>
              <w:tl2br w:val="nil"/>
              <w:tr2bl w:val="nil"/>
            </w:tcBorders>
            <w:vAlign w:val="center"/>
          </w:tcPr>
          <w:p>
            <w:pPr>
              <w:adjustRightInd w:val="0"/>
              <w:snapToGrid w:val="0"/>
              <w:jc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0.3</w:t>
            </w:r>
          </w:p>
        </w:tc>
        <w:tc>
          <w:tcPr>
            <w:tcW w:w="522" w:type="dxa"/>
            <w:tcBorders>
              <w:tl2br w:val="nil"/>
              <w:tr2bl w:val="nil"/>
            </w:tcBorders>
            <w:vAlign w:val="center"/>
          </w:tcPr>
          <w:p>
            <w:pPr>
              <w:adjustRightInd w:val="0"/>
              <w:snapToGrid w:val="0"/>
              <w:jc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2.8</w:t>
            </w:r>
          </w:p>
        </w:tc>
        <w:tc>
          <w:tcPr>
            <w:tcW w:w="567"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94</w:t>
            </w:r>
          </w:p>
        </w:tc>
        <w:tc>
          <w:tcPr>
            <w:tcW w:w="600"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8760</w:t>
            </w:r>
          </w:p>
        </w:tc>
        <w:tc>
          <w:tcPr>
            <w:tcW w:w="400" w:type="dxa"/>
            <w:tcBorders>
              <w:tl2br w:val="nil"/>
              <w:tr2bl w:val="nil"/>
            </w:tcBorders>
            <w:vAlign w:val="center"/>
          </w:tcPr>
          <w:p>
            <w:pPr>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正常</w:t>
            </w:r>
          </w:p>
        </w:tc>
        <w:tc>
          <w:tcPr>
            <w:tcW w:w="911" w:type="dxa"/>
            <w:tcBorders>
              <w:tl2br w:val="nil"/>
              <w:tr2bl w:val="nil"/>
            </w:tcBorders>
            <w:vAlign w:val="center"/>
          </w:tcPr>
          <w:p>
            <w:pPr>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0.00085</w:t>
            </w:r>
          </w:p>
        </w:tc>
        <w:tc>
          <w:tcPr>
            <w:tcW w:w="955" w:type="dxa"/>
            <w:tcBorders>
              <w:tl2br w:val="nil"/>
              <w:tr2bl w:val="nil"/>
            </w:tcBorders>
            <w:vAlign w:val="center"/>
          </w:tcPr>
          <w:p>
            <w:pPr>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0.00136</w:t>
            </w:r>
          </w:p>
        </w:tc>
        <w:tc>
          <w:tcPr>
            <w:tcW w:w="842" w:type="dxa"/>
            <w:tcBorders>
              <w:tl2br w:val="nil"/>
              <w:tr2bl w:val="nil"/>
            </w:tcBorders>
            <w:vAlign w:val="center"/>
          </w:tcPr>
          <w:p>
            <w:pPr>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4" w:type="dxa"/>
            <w:vMerge w:val="continue"/>
            <w:tcBorders>
              <w:tl2br w:val="nil"/>
              <w:tr2bl w:val="nil"/>
            </w:tcBorders>
            <w:vAlign w:val="center"/>
          </w:tcPr>
          <w:p>
            <w:pPr>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w:t>
            </w:r>
            <w:r>
              <w:rPr>
                <w:rFonts w:ascii="Times New Roman" w:hAnsi="Times New Roman" w:cs="Times New Roman"/>
                <w:bCs/>
                <w:color w:val="000000" w:themeColor="text1"/>
                <w:w w:val="99"/>
                <w:sz w:val="24"/>
                <w:szCs w:val="20"/>
                <w:highlight w:val="none"/>
                <w:lang w:val="en-US"/>
                <w14:textFill>
                  <w14:solidFill>
                    <w14:schemeClr w14:val="tx1"/>
                  </w14:solidFill>
                </w14:textFill>
              </w:rPr>
              <w:t>掺水热洗炉</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排气筒</w:t>
            </w:r>
          </w:p>
        </w:tc>
        <w:tc>
          <w:tcPr>
            <w:tcW w:w="633" w:type="dxa"/>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124.68886</w:t>
            </w:r>
          </w:p>
        </w:tc>
        <w:tc>
          <w:tcPr>
            <w:tcW w:w="60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46.00813</w:t>
            </w:r>
          </w:p>
        </w:tc>
        <w:tc>
          <w:tcPr>
            <w:tcW w:w="75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8</w:t>
            </w:r>
          </w:p>
        </w:tc>
        <w:tc>
          <w:tcPr>
            <w:tcW w:w="55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0.3</w:t>
            </w:r>
          </w:p>
        </w:tc>
        <w:tc>
          <w:tcPr>
            <w:tcW w:w="522"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2.8</w:t>
            </w:r>
          </w:p>
        </w:tc>
        <w:tc>
          <w:tcPr>
            <w:tcW w:w="567"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94</w:t>
            </w:r>
          </w:p>
        </w:tc>
        <w:tc>
          <w:tcPr>
            <w:tcW w:w="600"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8760</w:t>
            </w:r>
          </w:p>
        </w:tc>
        <w:tc>
          <w:tcPr>
            <w:tcW w:w="400" w:type="dxa"/>
            <w:tcBorders>
              <w:tl2br w:val="nil"/>
              <w:tr2bl w:val="nil"/>
            </w:tcBorders>
            <w:vAlign w:val="center"/>
          </w:tcPr>
          <w:p>
            <w:pPr>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正常</w:t>
            </w:r>
          </w:p>
        </w:tc>
        <w:tc>
          <w:tcPr>
            <w:tcW w:w="911" w:type="dxa"/>
            <w:tcBorders>
              <w:tl2br w:val="nil"/>
              <w:tr2bl w:val="nil"/>
            </w:tcBorders>
            <w:vAlign w:val="center"/>
          </w:tcPr>
          <w:p>
            <w:pPr>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0.00085</w:t>
            </w:r>
          </w:p>
        </w:tc>
        <w:tc>
          <w:tcPr>
            <w:tcW w:w="955" w:type="dxa"/>
            <w:tcBorders>
              <w:tl2br w:val="nil"/>
              <w:tr2bl w:val="nil"/>
            </w:tcBorders>
            <w:vAlign w:val="center"/>
          </w:tcPr>
          <w:p>
            <w:pPr>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0.00136</w:t>
            </w:r>
          </w:p>
        </w:tc>
        <w:tc>
          <w:tcPr>
            <w:tcW w:w="842" w:type="dxa"/>
            <w:tcBorders>
              <w:tl2br w:val="nil"/>
              <w:tr2bl w:val="nil"/>
            </w:tcBorders>
            <w:vAlign w:val="center"/>
          </w:tcPr>
          <w:p>
            <w:pPr>
              <w:autoSpaceDE/>
              <w:autoSpaceDN/>
              <w:adjustRightInd w:val="0"/>
              <w:snapToGrid w:val="0"/>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4" w:type="dxa"/>
            <w:vMerge w:val="continue"/>
            <w:tcBorders>
              <w:tl2br w:val="nil"/>
              <w:tr2bl w:val="nil"/>
            </w:tcBorders>
            <w:vAlign w:val="center"/>
          </w:tcPr>
          <w:p>
            <w:pPr>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3#加热炉排气筒</w:t>
            </w:r>
          </w:p>
        </w:tc>
        <w:tc>
          <w:tcPr>
            <w:tcW w:w="633"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124.68896</w:t>
            </w:r>
          </w:p>
        </w:tc>
        <w:tc>
          <w:tcPr>
            <w:tcW w:w="60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46.00813</w:t>
            </w:r>
          </w:p>
        </w:tc>
        <w:tc>
          <w:tcPr>
            <w:tcW w:w="75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8</w:t>
            </w:r>
          </w:p>
        </w:tc>
        <w:tc>
          <w:tcPr>
            <w:tcW w:w="550" w:type="dxa"/>
            <w:tcBorders>
              <w:tl2br w:val="nil"/>
              <w:tr2bl w:val="nil"/>
            </w:tcBorders>
            <w:vAlign w:val="center"/>
          </w:tcPr>
          <w:p>
            <w:pPr>
              <w:adjustRightInd w:val="0"/>
              <w:snapToGrid w:val="0"/>
              <w:jc w:val="cente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
                <w14:textFill>
                  <w14:solidFill>
                    <w14:schemeClr w14:val="tx1"/>
                  </w14:solidFill>
                </w14:textFill>
              </w:rPr>
              <w:t>0.3</w:t>
            </w:r>
          </w:p>
        </w:tc>
        <w:tc>
          <w:tcPr>
            <w:tcW w:w="522" w:type="dxa"/>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w w:val="99"/>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bidi="ar"/>
                <w14:textFill>
                  <w14:solidFill>
                    <w14:schemeClr w14:val="tx1"/>
                  </w14:solidFill>
                </w14:textFill>
              </w:rPr>
              <w:t>3.5</w:t>
            </w:r>
          </w:p>
        </w:tc>
        <w:tc>
          <w:tcPr>
            <w:tcW w:w="567"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94</w:t>
            </w:r>
          </w:p>
        </w:tc>
        <w:tc>
          <w:tcPr>
            <w:tcW w:w="600" w:type="dxa"/>
            <w:tcBorders>
              <w:tl2br w:val="nil"/>
              <w:tr2bl w:val="nil"/>
            </w:tcBorders>
            <w:vAlign w:val="center"/>
          </w:tcPr>
          <w:p>
            <w:pPr>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8760</w:t>
            </w:r>
          </w:p>
        </w:tc>
        <w:tc>
          <w:tcPr>
            <w:tcW w:w="400" w:type="dxa"/>
            <w:tcBorders>
              <w:tl2br w:val="nil"/>
              <w:tr2bl w:val="nil"/>
            </w:tcBorders>
            <w:vAlign w:val="center"/>
          </w:tcPr>
          <w:p>
            <w:pPr>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正常</w:t>
            </w:r>
          </w:p>
        </w:tc>
        <w:tc>
          <w:tcPr>
            <w:tcW w:w="911" w:type="dxa"/>
            <w:tcBorders>
              <w:tl2br w:val="nil"/>
              <w:tr2bl w:val="nil"/>
            </w:tcBorders>
            <w:vAlign w:val="center"/>
          </w:tcPr>
          <w:p>
            <w:pPr>
              <w:autoSpaceDE/>
              <w:autoSpaceDN/>
              <w:adjustRightInd w:val="0"/>
              <w:snapToGrid w:val="0"/>
              <w:jc w:val="center"/>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0.00104</w:t>
            </w:r>
          </w:p>
        </w:tc>
        <w:tc>
          <w:tcPr>
            <w:tcW w:w="955" w:type="dxa"/>
            <w:tcBorders>
              <w:tl2br w:val="nil"/>
              <w:tr2bl w:val="nil"/>
            </w:tcBorders>
            <w:vAlign w:val="center"/>
          </w:tcPr>
          <w:p>
            <w:pPr>
              <w:autoSpaceDE/>
              <w:autoSpaceDN/>
              <w:adjustRightInd w:val="0"/>
              <w:snapToGrid w:val="0"/>
              <w:jc w:val="center"/>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0.00165</w:t>
            </w:r>
          </w:p>
        </w:tc>
        <w:tc>
          <w:tcPr>
            <w:tcW w:w="842" w:type="dxa"/>
            <w:tcBorders>
              <w:tl2br w:val="nil"/>
              <w:tr2bl w:val="nil"/>
            </w:tcBorders>
            <w:vAlign w:val="center"/>
          </w:tcPr>
          <w:p>
            <w:pPr>
              <w:autoSpaceDE/>
              <w:autoSpaceDN/>
              <w:adjustRightInd w:val="0"/>
              <w:snapToGrid w:val="0"/>
              <w:jc w:val="center"/>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0.0075</w:t>
            </w:r>
          </w:p>
        </w:tc>
      </w:tr>
    </w:tbl>
    <w:p>
      <w:pPr>
        <w:wordWrap w:val="0"/>
        <w:spacing w:line="480" w:lineRule="exact"/>
        <w:ind w:firstLine="474" w:firstLineChars="200"/>
        <w:jc w:val="both"/>
        <w:rPr>
          <w:rFonts w:hint="eastAsia" w:ascii="Times New Roman" w:hAnsi="Times New Roman" w:cs="Times New Roman" w:eastAsiaTheme="minorEastAsia"/>
          <w:color w:val="000000" w:themeColor="text1"/>
          <w:w w:val="99"/>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采用AERSCREEN估算模式的计算结果进行预测评价。预测结果具体见表</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5</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.1-</w:t>
      </w:r>
      <w:r>
        <w:rPr>
          <w:rFonts w:hint="eastAsia" w:ascii="Times New Roman" w:hAnsi="Times New Roman" w:cs="Times New Roman" w:eastAsiaTheme="minorEastAsia"/>
          <w:color w:val="000000" w:themeColor="text1"/>
          <w:w w:val="99"/>
          <w:sz w:val="24"/>
          <w:szCs w:val="24"/>
          <w:highlight w:val="none"/>
          <w:lang w:val="en-US" w:eastAsia="zh-CN"/>
          <w14:textFill>
            <w14:solidFill>
              <w14:schemeClr w14:val="tx1"/>
            </w14:solidFill>
          </w14:textFill>
        </w:rPr>
        <w:t>4。</w:t>
      </w:r>
    </w:p>
    <w:p>
      <w:pPr>
        <w:autoSpaceDE w:val="0"/>
        <w:autoSpaceDN w:val="0"/>
        <w:adjustRightInd w:val="0"/>
        <w:spacing w:line="500" w:lineRule="exact"/>
        <w:ind w:firstLine="436" w:firstLineChars="200"/>
        <w:jc w:val="both"/>
        <w:rPr>
          <w:rFonts w:ascii="Times New Roman" w:hAnsi="Times New Roman" w:cs="Times New Roman" w:eastAsiaTheme="minorEastAsia"/>
          <w:b/>
          <w:color w:val="000000" w:themeColor="text1"/>
          <w:w w:val="99"/>
          <w:highlight w:val="none"/>
          <w14:textFill>
            <w14:solidFill>
              <w14:schemeClr w14:val="tx1"/>
            </w14:solidFill>
          </w14:textFill>
        </w:rPr>
      </w:pPr>
      <w:r>
        <w:rPr>
          <w:rFonts w:ascii="Times New Roman" w:hAnsi="Times New Roman" w:cs="Times New Roman" w:eastAsiaTheme="minorEastAsia"/>
          <w:b/>
          <w:color w:val="000000" w:themeColor="text1"/>
          <w:w w:val="99"/>
          <w:highlight w:val="none"/>
          <w14:textFill>
            <w14:solidFill>
              <w14:schemeClr w14:val="tx1"/>
            </w14:solidFill>
          </w14:textFill>
        </w:rPr>
        <w:t>表</w:t>
      </w:r>
      <w:r>
        <w:rPr>
          <w:rFonts w:hint="eastAsia" w:ascii="Times New Roman" w:hAnsi="Times New Roman" w:cs="Times New Roman" w:eastAsiaTheme="minorEastAsia"/>
          <w:b/>
          <w:color w:val="000000" w:themeColor="text1"/>
          <w:w w:val="99"/>
          <w:highlight w:val="none"/>
          <w14:textFill>
            <w14:solidFill>
              <w14:schemeClr w14:val="tx1"/>
            </w14:solidFill>
          </w14:textFill>
        </w:rPr>
        <w:t>5</w:t>
      </w:r>
      <w:r>
        <w:rPr>
          <w:rFonts w:ascii="Times New Roman" w:hAnsi="Times New Roman" w:cs="Times New Roman" w:eastAsiaTheme="minorEastAsia"/>
          <w:b/>
          <w:color w:val="000000" w:themeColor="text1"/>
          <w:w w:val="99"/>
          <w:highlight w:val="none"/>
          <w14:textFill>
            <w14:solidFill>
              <w14:schemeClr w14:val="tx1"/>
            </w14:solidFill>
          </w14:textFill>
        </w:rPr>
        <w:t>.1-</w:t>
      </w:r>
      <w:r>
        <w:rPr>
          <w:rFonts w:hint="eastAsia" w:ascii="Times New Roman" w:hAnsi="Times New Roman" w:cs="Times New Roman" w:eastAsiaTheme="minorEastAsia"/>
          <w:b/>
          <w:color w:val="000000" w:themeColor="text1"/>
          <w:w w:val="99"/>
          <w:highlight w:val="none"/>
          <w:lang w:val="en-US" w:eastAsia="zh-CN"/>
          <w14:textFill>
            <w14:solidFill>
              <w14:schemeClr w14:val="tx1"/>
            </w14:solidFill>
          </w14:textFill>
        </w:rPr>
        <w:t>4</w:t>
      </w:r>
      <w:r>
        <w:rPr>
          <w:rFonts w:ascii="Times New Roman" w:hAnsi="Times New Roman" w:cs="Times New Roman" w:eastAsiaTheme="minorEastAsia"/>
          <w:b/>
          <w:color w:val="000000" w:themeColor="text1"/>
          <w:w w:val="99"/>
          <w:highlight w:val="none"/>
          <w14:textFill>
            <w14:solidFill>
              <w14:schemeClr w14:val="tx1"/>
            </w14:solidFill>
          </w14:textFill>
        </w:rPr>
        <w:t xml:space="preserve">    </w:t>
      </w:r>
      <w:r>
        <w:rPr>
          <w:rFonts w:hint="eastAsia" w:ascii="Times New Roman" w:hAnsi="Times New Roman" w:cs="Times New Roman" w:eastAsiaTheme="minorEastAsia"/>
          <w:b/>
          <w:color w:val="000000" w:themeColor="text1"/>
          <w:w w:val="99"/>
          <w:highlight w:val="none"/>
          <w:lang w:eastAsia="zh-CN"/>
          <w14:textFill>
            <w14:solidFill>
              <w14:schemeClr w14:val="tx1"/>
            </w14:solidFill>
          </w14:textFill>
        </w:rPr>
        <w:t>点源预测</w:t>
      </w:r>
      <w:r>
        <w:rPr>
          <w:rFonts w:ascii="Times New Roman" w:hAnsi="Times New Roman" w:cs="Times New Roman" w:eastAsiaTheme="minorEastAsia"/>
          <w:b/>
          <w:color w:val="000000" w:themeColor="text1"/>
          <w:w w:val="99"/>
          <w:highlight w:val="none"/>
          <w14:textFill>
            <w14:solidFill>
              <w14:schemeClr w14:val="tx1"/>
            </w14:solidFill>
          </w14:textFill>
        </w:rPr>
        <w:t>估算模式计算结果</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476"/>
        <w:gridCol w:w="1175"/>
        <w:gridCol w:w="1476"/>
        <w:gridCol w:w="1175"/>
        <w:gridCol w:w="1476"/>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restar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下风向距离</w:t>
            </w:r>
          </w:p>
        </w:tc>
        <w:tc>
          <w:tcPr>
            <w:tcW w:w="4284" w:type="pct"/>
            <w:gridSpan w:val="6"/>
            <w:vAlign w:val="center"/>
          </w:tcPr>
          <w:p>
            <w:pPr>
              <w:spacing w:line="320" w:lineRule="exact"/>
              <w:jc w:val="center"/>
              <w:rPr>
                <w:rFonts w:hint="eastAsia"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葡北</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#转油站</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SO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2</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浓度(μg/m³)</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SO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2</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占标率(%)</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PM</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10</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浓度(μg/m³)</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PM</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10</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占标率(%)</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NO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x</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浓度(μg/m³)</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NO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x</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50.0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0.0861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0.0172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0.0542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0.0121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0.3893</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0.0821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0.0164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0.0517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0.0115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0.3714</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0.0824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0.0165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0.0519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0.0115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0.3727</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300.0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0.0714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0.0143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0.0450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0.3228</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400.0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0.0595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0.0119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0.0375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0.0083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0.2689</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500.0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0.0533</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0.0107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0.0336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0.0075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0.2412</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600.0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0.0470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0.0094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0.0296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0.0066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0.2125</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700.0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0.0425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0.0085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0.0268</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0.0060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0.1924</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800.0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0.0400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0.0080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0.0252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0.0056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0.1810</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900.0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0.0374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0.0075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0.0235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0.0052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0.1690</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0.0348</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0.0070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0.0219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0.0049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0.1572</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1200.0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0.1414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0.0283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0.0891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0.0198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0.6395</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1400.0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0.1212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0.0242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0.0763</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0.0170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0.5480</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1600.0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0.1057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0.0211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0.0666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0.0148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0.4781</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1800.0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0.0922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0.0184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0.0581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0.0129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0.4169</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0.0819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0.0164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0.0516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0.0115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0.3701</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2500.0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0.0631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0.0126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0.0397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0.0088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0.2853</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3000.0</w:t>
            </w:r>
          </w:p>
        </w:tc>
        <w:tc>
          <w:tcPr>
            <w:tcW w:w="1476" w:type="dxa"/>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0.0497</w:t>
            </w:r>
          </w:p>
        </w:tc>
        <w:tc>
          <w:tcPr>
            <w:tcW w:w="1175" w:type="dxa"/>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0.0099</w:t>
            </w:r>
          </w:p>
        </w:tc>
        <w:tc>
          <w:tcPr>
            <w:tcW w:w="1476" w:type="dxa"/>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0.0313</w:t>
            </w:r>
          </w:p>
        </w:tc>
        <w:tc>
          <w:tcPr>
            <w:tcW w:w="1175" w:type="dxa"/>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0.0070</w:t>
            </w:r>
          </w:p>
        </w:tc>
        <w:tc>
          <w:tcPr>
            <w:tcW w:w="1476" w:type="dxa"/>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0.2246</w:t>
            </w:r>
          </w:p>
        </w:tc>
        <w:tc>
          <w:tcPr>
            <w:tcW w:w="1184" w:type="dxa"/>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3500.0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0.0403</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0.0081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0.0254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0.0056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0.1823</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4000.0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0.0357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0.0071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0.0225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0.0050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0.1614</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4500.0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0.0202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0.0040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0.0127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0.0028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0.0912</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5000.0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0.0254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0.0051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0.0160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0.0036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0.1151</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0.0119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0.0024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0.0075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0.0017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0.0538</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11000.0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0.0077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0.0015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0.0049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0.0011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0.0349</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12000.0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0.0091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0.0018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0.0057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0.0013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0.0412</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13000.0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0.0069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0.0014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0.0044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0.0010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0.0314</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14000.0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0.0064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0.0013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0.0040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0.0009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0.0288</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15000.0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0.0061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0.0012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0.0038</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0.0009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0.0275</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20000.0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0.0053</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0.0011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0.0033</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0.0007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0.0239</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25000.0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0.0042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0.0008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0.0027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0.0006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0.0192</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下风向最大浓度</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0.1428</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0.0286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0.0900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0.6458</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下风向最大浓度出现距离</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1220.0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1220.0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1220.0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1220.0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1220.0</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D10%最远距离</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r>
    </w:tbl>
    <w:p>
      <w:pPr>
        <w:autoSpaceDE w:val="0"/>
        <w:autoSpaceDN w:val="0"/>
        <w:adjustRightInd w:val="0"/>
        <w:spacing w:line="500" w:lineRule="exact"/>
        <w:ind w:firstLine="436" w:firstLineChars="200"/>
        <w:jc w:val="both"/>
        <w:rPr>
          <w:rFonts w:ascii="Times New Roman" w:hAnsi="Times New Roman" w:cs="Times New Roman" w:eastAsiaTheme="minorEastAsia"/>
          <w:b/>
          <w:color w:val="000000" w:themeColor="text1"/>
          <w:w w:val="99"/>
          <w:highlight w:val="none"/>
          <w14:textFill>
            <w14:solidFill>
              <w14:schemeClr w14:val="tx1"/>
            </w14:solidFill>
          </w14:textFill>
        </w:rPr>
      </w:pPr>
      <w:r>
        <w:rPr>
          <w:rFonts w:hint="eastAsia" w:ascii="Times New Roman" w:hAnsi="Times New Roman" w:cs="Times New Roman" w:eastAsiaTheme="minorEastAsia"/>
          <w:b/>
          <w:color w:val="000000" w:themeColor="text1"/>
          <w:w w:val="99"/>
          <w:highlight w:val="none"/>
          <w:lang w:eastAsia="zh-CN"/>
          <w14:textFill>
            <w14:solidFill>
              <w14:schemeClr w14:val="tx1"/>
            </w14:solidFill>
          </w14:textFill>
        </w:rPr>
        <w:t>续</w:t>
      </w:r>
      <w:r>
        <w:rPr>
          <w:rFonts w:ascii="Times New Roman" w:hAnsi="Times New Roman" w:cs="Times New Roman" w:eastAsiaTheme="minorEastAsia"/>
          <w:b/>
          <w:color w:val="000000" w:themeColor="text1"/>
          <w:w w:val="99"/>
          <w:highlight w:val="none"/>
          <w14:textFill>
            <w14:solidFill>
              <w14:schemeClr w14:val="tx1"/>
            </w14:solidFill>
          </w14:textFill>
        </w:rPr>
        <w:t>表</w:t>
      </w:r>
      <w:r>
        <w:rPr>
          <w:rFonts w:hint="eastAsia" w:ascii="Times New Roman" w:hAnsi="Times New Roman" w:cs="Times New Roman" w:eastAsiaTheme="minorEastAsia"/>
          <w:b/>
          <w:color w:val="000000" w:themeColor="text1"/>
          <w:w w:val="99"/>
          <w:highlight w:val="none"/>
          <w14:textFill>
            <w14:solidFill>
              <w14:schemeClr w14:val="tx1"/>
            </w14:solidFill>
          </w14:textFill>
        </w:rPr>
        <w:t>5</w:t>
      </w:r>
      <w:r>
        <w:rPr>
          <w:rFonts w:ascii="Times New Roman" w:hAnsi="Times New Roman" w:cs="Times New Roman" w:eastAsiaTheme="minorEastAsia"/>
          <w:b/>
          <w:color w:val="000000" w:themeColor="text1"/>
          <w:w w:val="99"/>
          <w:highlight w:val="none"/>
          <w14:textFill>
            <w14:solidFill>
              <w14:schemeClr w14:val="tx1"/>
            </w14:solidFill>
          </w14:textFill>
        </w:rPr>
        <w:t>.1-</w:t>
      </w:r>
      <w:r>
        <w:rPr>
          <w:rFonts w:hint="eastAsia" w:ascii="Times New Roman" w:hAnsi="Times New Roman" w:cs="Times New Roman" w:eastAsiaTheme="minorEastAsia"/>
          <w:b/>
          <w:color w:val="000000" w:themeColor="text1"/>
          <w:w w:val="99"/>
          <w:highlight w:val="none"/>
          <w:lang w:val="en-US" w:eastAsia="zh-CN"/>
          <w14:textFill>
            <w14:solidFill>
              <w14:schemeClr w14:val="tx1"/>
            </w14:solidFill>
          </w14:textFill>
        </w:rPr>
        <w:t>4</w:t>
      </w:r>
      <w:r>
        <w:rPr>
          <w:rFonts w:ascii="Times New Roman" w:hAnsi="Times New Roman" w:cs="Times New Roman" w:eastAsiaTheme="minorEastAsia"/>
          <w:b/>
          <w:color w:val="000000" w:themeColor="text1"/>
          <w:w w:val="99"/>
          <w:highlight w:val="none"/>
          <w14:textFill>
            <w14:solidFill>
              <w14:schemeClr w14:val="tx1"/>
            </w14:solidFill>
          </w14:textFill>
        </w:rPr>
        <w:t xml:space="preserve">    </w:t>
      </w:r>
      <w:r>
        <w:rPr>
          <w:rFonts w:hint="eastAsia" w:ascii="Times New Roman" w:hAnsi="Times New Roman" w:cs="Times New Roman" w:eastAsiaTheme="minorEastAsia"/>
          <w:b/>
          <w:color w:val="000000" w:themeColor="text1"/>
          <w:w w:val="99"/>
          <w:highlight w:val="none"/>
          <w:lang w:eastAsia="zh-CN"/>
          <w14:textFill>
            <w14:solidFill>
              <w14:schemeClr w14:val="tx1"/>
            </w14:solidFill>
          </w14:textFill>
        </w:rPr>
        <w:t>点源预测</w:t>
      </w:r>
      <w:r>
        <w:rPr>
          <w:rFonts w:ascii="Times New Roman" w:hAnsi="Times New Roman" w:cs="Times New Roman" w:eastAsiaTheme="minorEastAsia"/>
          <w:b/>
          <w:color w:val="000000" w:themeColor="text1"/>
          <w:w w:val="99"/>
          <w:highlight w:val="none"/>
          <w14:textFill>
            <w14:solidFill>
              <w14:schemeClr w14:val="tx1"/>
            </w14:solidFill>
          </w14:textFill>
        </w:rPr>
        <w:t>估算模式计算结果</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476"/>
        <w:gridCol w:w="1175"/>
        <w:gridCol w:w="1476"/>
        <w:gridCol w:w="1175"/>
        <w:gridCol w:w="1476"/>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restar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下风向距离</w:t>
            </w:r>
          </w:p>
        </w:tc>
        <w:tc>
          <w:tcPr>
            <w:tcW w:w="4284" w:type="pct"/>
            <w:gridSpan w:val="6"/>
            <w:vAlign w:val="center"/>
          </w:tcPr>
          <w:p>
            <w:pPr>
              <w:spacing w:line="320" w:lineRule="exact"/>
              <w:jc w:val="cente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葡北</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#转油站</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SO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2</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浓度(μg/m³)</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SO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2</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占标率(%)</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PM</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10</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浓度(μg/m³)</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PM</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10</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占标率(%)</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NO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x</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浓度(μg/m³)</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NO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x</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50.0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0.1672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0.0334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0.1045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0.0232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0.7500</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0.1807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0.0361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0.1129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0.0251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0.8105</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0.1759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0.0352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0.1099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0.0244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0.7889</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300.0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0.1420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0.0284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0.0887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0.0197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0.6369</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400.0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0.1176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0.0235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0.0735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0.0163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0.5275</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500.0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0.1827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0.0365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0.1142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0.0254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0.8196</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600.0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0.1782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0.0356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0.1114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0.0248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0.7995</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700.0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0.1755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0.0351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0.1097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0.0244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0.7871</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800.0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0.1920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0.0384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0.1200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0.0267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0.8610</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900.0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0.1739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0.0348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0.1087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0.0241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0.7799</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0.2207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0.0441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0.1379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0.0306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0.9898</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1200.0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0.1895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0.0379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0.1184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0.0263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0.8500</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1400.0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0.1625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0.0325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0.1016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0.0226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0.7289</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1600.0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0.1402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0.0280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0.0876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0.0195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0.6290</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1800.0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0.1209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0.0242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0.0755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0.0168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0.5421</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0.1117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0.0223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0.0698</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0.0155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0.5009</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2500.0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0.0879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0.0176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0.0549</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0.0122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0.3942</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下风向最大浓度</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0.2210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0.0442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0.1381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0.0307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0.9911</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下风向最大浓度出现距离</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1025.0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1025.0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1025.0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1025.0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1025.0</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D10%最远距离</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637"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r>
    </w:tbl>
    <w:p>
      <w:pPr>
        <w:autoSpaceDE w:val="0"/>
        <w:autoSpaceDN w:val="0"/>
        <w:adjustRightInd w:val="0"/>
        <w:spacing w:line="500" w:lineRule="exact"/>
        <w:ind w:firstLine="436" w:firstLineChars="200"/>
        <w:jc w:val="both"/>
        <w:rPr>
          <w:rFonts w:ascii="Times New Roman" w:hAnsi="Times New Roman" w:cs="Times New Roman" w:eastAsiaTheme="minorEastAsia"/>
          <w:b/>
          <w:color w:val="000000" w:themeColor="text1"/>
          <w:w w:val="99"/>
          <w:highlight w:val="none"/>
          <w14:textFill>
            <w14:solidFill>
              <w14:schemeClr w14:val="tx1"/>
            </w14:solidFill>
          </w14:textFill>
        </w:rPr>
      </w:pPr>
      <w:r>
        <w:rPr>
          <w:rFonts w:hint="eastAsia" w:ascii="Times New Roman" w:hAnsi="Times New Roman" w:cs="Times New Roman" w:eastAsiaTheme="minorEastAsia"/>
          <w:b/>
          <w:color w:val="000000" w:themeColor="text1"/>
          <w:w w:val="99"/>
          <w:highlight w:val="none"/>
          <w:lang w:eastAsia="zh-CN"/>
          <w14:textFill>
            <w14:solidFill>
              <w14:schemeClr w14:val="tx1"/>
            </w14:solidFill>
          </w14:textFill>
        </w:rPr>
        <w:t>续</w:t>
      </w:r>
      <w:r>
        <w:rPr>
          <w:rFonts w:ascii="Times New Roman" w:hAnsi="Times New Roman" w:cs="Times New Roman" w:eastAsiaTheme="minorEastAsia"/>
          <w:b/>
          <w:color w:val="000000" w:themeColor="text1"/>
          <w:w w:val="99"/>
          <w:highlight w:val="none"/>
          <w14:textFill>
            <w14:solidFill>
              <w14:schemeClr w14:val="tx1"/>
            </w14:solidFill>
          </w14:textFill>
        </w:rPr>
        <w:t>表</w:t>
      </w:r>
      <w:r>
        <w:rPr>
          <w:rFonts w:hint="eastAsia" w:ascii="Times New Roman" w:hAnsi="Times New Roman" w:cs="Times New Roman" w:eastAsiaTheme="minorEastAsia"/>
          <w:b/>
          <w:color w:val="000000" w:themeColor="text1"/>
          <w:w w:val="99"/>
          <w:highlight w:val="none"/>
          <w14:textFill>
            <w14:solidFill>
              <w14:schemeClr w14:val="tx1"/>
            </w14:solidFill>
          </w14:textFill>
        </w:rPr>
        <w:t>5</w:t>
      </w:r>
      <w:r>
        <w:rPr>
          <w:rFonts w:ascii="Times New Roman" w:hAnsi="Times New Roman" w:cs="Times New Roman" w:eastAsiaTheme="minorEastAsia"/>
          <w:b/>
          <w:color w:val="000000" w:themeColor="text1"/>
          <w:w w:val="99"/>
          <w:highlight w:val="none"/>
          <w14:textFill>
            <w14:solidFill>
              <w14:schemeClr w14:val="tx1"/>
            </w14:solidFill>
          </w14:textFill>
        </w:rPr>
        <w:t>.1-</w:t>
      </w:r>
      <w:r>
        <w:rPr>
          <w:rFonts w:hint="eastAsia" w:ascii="Times New Roman" w:hAnsi="Times New Roman" w:cs="Times New Roman" w:eastAsiaTheme="minorEastAsia"/>
          <w:b/>
          <w:color w:val="000000" w:themeColor="text1"/>
          <w:w w:val="99"/>
          <w:highlight w:val="none"/>
          <w:lang w:val="en-US" w:eastAsia="zh-CN"/>
          <w14:textFill>
            <w14:solidFill>
              <w14:schemeClr w14:val="tx1"/>
            </w14:solidFill>
          </w14:textFill>
        </w:rPr>
        <w:t>4</w:t>
      </w:r>
      <w:r>
        <w:rPr>
          <w:rFonts w:ascii="Times New Roman" w:hAnsi="Times New Roman" w:cs="Times New Roman" w:eastAsiaTheme="minorEastAsia"/>
          <w:b/>
          <w:color w:val="000000" w:themeColor="text1"/>
          <w:w w:val="99"/>
          <w:highlight w:val="none"/>
          <w14:textFill>
            <w14:solidFill>
              <w14:schemeClr w14:val="tx1"/>
            </w14:solidFill>
          </w14:textFill>
        </w:rPr>
        <w:t xml:space="preserve">    </w:t>
      </w:r>
      <w:r>
        <w:rPr>
          <w:rFonts w:hint="eastAsia" w:ascii="Times New Roman" w:hAnsi="Times New Roman" w:cs="Times New Roman" w:eastAsiaTheme="minorEastAsia"/>
          <w:b/>
          <w:color w:val="000000" w:themeColor="text1"/>
          <w:w w:val="99"/>
          <w:highlight w:val="none"/>
          <w:lang w:eastAsia="zh-CN"/>
          <w14:textFill>
            <w14:solidFill>
              <w14:schemeClr w14:val="tx1"/>
            </w14:solidFill>
          </w14:textFill>
        </w:rPr>
        <w:t>点源预测</w:t>
      </w:r>
      <w:r>
        <w:rPr>
          <w:rFonts w:ascii="Times New Roman" w:hAnsi="Times New Roman" w:cs="Times New Roman" w:eastAsiaTheme="minorEastAsia"/>
          <w:b/>
          <w:color w:val="000000" w:themeColor="text1"/>
          <w:w w:val="99"/>
          <w:highlight w:val="none"/>
          <w14:textFill>
            <w14:solidFill>
              <w14:schemeClr w14:val="tx1"/>
            </w14:solidFill>
          </w14:textFill>
        </w:rPr>
        <w:t>估算模式计算结果</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476"/>
        <w:gridCol w:w="1175"/>
        <w:gridCol w:w="1476"/>
        <w:gridCol w:w="1175"/>
        <w:gridCol w:w="1476"/>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Merge w:val="restar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下风向距离</w:t>
            </w:r>
          </w:p>
        </w:tc>
        <w:tc>
          <w:tcPr>
            <w:tcW w:w="4285" w:type="pct"/>
            <w:gridSpan w:val="6"/>
            <w:vAlign w:val="center"/>
          </w:tcPr>
          <w:p>
            <w:pPr>
              <w:spacing w:line="320" w:lineRule="exact"/>
              <w:jc w:val="center"/>
              <w:rPr>
                <w:rFonts w:hint="eastAsia" w:ascii="Times New Roman" w:hAnsi="Times New Roman" w:eastAsia="宋体" w:cs="Times New Roman"/>
                <w:color w:val="000000" w:themeColor="text1"/>
                <w:w w:val="99"/>
                <w:sz w:val="21"/>
                <w:szCs w:val="21"/>
                <w:highlight w:val="none"/>
                <w:lang w:eastAsia="zh-CN"/>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葡北</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#转油站</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Merge w:val="continue"/>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SO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2</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浓度(μg/m³)</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SO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2</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占标率(%)</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PM</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10</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浓度(μg/m³)</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PM</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10</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占标率(%)</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NO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x</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浓度(μg/m³)</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NO</w:t>
            </w:r>
            <w:r>
              <w:rPr>
                <w:rFonts w:ascii="Times New Roman" w:hAnsi="Times New Roman" w:cs="Times New Roman" w:eastAsiaTheme="minorEastAsia"/>
                <w:color w:val="000000" w:themeColor="text1"/>
                <w:w w:val="99"/>
                <w:sz w:val="21"/>
                <w:szCs w:val="21"/>
                <w:highlight w:val="none"/>
                <w:vertAlign w:val="subscript"/>
                <w14:textFill>
                  <w14:solidFill>
                    <w14:schemeClr w14:val="tx1"/>
                  </w14:solidFill>
                </w14:textFill>
              </w:rPr>
              <w:t>x</w:t>
            </w:r>
            <w:r>
              <w:rPr>
                <w:rFonts w:ascii="Times New Roman" w:hAnsi="Times New Roman" w:cs="Times New Roman" w:eastAsiaTheme="minorEastAsia"/>
                <w:color w:val="000000" w:themeColor="text1"/>
                <w:w w:val="99"/>
                <w:sz w:val="21"/>
                <w:szCs w:val="21"/>
                <w:highlight w:val="none"/>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50.0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0.1815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0.0363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0.1144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0.0254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0.8252</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0.1932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0.0386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0.1218</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0.0271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0.8781</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0.1901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0.0380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0.1198</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0.0266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0.8639</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300.0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0.1548</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0.0310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0.0975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0.0217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0.7035</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400.0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0.1321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0.0264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0.0833</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0.0185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0.6006</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500.0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0.1716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0.0343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0.1081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0.0240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0.7798</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600.0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0.1847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0.0369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0.1164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0.0259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0.8396</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700.0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0.1850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0.0370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0.1166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0.0259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0.8410</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800.0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0.1895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0.0379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0.1194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0.0265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0.8612</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900.0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0.1782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0.0356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0.1123</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0.0250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0.8098</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0.2011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0.0402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0.1267</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0.0282</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0.9139</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1200.0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0.1983</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0.0397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0.1250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0.0278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0.9015</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1400.0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0.1781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0.0356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0.1123</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0.0249</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0.8096</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0.3238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1600.0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0.1525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0.0305</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0.0961</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0.0214</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0.6931</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1800.0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0.1336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0.0267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0.0842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0.0187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0.6071</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2000.0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0.1214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0.0243</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0.0765</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0.0170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0.5519</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2500.0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0.0984</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0.0197</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0.0620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0.0138</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0.4472</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下风向最大浓度</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0.2256</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0.0451</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0.1422</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0.0316</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1.0255</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0.4102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下风向最大浓度出现距离</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1080.0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1080.0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1080.0</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1080.0</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1080.0</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D10%最远距离</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632"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794"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c>
          <w:tcPr>
            <w:tcW w:w="638" w:type="pct"/>
            <w:vAlign w:val="center"/>
          </w:tcPr>
          <w:p>
            <w:pPr>
              <w:spacing w:line="320" w:lineRule="exact"/>
              <w:jc w:val="center"/>
              <w:rPr>
                <w:rFonts w:ascii="Times New Roman" w:hAnsi="Times New Roman" w:cs="Times New Roman" w:eastAsiaTheme="minorEastAsia"/>
                <w:color w:val="000000" w:themeColor="text1"/>
                <w:w w:val="99"/>
                <w:sz w:val="21"/>
                <w:szCs w:val="21"/>
                <w:highlight w:val="none"/>
                <w:lang w:val="zh-CN" w:eastAsia="zh-CN"/>
                <w14:textFill>
                  <w14:solidFill>
                    <w14:schemeClr w14:val="tx1"/>
                  </w14:solidFill>
                </w14:textFill>
              </w:rPr>
            </w:pPr>
            <w:r>
              <w:rPr>
                <w:rFonts w:ascii="Times New Roman" w:hAnsi="Times New Roman" w:cs="Times New Roman" w:eastAsiaTheme="minorEastAsia"/>
                <w:color w:val="000000" w:themeColor="text1"/>
                <w:w w:val="99"/>
                <w:sz w:val="21"/>
                <w:szCs w:val="21"/>
                <w:highlight w:val="none"/>
                <w14:textFill>
                  <w14:solidFill>
                    <w14:schemeClr w14:val="tx1"/>
                  </w14:solidFill>
                </w14:textFill>
              </w:rPr>
              <w:t>/</w:t>
            </w:r>
          </w:p>
        </w:tc>
      </w:tr>
    </w:tbl>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3</w:t>
      </w:r>
      <w:r>
        <w:rPr>
          <w:rFonts w:ascii="Times New Roman" w:hAnsi="Times New Roman" w:cs="Times New Roman"/>
          <w:color w:val="000000" w:themeColor="text1"/>
          <w:spacing w:val="-9"/>
          <w:w w:val="99"/>
          <w:sz w:val="24"/>
          <w:szCs w:val="24"/>
          <w:highlight w:val="none"/>
          <w14:textFill>
            <w14:solidFill>
              <w14:schemeClr w14:val="tx1"/>
            </w14:solidFill>
          </w14:textFill>
        </w:rPr>
        <w:t>）污染物排放量核算</w:t>
      </w:r>
    </w:p>
    <w:p>
      <w:pPr>
        <w:pStyle w:val="43"/>
        <w:spacing w:line="440" w:lineRule="exact"/>
        <w:rPr>
          <w:rFonts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hint="eastAsia"/>
          <w:color w:val="000000" w:themeColor="text1"/>
          <w:w w:val="99"/>
          <w:sz w:val="24"/>
          <w:szCs w:val="24"/>
          <w:highlight w:val="none"/>
          <w14:textFill>
            <w14:solidFill>
              <w14:schemeClr w14:val="tx1"/>
            </w14:solidFill>
          </w14:textFill>
        </w:rPr>
        <w:t>①</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正常工况下大气污染物年排放量核算</w:t>
      </w:r>
    </w:p>
    <w:p>
      <w:pPr>
        <w:pStyle w:val="43"/>
        <w:spacing w:line="440" w:lineRule="exact"/>
        <w:rPr>
          <w:color w:val="000000" w:themeColor="text1"/>
          <w:sz w:val="24"/>
          <w:szCs w:val="24"/>
          <w:highlight w:val="none"/>
          <w14:textFill>
            <w14:solidFill>
              <w14:schemeClr w14:val="tx1"/>
            </w14:solidFill>
          </w14:textFill>
        </w:rPr>
      </w:pPr>
      <w:r>
        <w:rPr>
          <w:rFonts w:ascii="Times New Roman" w:hAnsi="Times New Roman" w:cs="Times New Roman" w:eastAsiaTheme="minorEastAsia"/>
          <w:color w:val="000000" w:themeColor="text1"/>
          <w:w w:val="99"/>
          <w:sz w:val="24"/>
          <w:szCs w:val="24"/>
          <w:highlight w:val="none"/>
          <w14:textFill>
            <w14:solidFill>
              <w14:schemeClr w14:val="tx1"/>
            </w14:solidFill>
          </w14:textFill>
        </w:rPr>
        <w:t>根据《环境影响评价技术导则 大气环境》（HJ2.2-2018），对于二级评价项目一般性要求是不进行进一步预测与评价，只对污染物排放量进行核算，提出污染源监测计划。</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本项目大气污染物有组织排放量核算表见5.1-</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5</w:t>
      </w:r>
      <w:r>
        <w:rPr>
          <w:rFonts w:ascii="Times New Roman" w:hAnsi="Times New Roman" w:cs="Times New Roman"/>
          <w:color w:val="000000" w:themeColor="text1"/>
          <w:spacing w:val="-9"/>
          <w:w w:val="99"/>
          <w:sz w:val="24"/>
          <w:szCs w:val="24"/>
          <w:highlight w:val="none"/>
          <w14:textFill>
            <w14:solidFill>
              <w14:schemeClr w14:val="tx1"/>
            </w14:solidFill>
          </w14:textFill>
        </w:rPr>
        <w:t>、无组织排放量核算表见5.1-</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6</w:t>
      </w:r>
      <w:r>
        <w:rPr>
          <w:rFonts w:ascii="Times New Roman" w:hAnsi="Times New Roman" w:cs="Times New Roman"/>
          <w:color w:val="000000" w:themeColor="text1"/>
          <w:spacing w:val="-9"/>
          <w:w w:val="99"/>
          <w:sz w:val="24"/>
          <w:szCs w:val="24"/>
          <w:highlight w:val="none"/>
          <w14:textFill>
            <w14:solidFill>
              <w14:schemeClr w14:val="tx1"/>
            </w14:solidFill>
          </w14:textFill>
        </w:rPr>
        <w:t>。</w:t>
      </w:r>
    </w:p>
    <w:p>
      <w:pPr>
        <w:pStyle w:val="14"/>
        <w:spacing w:line="440" w:lineRule="exact"/>
        <w:ind w:firstLine="440" w:firstLineChars="200"/>
        <w:jc w:val="both"/>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b/>
          <w:bCs/>
          <w:color w:val="000000" w:themeColor="text1"/>
          <w:spacing w:val="-9"/>
          <w:w w:val="99"/>
          <w:sz w:val="24"/>
          <w:szCs w:val="24"/>
          <w:highlight w:val="none"/>
          <w14:textFill>
            <w14:solidFill>
              <w14:schemeClr w14:val="tx1"/>
            </w14:solidFill>
          </w14:textFill>
        </w:rPr>
        <w:t>表</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5.1-5</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大气污染物有组织排放量核算表</w:t>
      </w:r>
    </w:p>
    <w:tbl>
      <w:tblPr>
        <w:tblStyle w:val="3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079"/>
        <w:gridCol w:w="1540"/>
        <w:gridCol w:w="1540"/>
        <w:gridCol w:w="1557"/>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2079" w:type="dxa"/>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排放口编号</w:t>
            </w:r>
          </w:p>
        </w:tc>
        <w:tc>
          <w:tcPr>
            <w:tcW w:w="1540" w:type="dxa"/>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w:t>
            </w:r>
          </w:p>
        </w:tc>
        <w:tc>
          <w:tcPr>
            <w:tcW w:w="1540" w:type="dxa"/>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核算排放浓度/（mg/m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557" w:type="dxa"/>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核算排放速率/（kg/h）</w:t>
            </w:r>
          </w:p>
        </w:tc>
        <w:tc>
          <w:tcPr>
            <w:tcW w:w="1596" w:type="dxa"/>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8" w:type="dxa"/>
            <w:gridSpan w:val="6"/>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vMerge w:val="restart"/>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2079" w:type="dxa"/>
            <w:vMerge w:val="restart"/>
            <w:tcBorders>
              <w:tl2br w:val="nil"/>
              <w:tr2bl w:val="nil"/>
            </w:tcBorders>
            <w:vAlign w:val="center"/>
          </w:tcPr>
          <w:p>
            <w:pPr>
              <w:keepNext/>
              <w:keepLines/>
              <w:jc w:val="center"/>
              <w:outlineLvl w:val="1"/>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bookmarkStart w:id="171" w:name="_Toc29057"/>
            <w:bookmarkStart w:id="172" w:name="_Toc76651599"/>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葡北</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#转油站</w:t>
            </w:r>
            <w:bookmarkEnd w:id="171"/>
            <w:bookmarkEnd w:id="172"/>
          </w:p>
        </w:tc>
        <w:tc>
          <w:tcPr>
            <w:tcW w:w="1540"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颗粒物</w:t>
            </w:r>
          </w:p>
        </w:tc>
        <w:tc>
          <w:tcPr>
            <w:tcW w:w="1540"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11.6</w:t>
            </w:r>
          </w:p>
        </w:tc>
        <w:tc>
          <w:tcPr>
            <w:tcW w:w="1557"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0.000</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582</w:t>
            </w:r>
          </w:p>
        </w:tc>
        <w:tc>
          <w:tcPr>
            <w:tcW w:w="1596"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079" w:type="dxa"/>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40"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p>
        </w:tc>
        <w:tc>
          <w:tcPr>
            <w:tcW w:w="1540"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18.5</w:t>
            </w:r>
          </w:p>
        </w:tc>
        <w:tc>
          <w:tcPr>
            <w:tcW w:w="1557" w:type="dxa"/>
            <w:tcBorders>
              <w:tl2br w:val="nil"/>
              <w:tr2bl w:val="nil"/>
            </w:tcBorders>
            <w:vAlign w:val="center"/>
          </w:tcPr>
          <w:p>
            <w:pPr>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0.000</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924</w:t>
            </w:r>
          </w:p>
        </w:tc>
        <w:tc>
          <w:tcPr>
            <w:tcW w:w="1596"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079" w:type="dxa"/>
            <w:vMerge w:val="continue"/>
            <w:tcBorders>
              <w:tl2br w:val="nil"/>
              <w:tr2bl w:val="nil"/>
            </w:tcBorders>
            <w:vAlign w:val="center"/>
          </w:tcPr>
          <w:p>
            <w:pPr>
              <w:keepNext/>
              <w:keepLines/>
              <w:jc w:val="center"/>
              <w:rPr>
                <w:rFonts w:ascii="Times New Roman" w:hAnsi="Times New Roman" w:cs="Times New Roman"/>
                <w:color w:val="000000" w:themeColor="text1"/>
                <w:w w:val="99"/>
                <w:sz w:val="21"/>
                <w:szCs w:val="21"/>
                <w:highlight w:val="none"/>
                <w:lang w:val="en-US" w:bidi="ar-SA"/>
                <w14:textFill>
                  <w14:solidFill>
                    <w14:schemeClr w14:val="tx1"/>
                  </w14:solidFill>
                </w14:textFill>
              </w:rPr>
            </w:pPr>
          </w:p>
        </w:tc>
        <w:tc>
          <w:tcPr>
            <w:tcW w:w="1540"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NOx</w:t>
            </w:r>
          </w:p>
        </w:tc>
        <w:tc>
          <w:tcPr>
            <w:tcW w:w="1540"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83.8</w:t>
            </w:r>
          </w:p>
        </w:tc>
        <w:tc>
          <w:tcPr>
            <w:tcW w:w="1557" w:type="dxa"/>
            <w:tcBorders>
              <w:tl2br w:val="nil"/>
              <w:tr2bl w:val="nil"/>
            </w:tcBorders>
            <w:vAlign w:val="center"/>
          </w:tcPr>
          <w:p>
            <w:pPr>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0.00</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4178</w:t>
            </w:r>
          </w:p>
        </w:tc>
        <w:tc>
          <w:tcPr>
            <w:tcW w:w="1596"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vMerge w:val="restart"/>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2079" w:type="dxa"/>
            <w:vMerge w:val="restart"/>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葡北10#转油站</w:t>
            </w:r>
          </w:p>
        </w:tc>
        <w:tc>
          <w:tcPr>
            <w:tcW w:w="1540"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颗粒物</w:t>
            </w:r>
          </w:p>
        </w:tc>
        <w:tc>
          <w:tcPr>
            <w:tcW w:w="1540"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11.6</w:t>
            </w:r>
          </w:p>
        </w:tc>
        <w:tc>
          <w:tcPr>
            <w:tcW w:w="1557" w:type="dxa"/>
            <w:tcBorders>
              <w:tl2br w:val="nil"/>
              <w:tr2bl w:val="nil"/>
            </w:tcBorders>
            <w:vAlign w:val="center"/>
          </w:tcPr>
          <w:p>
            <w:pPr>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0.00</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274</w:t>
            </w:r>
          </w:p>
        </w:tc>
        <w:tc>
          <w:tcPr>
            <w:tcW w:w="1596"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079" w:type="dxa"/>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40"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p>
        </w:tc>
        <w:tc>
          <w:tcPr>
            <w:tcW w:w="1540"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18.5</w:t>
            </w:r>
          </w:p>
        </w:tc>
        <w:tc>
          <w:tcPr>
            <w:tcW w:w="1557" w:type="dxa"/>
            <w:tcBorders>
              <w:tl2br w:val="nil"/>
              <w:tr2bl w:val="nil"/>
            </w:tcBorders>
            <w:vAlign w:val="center"/>
          </w:tcPr>
          <w:p>
            <w:pPr>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0.00</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437</w:t>
            </w:r>
          </w:p>
        </w:tc>
        <w:tc>
          <w:tcPr>
            <w:tcW w:w="1596"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079" w:type="dxa"/>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540" w:type="dxa"/>
            <w:tcBorders>
              <w:tl2br w:val="nil"/>
              <w:tr2bl w:val="nil"/>
            </w:tcBorders>
            <w:vAlign w:val="center"/>
          </w:tcPr>
          <w:p>
            <w:pPr>
              <w:widowControl/>
              <w:autoSpaceDE/>
              <w:autoSpaceDN/>
              <w:jc w:val="center"/>
              <w:textAlignment w:val="center"/>
              <w:rPr>
                <w:rFonts w:ascii="Times New Roman" w:hAnsi="Times New Roman" w:cs="Times New Roman"/>
                <w:color w:val="000000" w:themeColor="text1"/>
                <w:w w:val="99"/>
                <w:sz w:val="21"/>
                <w:szCs w:val="21"/>
                <w:highlight w:val="none"/>
                <w:lang w:val="en-US" w:bidi="ar"/>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NOx</w:t>
            </w:r>
          </w:p>
        </w:tc>
        <w:tc>
          <w:tcPr>
            <w:tcW w:w="1540"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83.8</w:t>
            </w:r>
          </w:p>
        </w:tc>
        <w:tc>
          <w:tcPr>
            <w:tcW w:w="1557" w:type="dxa"/>
            <w:tcBorders>
              <w:tl2br w:val="nil"/>
              <w:tr2bl w:val="nil"/>
            </w:tcBorders>
            <w:vAlign w:val="center"/>
          </w:tcPr>
          <w:p>
            <w:pPr>
              <w:jc w:val="cente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0.0</w:t>
            </w: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1986</w:t>
            </w:r>
          </w:p>
        </w:tc>
        <w:tc>
          <w:tcPr>
            <w:tcW w:w="1596" w:type="dxa"/>
            <w:tcBorders>
              <w:tl2br w:val="nil"/>
              <w:tr2bl w:val="nil"/>
            </w:tcBorders>
            <w:vAlign w:val="center"/>
          </w:tcPr>
          <w:p>
            <w:pPr>
              <w:widowControl/>
              <w:autoSpaceDE/>
              <w:autoSpaceDN/>
              <w:jc w:val="center"/>
              <w:rPr>
                <w:rFonts w:hint="default"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8" w:type="dxa"/>
            <w:gridSpan w:val="6"/>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5" w:type="dxa"/>
            <w:gridSpan w:val="2"/>
            <w:vMerge w:val="restart"/>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有组织排放总计</w:t>
            </w:r>
          </w:p>
        </w:tc>
        <w:tc>
          <w:tcPr>
            <w:tcW w:w="4637" w:type="dxa"/>
            <w:gridSpan w:val="3"/>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颗粒物</w:t>
            </w:r>
          </w:p>
        </w:tc>
        <w:tc>
          <w:tcPr>
            <w:tcW w:w="1596" w:type="dxa"/>
            <w:tcBorders>
              <w:tl2br w:val="nil"/>
              <w:tr2bl w:val="nil"/>
            </w:tcBorders>
            <w:vAlign w:val="center"/>
          </w:tcPr>
          <w:p>
            <w:pPr>
              <w:widowControl/>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5" w:type="dxa"/>
            <w:gridSpan w:val="2"/>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637" w:type="dxa"/>
            <w:gridSpan w:val="3"/>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p>
        </w:tc>
        <w:tc>
          <w:tcPr>
            <w:tcW w:w="1596" w:type="dxa"/>
            <w:tcBorders>
              <w:tl2br w:val="nil"/>
              <w:tr2bl w:val="nil"/>
            </w:tcBorders>
            <w:vAlign w:val="center"/>
          </w:tcPr>
          <w:p>
            <w:pPr>
              <w:widowControl/>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5" w:type="dxa"/>
            <w:gridSpan w:val="2"/>
            <w:vMerge w:val="continue"/>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637" w:type="dxa"/>
            <w:gridSpan w:val="3"/>
            <w:tcBorders>
              <w:tl2br w:val="nil"/>
              <w:tr2bl w:val="nil"/>
            </w:tcBorders>
            <w:vAlign w:val="center"/>
          </w:tcPr>
          <w:p>
            <w:pPr>
              <w:widowControl/>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NOx</w:t>
            </w:r>
          </w:p>
        </w:tc>
        <w:tc>
          <w:tcPr>
            <w:tcW w:w="1596" w:type="dxa"/>
            <w:tcBorders>
              <w:tl2br w:val="nil"/>
              <w:tr2bl w:val="nil"/>
            </w:tcBorders>
            <w:vAlign w:val="center"/>
          </w:tcPr>
          <w:p>
            <w:pPr>
              <w:widowControl/>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0.2106</w:t>
            </w:r>
          </w:p>
        </w:tc>
      </w:tr>
    </w:tbl>
    <w:p>
      <w:pPr>
        <w:widowControl w:val="0"/>
        <w:spacing w:line="500" w:lineRule="exact"/>
        <w:ind w:firstLine="476" w:firstLineChars="200"/>
        <w:rPr>
          <w:rFonts w:ascii="Times New Roman" w:hAnsi="Times New Roman" w:cs="Times New Roman" w:eastAsiaTheme="minorEastAsia"/>
          <w:b/>
          <w:snapToGrid w:val="0"/>
          <w:color w:val="000000" w:themeColor="text1"/>
          <w:w w:val="99"/>
          <w:sz w:val="24"/>
          <w:szCs w:val="24"/>
          <w:highlight w:val="none"/>
          <w14:textFill>
            <w14:solidFill>
              <w14:schemeClr w14:val="tx1"/>
            </w14:solidFill>
          </w14:textFill>
        </w:rPr>
      </w:pPr>
      <w:r>
        <w:rPr>
          <w:rFonts w:ascii="Times New Roman" w:hAnsi="Times New Roman" w:cs="Times New Roman" w:eastAsiaTheme="minorEastAsia"/>
          <w:b/>
          <w:snapToGrid w:val="0"/>
          <w:color w:val="000000" w:themeColor="text1"/>
          <w:w w:val="99"/>
          <w:sz w:val="24"/>
          <w:szCs w:val="24"/>
          <w:highlight w:val="none"/>
          <w14:textFill>
            <w14:solidFill>
              <w14:schemeClr w14:val="tx1"/>
            </w14:solidFill>
          </w14:textFill>
        </w:rPr>
        <w:t>表5.1-</w:t>
      </w:r>
      <w:r>
        <w:rPr>
          <w:rFonts w:hint="eastAsia" w:ascii="Times New Roman" w:hAnsi="Times New Roman" w:cs="Times New Roman" w:eastAsiaTheme="minorEastAsia"/>
          <w:b/>
          <w:snapToGrid w:val="0"/>
          <w:color w:val="000000" w:themeColor="text1"/>
          <w:w w:val="99"/>
          <w:sz w:val="24"/>
          <w:szCs w:val="24"/>
          <w:highlight w:val="none"/>
          <w:lang w:val="en-US" w:eastAsia="zh-CN"/>
          <w14:textFill>
            <w14:solidFill>
              <w14:schemeClr w14:val="tx1"/>
            </w14:solidFill>
          </w14:textFill>
        </w:rPr>
        <w:t>6</w:t>
      </w:r>
      <w:r>
        <w:rPr>
          <w:rFonts w:ascii="Times New Roman" w:hAnsi="Times New Roman" w:cs="Times New Roman" w:eastAsiaTheme="minorEastAsia"/>
          <w:b/>
          <w:snapToGrid w:val="0"/>
          <w:color w:val="000000" w:themeColor="text1"/>
          <w:w w:val="99"/>
          <w:sz w:val="24"/>
          <w:szCs w:val="24"/>
          <w:highlight w:val="none"/>
          <w14:textFill>
            <w14:solidFill>
              <w14:schemeClr w14:val="tx1"/>
            </w14:solidFill>
          </w14:textFill>
        </w:rPr>
        <w:t xml:space="preserve">    大气污染物无组织排放量核算</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016"/>
        <w:gridCol w:w="728"/>
        <w:gridCol w:w="727"/>
        <w:gridCol w:w="1163"/>
        <w:gridCol w:w="2912"/>
        <w:gridCol w:w="1163"/>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restar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序号</w:t>
            </w:r>
          </w:p>
        </w:tc>
        <w:tc>
          <w:tcPr>
            <w:tcW w:w="547" w:type="pct"/>
            <w:vMerge w:val="restar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排放口编号</w:t>
            </w:r>
          </w:p>
        </w:tc>
        <w:tc>
          <w:tcPr>
            <w:tcW w:w="392" w:type="pct"/>
            <w:vMerge w:val="restar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产污环节</w:t>
            </w:r>
          </w:p>
        </w:tc>
        <w:tc>
          <w:tcPr>
            <w:tcW w:w="391" w:type="pct"/>
            <w:vMerge w:val="restar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污染物</w:t>
            </w:r>
          </w:p>
        </w:tc>
        <w:tc>
          <w:tcPr>
            <w:tcW w:w="626" w:type="pct"/>
            <w:vMerge w:val="restar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主要污染防治措施</w:t>
            </w:r>
          </w:p>
        </w:tc>
        <w:tc>
          <w:tcPr>
            <w:tcW w:w="2193" w:type="pct"/>
            <w:gridSpan w:val="2"/>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国家或地方污染物排放标准（</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μg/m</w:t>
            </w:r>
            <w:r>
              <w:rPr>
                <w:rFonts w:ascii="Times New Roman" w:hAnsi="Times New Roman" w:cs="Times New Roman" w:eastAsiaTheme="minorEastAsia"/>
                <w:color w:val="000000" w:themeColor="text1"/>
                <w:w w:val="99"/>
                <w:kern w:val="2"/>
                <w:sz w:val="21"/>
                <w:szCs w:val="21"/>
                <w:highlight w:val="none"/>
                <w:vertAlign w:val="superscript"/>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w:t>
            </w:r>
          </w:p>
        </w:tc>
        <w:tc>
          <w:tcPr>
            <w:tcW w:w="619" w:type="pct"/>
            <w:vMerge w:val="restar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 w:type="pct"/>
            <w:vMerge w:val="continue"/>
            <w:vAlign w:val="center"/>
          </w:tcPr>
          <w:p>
            <w:pPr>
              <w:widowControl w:val="0"/>
              <w:spacing w:line="320" w:lineRule="exact"/>
              <w:jc w:val="both"/>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p>
        </w:tc>
        <w:tc>
          <w:tcPr>
            <w:tcW w:w="547" w:type="pct"/>
            <w:vMerge w:val="continue"/>
            <w:vAlign w:val="center"/>
          </w:tcPr>
          <w:p>
            <w:pPr>
              <w:widowControl w:val="0"/>
              <w:spacing w:line="320" w:lineRule="exact"/>
              <w:jc w:val="both"/>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p>
        </w:tc>
        <w:tc>
          <w:tcPr>
            <w:tcW w:w="392" w:type="pct"/>
            <w:vMerge w:val="continue"/>
            <w:vAlign w:val="center"/>
          </w:tcPr>
          <w:p>
            <w:pPr>
              <w:widowControl w:val="0"/>
              <w:spacing w:line="320" w:lineRule="exact"/>
              <w:jc w:val="both"/>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p>
        </w:tc>
        <w:tc>
          <w:tcPr>
            <w:tcW w:w="391" w:type="pct"/>
            <w:vMerge w:val="continue"/>
            <w:vAlign w:val="center"/>
          </w:tcPr>
          <w:p>
            <w:pPr>
              <w:widowControl w:val="0"/>
              <w:spacing w:line="320" w:lineRule="exact"/>
              <w:jc w:val="both"/>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p>
        </w:tc>
        <w:tc>
          <w:tcPr>
            <w:tcW w:w="626" w:type="pct"/>
            <w:vMerge w:val="continue"/>
            <w:vAlign w:val="center"/>
          </w:tcPr>
          <w:p>
            <w:pPr>
              <w:widowControl w:val="0"/>
              <w:spacing w:line="320" w:lineRule="exact"/>
              <w:jc w:val="both"/>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p>
        </w:tc>
        <w:tc>
          <w:tcPr>
            <w:tcW w:w="1567"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标准名称</w:t>
            </w:r>
          </w:p>
        </w:tc>
        <w:tc>
          <w:tcPr>
            <w:tcW w:w="626" w:type="pct"/>
            <w:vAlign w:val="center"/>
          </w:tcPr>
          <w:p>
            <w:pPr>
              <w:widowControl w:val="0"/>
              <w:spacing w:line="320" w:lineRule="exact"/>
              <w:jc w:val="both"/>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浓度限值（mg/m</w:t>
            </w:r>
            <w:r>
              <w:rPr>
                <w:rFonts w:ascii="Times New Roman" w:hAnsi="Times New Roman" w:cs="Times New Roman" w:eastAsiaTheme="minorEastAsia"/>
                <w:bCs/>
                <w:color w:val="000000" w:themeColor="text1"/>
                <w:w w:val="99"/>
                <w:kern w:val="2"/>
                <w:sz w:val="21"/>
                <w:szCs w:val="21"/>
                <w:highlight w:val="none"/>
                <w:vertAlign w:val="superscript"/>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w:t>
            </w:r>
          </w:p>
        </w:tc>
        <w:tc>
          <w:tcPr>
            <w:tcW w:w="619" w:type="pct"/>
            <w:vMerge w:val="continue"/>
            <w:vAlign w:val="center"/>
          </w:tcPr>
          <w:p>
            <w:pPr>
              <w:widowControl w:val="0"/>
              <w:spacing w:line="320" w:lineRule="exact"/>
              <w:jc w:val="both"/>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32"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1</w:t>
            </w:r>
          </w:p>
        </w:tc>
        <w:tc>
          <w:tcPr>
            <w:tcW w:w="547"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井场、管线等</w:t>
            </w:r>
          </w:p>
        </w:tc>
        <w:tc>
          <w:tcPr>
            <w:tcW w:w="392"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油气集输</w:t>
            </w:r>
          </w:p>
        </w:tc>
        <w:tc>
          <w:tcPr>
            <w:tcW w:w="391" w:type="pct"/>
            <w:vAlign w:val="center"/>
          </w:tcPr>
          <w:p>
            <w:pPr>
              <w:widowControl w:val="0"/>
              <w:spacing w:line="32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非甲烷总烃</w:t>
            </w:r>
          </w:p>
        </w:tc>
        <w:tc>
          <w:tcPr>
            <w:tcW w:w="626"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油气集输采用密闭流程</w:t>
            </w:r>
          </w:p>
        </w:tc>
        <w:tc>
          <w:tcPr>
            <w:tcW w:w="1567"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《大气污染物综合排放标准》（GB 16297-1996）</w:t>
            </w:r>
            <w:r>
              <w:rPr>
                <w:rFonts w:hint="eastAsia" w:ascii="Times New Roman" w:hAnsi="Times New Roman" w:cs="Times New Roman" w:eastAsiaTheme="minorEastAsia"/>
                <w:bCs/>
                <w:color w:val="000000" w:themeColor="text1"/>
                <w:w w:val="99"/>
                <w:kern w:val="2"/>
                <w:sz w:val="21"/>
                <w:szCs w:val="21"/>
                <w:highlight w:val="none"/>
                <w14:textFill>
                  <w14:solidFill>
                    <w14:schemeClr w14:val="tx1"/>
                  </w14:solidFill>
                </w14:textFill>
              </w:rPr>
              <w:t>表2</w:t>
            </w: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中无组织排放监控浓度限值</w:t>
            </w:r>
          </w:p>
        </w:tc>
        <w:tc>
          <w:tcPr>
            <w:tcW w:w="626" w:type="pct"/>
            <w:vMerge w:val="restar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4.0</w:t>
            </w:r>
          </w:p>
        </w:tc>
        <w:tc>
          <w:tcPr>
            <w:tcW w:w="619" w:type="pct"/>
            <w:vMerge w:val="restart"/>
            <w:vAlign w:val="center"/>
          </w:tcPr>
          <w:p>
            <w:pPr>
              <w:widowControl w:val="0"/>
              <w:spacing w:line="320" w:lineRule="exact"/>
              <w:jc w:val="center"/>
              <w:rPr>
                <w:rFonts w:hint="default"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32"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highlight w:val="none"/>
                <w14:textFill>
                  <w14:solidFill>
                    <w14:schemeClr w14:val="tx1"/>
                  </w14:solidFill>
                </w14:textFill>
              </w:rPr>
              <w:t>2</w:t>
            </w:r>
          </w:p>
        </w:tc>
        <w:tc>
          <w:tcPr>
            <w:tcW w:w="547"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场站</w:t>
            </w:r>
          </w:p>
        </w:tc>
        <w:tc>
          <w:tcPr>
            <w:tcW w:w="392"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油气集输</w:t>
            </w:r>
          </w:p>
        </w:tc>
        <w:tc>
          <w:tcPr>
            <w:tcW w:w="391" w:type="pct"/>
            <w:vAlign w:val="center"/>
          </w:tcPr>
          <w:p>
            <w:pPr>
              <w:widowControl w:val="0"/>
              <w:spacing w:line="32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非甲烷总烃</w:t>
            </w:r>
          </w:p>
        </w:tc>
        <w:tc>
          <w:tcPr>
            <w:tcW w:w="626"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油气集输采用密闭流程</w:t>
            </w:r>
          </w:p>
        </w:tc>
        <w:tc>
          <w:tcPr>
            <w:tcW w:w="1567" w:type="pct"/>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2023年1月1日</w:t>
            </w:r>
            <w:r>
              <w:rPr>
                <w:rFonts w:hint="eastAsia" w:ascii="Times New Roman" w:hAnsi="Times New Roman" w:cs="Times New Roman" w:eastAsiaTheme="minorEastAsia"/>
                <w:bCs/>
                <w:color w:val="000000" w:themeColor="text1"/>
                <w:w w:val="99"/>
                <w:kern w:val="2"/>
                <w:sz w:val="21"/>
                <w:szCs w:val="21"/>
                <w:highlight w:val="none"/>
                <w14:textFill>
                  <w14:solidFill>
                    <w14:schemeClr w14:val="tx1"/>
                  </w14:solidFill>
                </w14:textFill>
              </w:rPr>
              <w:t>前厂界</w:t>
            </w: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执行《大气污染物综合排放标准》（GB 16297-1996）</w:t>
            </w:r>
            <w:r>
              <w:rPr>
                <w:rFonts w:hint="eastAsia" w:ascii="Times New Roman" w:hAnsi="Times New Roman" w:cs="Times New Roman" w:eastAsiaTheme="minorEastAsia"/>
                <w:bCs/>
                <w:color w:val="000000" w:themeColor="text1"/>
                <w:w w:val="99"/>
                <w:kern w:val="2"/>
                <w:sz w:val="21"/>
                <w:szCs w:val="21"/>
                <w:highlight w:val="none"/>
                <w14:textFill>
                  <w14:solidFill>
                    <w14:schemeClr w14:val="tx1"/>
                  </w14:solidFill>
                </w14:textFill>
              </w:rPr>
              <w:t>表2</w:t>
            </w: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中无组织排放监控浓度限值</w:t>
            </w:r>
            <w:r>
              <w:rPr>
                <w:rFonts w:hint="eastAsia" w:ascii="Times New Roman" w:hAnsi="Times New Roman" w:cs="Times New Roman" w:eastAsiaTheme="minorEastAsia"/>
                <w:bCs/>
                <w:color w:val="000000" w:themeColor="text1"/>
                <w:w w:val="99"/>
                <w:kern w:val="2"/>
                <w:sz w:val="21"/>
                <w:szCs w:val="21"/>
                <w:highlight w:val="none"/>
                <w14:textFill>
                  <w14:solidFill>
                    <w14:schemeClr w14:val="tx1"/>
                  </w14:solidFill>
                </w14:textFill>
              </w:rPr>
              <w:t>，，</w:t>
            </w: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2023年1月1日起</w:t>
            </w:r>
            <w:r>
              <w:rPr>
                <w:rFonts w:hint="eastAsia" w:ascii="Times New Roman" w:hAnsi="Times New Roman" w:cs="Times New Roman" w:eastAsiaTheme="minorEastAsia"/>
                <w:bCs/>
                <w:color w:val="000000" w:themeColor="text1"/>
                <w:w w:val="99"/>
                <w:kern w:val="2"/>
                <w:sz w:val="21"/>
                <w:szCs w:val="21"/>
                <w:highlight w:val="none"/>
                <w14:textFill>
                  <w14:solidFill>
                    <w14:schemeClr w14:val="tx1"/>
                  </w14:solidFill>
                </w14:textFill>
              </w:rPr>
              <w:t>边界</w:t>
            </w: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执行《陆上石油天然气开采工业大气污染物排放标准》（GB39728-2020）5.9中规定要求</w:t>
            </w:r>
          </w:p>
        </w:tc>
        <w:tc>
          <w:tcPr>
            <w:tcW w:w="626" w:type="pct"/>
            <w:vMerge w:val="continue"/>
            <w:vAlign w:val="center"/>
          </w:tcPr>
          <w:p>
            <w:pPr>
              <w:widowControl w:val="0"/>
              <w:spacing w:line="32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p>
        </w:tc>
        <w:tc>
          <w:tcPr>
            <w:tcW w:w="619" w:type="pct"/>
            <w:vMerge w:val="continue"/>
            <w:vAlign w:val="center"/>
          </w:tcPr>
          <w:p>
            <w:pPr>
              <w:widowControl w:val="0"/>
              <w:spacing w:line="32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pct"/>
            <w:gridSpan w:val="4"/>
            <w:vAlign w:val="center"/>
          </w:tcPr>
          <w:p>
            <w:pPr>
              <w:widowControl w:val="0"/>
              <w:spacing w:line="320" w:lineRule="exact"/>
              <w:jc w:val="cente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1"/>
                <w:highlight w:val="none"/>
                <w14:textFill>
                  <w14:solidFill>
                    <w14:schemeClr w14:val="tx1"/>
                  </w14:solidFill>
                </w14:textFill>
              </w:rPr>
              <w:t>无组织排放总计</w:t>
            </w:r>
          </w:p>
        </w:tc>
        <w:tc>
          <w:tcPr>
            <w:tcW w:w="2819" w:type="pct"/>
            <w:gridSpan w:val="3"/>
            <w:vAlign w:val="center"/>
          </w:tcPr>
          <w:p>
            <w:pPr>
              <w:widowControl w:val="0"/>
              <w:spacing w:line="32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非甲烷总烃</w:t>
            </w:r>
          </w:p>
        </w:tc>
        <w:tc>
          <w:tcPr>
            <w:tcW w:w="619" w:type="pct"/>
            <w:vAlign w:val="center"/>
          </w:tcPr>
          <w:p>
            <w:pPr>
              <w:widowControl w:val="0"/>
              <w:spacing w:line="32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bCs/>
                <w:color w:val="000000" w:themeColor="text1"/>
                <w:w w:val="99"/>
                <w:kern w:val="2"/>
                <w:sz w:val="21"/>
                <w:szCs w:val="20"/>
                <w:highlight w:val="none"/>
                <w14:textFill>
                  <w14:solidFill>
                    <w14:schemeClr w14:val="tx1"/>
                  </w14:solidFill>
                </w14:textFill>
              </w:rPr>
              <w:t>14.03</w:t>
            </w:r>
          </w:p>
        </w:tc>
      </w:tr>
    </w:tbl>
    <w:p>
      <w:pPr>
        <w:widowControl w:val="0"/>
        <w:spacing w:line="500" w:lineRule="exact"/>
        <w:ind w:firstLine="434" w:firstLineChars="200"/>
        <w:rPr>
          <w:rFonts w:ascii="Times New Roman" w:hAnsi="Times New Roman" w:cs="Times New Roman" w:eastAsiaTheme="minorEastAsia"/>
          <w:snapToGrid w:val="0"/>
          <w:color w:val="000000" w:themeColor="text1"/>
          <w:w w:val="99"/>
          <w:szCs w:val="20"/>
          <w:highlight w:val="none"/>
          <w14:textFill>
            <w14:solidFill>
              <w14:schemeClr w14:val="tx1"/>
            </w14:solidFill>
          </w14:textFill>
        </w:rPr>
      </w:pPr>
      <w:r>
        <w:rPr>
          <w:rFonts w:ascii="Times New Roman" w:hAnsi="Times New Roman" w:cs="Times New Roman" w:eastAsiaTheme="minorEastAsia"/>
          <w:snapToGrid w:val="0"/>
          <w:color w:val="000000" w:themeColor="text1"/>
          <w:w w:val="99"/>
          <w:szCs w:val="20"/>
          <w:highlight w:val="none"/>
          <w14:textFill>
            <w14:solidFill>
              <w14:schemeClr w14:val="tx1"/>
            </w14:solidFill>
          </w14:textFill>
        </w:rPr>
        <w:t>本项目大气污染物年排放量核算见表5.1-</w:t>
      </w:r>
      <w:r>
        <w:rPr>
          <w:rFonts w:hint="eastAsia" w:ascii="Times New Roman" w:hAnsi="Times New Roman" w:cs="Times New Roman" w:eastAsiaTheme="minorEastAsia"/>
          <w:snapToGrid w:val="0"/>
          <w:color w:val="000000" w:themeColor="text1"/>
          <w:w w:val="99"/>
          <w:szCs w:val="20"/>
          <w:highlight w:val="none"/>
          <w:lang w:val="en-US" w:eastAsia="zh-CN"/>
          <w14:textFill>
            <w14:solidFill>
              <w14:schemeClr w14:val="tx1"/>
            </w14:solidFill>
          </w14:textFill>
        </w:rPr>
        <w:t>7</w:t>
      </w:r>
      <w:r>
        <w:rPr>
          <w:rFonts w:ascii="Times New Roman" w:hAnsi="Times New Roman" w:cs="Times New Roman" w:eastAsiaTheme="minorEastAsia"/>
          <w:snapToGrid w:val="0"/>
          <w:color w:val="000000" w:themeColor="text1"/>
          <w:w w:val="99"/>
          <w:szCs w:val="20"/>
          <w:highlight w:val="none"/>
          <w14:textFill>
            <w14:solidFill>
              <w14:schemeClr w14:val="tx1"/>
            </w14:solidFill>
          </w14:textFill>
        </w:rPr>
        <w:t>。</w:t>
      </w:r>
    </w:p>
    <w:p>
      <w:pPr>
        <w:widowControl w:val="0"/>
        <w:spacing w:line="500" w:lineRule="exact"/>
        <w:ind w:firstLine="436" w:firstLineChars="200"/>
        <w:rPr>
          <w:rFonts w:ascii="Times New Roman" w:hAnsi="Times New Roman" w:cs="Times New Roman" w:eastAsiaTheme="minorEastAsia"/>
          <w:b/>
          <w:snapToGrid w:val="0"/>
          <w:color w:val="000000" w:themeColor="text1"/>
          <w:w w:val="99"/>
          <w:szCs w:val="20"/>
          <w:highlight w:val="none"/>
          <w14:textFill>
            <w14:solidFill>
              <w14:schemeClr w14:val="tx1"/>
            </w14:solidFill>
          </w14:textFill>
        </w:rPr>
      </w:pPr>
      <w:r>
        <w:rPr>
          <w:rFonts w:ascii="Times New Roman" w:hAnsi="Times New Roman" w:cs="Times New Roman" w:eastAsiaTheme="minorEastAsia"/>
          <w:b/>
          <w:snapToGrid w:val="0"/>
          <w:color w:val="000000" w:themeColor="text1"/>
          <w:w w:val="99"/>
          <w:szCs w:val="20"/>
          <w:highlight w:val="none"/>
          <w14:textFill>
            <w14:solidFill>
              <w14:schemeClr w14:val="tx1"/>
            </w14:solidFill>
          </w14:textFill>
        </w:rPr>
        <w:t>表5.1-</w:t>
      </w:r>
      <w:r>
        <w:rPr>
          <w:rFonts w:hint="eastAsia" w:ascii="Times New Roman" w:hAnsi="Times New Roman" w:cs="Times New Roman" w:eastAsiaTheme="minorEastAsia"/>
          <w:b/>
          <w:snapToGrid w:val="0"/>
          <w:color w:val="000000" w:themeColor="text1"/>
          <w:w w:val="99"/>
          <w:szCs w:val="20"/>
          <w:highlight w:val="none"/>
          <w:lang w:val="en-US" w:eastAsia="zh-CN"/>
          <w14:textFill>
            <w14:solidFill>
              <w14:schemeClr w14:val="tx1"/>
            </w14:solidFill>
          </w14:textFill>
        </w:rPr>
        <w:t>7</w:t>
      </w:r>
      <w:r>
        <w:rPr>
          <w:rFonts w:ascii="Times New Roman" w:hAnsi="Times New Roman" w:cs="Times New Roman" w:eastAsiaTheme="minorEastAsia"/>
          <w:b/>
          <w:snapToGrid w:val="0"/>
          <w:color w:val="000000" w:themeColor="text1"/>
          <w:w w:val="99"/>
          <w:szCs w:val="20"/>
          <w:highlight w:val="none"/>
          <w14:textFill>
            <w14:solidFill>
              <w14:schemeClr w14:val="tx1"/>
            </w14:solidFill>
          </w14:textFill>
        </w:rPr>
        <w:t xml:space="preserve">    </w:t>
      </w:r>
      <w:r>
        <w:rPr>
          <w:rFonts w:hint="eastAsia" w:ascii="Times New Roman" w:hAnsi="Times New Roman" w:cs="Times New Roman" w:eastAsiaTheme="minorEastAsia"/>
          <w:b/>
          <w:snapToGrid w:val="0"/>
          <w:color w:val="000000" w:themeColor="text1"/>
          <w:w w:val="99"/>
          <w:szCs w:val="20"/>
          <w:highlight w:val="none"/>
          <w:lang w:val="en-US" w:eastAsia="zh-CN"/>
          <w14:textFill>
            <w14:solidFill>
              <w14:schemeClr w14:val="tx1"/>
            </w14:solidFill>
          </w14:textFill>
        </w:rPr>
        <w:t xml:space="preserve">    </w:t>
      </w:r>
      <w:r>
        <w:rPr>
          <w:rFonts w:ascii="Times New Roman" w:hAnsi="Times New Roman" w:cs="Times New Roman" w:eastAsiaTheme="minorEastAsia"/>
          <w:b/>
          <w:snapToGrid w:val="0"/>
          <w:color w:val="000000" w:themeColor="text1"/>
          <w:w w:val="99"/>
          <w:szCs w:val="20"/>
          <w:highlight w:val="none"/>
          <w14:textFill>
            <w14:solidFill>
              <w14:schemeClr w14:val="tx1"/>
            </w14:solidFill>
          </w14:textFill>
        </w:rPr>
        <w:t>本项目大气污染物年排放量核算</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3921"/>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pct"/>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lang w:val="en-US"/>
                <w14:textFill>
                  <w14:solidFill>
                    <w14:schemeClr w14:val="tx1"/>
                  </w14:solidFill>
                </w14:textFill>
              </w:rPr>
              <w:t>序号</w:t>
            </w:r>
          </w:p>
        </w:tc>
        <w:tc>
          <w:tcPr>
            <w:tcW w:w="2110" w:type="pct"/>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lang w:val="en-US"/>
                <w14:textFill>
                  <w14:solidFill>
                    <w14:schemeClr w14:val="tx1"/>
                  </w14:solidFill>
                </w14:textFill>
              </w:rPr>
              <w:t>污染物</w:t>
            </w:r>
          </w:p>
        </w:tc>
        <w:tc>
          <w:tcPr>
            <w:tcW w:w="1874" w:type="pct"/>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lang w:val="en-US"/>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pct"/>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lang w:val="en-US"/>
                <w14:textFill>
                  <w14:solidFill>
                    <w14:schemeClr w14:val="tx1"/>
                  </w14:solidFill>
                </w14:textFill>
              </w:rPr>
              <w:t>1</w:t>
            </w:r>
          </w:p>
        </w:tc>
        <w:tc>
          <w:tcPr>
            <w:tcW w:w="2110" w:type="pct"/>
            <w:vAlign w:val="center"/>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lang w:bidi="zh-CN"/>
                <w14:textFill>
                  <w14:solidFill>
                    <w14:schemeClr w14:val="tx1"/>
                  </w14:solidFill>
                </w14:textFill>
              </w:rPr>
              <w:t>SO</w:t>
            </w:r>
            <w:r>
              <w:rPr>
                <w:rFonts w:ascii="Times New Roman" w:hAnsi="Times New Roman" w:eastAsiaTheme="minorEastAsia"/>
                <w:color w:val="000000" w:themeColor="text1"/>
                <w:w w:val="99"/>
                <w:sz w:val="21"/>
                <w:szCs w:val="21"/>
                <w:highlight w:val="none"/>
                <w:vertAlign w:val="subscript"/>
                <w:lang w:bidi="zh-CN"/>
                <w14:textFill>
                  <w14:solidFill>
                    <w14:schemeClr w14:val="tx1"/>
                  </w14:solidFill>
                </w14:textFill>
              </w:rPr>
              <w:t>2</w:t>
            </w:r>
          </w:p>
        </w:tc>
        <w:tc>
          <w:tcPr>
            <w:tcW w:w="3481" w:type="dxa"/>
            <w:vAlign w:val="center"/>
          </w:tcPr>
          <w:p>
            <w:pPr>
              <w:widowControl/>
              <w:autoSpaceDE/>
              <w:autoSpaceDN/>
              <w:jc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pct"/>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lang w:val="en-US"/>
                <w14:textFill>
                  <w14:solidFill>
                    <w14:schemeClr w14:val="tx1"/>
                  </w14:solidFill>
                </w14:textFill>
              </w:rPr>
              <w:t>2</w:t>
            </w:r>
          </w:p>
        </w:tc>
        <w:tc>
          <w:tcPr>
            <w:tcW w:w="2110" w:type="pct"/>
            <w:vAlign w:val="center"/>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lang w:bidi="zh-CN"/>
                <w14:textFill>
                  <w14:solidFill>
                    <w14:schemeClr w14:val="tx1"/>
                  </w14:solidFill>
                </w14:textFill>
              </w:rPr>
              <w:t>NO</w:t>
            </w:r>
            <w:r>
              <w:rPr>
                <w:rFonts w:ascii="Times New Roman" w:hAnsi="Times New Roman" w:eastAsiaTheme="minorEastAsia"/>
                <w:color w:val="000000" w:themeColor="text1"/>
                <w:w w:val="99"/>
                <w:sz w:val="21"/>
                <w:szCs w:val="21"/>
                <w:highlight w:val="none"/>
                <w:vertAlign w:val="subscript"/>
                <w:lang w:bidi="zh-CN"/>
                <w14:textFill>
                  <w14:solidFill>
                    <w14:schemeClr w14:val="tx1"/>
                  </w14:solidFill>
                </w14:textFill>
              </w:rPr>
              <w:t>x</w:t>
            </w:r>
          </w:p>
        </w:tc>
        <w:tc>
          <w:tcPr>
            <w:tcW w:w="3481" w:type="dxa"/>
            <w:vAlign w:val="center"/>
          </w:tcPr>
          <w:p>
            <w:pPr>
              <w:widowControl/>
              <w:autoSpaceDE/>
              <w:autoSpaceDN/>
              <w:jc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pct"/>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lang w:val="en-US"/>
                <w14:textFill>
                  <w14:solidFill>
                    <w14:schemeClr w14:val="tx1"/>
                  </w14:solidFill>
                </w14:textFill>
              </w:rPr>
              <w:t>3</w:t>
            </w:r>
          </w:p>
        </w:tc>
        <w:tc>
          <w:tcPr>
            <w:tcW w:w="2110" w:type="pct"/>
            <w:vAlign w:val="center"/>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lang w:bidi="zh-CN"/>
                <w14:textFill>
                  <w14:solidFill>
                    <w14:schemeClr w14:val="tx1"/>
                  </w14:solidFill>
                </w14:textFill>
              </w:rPr>
              <w:t>颗粒物</w:t>
            </w:r>
          </w:p>
        </w:tc>
        <w:tc>
          <w:tcPr>
            <w:tcW w:w="1874" w:type="pct"/>
            <w:vAlign w:val="center"/>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14:textFill>
                  <w14:solidFill>
                    <w14:schemeClr w14:val="tx1"/>
                  </w14:solidFill>
                </w14:textFill>
              </w:rPr>
              <w:t>0.0291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pct"/>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lang w:val="en-US"/>
                <w14:textFill>
                  <w14:solidFill>
                    <w14:schemeClr w14:val="tx1"/>
                  </w14:solidFill>
                </w14:textFill>
              </w:rPr>
              <w:t>4</w:t>
            </w:r>
          </w:p>
        </w:tc>
        <w:tc>
          <w:tcPr>
            <w:tcW w:w="2110" w:type="pct"/>
            <w:vAlign w:val="center"/>
          </w:tcPr>
          <w:p>
            <w:pPr>
              <w:pStyle w:val="103"/>
              <w:adjustRightInd w:val="0"/>
              <w:snapToGrid w:val="0"/>
              <w:spacing w:line="360" w:lineRule="exact"/>
              <w:textAlignment w:val="center"/>
              <w:rPr>
                <w:rFonts w:ascii="Times New Roman" w:hAnsi="Times New Roman" w:eastAsiaTheme="minorEastAsia"/>
                <w:color w:val="000000" w:themeColor="text1"/>
                <w:w w:val="99"/>
                <w:sz w:val="21"/>
                <w:szCs w:val="21"/>
                <w:highlight w:val="none"/>
                <w:lang w:val="en-US"/>
                <w14:textFill>
                  <w14:solidFill>
                    <w14:schemeClr w14:val="tx1"/>
                  </w14:solidFill>
                </w14:textFill>
              </w:rPr>
            </w:pPr>
            <w:r>
              <w:rPr>
                <w:rFonts w:ascii="Times New Roman" w:hAnsi="Times New Roman" w:eastAsiaTheme="minorEastAsia"/>
                <w:color w:val="000000" w:themeColor="text1"/>
                <w:w w:val="99"/>
                <w:sz w:val="21"/>
                <w:szCs w:val="21"/>
                <w:highlight w:val="none"/>
                <w14:textFill>
                  <w14:solidFill>
                    <w14:schemeClr w14:val="tx1"/>
                  </w14:solidFill>
                </w14:textFill>
              </w:rPr>
              <w:t>非甲烷总烃</w:t>
            </w:r>
          </w:p>
        </w:tc>
        <w:tc>
          <w:tcPr>
            <w:tcW w:w="1874" w:type="pct"/>
            <w:vAlign w:val="center"/>
          </w:tcPr>
          <w:p>
            <w:pPr>
              <w:pStyle w:val="103"/>
              <w:adjustRightInd w:val="0"/>
              <w:snapToGrid w:val="0"/>
              <w:spacing w:line="360" w:lineRule="exact"/>
              <w:textAlignment w:val="center"/>
              <w:rPr>
                <w:rFonts w:hint="default" w:ascii="Times New Roman" w:hAnsi="Times New Roman" w:eastAsiaTheme="minorEastAsia"/>
                <w:color w:val="000000" w:themeColor="text1"/>
                <w:w w:val="99"/>
                <w:sz w:val="21"/>
                <w:szCs w:val="21"/>
                <w:highlight w:val="none"/>
                <w:lang w:val="en-US" w:eastAsia="zh-CN"/>
                <w14:textFill>
                  <w14:solidFill>
                    <w14:schemeClr w14:val="tx1"/>
                  </w14:solidFill>
                </w14:textFill>
              </w:rPr>
            </w:pPr>
            <w:r>
              <w:rPr>
                <w:rFonts w:hint="eastAsia" w:ascii="Times New Roman" w:hAnsi="Times New Roman" w:eastAsiaTheme="minorEastAsia"/>
                <w:bCs/>
                <w:color w:val="000000" w:themeColor="text1"/>
                <w:w w:val="99"/>
                <w:sz w:val="21"/>
                <w:highlight w:val="none"/>
                <w:lang w:val="en-US" w:eastAsia="zh-CN"/>
                <w14:textFill>
                  <w14:solidFill>
                    <w14:schemeClr w14:val="tx1"/>
                  </w14:solidFill>
                </w14:textFill>
              </w:rPr>
              <w:t>24.24</w:t>
            </w:r>
          </w:p>
        </w:tc>
      </w:tr>
    </w:tbl>
    <w:p>
      <w:pPr>
        <w:keepNext w:val="0"/>
        <w:keepLines w:val="0"/>
        <w:pageBreakBefore w:val="0"/>
        <w:widowControl w:val="0"/>
        <w:kinsoku/>
        <w:wordWrap/>
        <w:overflowPunct/>
        <w:topLinePunct/>
        <w:autoSpaceDE w:val="0"/>
        <w:autoSpaceDN w:val="0"/>
        <w:bidi w:val="0"/>
        <w:adjustRightInd/>
        <w:snapToGrid/>
        <w:spacing w:line="440" w:lineRule="exact"/>
        <w:ind w:firstLine="474" w:firstLineChars="200"/>
        <w:jc w:val="both"/>
        <w:textAlignment w:val="auto"/>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hint="default" w:ascii="Times New Roman" w:hAnsi="Times New Roman" w:cs="Times New Roman"/>
          <w:color w:val="000000" w:themeColor="text1"/>
          <w:w w:val="99"/>
          <w:sz w:val="24"/>
          <w:szCs w:val="24"/>
          <w:highlight w:val="none"/>
          <w14:textFill>
            <w14:solidFill>
              <w14:schemeClr w14:val="tx1"/>
            </w14:solidFill>
          </w14:textFill>
        </w:rPr>
        <w:t>②</w:t>
      </w:r>
      <w:r>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t>非正常工况下大气污染物年排放量核算</w:t>
      </w:r>
    </w:p>
    <w:p>
      <w:pPr>
        <w:pStyle w:val="43"/>
        <w:keepNext w:val="0"/>
        <w:keepLines w:val="0"/>
        <w:pageBreakBefore w:val="0"/>
        <w:widowControl w:val="0"/>
        <w:kinsoku/>
        <w:wordWrap/>
        <w:overflowPunct/>
        <w:autoSpaceDE w:val="0"/>
        <w:autoSpaceDN w:val="0"/>
        <w:bidi w:val="0"/>
        <w:adjustRightInd/>
        <w:snapToGrid/>
        <w:spacing w:line="440" w:lineRule="exact"/>
        <w:ind w:firstLine="474" w:firstLineChars="200"/>
        <w:jc w:val="both"/>
        <w:textAlignment w:val="auto"/>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t>根据工程分析可知，本项目涉及的非正常工况条件下的废气排放主要为井场、场站设备检修时非甲烷总烃的溢散，一般情况下检修时间较短（1-2d），非甲烷总烃溢散量难以核算，且项目均处于野外，扩散条件较好，不会对周围大气环境造成较大影响。</w:t>
      </w:r>
    </w:p>
    <w:p>
      <w:pPr>
        <w:pStyle w:val="43"/>
        <w:keepNext w:val="0"/>
        <w:keepLines w:val="0"/>
        <w:pageBreakBefore w:val="0"/>
        <w:widowControl w:val="0"/>
        <w:kinsoku/>
        <w:wordWrap/>
        <w:overflowPunct/>
        <w:autoSpaceDE w:val="0"/>
        <w:autoSpaceDN w:val="0"/>
        <w:bidi w:val="0"/>
        <w:adjustRightInd/>
        <w:snapToGrid/>
        <w:spacing w:line="440" w:lineRule="exact"/>
        <w:ind w:firstLine="474" w:firstLineChars="200"/>
        <w:jc w:val="both"/>
        <w:textAlignment w:val="auto"/>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t>（4）大气环境防护距离</w:t>
      </w:r>
    </w:p>
    <w:p>
      <w:pPr>
        <w:pStyle w:val="43"/>
        <w:keepNext w:val="0"/>
        <w:keepLines w:val="0"/>
        <w:pageBreakBefore w:val="0"/>
        <w:widowControl w:val="0"/>
        <w:kinsoku/>
        <w:wordWrap/>
        <w:overflowPunct/>
        <w:autoSpaceDE w:val="0"/>
        <w:autoSpaceDN w:val="0"/>
        <w:bidi w:val="0"/>
        <w:adjustRightInd/>
        <w:snapToGrid/>
        <w:spacing w:line="440" w:lineRule="exact"/>
        <w:ind w:firstLine="474" w:firstLineChars="200"/>
        <w:jc w:val="both"/>
        <w:textAlignment w:val="auto"/>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t>本次大气环境影响评价等级定为二级，根据《环境影响评价技术导则大气环境》（HJ2.2-2018）的8.7.5条要求“对于项目厂界浓度满足大气污染物厂界浓度限值，但厂界外大气污染物短期贡献浓度超过环境质量浓度限值的，可以自厂界向外设置一定范围的大气环境防护区域，以确保大气环境防护区域外的贡献浓度满足环境质量标准”，根据预测结果，本项目无组织排放的非甲烷总烃厂界浓度值满足《大气污染物综合排放标准详解》中标准限值，故无需计算大气环境防护距离，无需设置大气环境防护区域。</w:t>
      </w:r>
    </w:p>
    <w:p>
      <w:pPr>
        <w:widowControl w:val="0"/>
        <w:spacing w:line="440" w:lineRule="exact"/>
        <w:ind w:firstLine="474" w:firstLineChars="200"/>
        <w:jc w:val="both"/>
        <w:rPr>
          <w:rFonts w:hint="default" w:ascii="Times New Roman" w:hAnsi="Times New Roman" w:cs="Times New Roman"/>
          <w:color w:val="000000" w:themeColor="text1"/>
          <w:w w:val="99"/>
          <w:kern w:val="2"/>
          <w:sz w:val="24"/>
          <w:szCs w:val="24"/>
          <w:highlight w:val="none"/>
          <w14:textFill>
            <w14:solidFill>
              <w14:schemeClr w14:val="tx1"/>
            </w14:solidFill>
          </w14:textFill>
        </w:rPr>
      </w:pPr>
      <w:r>
        <w:rPr>
          <w:rFonts w:hint="default" w:ascii="Times New Roman" w:hAnsi="Times New Roman" w:cs="Times New Roman"/>
          <w:color w:val="000000" w:themeColor="text1"/>
          <w:w w:val="99"/>
          <w:kern w:val="2"/>
          <w:sz w:val="24"/>
          <w:szCs w:val="24"/>
          <w:highlight w:val="none"/>
          <w14:textFill>
            <w14:solidFill>
              <w14:schemeClr w14:val="tx1"/>
            </w14:solidFill>
          </w14:textFill>
        </w:rPr>
        <w:t>（5）评价结论</w:t>
      </w:r>
    </w:p>
    <w:p>
      <w:pPr>
        <w:widowControl w:val="0"/>
        <w:spacing w:line="440" w:lineRule="exact"/>
        <w:ind w:firstLine="474" w:firstLineChars="200"/>
        <w:jc w:val="both"/>
        <w:rPr>
          <w:rFonts w:hint="default" w:ascii="Times New Roman" w:hAnsi="Times New Roman" w:cs="Times New Roman"/>
          <w:color w:val="000000" w:themeColor="text1"/>
          <w:spacing w:val="-9"/>
          <w:w w:val="99"/>
          <w:sz w:val="24"/>
          <w:szCs w:val="24"/>
          <w:highlight w:val="none"/>
          <w14:textFill>
            <w14:solidFill>
              <w14:schemeClr w14:val="tx1"/>
            </w14:solidFill>
          </w14:textFill>
        </w:rPr>
      </w:pPr>
      <w:r>
        <w:rPr>
          <w:rFonts w:hint="default" w:ascii="Times New Roman" w:hAnsi="Times New Roman" w:cs="Times New Roman"/>
          <w:color w:val="000000" w:themeColor="text1"/>
          <w:w w:val="99"/>
          <w:kern w:val="2"/>
          <w:sz w:val="24"/>
          <w:szCs w:val="24"/>
          <w:highlight w:val="none"/>
          <w14:textFill>
            <w14:solidFill>
              <w14:schemeClr w14:val="tx1"/>
            </w14:solidFill>
          </w14:textFill>
        </w:rPr>
        <w:t>通过在施工期采用洒水抑尘、车辆采取密闭措施厂界颗粒物浓度可以满足</w:t>
      </w:r>
      <w:r>
        <w:rPr>
          <w:rFonts w:hint="default" w:ascii="Times New Roman" w:hAnsi="Times New Roman" w:cs="Times New Roman" w:eastAsiaTheme="minorEastAsia"/>
          <w:bCs/>
          <w:color w:val="000000" w:themeColor="text1"/>
          <w:w w:val="99"/>
          <w:kern w:val="21"/>
          <w:sz w:val="24"/>
          <w:szCs w:val="24"/>
          <w:highlight w:val="none"/>
          <w14:textFill>
            <w14:solidFill>
              <w14:schemeClr w14:val="tx1"/>
            </w14:solidFill>
          </w14:textFill>
        </w:rPr>
        <w:t>《大气污染物综合排放标准》（GB 16297-1996）表2中</w:t>
      </w:r>
      <w:r>
        <w:rPr>
          <w:rFonts w:hint="default" w:ascii="Times New Roman" w:hAnsi="Times New Roman" w:cs="Times New Roman" w:eastAsiaTheme="minorEastAsia"/>
          <w:bCs/>
          <w:color w:val="000000" w:themeColor="text1"/>
          <w:w w:val="99"/>
          <w:kern w:val="21"/>
          <w:sz w:val="24"/>
          <w:szCs w:val="24"/>
          <w:highlight w:val="none"/>
          <w:lang w:bidi="zh-CN"/>
          <w14:textFill>
            <w14:solidFill>
              <w14:schemeClr w14:val="tx1"/>
            </w14:solidFill>
          </w14:textFill>
        </w:rPr>
        <w:t>无组织排放监控浓度限值</w:t>
      </w:r>
      <w:r>
        <w:rPr>
          <w:rFonts w:hint="default" w:ascii="Times New Roman" w:hAnsi="Times New Roman" w:cs="Times New Roman"/>
          <w:color w:val="000000" w:themeColor="text1"/>
          <w:w w:val="99"/>
          <w:kern w:val="2"/>
          <w:sz w:val="24"/>
          <w:szCs w:val="24"/>
          <w:highlight w:val="none"/>
          <w14:textFill>
            <w14:solidFill>
              <w14:schemeClr w14:val="tx1"/>
            </w14:solidFill>
          </w14:textFill>
        </w:rPr>
        <w:t>；在运行期油田生产过程中采用全密闭工艺流程，烃类气体的损失量可以控制在合理范围以内，</w:t>
      </w:r>
      <w:r>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t>井场排放的非甲烷总烃满足《大气污染物综合排放标准》(GB16297-1996)</w:t>
      </w:r>
      <w:r>
        <w:rPr>
          <w:rFonts w:hint="default" w:ascii="Times New Roman" w:hAnsi="Times New Roman" w:cs="Times New Roman" w:eastAsiaTheme="minorEastAsia"/>
          <w:bCs/>
          <w:color w:val="000000" w:themeColor="text1"/>
          <w:w w:val="99"/>
          <w:kern w:val="21"/>
          <w:sz w:val="24"/>
          <w:szCs w:val="24"/>
          <w:highlight w:val="none"/>
          <w14:textFill>
            <w14:solidFill>
              <w14:schemeClr w14:val="tx1"/>
            </w14:solidFill>
          </w14:textFill>
        </w:rPr>
        <w:t xml:space="preserve"> 表2中</w:t>
      </w:r>
      <w:r>
        <w:rPr>
          <w:rFonts w:hint="default" w:ascii="Times New Roman" w:hAnsi="Times New Roman" w:cs="Times New Roman" w:eastAsiaTheme="minorEastAsia"/>
          <w:bCs/>
          <w:color w:val="000000" w:themeColor="text1"/>
          <w:w w:val="99"/>
          <w:kern w:val="21"/>
          <w:sz w:val="24"/>
          <w:szCs w:val="24"/>
          <w:highlight w:val="none"/>
          <w:lang w:bidi="zh-CN"/>
          <w14:textFill>
            <w14:solidFill>
              <w14:schemeClr w14:val="tx1"/>
            </w14:solidFill>
          </w14:textFill>
        </w:rPr>
        <w:t>无组织排放监控浓度限值；</w:t>
      </w:r>
      <w:r>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t>依托场站排放的非甲烷总烃厂界满足</w:t>
      </w:r>
      <w:r>
        <w:rPr>
          <w:rFonts w:hint="default" w:ascii="Times New Roman" w:hAnsi="Times New Roman" w:cs="Times New Roman" w:eastAsiaTheme="minorEastAsia"/>
          <w:bCs/>
          <w:color w:val="000000" w:themeColor="text1"/>
          <w:w w:val="99"/>
          <w:kern w:val="21"/>
          <w:sz w:val="24"/>
          <w:szCs w:val="24"/>
          <w:highlight w:val="none"/>
          <w14:textFill>
            <w14:solidFill>
              <w14:schemeClr w14:val="tx1"/>
            </w14:solidFill>
          </w14:textFill>
        </w:rPr>
        <w:t>《大气污染物综合排放标准》（GB 16297-1996）表2中</w:t>
      </w:r>
      <w:r>
        <w:rPr>
          <w:rFonts w:hint="default" w:ascii="Times New Roman" w:hAnsi="Times New Roman" w:cs="Times New Roman" w:eastAsiaTheme="minorEastAsia"/>
          <w:bCs/>
          <w:color w:val="000000" w:themeColor="text1"/>
          <w:w w:val="99"/>
          <w:kern w:val="21"/>
          <w:sz w:val="24"/>
          <w:szCs w:val="24"/>
          <w:highlight w:val="none"/>
          <w:lang w:bidi="zh-CN"/>
          <w14:textFill>
            <w14:solidFill>
              <w14:schemeClr w14:val="tx1"/>
            </w14:solidFill>
          </w14:textFill>
        </w:rPr>
        <w:t>无组织排放监控浓度限值及</w:t>
      </w:r>
      <w:r>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t>《陆上石油天然气开采工业大气污染物排放标准》（GB39728-2020）5.9中规定要求（依托场站2023年1月1日前厂界执行</w:t>
      </w:r>
      <w:r>
        <w:rPr>
          <w:rFonts w:hint="default" w:ascii="Times New Roman" w:hAnsi="Times New Roman" w:cs="Times New Roman" w:eastAsiaTheme="minorEastAsia"/>
          <w:bCs/>
          <w:color w:val="000000" w:themeColor="text1"/>
          <w:w w:val="99"/>
          <w:kern w:val="21"/>
          <w:sz w:val="24"/>
          <w:szCs w:val="24"/>
          <w:highlight w:val="none"/>
          <w14:textFill>
            <w14:solidFill>
              <w14:schemeClr w14:val="tx1"/>
            </w14:solidFill>
          </w14:textFill>
        </w:rPr>
        <w:t>《大气污染物综合排放标准》（GB 16297-1996）表2中</w:t>
      </w:r>
      <w:r>
        <w:rPr>
          <w:rFonts w:hint="default" w:ascii="Times New Roman" w:hAnsi="Times New Roman" w:cs="Times New Roman" w:eastAsiaTheme="minorEastAsia"/>
          <w:bCs/>
          <w:color w:val="000000" w:themeColor="text1"/>
          <w:w w:val="99"/>
          <w:kern w:val="21"/>
          <w:sz w:val="24"/>
          <w:szCs w:val="24"/>
          <w:highlight w:val="none"/>
          <w:lang w:bidi="zh-CN"/>
          <w14:textFill>
            <w14:solidFill>
              <w14:schemeClr w14:val="tx1"/>
            </w14:solidFill>
          </w14:textFill>
        </w:rPr>
        <w:t>无组织排放监控浓度限值，</w:t>
      </w:r>
      <w:r>
        <w:rPr>
          <w:rFonts w:hint="default" w:ascii="Times New Roman" w:hAnsi="Times New Roman" w:cs="Times New Roman" w:eastAsiaTheme="minorEastAsia"/>
          <w:color w:val="000000" w:themeColor="text1"/>
          <w:w w:val="99"/>
          <w:sz w:val="24"/>
          <w:szCs w:val="24"/>
          <w:highlight w:val="none"/>
          <w14:textFill>
            <w14:solidFill>
              <w14:schemeClr w14:val="tx1"/>
            </w14:solidFill>
          </w14:textFill>
        </w:rPr>
        <w:t>2023年1月1日起边界执行《陆上石油天然气开采工业大气污染物排放标准》（GB39728-2020）5.9中规定要求），场站排放的非甲烷总烃厂区内满足《挥发性有机物无组织排放控制标准》（GB 37822-2019）附录A 中VOCs 无组织排放限值要求</w:t>
      </w:r>
      <w:r>
        <w:rPr>
          <w:rFonts w:hint="default" w:ascii="Times New Roman" w:hAnsi="Times New Roman" w:cs="Times New Roman"/>
          <w:color w:val="000000" w:themeColor="text1"/>
          <w:w w:val="99"/>
          <w:kern w:val="2"/>
          <w:sz w:val="24"/>
          <w:szCs w:val="24"/>
          <w:highlight w:val="none"/>
          <w14:textFill>
            <w14:solidFill>
              <w14:schemeClr w14:val="tx1"/>
            </w14:solidFill>
          </w14:textFill>
        </w:rPr>
        <w:t>。通过采取过程全控制的措施，满足相关标准的要求。通过预测可知，本项目对大气环境影响较小，无需设置大气环境防护区域。</w:t>
      </w:r>
      <w:r>
        <w:rPr>
          <w:rFonts w:hint="default" w:ascii="Times New Roman" w:hAnsi="Times New Roman" w:cs="Times New Roman"/>
          <w:color w:val="000000" w:themeColor="text1"/>
          <w:spacing w:val="-9"/>
          <w:w w:val="99"/>
          <w:sz w:val="24"/>
          <w:szCs w:val="24"/>
          <w:highlight w:val="none"/>
          <w14:textFill>
            <w14:solidFill>
              <w14:schemeClr w14:val="tx1"/>
            </w14:solidFill>
          </w14:textFill>
        </w:rPr>
        <w:t>项目大气环境影响评价自查表见表5.1-</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pacing w:val="-9"/>
          <w:w w:val="99"/>
          <w:sz w:val="24"/>
          <w:szCs w:val="24"/>
          <w:highlight w:val="none"/>
          <w14:textFill>
            <w14:solidFill>
              <w14:schemeClr w14:val="tx1"/>
            </w14:solidFill>
          </w14:textFill>
        </w:rPr>
        <w:t>。</w:t>
      </w:r>
    </w:p>
    <w:p>
      <w:pPr>
        <w:pStyle w:val="14"/>
        <w:spacing w:line="440" w:lineRule="exact"/>
        <w:ind w:firstLine="440" w:firstLineChars="200"/>
        <w:jc w:val="both"/>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b/>
          <w:bCs/>
          <w:color w:val="000000" w:themeColor="text1"/>
          <w:spacing w:val="-9"/>
          <w:w w:val="99"/>
          <w:sz w:val="24"/>
          <w:szCs w:val="24"/>
          <w:highlight w:val="none"/>
          <w14:textFill>
            <w14:solidFill>
              <w14:schemeClr w14:val="tx1"/>
            </w14:solidFill>
          </w14:textFill>
        </w:rPr>
        <w:t>表</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5.1-</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 xml:space="preserve">8    </w:t>
      </w:r>
      <w:r>
        <w:rPr>
          <w:rFonts w:hint="eastAsia"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大气环境影响评价自查表</w:t>
      </w:r>
    </w:p>
    <w:tbl>
      <w:tblPr>
        <w:tblStyle w:val="3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497"/>
        <w:gridCol w:w="1113"/>
        <w:gridCol w:w="552"/>
        <w:gridCol w:w="424"/>
        <w:gridCol w:w="257"/>
        <w:gridCol w:w="817"/>
        <w:gridCol w:w="167"/>
        <w:gridCol w:w="511"/>
        <w:gridCol w:w="65"/>
        <w:gridCol w:w="435"/>
        <w:gridCol w:w="162"/>
        <w:gridCol w:w="492"/>
        <w:gridCol w:w="122"/>
        <w:gridCol w:w="223"/>
        <w:gridCol w:w="149"/>
        <w:gridCol w:w="676"/>
        <w:gridCol w:w="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5" w:type="dxa"/>
            <w:gridSpan w:val="2"/>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工作内容</w:t>
            </w:r>
          </w:p>
        </w:tc>
        <w:tc>
          <w:tcPr>
            <w:tcW w:w="6661" w:type="dxa"/>
            <w:gridSpan w:val="16"/>
            <w:tcBorders>
              <w:tl2br w:val="nil"/>
              <w:tr2bl w:val="nil"/>
            </w:tcBorders>
            <w:vAlign w:val="center"/>
          </w:tcPr>
          <w:p>
            <w:pPr>
              <w:autoSpaceDE/>
              <w:autoSpaceDN/>
              <w:spacing w:line="28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采油七厂葡北油田三断块葡72-70井区深部调驱产能建设地面工程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评价等级与范围</w:t>
            </w: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评价等级</w:t>
            </w:r>
          </w:p>
        </w:tc>
        <w:tc>
          <w:tcPr>
            <w:tcW w:w="2346"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一级</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2771"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二级</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c>
          <w:tcPr>
            <w:tcW w:w="1544"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三级</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评价范围</w:t>
            </w:r>
          </w:p>
        </w:tc>
        <w:tc>
          <w:tcPr>
            <w:tcW w:w="2346"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边长=50km</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2771"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边长5~50km</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544"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边长=5km</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评价因子</w:t>
            </w: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X</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排放量</w:t>
            </w:r>
          </w:p>
        </w:tc>
        <w:tc>
          <w:tcPr>
            <w:tcW w:w="2346"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≧2000t/a</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2771"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500~2000t/a</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544"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&lt;500t/a</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评价因子</w:t>
            </w:r>
          </w:p>
        </w:tc>
        <w:tc>
          <w:tcPr>
            <w:tcW w:w="4341" w:type="dxa"/>
            <w:gridSpan w:val="9"/>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基本污染物（SO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、颗粒物）</w:t>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其他污染物（非甲烷总烃）</w:t>
            </w:r>
          </w:p>
        </w:tc>
        <w:tc>
          <w:tcPr>
            <w:tcW w:w="2320" w:type="dxa"/>
            <w:gridSpan w:val="7"/>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包括二次PM</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2.5</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不包括二次PM</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2.5</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评价标准</w:t>
            </w: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评价标准</w:t>
            </w:r>
          </w:p>
        </w:tc>
        <w:tc>
          <w:tcPr>
            <w:tcW w:w="2346"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国家标准</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c>
          <w:tcPr>
            <w:tcW w:w="1495" w:type="dxa"/>
            <w:gridSpan w:val="3"/>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地方标准</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648" w:type="dxa"/>
            <w:gridSpan w:val="7"/>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附录D</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172" w:type="dxa"/>
            <w:gridSpan w:val="2"/>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其他标准</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现状评价</w:t>
            </w: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环境功能区</w:t>
            </w:r>
          </w:p>
        </w:tc>
        <w:tc>
          <w:tcPr>
            <w:tcW w:w="2346"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一类区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2771"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c>
          <w:tcPr>
            <w:tcW w:w="1544"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一类区和二类区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评价基准年</w:t>
            </w:r>
          </w:p>
        </w:tc>
        <w:tc>
          <w:tcPr>
            <w:tcW w:w="6661" w:type="dxa"/>
            <w:gridSpan w:val="16"/>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环境空气质量</w:t>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现状调查数据来源</w:t>
            </w:r>
          </w:p>
        </w:tc>
        <w:tc>
          <w:tcPr>
            <w:tcW w:w="2346"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长期例行监测数据</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2771"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主管部门发布的数据</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c>
          <w:tcPr>
            <w:tcW w:w="1544"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现状补充监测</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现状评价</w:t>
            </w:r>
          </w:p>
        </w:tc>
        <w:tc>
          <w:tcPr>
            <w:tcW w:w="3906"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达标区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c>
          <w:tcPr>
            <w:tcW w:w="2755"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不达标区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污染源</w:t>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调查</w:t>
            </w: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调查内容</w:t>
            </w:r>
          </w:p>
        </w:tc>
        <w:tc>
          <w:tcPr>
            <w:tcW w:w="2346"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本项目正常排放源</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本项目非正常排放源</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现有污染源</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560"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拟替代的污染源</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583" w:type="dxa"/>
            <w:gridSpan w:val="6"/>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其他在建、拟建项目污染源</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172" w:type="dxa"/>
            <w:gridSpan w:val="2"/>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区域污染源</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大气环境影响预测与评价</w:t>
            </w: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预测模型</w:t>
            </w:r>
          </w:p>
        </w:tc>
        <w:tc>
          <w:tcPr>
            <w:tcW w:w="1113"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AERMOD</w:t>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976" w:type="dxa"/>
            <w:gridSpan w:val="2"/>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ADMS</w:t>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074" w:type="dxa"/>
            <w:gridSpan w:val="2"/>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AUSTAL2000</w:t>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178"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EDMS/AEDT</w:t>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999"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CALPUFF</w:t>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825" w:type="dxa"/>
            <w:gridSpan w:val="2"/>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网络模型</w:t>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496"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其他</w:t>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预测范围</w:t>
            </w:r>
          </w:p>
        </w:tc>
        <w:tc>
          <w:tcPr>
            <w:tcW w:w="2346"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边长≧50km</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2771"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边长5~50km</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544"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边长=5km</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预测因子</w:t>
            </w:r>
          </w:p>
        </w:tc>
        <w:tc>
          <w:tcPr>
            <w:tcW w:w="3163" w:type="dxa"/>
            <w:gridSpan w:val="5"/>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预测因子</w:t>
            </w:r>
          </w:p>
        </w:tc>
        <w:tc>
          <w:tcPr>
            <w:tcW w:w="3498" w:type="dxa"/>
            <w:gridSpan w:val="11"/>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包括二次PM</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2.5</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不包括二次PM</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2.5</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正常排放短期浓度贡献值</w:t>
            </w:r>
          </w:p>
        </w:tc>
        <w:tc>
          <w:tcPr>
            <w:tcW w:w="3163" w:type="dxa"/>
            <w:gridSpan w:val="5"/>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本项目</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最大占标率≦100%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3498" w:type="dxa"/>
            <w:gridSpan w:val="11"/>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本项目</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最大占标率&gt;100%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vMerge w:val="restart"/>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正常排放年均浓度贡献值</w:t>
            </w:r>
          </w:p>
        </w:tc>
        <w:tc>
          <w:tcPr>
            <w:tcW w:w="2089" w:type="dxa"/>
            <w:gridSpan w:val="3"/>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一类区</w:t>
            </w:r>
          </w:p>
        </w:tc>
        <w:tc>
          <w:tcPr>
            <w:tcW w:w="2414" w:type="dxa"/>
            <w:gridSpan w:val="7"/>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本项目</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最大占标率≦10%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2158" w:type="dxa"/>
            <w:gridSpan w:val="6"/>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本项目</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最大占标率＞10%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089" w:type="dxa"/>
            <w:gridSpan w:val="3"/>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二类区</w:t>
            </w:r>
          </w:p>
        </w:tc>
        <w:tc>
          <w:tcPr>
            <w:tcW w:w="2414" w:type="dxa"/>
            <w:gridSpan w:val="7"/>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本项目</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最大占标率≦30%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2158" w:type="dxa"/>
            <w:gridSpan w:val="6"/>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本项目</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最大占标率＞30%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非正常排放1h浓度贡献值</w:t>
            </w:r>
          </w:p>
        </w:tc>
        <w:tc>
          <w:tcPr>
            <w:tcW w:w="2346"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非正常持续时长（）h</w:t>
            </w:r>
          </w:p>
        </w:tc>
        <w:tc>
          <w:tcPr>
            <w:tcW w:w="2771"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C非正常占标率≦100%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1544"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C非正常占标率&gt;100%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保证率日平均浓度和年评价浓度叠加值</w:t>
            </w:r>
          </w:p>
        </w:tc>
        <w:tc>
          <w:tcPr>
            <w:tcW w:w="3163" w:type="dxa"/>
            <w:gridSpan w:val="5"/>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C叠加达标</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3498" w:type="dxa"/>
            <w:gridSpan w:val="11"/>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C叠加不达标</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区域环境质量的整体变化情况</w:t>
            </w:r>
          </w:p>
        </w:tc>
        <w:tc>
          <w:tcPr>
            <w:tcW w:w="3163" w:type="dxa"/>
            <w:gridSpan w:val="5"/>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k≦-20%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c>
          <w:tcPr>
            <w:tcW w:w="3498" w:type="dxa"/>
            <w:gridSpan w:val="11"/>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K&gt;-20%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环境监测计划</w:t>
            </w: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污染源监测</w:t>
            </w:r>
          </w:p>
        </w:tc>
        <w:tc>
          <w:tcPr>
            <w:tcW w:w="3163" w:type="dxa"/>
            <w:gridSpan w:val="5"/>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监测因子：SO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、NOx、颗粒物非甲烷总烃</w:t>
            </w:r>
          </w:p>
        </w:tc>
        <w:tc>
          <w:tcPr>
            <w:tcW w:w="2177"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有组织废气监测</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无组织废气监测</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c>
          <w:tcPr>
            <w:tcW w:w="1321" w:type="dxa"/>
            <w:gridSpan w:val="3"/>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无监测</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环境质量监测</w:t>
            </w:r>
          </w:p>
        </w:tc>
        <w:tc>
          <w:tcPr>
            <w:tcW w:w="3163" w:type="dxa"/>
            <w:gridSpan w:val="5"/>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监测因子：（/）</w:t>
            </w:r>
          </w:p>
        </w:tc>
        <w:tc>
          <w:tcPr>
            <w:tcW w:w="2177" w:type="dxa"/>
            <w:gridSpan w:val="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监测点位数（/）</w:t>
            </w:r>
          </w:p>
        </w:tc>
        <w:tc>
          <w:tcPr>
            <w:tcW w:w="1321" w:type="dxa"/>
            <w:gridSpan w:val="3"/>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无监测</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环评结论</w:t>
            </w: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环境影响</w:t>
            </w:r>
          </w:p>
        </w:tc>
        <w:tc>
          <w:tcPr>
            <w:tcW w:w="6661" w:type="dxa"/>
            <w:gridSpan w:val="16"/>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可以接受</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FE"/>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      不可以接受</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大气环境防护距离</w:t>
            </w:r>
          </w:p>
        </w:tc>
        <w:tc>
          <w:tcPr>
            <w:tcW w:w="6661" w:type="dxa"/>
            <w:gridSpan w:val="16"/>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97" w:type="dxa"/>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污染源年排放量</w:t>
            </w:r>
          </w:p>
        </w:tc>
        <w:tc>
          <w:tcPr>
            <w:tcW w:w="1665" w:type="dxa"/>
            <w:gridSpan w:val="2"/>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665" w:type="dxa"/>
            <w:gridSpan w:val="4"/>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NO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X</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665" w:type="dxa"/>
            <w:gridSpan w:val="5"/>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颗粒物：（）t/a</w:t>
            </w:r>
          </w:p>
        </w:tc>
        <w:tc>
          <w:tcPr>
            <w:tcW w:w="1666" w:type="dxa"/>
            <w:gridSpan w:val="5"/>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VOC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S</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24.24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18"/>
            <w:tcBorders>
              <w:tl2br w:val="nil"/>
              <w:tr2bl w:val="nil"/>
            </w:tcBorders>
            <w:vAlign w:val="center"/>
          </w:tcPr>
          <w:p>
            <w:pPr>
              <w:autoSpaceDE/>
              <w:autoSpaceDN/>
              <w:spacing w:line="28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注：“</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w:char="00A8"/>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”为勾选项，填“√”；“（）”为内容填写项</w:t>
            </w:r>
          </w:p>
        </w:tc>
      </w:tr>
    </w:tbl>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73" w:name="_Toc609"/>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5.2 水环境影响预测与评价</w:t>
      </w:r>
      <w:bookmarkEnd w:id="173"/>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.2.1 </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地表水</w:t>
      </w:r>
      <w:r>
        <w:rPr>
          <w:rFonts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环境影响分析</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hint="eastAsia" w:ascii="Times New Roman" w:hAnsi="Times New Roman" w:cs="Times New Roman"/>
          <w:bCs/>
          <w:color w:val="000000" w:themeColor="text1"/>
          <w:spacing w:val="-9"/>
          <w:w w:val="99"/>
          <w:sz w:val="24"/>
          <w:szCs w:val="24"/>
          <w:highlight w:val="none"/>
          <w:lang w:val="en-US"/>
          <w14:textFill>
            <w14:solidFill>
              <w14:schemeClr w14:val="tx1"/>
            </w14:solidFill>
          </w14:textFill>
        </w:rPr>
        <w:t>本工程</w:t>
      </w:r>
      <w:r>
        <w:rPr>
          <w:rFonts w:hint="eastAsia" w:ascii="Times New Roman" w:hAnsi="Times New Roman" w:cs="Times New Roman"/>
          <w:bCs/>
          <w:color w:val="000000" w:themeColor="text1"/>
          <w:spacing w:val="-9"/>
          <w:w w:val="99"/>
          <w:sz w:val="24"/>
          <w:szCs w:val="24"/>
          <w:highlight w:val="none"/>
          <w:lang w:val="en-US" w:eastAsia="zh-CN"/>
          <w14:textFill>
            <w14:solidFill>
              <w14:schemeClr w14:val="tx1"/>
            </w14:solidFill>
          </w14:textFill>
        </w:rPr>
        <w:t>井场区域内</w:t>
      </w:r>
      <w:r>
        <w:rPr>
          <w:rFonts w:hint="eastAsia" w:ascii="Times New Roman" w:hAnsi="Times New Roman" w:cs="Times New Roman"/>
          <w:bCs/>
          <w:color w:val="000000" w:themeColor="text1"/>
          <w:spacing w:val="-9"/>
          <w:w w:val="99"/>
          <w:sz w:val="24"/>
          <w:szCs w:val="24"/>
          <w:highlight w:val="none"/>
          <w:lang w:val="en-US"/>
          <w14:textFill>
            <w14:solidFill>
              <w14:schemeClr w14:val="tx1"/>
            </w14:solidFill>
          </w14:textFill>
        </w:rPr>
        <w:t>康家围子泡</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w:t>
      </w:r>
      <w:r>
        <w:rPr>
          <w:rFonts w:hint="eastAsia" w:ascii="Times New Roman" w:hAnsi="Times New Roman" w:cs="Times New Roman"/>
          <w:bCs/>
          <w:color w:val="000000" w:themeColor="text1"/>
          <w:w w:val="99"/>
          <w:sz w:val="24"/>
          <w:szCs w:val="24"/>
          <w:highlight w:val="none"/>
          <w:lang w:val="en-US" w:eastAsia="zh-CN" w:bidi="ar-SA"/>
          <w14:textFill>
            <w14:solidFill>
              <w14:schemeClr w14:val="tx1"/>
            </w14:solidFill>
          </w14:textFill>
        </w:rPr>
        <w:t>葡70-672、葡70-斜682平台</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井场</w:t>
      </w:r>
      <w:r>
        <w:rPr>
          <w:rFonts w:hint="eastAsia" w:ascii="Times New Roman" w:hAnsi="Times New Roman" w:cs="Times New Roman"/>
          <w:bCs/>
          <w:color w:val="000000" w:themeColor="text1"/>
          <w:w w:val="99"/>
          <w:sz w:val="24"/>
          <w:szCs w:val="24"/>
          <w:highlight w:val="none"/>
          <w:lang w:val="en-US" w:eastAsia="zh-CN" w:bidi="ar-SA"/>
          <w14:textFill>
            <w14:solidFill>
              <w14:schemeClr w14:val="tx1"/>
            </w14:solidFill>
          </w14:textFill>
        </w:rPr>
        <w:t>（水泡井）位于</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康家围子</w:t>
      </w:r>
      <w:r>
        <w:rPr>
          <w:rFonts w:hint="eastAsia" w:ascii="Times New Roman" w:hAnsi="Times New Roman" w:cs="Times New Roman"/>
          <w:bCs/>
          <w:color w:val="000000" w:themeColor="text1"/>
          <w:w w:val="99"/>
          <w:sz w:val="24"/>
          <w:szCs w:val="24"/>
          <w:highlight w:val="none"/>
          <w:lang w:val="en-US" w:eastAsia="zh-CN" w:bidi="ar-SA"/>
          <w14:textFill>
            <w14:solidFill>
              <w14:schemeClr w14:val="tx1"/>
            </w14:solidFill>
          </w14:textFill>
        </w:rPr>
        <w:t>泡东侧</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水域面积约17.4km</w:t>
      </w:r>
      <w:r>
        <w:rPr>
          <w:rFonts w:ascii="Times New Roman" w:hAnsi="Times New Roman" w:cs="Times New Roman"/>
          <w:bCs/>
          <w:color w:val="000000" w:themeColor="text1"/>
          <w:w w:val="99"/>
          <w:sz w:val="24"/>
          <w:szCs w:val="24"/>
          <w:highlight w:val="none"/>
          <w:vertAlign w:val="superscript"/>
          <w:lang w:val="en-US" w:bidi="ar-SA"/>
          <w14:textFill>
            <w14:solidFill>
              <w14:schemeClr w14:val="tx1"/>
            </w14:solidFill>
          </w14:textFill>
        </w:rPr>
        <w:t>2</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，主要</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为</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雨水汇集</w:t>
      </w:r>
      <w:r>
        <w:rPr>
          <w:rFonts w:ascii="Times New Roman" w:hAnsi="Times New Roman" w:cs="Times New Roman"/>
          <w:bCs/>
          <w:color w:val="000000" w:themeColor="text1"/>
          <w:w w:val="99"/>
          <w:sz w:val="24"/>
          <w:szCs w:val="24"/>
          <w:highlight w:val="none"/>
          <w:lang w:val="en-US" w:bidi="ar-SA"/>
          <w14:textFill>
            <w14:solidFill>
              <w14:schemeClr w14:val="tx1"/>
            </w14:solidFill>
          </w14:textFill>
        </w:rPr>
        <w:t>泡</w:t>
      </w:r>
      <w:r>
        <w:rPr>
          <w:rFonts w:hint="eastAsia" w:ascii="Times New Roman" w:hAnsi="Times New Roman" w:cs="Times New Roman"/>
          <w:bCs/>
          <w:color w:val="000000" w:themeColor="text1"/>
          <w:w w:val="99"/>
          <w:sz w:val="24"/>
          <w:szCs w:val="24"/>
          <w:highlight w:val="none"/>
          <w:lang w:val="en-US" w:bidi="ar-SA"/>
          <w14:textFill>
            <w14:solidFill>
              <w14:schemeClr w14:val="tx1"/>
            </w14:solidFill>
          </w14:textFill>
        </w:rPr>
        <w:t>。</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施工期对地表水体可能造成污染的污染源主要是</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管线</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试压废水及生活污水，污染因子主要为石油类、氨氮。</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运营期产生的废水主要为作业废水、清防蜡废水、油田采出液中分离的含油污水，</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污染因子</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为石油类。</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5.2.1.1 施工期水环境影响分析</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（1）试压废水</w:t>
      </w:r>
    </w:p>
    <w:p>
      <w:pPr>
        <w:pStyle w:val="14"/>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本项目施工期</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管线</w:t>
      </w:r>
      <w:r>
        <w:rPr>
          <w:rFonts w:ascii="Times New Roman" w:hAnsi="Times New Roman" w:cs="Times New Roman"/>
          <w:color w:val="000000" w:themeColor="text1"/>
          <w:w w:val="99"/>
          <w:sz w:val="24"/>
          <w:szCs w:val="20"/>
          <w:highlight w:val="none"/>
          <w:lang w:val="en-US" w:bidi="ar-SA"/>
          <w14:textFill>
            <w14:solidFill>
              <w14:schemeClr w14:val="tx1"/>
            </w14:solidFill>
          </w14:textFill>
        </w:rPr>
        <w:t>试压废水</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由罐车集中</w:t>
      </w:r>
      <w:r>
        <w:rPr>
          <w:rFonts w:ascii="Times New Roman" w:hAnsi="Times New Roman" w:cs="Times New Roman"/>
          <w:color w:val="000000" w:themeColor="text1"/>
          <w:w w:val="99"/>
          <w:sz w:val="24"/>
          <w:szCs w:val="20"/>
          <w:highlight w:val="none"/>
          <w:lang w:val="en-US" w:bidi="ar-SA"/>
          <w14:textFill>
            <w14:solidFill>
              <w14:schemeClr w14:val="tx1"/>
            </w14:solidFill>
          </w14:textFill>
        </w:rPr>
        <w:t>收集拉运至葡二</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联</w:t>
      </w:r>
      <w:r>
        <w:rPr>
          <w:rFonts w:ascii="Times New Roman" w:hAnsi="Times New Roman" w:cs="Times New Roman"/>
          <w:color w:val="000000" w:themeColor="text1"/>
          <w:w w:val="99"/>
          <w:sz w:val="24"/>
          <w:szCs w:val="20"/>
          <w:highlight w:val="none"/>
          <w:lang w:val="en-US" w:bidi="ar-SA"/>
          <w14:textFill>
            <w14:solidFill>
              <w14:schemeClr w14:val="tx1"/>
            </w14:solidFill>
          </w14:textFill>
        </w:rPr>
        <w:t>含油污水处理站处理后回注</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油层</w:t>
      </w:r>
      <w:r>
        <w:rPr>
          <w:rFonts w:ascii="Times New Roman" w:hAnsi="Times New Roman" w:cs="Times New Roman"/>
          <w:color w:val="000000" w:themeColor="text1"/>
          <w:w w:val="99"/>
          <w:sz w:val="24"/>
          <w:szCs w:val="20"/>
          <w:highlight w:val="none"/>
          <w:lang w:val="en-US" w:bidi="ar-SA"/>
          <w14:textFill>
            <w14:solidFill>
              <w14:schemeClr w14:val="tx1"/>
            </w14:solidFill>
          </w14:textFill>
        </w:rPr>
        <w:t>，不外排</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，不会对</w:t>
      </w:r>
      <w:r>
        <w:rPr>
          <w:rFonts w:ascii="Times New Roman" w:hAnsi="Times New Roman" w:cs="Times New Roman"/>
          <w:color w:val="000000" w:themeColor="text1"/>
          <w:w w:val="99"/>
          <w:sz w:val="24"/>
          <w:szCs w:val="20"/>
          <w:highlight w:val="none"/>
          <w:lang w:val="en-US" w:bidi="ar-SA"/>
          <w14:textFill>
            <w14:solidFill>
              <w14:schemeClr w14:val="tx1"/>
            </w14:solidFill>
          </w14:textFill>
        </w:rPr>
        <w:t>周边地表水环境产生影响</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w:t>
      </w:r>
    </w:p>
    <w:p>
      <w:pPr>
        <w:pStyle w:val="14"/>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（2）生活污水</w:t>
      </w:r>
    </w:p>
    <w:p>
      <w:pPr>
        <w:pStyle w:val="14"/>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本项目施工人员产生的生活污水</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排入</w:t>
      </w:r>
      <w:r>
        <w:rPr>
          <w:rFonts w:ascii="Times New Roman" w:hAnsi="Times New Roman" w:cs="Times New Roman"/>
          <w:color w:val="000000" w:themeColor="text1"/>
          <w:w w:val="99"/>
          <w:sz w:val="24"/>
          <w:szCs w:val="20"/>
          <w:highlight w:val="none"/>
          <w:lang w:val="en-US" w:bidi="ar-SA"/>
          <w14:textFill>
            <w14:solidFill>
              <w14:schemeClr w14:val="tx1"/>
            </w14:solidFill>
          </w14:textFill>
        </w:rPr>
        <w:t>本项目</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施工现场周边</w:t>
      </w:r>
      <w:r>
        <w:rPr>
          <w:rFonts w:ascii="Times New Roman" w:hAnsi="Times New Roman" w:cs="Times New Roman"/>
          <w:color w:val="000000" w:themeColor="text1"/>
          <w:w w:val="99"/>
          <w:sz w:val="24"/>
          <w:szCs w:val="20"/>
          <w:highlight w:val="none"/>
          <w:lang w:val="en-US" w:bidi="ar-SA"/>
          <w14:textFill>
            <w14:solidFill>
              <w14:schemeClr w14:val="tx1"/>
            </w14:solidFill>
          </w14:textFill>
        </w:rPr>
        <w:t>阀组间内已建防渗旱厕</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，定期进行清掏堆肥，</w:t>
      </w:r>
      <w:r>
        <w:rPr>
          <w:rFonts w:ascii="Times New Roman" w:hAnsi="Times New Roman" w:cs="Times New Roman"/>
          <w:color w:val="000000" w:themeColor="text1"/>
          <w:w w:val="99"/>
          <w:sz w:val="24"/>
          <w:szCs w:val="20"/>
          <w:highlight w:val="none"/>
          <w:lang w:val="en-US" w:bidi="ar-SA"/>
          <w14:textFill>
            <w14:solidFill>
              <w14:schemeClr w14:val="tx1"/>
            </w14:solidFill>
          </w14:textFill>
        </w:rPr>
        <w:t>不会对周边环境产生影响。</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5.2.1.2 运营期水环境影响分析</w:t>
      </w:r>
    </w:p>
    <w:p>
      <w:pPr>
        <w:pStyle w:val="14"/>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（1）产液分离</w:t>
      </w:r>
      <w:r>
        <w:rPr>
          <w:rFonts w:ascii="Times New Roman" w:hAnsi="Times New Roman" w:cs="Times New Roman"/>
          <w:color w:val="000000" w:themeColor="text1"/>
          <w:w w:val="99"/>
          <w:sz w:val="24"/>
          <w:szCs w:val="20"/>
          <w:highlight w:val="none"/>
          <w:lang w:val="en-US" w:bidi="ar-SA"/>
          <w14:textFill>
            <w14:solidFill>
              <w14:schemeClr w14:val="tx1"/>
            </w14:solidFill>
          </w14:textFill>
        </w:rPr>
        <w:t>水</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对</w:t>
      </w:r>
      <w:r>
        <w:rPr>
          <w:rFonts w:ascii="Times New Roman" w:hAnsi="Times New Roman" w:cs="Times New Roman"/>
          <w:color w:val="000000" w:themeColor="text1"/>
          <w:w w:val="99"/>
          <w:sz w:val="24"/>
          <w:szCs w:val="20"/>
          <w:highlight w:val="none"/>
          <w:lang w:val="en-US" w:bidi="ar-SA"/>
          <w14:textFill>
            <w14:solidFill>
              <w14:schemeClr w14:val="tx1"/>
            </w14:solidFill>
          </w14:textFill>
        </w:rPr>
        <w:t>地表水环境影响</w:t>
      </w:r>
    </w:p>
    <w:p>
      <w:pPr>
        <w:pStyle w:val="14"/>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产液分离废水主要为原油中分离出的</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含油污水，正常</w:t>
      </w:r>
      <w:r>
        <w:rPr>
          <w:rFonts w:ascii="Times New Roman" w:hAnsi="Times New Roman" w:cs="Times New Roman"/>
          <w:color w:val="000000" w:themeColor="text1"/>
          <w:w w:val="99"/>
          <w:sz w:val="24"/>
          <w:szCs w:val="20"/>
          <w:highlight w:val="none"/>
          <w:lang w:val="en-US" w:bidi="ar-SA"/>
          <w14:textFill>
            <w14:solidFill>
              <w14:schemeClr w14:val="tx1"/>
            </w14:solidFill>
          </w14:textFill>
        </w:rPr>
        <w:t>情况下</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经</w:t>
      </w:r>
      <w:r>
        <w:rPr>
          <w:rFonts w:ascii="Times New Roman" w:hAnsi="Times New Roman" w:cs="Times New Roman"/>
          <w:color w:val="000000" w:themeColor="text1"/>
          <w:w w:val="99"/>
          <w:sz w:val="24"/>
          <w:szCs w:val="20"/>
          <w:highlight w:val="none"/>
          <w:lang w:val="en-US" w:bidi="ar-SA"/>
          <w14:textFill>
            <w14:solidFill>
              <w14:schemeClr w14:val="tx1"/>
            </w14:solidFill>
          </w14:textFill>
        </w:rPr>
        <w:t>各转油站</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集输</w:t>
      </w:r>
      <w:r>
        <w:rPr>
          <w:rFonts w:ascii="Times New Roman" w:hAnsi="Times New Roman" w:cs="Times New Roman"/>
          <w:color w:val="000000" w:themeColor="text1"/>
          <w:w w:val="99"/>
          <w:sz w:val="24"/>
          <w:szCs w:val="20"/>
          <w:highlight w:val="none"/>
          <w:lang w:val="en-US" w:bidi="ar-SA"/>
          <w14:textFill>
            <w14:solidFill>
              <w14:schemeClr w14:val="tx1"/>
            </w14:solidFill>
          </w14:textFill>
        </w:rPr>
        <w:t>系统</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分别输送至</w:t>
      </w:r>
      <w:r>
        <w:rPr>
          <w:rFonts w:hint="eastAsia" w:ascii="Times New Roman" w:hAnsi="Times New Roman" w:cs="Times New Roman"/>
          <w:color w:val="000000" w:themeColor="text1"/>
          <w:w w:val="99"/>
          <w:sz w:val="24"/>
          <w:szCs w:val="20"/>
          <w:highlight w:val="none"/>
          <w:lang w:val="en-US" w:eastAsia="zh-CN" w:bidi="ar-SA"/>
          <w14:textFill>
            <w14:solidFill>
              <w14:schemeClr w14:val="tx1"/>
            </w14:solidFill>
          </w14:textFill>
        </w:rPr>
        <w:t>葡二联含油污水处理站</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处理后回注油层；清防蜡</w:t>
      </w:r>
      <w:r>
        <w:rPr>
          <w:rFonts w:ascii="Times New Roman" w:hAnsi="Times New Roman" w:cs="Times New Roman"/>
          <w:color w:val="000000" w:themeColor="text1"/>
          <w:w w:val="99"/>
          <w:sz w:val="24"/>
          <w:szCs w:val="20"/>
          <w:highlight w:val="none"/>
          <w:lang w:val="en-US" w:bidi="ar-SA"/>
          <w14:textFill>
            <w14:solidFill>
              <w14:schemeClr w14:val="tx1"/>
            </w14:solidFill>
          </w14:textFill>
        </w:rPr>
        <w:t>废水直接进入集输系统，</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油井作业污水由罐车拉运至葡二联</w:t>
      </w:r>
      <w:r>
        <w:rPr>
          <w:rFonts w:ascii="Times New Roman" w:hAnsi="Times New Roman" w:cs="Times New Roman"/>
          <w:color w:val="000000" w:themeColor="text1"/>
          <w:w w:val="99"/>
          <w:sz w:val="24"/>
          <w:szCs w:val="20"/>
          <w:highlight w:val="none"/>
          <w:lang w:val="en-US" w:bidi="ar-SA"/>
          <w14:textFill>
            <w14:solidFill>
              <w14:schemeClr w14:val="tx1"/>
            </w14:solidFill>
          </w14:textFill>
        </w:rPr>
        <w:t>含油污水处理站处理后回注</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油层，不外排。</w:t>
      </w:r>
    </w:p>
    <w:p>
      <w:pPr>
        <w:pStyle w:val="14"/>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葡二联含油污水处理站采用“二级沉降石英砂过滤+二段压力式过滤”处理工艺，根据前文</w:t>
      </w:r>
      <w:r>
        <w:rPr>
          <w:rFonts w:ascii="Times New Roman" w:hAnsi="Times New Roman" w:cs="Times New Roman"/>
          <w:color w:val="000000" w:themeColor="text1"/>
          <w:w w:val="99"/>
          <w:sz w:val="24"/>
          <w:szCs w:val="20"/>
          <w:highlight w:val="none"/>
          <w:lang w:val="en-US" w:bidi="ar-SA"/>
          <w14:textFill>
            <w14:solidFill>
              <w14:schemeClr w14:val="tx1"/>
            </w14:solidFill>
          </w14:textFill>
        </w:rPr>
        <w:t>依托工程能力核实，污水处理站剩余能力可以满足本项目要求</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w:t>
      </w:r>
    </w:p>
    <w:p>
      <w:pPr>
        <w:pStyle w:val="14"/>
        <w:spacing w:line="440" w:lineRule="exact"/>
        <w:ind w:firstLine="474" w:firstLineChars="200"/>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根据《葡南油田九、十、十一断块加密及葡552区块产能建设地面工程竣工环境保护验收调查报告》中葡二联污水处理站出水水质进行监测，污水处理后满足</w:t>
      </w:r>
      <w:r>
        <w:rPr>
          <w:rFonts w:ascii="Times New Roman" w:hAnsi="Times New Roman" w:cs="Times New Roman"/>
          <w:bCs/>
          <w:color w:val="000000" w:themeColor="text1"/>
          <w:w w:val="99"/>
          <w:sz w:val="24"/>
          <w:szCs w:val="20"/>
          <w:highlight w:val="none"/>
          <w:lang w:val="en-US"/>
          <w14:textFill>
            <w14:solidFill>
              <w14:schemeClr w14:val="tx1"/>
            </w14:solidFill>
          </w14:textFill>
        </w:rPr>
        <w:t>《大庆油田地面工程建设设计规定》（Q/SYDQ0639-2015）限值要求：“含油量≤10mg/L、悬浮固体含量≤5mg/L、粒径中值≤2μm”</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标准后</w:t>
      </w:r>
      <w:r>
        <w:rPr>
          <w:rFonts w:ascii="Times New Roman" w:hAnsi="Times New Roman" w:cs="Times New Roman"/>
          <w:bCs/>
          <w:color w:val="000000" w:themeColor="text1"/>
          <w:w w:val="99"/>
          <w:sz w:val="24"/>
          <w:szCs w:val="20"/>
          <w:highlight w:val="none"/>
          <w:lang w:val="en-US"/>
          <w14:textFill>
            <w14:solidFill>
              <w14:schemeClr w14:val="tx1"/>
            </w14:solidFill>
          </w14:textFill>
        </w:rPr>
        <w:t>回注油层</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，不会对地表水体产生影响。</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本项目运营期依托</w:t>
      </w:r>
      <w:r>
        <w:rPr>
          <w:rFonts w:hint="eastAsia" w:ascii="Times New Roman" w:hAnsi="Times New Roman" w:cs="Times New Roman"/>
          <w:color w:val="000000" w:themeColor="text1"/>
          <w:spacing w:val="-9"/>
          <w:w w:val="99"/>
          <w:sz w:val="24"/>
          <w:szCs w:val="24"/>
          <w:highlight w:val="none"/>
          <w:lang w:eastAsia="zh-CN"/>
          <w14:textFill>
            <w14:solidFill>
              <w14:schemeClr w14:val="tx1"/>
            </w14:solidFill>
          </w14:textFill>
        </w:rPr>
        <w:t>及改造</w:t>
      </w:r>
      <w:r>
        <w:rPr>
          <w:rFonts w:ascii="Times New Roman" w:hAnsi="Times New Roman" w:cs="Times New Roman"/>
          <w:color w:val="000000" w:themeColor="text1"/>
          <w:spacing w:val="-9"/>
          <w:w w:val="99"/>
          <w:sz w:val="24"/>
          <w:szCs w:val="24"/>
          <w:highlight w:val="none"/>
          <w14:textFill>
            <w14:solidFill>
              <w14:schemeClr w14:val="tx1"/>
            </w14:solidFill>
          </w14:textFill>
        </w:rPr>
        <w:t>场站不新增值班人员，无新增生活污水。综上</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所述</w:t>
      </w:r>
      <w:r>
        <w:rPr>
          <w:rFonts w:ascii="Times New Roman" w:hAnsi="Times New Roman" w:cs="Times New Roman"/>
          <w:color w:val="000000" w:themeColor="text1"/>
          <w:spacing w:val="-9"/>
          <w:w w:val="99"/>
          <w:sz w:val="24"/>
          <w:szCs w:val="24"/>
          <w:highlight w:val="none"/>
          <w14:textFill>
            <w14:solidFill>
              <w14:schemeClr w14:val="tx1"/>
            </w14:solidFill>
          </w14:textFill>
        </w:rPr>
        <w:t xml:space="preserve">，项目正常状况下施工期和运行期产生的废水均能得到合理处置，不会对周围地表水环境产生污染影响。 </w:t>
      </w:r>
    </w:p>
    <w:p>
      <w:pPr>
        <w:pStyle w:val="14"/>
        <w:spacing w:line="440" w:lineRule="exact"/>
        <w:ind w:firstLine="474" w:firstLineChars="200"/>
        <w:jc w:val="both"/>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（2）作业废水和清防蜡废水对地表水环境影响</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非正常工况下对地表水体构成污染的污染源主要为油井作业污水、地表径流可能携带部分落地油进入水环境。</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根据工程</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分析可知：</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①油井洗井采用化学加药清蜡为主，高压蒸汽热洗为辅。即为防止油井结蜡影响生产，定期向油井加清防蜡剂，在清防蜡剂效果不好时，采用高压蒸汽热洗装置对油井进行热洗，清防蜡剂或热洗水均进入集油流程，不外排</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不会对周边地表水环境产生影响。</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②油井修井作业过程中</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产生</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的污油污水</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经罐车</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进行回收</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使作业时泄漏出的污油污水限定在井场范围内，然后通过带有自吸泵的污油污水回收装置将泄漏出的污油污水回收处理</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，由</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罐车拉运至</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葡二联含油污水站</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w:t>
      </w:r>
      <w:r>
        <w:rPr>
          <w:rFonts w:hint="eastAsia" w:ascii="Times New Roman" w:hAnsi="Times New Roman" w:cs="Times New Roman"/>
          <w:bCs/>
          <w:color w:val="000000" w:themeColor="text1"/>
          <w:spacing w:val="-9"/>
          <w:w w:val="99"/>
          <w:sz w:val="24"/>
          <w:szCs w:val="24"/>
          <w:highlight w:val="none"/>
          <w:lang w:val="en-US"/>
          <w14:textFill>
            <w14:solidFill>
              <w14:schemeClr w14:val="tx1"/>
            </w14:solidFill>
          </w14:textFill>
        </w:rPr>
        <w:t>污水处理后满足</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《大庆油田地面工程建设设计规定》（Q/SYDQ0639-2015）限值要求：“含油量≤10mg/L、悬浮固体含量≤5mg/L、粒径中值≤2μm”</w:t>
      </w:r>
      <w:r>
        <w:rPr>
          <w:rFonts w:hint="eastAsia" w:ascii="Times New Roman" w:hAnsi="Times New Roman" w:cs="Times New Roman"/>
          <w:bCs/>
          <w:color w:val="000000" w:themeColor="text1"/>
          <w:spacing w:val="-9"/>
          <w:w w:val="99"/>
          <w:sz w:val="24"/>
          <w:szCs w:val="24"/>
          <w:highlight w:val="none"/>
          <w:lang w:val="en-US"/>
          <w14:textFill>
            <w14:solidFill>
              <w14:schemeClr w14:val="tx1"/>
            </w14:solidFill>
          </w14:textFill>
        </w:rPr>
        <w:t>标准后</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回注油层</w:t>
      </w:r>
      <w:r>
        <w:rPr>
          <w:rFonts w:hint="eastAsia" w:ascii="Times New Roman" w:hAnsi="Times New Roman" w:cs="Times New Roman"/>
          <w:bCs/>
          <w:color w:val="000000" w:themeColor="text1"/>
          <w:spacing w:val="-9"/>
          <w:w w:val="99"/>
          <w:sz w:val="24"/>
          <w:szCs w:val="24"/>
          <w:highlight w:val="none"/>
          <w:lang w:val="en-US"/>
          <w14:textFill>
            <w14:solidFill>
              <w14:schemeClr w14:val="tx1"/>
            </w14:solidFill>
          </w14:textFill>
        </w:rPr>
        <w:t>，不会对地表水体产生影响</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③作业过程中严格限制作业范围，作业范围不超出井场占地范围外，距离地表水体较近油井井场四周设置围堰，防止作业过程中跑、冒、滴、漏产生的油水污染</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周边</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地表水环境。</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④在作业时井场铺设防渗布，并设置围堰，围堰建设高度30cm，宽度40cm，材料为粘土夯筑，井下作业需避开雨天，作业结束后及时平整井场并收集落地油等</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采取以上措施后，</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本项目作业废水</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不会对周边地表水环境产生影响。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5.2.2 地下水环境影响预测与评价</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5.2.2.1施工期地下水环境影响分析</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本项目施工期产生的废水主要为管线试压废水和施工人员产生的生活污水，管线试压废水</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较</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清洁，</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由罐车</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拉运至</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葡二联含油污水处理站</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处理后回注，不外排，本项目施工人员产生的生活污水</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排入</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本项目</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施工现场附近</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阀组间内已建防渗旱厕</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，定期进行清掏堆肥</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。通过采取上述措施，项目施工期不会对地下水环境造成影响。</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5.2.2.2 不达标废水回注对地下水影响分析</w:t>
      </w:r>
    </w:p>
    <w:p>
      <w:pPr>
        <w:pStyle w:val="14"/>
        <w:spacing w:line="440" w:lineRule="exact"/>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hint="eastAsia" w:ascii="Times New Roman" w:hAnsi="Times New Roman" w:eastAsia="黑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eastAsia="黑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 xml:space="preserve">  </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本项目</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运营期产液废水依托葡二联污水站进行处理，根据验收监测结果，污水站出水</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指标满足标准</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要求，污水站对各项指标进行</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日常</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监测记录，对不满足标准的废水将输送至</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污水沉降罐</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进行再处理，直至</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达标</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后输送至对应注水站回注</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地下油层</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，不会发生不达标废水回注情况。</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5.2.2.3 油井泄漏事故对地下水环境影响预测与评价</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本项目</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正常运行不会对地下水环境产生影响，非正常工况下对地</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下</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水</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环境</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构成污染的污染源主要为集输管线泄漏；井喷、井漏、原油泄漏</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对地下水的影响</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1</w:t>
      </w:r>
      <w:r>
        <w:rPr>
          <w:rFonts w:ascii="Times New Roman" w:hAnsi="Times New Roman" w:cs="Times New Roman"/>
          <w:color w:val="000000" w:themeColor="text1"/>
          <w:spacing w:val="-9"/>
          <w:w w:val="99"/>
          <w:sz w:val="24"/>
          <w:szCs w:val="24"/>
          <w:highlight w:val="none"/>
          <w14:textFill>
            <w14:solidFill>
              <w14:schemeClr w14:val="tx1"/>
            </w14:solidFill>
          </w14:textFill>
        </w:rPr>
        <w:t>）泄漏源强</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本工程油井套管发生破裂时，主要影响区域为承压水层位。本工程单口油井最大产油量为2.</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47</w:t>
      </w:r>
      <w:r>
        <w:rPr>
          <w:rFonts w:ascii="Times New Roman" w:hAnsi="Times New Roman" w:cs="Times New Roman"/>
          <w:color w:val="000000" w:themeColor="text1"/>
          <w:spacing w:val="-9"/>
          <w:w w:val="99"/>
          <w:sz w:val="24"/>
          <w:szCs w:val="24"/>
          <w:highlight w:val="none"/>
          <w14:textFill>
            <w14:solidFill>
              <w14:schemeClr w14:val="tx1"/>
            </w14:solidFill>
          </w14:textFill>
        </w:rPr>
        <w:t>t/d，根据大庆油田多年统计数据，油井套管发生泄漏源强以单井每天的产油量10%计</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w:t>
      </w:r>
      <w:r>
        <w:rPr>
          <w:rFonts w:ascii="Times New Roman" w:hAnsi="Times New Roman" w:cs="Times New Roman"/>
          <w:color w:val="000000" w:themeColor="text1"/>
          <w:spacing w:val="-9"/>
          <w:w w:val="99"/>
          <w:sz w:val="24"/>
          <w:szCs w:val="24"/>
          <w:highlight w:val="none"/>
          <w14:textFill>
            <w14:solidFill>
              <w14:schemeClr w14:val="tx1"/>
            </w14:solidFill>
          </w14:textFill>
        </w:rPr>
        <w:t>即</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247</w:t>
      </w:r>
      <w:r>
        <w:rPr>
          <w:rFonts w:ascii="Times New Roman" w:hAnsi="Times New Roman" w:cs="Times New Roman"/>
          <w:color w:val="000000" w:themeColor="text1"/>
          <w:spacing w:val="-9"/>
          <w:w w:val="99"/>
          <w:sz w:val="24"/>
          <w:szCs w:val="24"/>
          <w:highlight w:val="none"/>
          <w14:textFill>
            <w14:solidFill>
              <w14:schemeClr w14:val="tx1"/>
            </w14:solidFill>
          </w14:textFill>
        </w:rPr>
        <w:t>kg/d。由于套管破损不易被发现，所以按持续泄漏预测。</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2</w:t>
      </w:r>
      <w:r>
        <w:rPr>
          <w:rFonts w:ascii="Times New Roman" w:hAnsi="Times New Roman" w:cs="Times New Roman"/>
          <w:color w:val="000000" w:themeColor="text1"/>
          <w:spacing w:val="-9"/>
          <w:w w:val="99"/>
          <w:sz w:val="24"/>
          <w:szCs w:val="24"/>
          <w:highlight w:val="none"/>
          <w14:textFill>
            <w14:solidFill>
              <w14:schemeClr w14:val="tx1"/>
            </w14:solidFill>
          </w14:textFill>
        </w:rPr>
        <w:t>）预测因子</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预测</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因子选取</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项目</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特征污染物石油类</w:t>
      </w:r>
      <w:r>
        <w:rPr>
          <w:rFonts w:ascii="Times New Roman" w:hAnsi="Times New Roman" w:cs="Times New Roman"/>
          <w:color w:val="000000" w:themeColor="text1"/>
          <w:spacing w:val="-9"/>
          <w:w w:val="99"/>
          <w:sz w:val="24"/>
          <w:szCs w:val="24"/>
          <w:highlight w:val="none"/>
          <w14:textFill>
            <w14:solidFill>
              <w14:schemeClr w14:val="tx1"/>
            </w14:solidFill>
          </w14:textFill>
        </w:rPr>
        <w:t>。</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3</w:t>
      </w:r>
      <w:r>
        <w:rPr>
          <w:rFonts w:ascii="Times New Roman" w:hAnsi="Times New Roman" w:cs="Times New Roman"/>
          <w:color w:val="000000" w:themeColor="text1"/>
          <w:spacing w:val="-9"/>
          <w:w w:val="99"/>
          <w:sz w:val="24"/>
          <w:szCs w:val="24"/>
          <w:highlight w:val="none"/>
          <w14:textFill>
            <w14:solidFill>
              <w14:schemeClr w14:val="tx1"/>
            </w14:solidFill>
          </w14:textFill>
        </w:rPr>
        <w:t>）预测模型</w:t>
      </w:r>
    </w:p>
    <w:p>
      <w:pPr>
        <w:widowControl/>
        <w:autoSpaceDE/>
        <w:autoSpaceDN/>
        <w:spacing w:line="440" w:lineRule="exact"/>
        <w:ind w:firstLine="474" w:firstLineChars="200"/>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预测模型选择《环境影响评价技术导则 地下水环境》（HJ610-2016）推荐的地下水溶质运移解析法中的</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一维稳定流动二维水动力弥散模型</w:t>
      </w:r>
      <w:r>
        <w:rPr>
          <w:rFonts w:ascii="Times New Roman" w:hAnsi="Times New Roman" w:cs="Times New Roman"/>
          <w:color w:val="000000" w:themeColor="text1"/>
          <w:w w:val="99"/>
          <w:kern w:val="2"/>
          <w:sz w:val="24"/>
          <w:highlight w:val="none"/>
          <w:lang w:val="en-US" w:bidi="ar-SA"/>
          <w14:textFill>
            <w14:solidFill>
              <w14:schemeClr w14:val="tx1"/>
            </w14:solidFill>
          </w14:textFill>
        </w:rPr>
        <w:t>进行预测。由于套管泄漏不易被发现，因此按连续点源计算。</w:t>
      </w:r>
    </w:p>
    <w:p>
      <w:pPr>
        <w:widowControl/>
        <w:autoSpaceDE/>
        <w:autoSpaceDN/>
        <w:spacing w:line="440" w:lineRule="exact"/>
        <w:ind w:firstLine="474" w:firstLineChars="200"/>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连续注入示踪剂—平面连续点源</w:t>
      </w:r>
    </w:p>
    <w:p>
      <w:pPr>
        <w:widowControl/>
        <w:autoSpaceDE/>
        <w:autoSpaceDN/>
        <w:jc w:val="center"/>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drawing>
          <wp:inline distT="0" distB="0" distL="0" distR="0">
            <wp:extent cx="3667125" cy="10668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667125" cy="1066800"/>
                    </a:xfrm>
                    <a:prstGeom prst="rect">
                      <a:avLst/>
                    </a:prstGeom>
                  </pic:spPr>
                </pic:pic>
              </a:graphicData>
            </a:graphic>
          </wp:inline>
        </w:drawing>
      </w:r>
    </w:p>
    <w:p>
      <w:pPr>
        <w:spacing w:line="480" w:lineRule="exact"/>
        <w:ind w:firstLine="474" w:firstLineChars="200"/>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式中：x，y——计算点处的位置坐标</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80" w:lineRule="exact"/>
        <w:ind w:firstLine="853" w:firstLineChars="36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t——时间</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d</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80" w:lineRule="exact"/>
        <w:ind w:firstLine="853" w:firstLineChars="36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C（x，y，t）——t时刻x，y处的示踪剂浓度，g/L</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80" w:lineRule="exact"/>
        <w:ind w:firstLine="853" w:firstLineChars="36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M——承压含水层的厚度</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m；</w:t>
      </w:r>
    </w:p>
    <w:p>
      <w:pPr>
        <w:autoSpaceDE/>
        <w:autoSpaceDN/>
        <w:spacing w:line="480" w:lineRule="exact"/>
        <w:ind w:firstLine="853" w:firstLineChars="36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m</w:t>
      </w:r>
      <w:r>
        <w:rPr>
          <w:rFonts w:ascii="Times New Roman" w:hAnsi="Times New Roman" w:cs="Times New Roman"/>
          <w:color w:val="000000" w:themeColor="text1"/>
          <w:w w:val="99"/>
          <w:kern w:val="2"/>
          <w:sz w:val="24"/>
          <w:szCs w:val="32"/>
          <w:highlight w:val="none"/>
          <w:vertAlign w:val="subscript"/>
          <w:lang w:val="en-US" w:bidi="ar-SA"/>
          <w14:textFill>
            <w14:solidFill>
              <w14:schemeClr w14:val="tx1"/>
            </w14:solidFill>
          </w14:textFill>
        </w:rPr>
        <w:t>t</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——单位时间注入的示踪剂质量</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kg/d；</w:t>
      </w:r>
    </w:p>
    <w:p>
      <w:pPr>
        <w:autoSpaceDE/>
        <w:autoSpaceDN/>
        <w:spacing w:line="480" w:lineRule="exact"/>
        <w:ind w:firstLine="853" w:firstLineChars="36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U——水流速度</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m/d；</w:t>
      </w:r>
    </w:p>
    <w:p>
      <w:pPr>
        <w:autoSpaceDE/>
        <w:autoSpaceDN/>
        <w:spacing w:line="480" w:lineRule="exact"/>
        <w:ind w:firstLine="853" w:firstLineChars="36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n——有效孔隙度</w:t>
      </w:r>
    </w:p>
    <w:p>
      <w:pPr>
        <w:autoSpaceDE/>
        <w:autoSpaceDN/>
        <w:spacing w:line="480" w:lineRule="exact"/>
        <w:ind w:firstLine="853" w:firstLineChars="36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D</w:t>
      </w:r>
      <w:r>
        <w:rPr>
          <w:rFonts w:ascii="Times New Roman" w:hAnsi="Times New Roman" w:cs="Times New Roman"/>
          <w:color w:val="000000" w:themeColor="text1"/>
          <w:w w:val="99"/>
          <w:kern w:val="2"/>
          <w:sz w:val="24"/>
          <w:szCs w:val="32"/>
          <w:highlight w:val="none"/>
          <w:vertAlign w:val="subscript"/>
          <w:lang w:val="en-US" w:bidi="ar-SA"/>
          <w14:textFill>
            <w14:solidFill>
              <w14:schemeClr w14:val="tx1"/>
            </w14:solidFill>
          </w14:textFill>
        </w:rPr>
        <w:t>L</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——纵向弥散系数</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m</w:t>
      </w:r>
      <w:r>
        <w:rPr>
          <w:rFonts w:ascii="Times New Roman" w:hAnsi="Times New Roman" w:cs="Times New Roman"/>
          <w:color w:val="000000" w:themeColor="text1"/>
          <w:w w:val="99"/>
          <w:kern w:val="2"/>
          <w:sz w:val="24"/>
          <w:szCs w:val="32"/>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/d；</w:t>
      </w:r>
    </w:p>
    <w:p>
      <w:pPr>
        <w:autoSpaceDE/>
        <w:autoSpaceDN/>
        <w:spacing w:line="440" w:lineRule="exact"/>
        <w:ind w:firstLine="853" w:firstLineChars="36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D</w:t>
      </w:r>
      <w:r>
        <w:rPr>
          <w:rFonts w:ascii="Times New Roman" w:hAnsi="Times New Roman" w:cs="Times New Roman"/>
          <w:color w:val="000000" w:themeColor="text1"/>
          <w:w w:val="99"/>
          <w:kern w:val="2"/>
          <w:sz w:val="24"/>
          <w:szCs w:val="32"/>
          <w:highlight w:val="none"/>
          <w:vertAlign w:val="subscript"/>
          <w:lang w:val="en-US" w:bidi="ar-SA"/>
          <w14:textFill>
            <w14:solidFill>
              <w14:schemeClr w14:val="tx1"/>
            </w14:solidFill>
          </w14:textFill>
        </w:rPr>
        <w:t>T</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横</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向y方向的弥散系数m</w:t>
      </w:r>
      <w:r>
        <w:rPr>
          <w:rFonts w:ascii="Times New Roman" w:hAnsi="Times New Roman" w:cs="Times New Roman"/>
          <w:color w:val="000000" w:themeColor="text1"/>
          <w:w w:val="99"/>
          <w:kern w:val="2"/>
          <w:sz w:val="24"/>
          <w:szCs w:val="32"/>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/d；</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（4）参数选取</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根据《大庆市水文地质勘察报告》（石油管理局）及区域含水层特点综合确定，</w:t>
      </w:r>
      <w:r>
        <w:rPr>
          <w:rFonts w:hint="eastAsia" w:ascii="Times New Roman" w:hAnsi="Times New Roman" w:cs="Times New Roman"/>
          <w:bCs/>
          <w:color w:val="000000" w:themeColor="text1"/>
          <w:w w:val="99"/>
          <w:kern w:val="2"/>
          <w:sz w:val="24"/>
          <w:szCs w:val="32"/>
          <w:highlight w:val="none"/>
          <w:lang w:val="en-US" w:bidi="ar-SA"/>
          <w14:textFill>
            <w14:solidFill>
              <w14:schemeClr w14:val="tx1"/>
            </w14:solidFill>
          </w14:textFill>
        </w:rPr>
        <w:t>承压水</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地下水流速度0.005m/d；根据《环境影响评价技术导则地下水环境》（HJ610-2016）水文地质参数经验值表数据及相关地勘资料，区域地下水纵向弥散系数0.5m</w:t>
      </w:r>
      <w:r>
        <w:rPr>
          <w:rFonts w:ascii="Times New Roman" w:hAnsi="Times New Roman" w:cs="Times New Roman"/>
          <w:bCs/>
          <w:color w:val="000000" w:themeColor="text1"/>
          <w:w w:val="99"/>
          <w:kern w:val="2"/>
          <w:sz w:val="24"/>
          <w:szCs w:val="32"/>
          <w:highlight w:val="none"/>
          <w:vertAlign w:val="superscript"/>
          <w:lang w:val="en-US" w:bidi="ar-SA"/>
          <w14:textFill>
            <w14:solidFill>
              <w14:schemeClr w14:val="tx1"/>
            </w14:solidFill>
          </w14:textFill>
        </w:rPr>
        <w:t>2</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/d，横向弥散系数0.03m</w:t>
      </w:r>
      <w:r>
        <w:rPr>
          <w:rFonts w:ascii="Times New Roman" w:hAnsi="Times New Roman" w:cs="Times New Roman"/>
          <w:bCs/>
          <w:color w:val="000000" w:themeColor="text1"/>
          <w:w w:val="99"/>
          <w:kern w:val="2"/>
          <w:sz w:val="24"/>
          <w:szCs w:val="32"/>
          <w:highlight w:val="none"/>
          <w:vertAlign w:val="superscript"/>
          <w:lang w:val="en-US" w:bidi="ar-SA"/>
          <w14:textFill>
            <w14:solidFill>
              <w14:schemeClr w14:val="tx1"/>
            </w14:solidFill>
          </w14:textFill>
        </w:rPr>
        <w:t>2</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/d，有效孔隙度为0.3，水力坡度I=0.3%，</w:t>
      </w:r>
      <w:r>
        <w:rPr>
          <w:rFonts w:hint="eastAsia" w:ascii="Times New Roman" w:hAnsi="Times New Roman" w:cs="Times New Roman"/>
          <w:bCs/>
          <w:color w:val="000000" w:themeColor="text1"/>
          <w:w w:val="99"/>
          <w:kern w:val="2"/>
          <w:sz w:val="24"/>
          <w:szCs w:val="32"/>
          <w:highlight w:val="none"/>
          <w:lang w:val="en-US" w:bidi="ar-SA"/>
          <w14:textFill>
            <w14:solidFill>
              <w14:schemeClr w14:val="tx1"/>
            </w14:solidFill>
          </w14:textFill>
        </w:rPr>
        <w:t>承压</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含水层厚度采用</w:t>
      </w:r>
      <w:r>
        <w:rPr>
          <w:rFonts w:hint="eastAsia" w:ascii="Times New Roman" w:hAnsi="Times New Roman" w:cs="Times New Roman"/>
          <w:bCs/>
          <w:color w:val="000000" w:themeColor="text1"/>
          <w:w w:val="99"/>
          <w:kern w:val="2"/>
          <w:sz w:val="24"/>
          <w:szCs w:val="32"/>
          <w:highlight w:val="none"/>
          <w:lang w:val="en-US" w:eastAsia="zh-CN" w:bidi="ar-SA"/>
          <w14:textFill>
            <w14:solidFill>
              <w14:schemeClr w14:val="tx1"/>
            </w14:solidFill>
          </w14:textFill>
        </w:rPr>
        <w:t>10</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m，化学反应常数为0。</w:t>
      </w:r>
    </w:p>
    <w:p>
      <w:pPr>
        <w:widowControl w:val="0"/>
        <w:spacing w:line="440" w:lineRule="exact"/>
        <w:ind w:firstLine="434" w:firstLineChars="200"/>
        <w:jc w:val="both"/>
        <w:rPr>
          <w:rFonts w:ascii="Times New Roman" w:hAnsi="Times New Roman" w:cs="Times New Roman"/>
          <w:color w:val="000000" w:themeColor="text1"/>
          <w:w w:val="99"/>
          <w:kern w:val="2"/>
          <w:szCs w:val="20"/>
          <w:highlight w:val="none"/>
          <w14:textFill>
            <w14:solidFill>
              <w14:schemeClr w14:val="tx1"/>
            </w14:solidFill>
          </w14:textFill>
        </w:rPr>
      </w:pPr>
      <w:r>
        <w:rPr>
          <w:rFonts w:ascii="Times New Roman" w:hAnsi="Times New Roman" w:cs="Times New Roman"/>
          <w:color w:val="000000" w:themeColor="text1"/>
          <w:w w:val="99"/>
          <w:kern w:val="2"/>
          <w:szCs w:val="20"/>
          <w:highlight w:val="none"/>
          <w14:textFill>
            <w14:solidFill>
              <w14:schemeClr w14:val="tx1"/>
            </w14:solidFill>
          </w14:textFill>
        </w:rPr>
        <w:t>（5）预测结果</w:t>
      </w:r>
    </w:p>
    <w:p>
      <w:pPr>
        <w:widowControl w:val="0"/>
        <w:spacing w:line="440" w:lineRule="exact"/>
        <w:ind w:firstLine="434" w:firstLineChars="200"/>
        <w:jc w:val="both"/>
        <w:rPr>
          <w:rFonts w:ascii="Times New Roman" w:hAnsi="Times New Roman" w:cs="Times New Roman"/>
          <w:color w:val="000000" w:themeColor="text1"/>
          <w:w w:val="99"/>
          <w:kern w:val="2"/>
          <w:szCs w:val="20"/>
          <w:highlight w:val="none"/>
          <w14:textFill>
            <w14:solidFill>
              <w14:schemeClr w14:val="tx1"/>
            </w14:solidFill>
          </w14:textFill>
        </w:rPr>
      </w:pPr>
      <w:r>
        <w:rPr>
          <w:rFonts w:ascii="Times New Roman" w:hAnsi="Times New Roman" w:cs="Times New Roman"/>
          <w:color w:val="000000" w:themeColor="text1"/>
          <w:w w:val="99"/>
          <w:kern w:val="2"/>
          <w:szCs w:val="20"/>
          <w:highlight w:val="none"/>
          <w14:textFill>
            <w14:solidFill>
              <w14:schemeClr w14:val="tx1"/>
            </w14:solidFill>
          </w14:textFill>
        </w:rPr>
        <w:t>集油管道泄漏100d、1000d对地下水的影响预测结果见表5.2-1、图5.2-1~5.2-2。</w:t>
      </w:r>
    </w:p>
    <w:p>
      <w:pPr>
        <w:widowControl w:val="0"/>
        <w:spacing w:line="440" w:lineRule="exact"/>
        <w:ind w:firstLine="436" w:firstLineChars="200"/>
        <w:jc w:val="both"/>
        <w:rPr>
          <w:rFonts w:ascii="Times New Roman" w:hAnsi="Times New Roman" w:cs="Times New Roman"/>
          <w:b/>
          <w:color w:val="000000" w:themeColor="text1"/>
          <w:w w:val="99"/>
          <w:kern w:val="2"/>
          <w:szCs w:val="20"/>
          <w:highlight w:val="none"/>
          <w14:textFill>
            <w14:solidFill>
              <w14:schemeClr w14:val="tx1"/>
            </w14:solidFill>
          </w14:textFill>
        </w:rPr>
      </w:pPr>
      <w:r>
        <w:rPr>
          <w:rFonts w:ascii="Times New Roman" w:hAnsi="Times New Roman" w:cs="Times New Roman"/>
          <w:b/>
          <w:color w:val="000000" w:themeColor="text1"/>
          <w:w w:val="99"/>
          <w:kern w:val="2"/>
          <w:szCs w:val="20"/>
          <w:highlight w:val="none"/>
          <w14:textFill>
            <w14:solidFill>
              <w14:schemeClr w14:val="tx1"/>
            </w14:solidFill>
          </w14:textFill>
        </w:rPr>
        <w:t xml:space="preserve">表5.2-1   </w:t>
      </w:r>
      <w:r>
        <w:rPr>
          <w:rFonts w:ascii="Times New Roman" w:hAnsi="Times New Roman" w:cs="Times New Roman"/>
          <w:b/>
          <w:bCs w:val="0"/>
          <w:color w:val="000000" w:themeColor="text1"/>
          <w:w w:val="99"/>
          <w:kern w:val="2"/>
          <w:szCs w:val="20"/>
          <w:highlight w:val="none"/>
          <w14:textFill>
            <w14:solidFill>
              <w14:schemeClr w14:val="tx1"/>
            </w14:solidFill>
          </w14:textFill>
        </w:rPr>
        <w:t xml:space="preserve"> </w:t>
      </w:r>
      <w:r>
        <w:rPr>
          <w:rFonts w:ascii="Times New Roman" w:hAnsi="Times New Roman" w:cs="Times New Roman"/>
          <w:b/>
          <w:bCs w:val="0"/>
          <w:color w:val="000000" w:themeColor="text1"/>
          <w:w w:val="99"/>
          <w:kern w:val="2"/>
          <w:sz w:val="24"/>
          <w:szCs w:val="32"/>
          <w:highlight w:val="none"/>
          <w:lang w:val="en-US" w:bidi="ar-SA"/>
          <w14:textFill>
            <w14:solidFill>
              <w14:schemeClr w14:val="tx1"/>
            </w14:solidFill>
          </w14:textFill>
        </w:rPr>
        <w:t>油井套管</w:t>
      </w:r>
      <w:r>
        <w:rPr>
          <w:rFonts w:hint="eastAsia" w:ascii="Times New Roman" w:hAnsi="Times New Roman" w:cs="Times New Roman"/>
          <w:b/>
          <w:bCs w:val="0"/>
          <w:color w:val="000000" w:themeColor="text1"/>
          <w:w w:val="99"/>
          <w:kern w:val="2"/>
          <w:sz w:val="24"/>
          <w:szCs w:val="32"/>
          <w:highlight w:val="none"/>
          <w:lang w:val="en-US" w:bidi="ar-SA"/>
          <w14:textFill>
            <w14:solidFill>
              <w14:schemeClr w14:val="tx1"/>
            </w14:solidFill>
          </w14:textFill>
        </w:rPr>
        <w:t>石油类</w:t>
      </w:r>
      <w:r>
        <w:rPr>
          <w:rFonts w:ascii="Times New Roman" w:hAnsi="Times New Roman" w:cs="Times New Roman"/>
          <w:b/>
          <w:bCs w:val="0"/>
          <w:color w:val="000000" w:themeColor="text1"/>
          <w:w w:val="99"/>
          <w:kern w:val="2"/>
          <w:sz w:val="24"/>
          <w:szCs w:val="32"/>
          <w:highlight w:val="none"/>
          <w:lang w:val="en-US" w:bidi="ar-SA"/>
          <w14:textFill>
            <w14:solidFill>
              <w14:schemeClr w14:val="tx1"/>
            </w14:solidFill>
          </w14:textFill>
        </w:rPr>
        <w:t>泄露对地下水的影响预测结果表</w:t>
      </w:r>
    </w:p>
    <w:tbl>
      <w:tblPr>
        <w:tblStyle w:val="32"/>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1605"/>
        <w:gridCol w:w="2190"/>
        <w:gridCol w:w="2190"/>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27"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污染物</w:t>
            </w:r>
          </w:p>
        </w:tc>
        <w:tc>
          <w:tcPr>
            <w:tcW w:w="86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预测时间</w:t>
            </w:r>
          </w:p>
        </w:tc>
        <w:tc>
          <w:tcPr>
            <w:tcW w:w="1180"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超标距离</w:t>
            </w:r>
          </w:p>
        </w:tc>
        <w:tc>
          <w:tcPr>
            <w:tcW w:w="1180"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eastAsia="zh-CN"/>
                <w14:textFill>
                  <w14:solidFill>
                    <w14:schemeClr w14:val="tx1"/>
                  </w14:solidFill>
                </w14:textFill>
              </w:rPr>
              <w:t>最远</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影响距离</w:t>
            </w:r>
          </w:p>
        </w:tc>
        <w:tc>
          <w:tcPr>
            <w:tcW w:w="1046"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影响面积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27" w:type="pct"/>
            <w:vMerge w:val="restar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石油类</w:t>
            </w:r>
          </w:p>
        </w:tc>
        <w:tc>
          <w:tcPr>
            <w:tcW w:w="86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100天</w:t>
            </w:r>
          </w:p>
        </w:tc>
        <w:tc>
          <w:tcPr>
            <w:tcW w:w="1180"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53</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p>
        </w:tc>
        <w:tc>
          <w:tcPr>
            <w:tcW w:w="1180"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56</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p>
        </w:tc>
        <w:tc>
          <w:tcPr>
            <w:tcW w:w="1046"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2317</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r>
              <w:rPr>
                <w:rFonts w:ascii="Times New Roman" w:hAnsi="Times New Roman" w:cs="Times New Roman" w:eastAsiaTheme="minorEastAsia"/>
                <w:color w:val="000000" w:themeColor="text1"/>
                <w:w w:val="99"/>
                <w:kern w:val="2"/>
                <w:sz w:val="21"/>
                <w:szCs w:val="21"/>
                <w:highlight w:val="none"/>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7" w:type="pct"/>
            <w:vMerge w:val="continue"/>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p>
        </w:tc>
        <w:tc>
          <w:tcPr>
            <w:tcW w:w="86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1000天</w:t>
            </w:r>
          </w:p>
        </w:tc>
        <w:tc>
          <w:tcPr>
            <w:tcW w:w="1180"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102</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p>
        </w:tc>
        <w:tc>
          <w:tcPr>
            <w:tcW w:w="1180"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107</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p>
        </w:tc>
        <w:tc>
          <w:tcPr>
            <w:tcW w:w="1046"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8452</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r>
              <w:rPr>
                <w:rFonts w:ascii="Times New Roman" w:hAnsi="Times New Roman" w:cs="Times New Roman" w:eastAsiaTheme="minorEastAsia"/>
                <w:color w:val="000000" w:themeColor="text1"/>
                <w:w w:val="99"/>
                <w:kern w:val="2"/>
                <w:sz w:val="21"/>
                <w:szCs w:val="21"/>
                <w:highlight w:val="none"/>
                <w:vertAlign w:val="superscript"/>
                <w14:textFill>
                  <w14:solidFill>
                    <w14:schemeClr w14:val="tx1"/>
                  </w14:solidFill>
                </w14:textFill>
              </w:rPr>
              <w:t>2</w:t>
            </w:r>
          </w:p>
        </w:tc>
      </w:tr>
    </w:tbl>
    <w:p>
      <w:pPr>
        <w:autoSpaceDE/>
        <w:autoSpaceDN/>
        <w:jc w:val="center"/>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1146810</wp:posOffset>
                </wp:positionH>
                <wp:positionV relativeFrom="paragraph">
                  <wp:posOffset>451485</wp:posOffset>
                </wp:positionV>
                <wp:extent cx="869315" cy="309880"/>
                <wp:effectExtent l="0" t="0" r="0" b="0"/>
                <wp:wrapNone/>
                <wp:docPr id="15" name="矩形标注 15"/>
                <wp:cNvGraphicFramePr/>
                <a:graphic xmlns:a="http://schemas.openxmlformats.org/drawingml/2006/main">
                  <a:graphicData uri="http://schemas.microsoft.com/office/word/2010/wordprocessingShape">
                    <wps:wsp>
                      <wps:cNvSpPr/>
                      <wps:spPr>
                        <a:xfrm>
                          <a:off x="0" y="0"/>
                          <a:ext cx="869315" cy="309880"/>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0.3pt;margin-top:35.55pt;height:24.4pt;width:68.45pt;z-index:251681792;v-text-anchor:middle;mso-width-relative:page;mso-height-relative:page;" filled="f" stroked="f" coordsize="21600,21600" o:gfxdata="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dwbwPWAAAACgEAAA8AAAAAAAAAAQAgAAAAIgAAAGRycy9kb3ducmV2LnhtbFBLAQIU&#10;ABQAAAAIAIdO4kDtZVdAZwIAAKkEAAAOAAAAAAAAAAEAIAAAACUBAABkcnMvZTJvRG9jLnhtbFBL&#10;BQYAAAAABgAGAFkBAAD+BQAAAAA=&#10;" adj="6300,2430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水流方向</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1226185</wp:posOffset>
                </wp:positionH>
                <wp:positionV relativeFrom="paragraph">
                  <wp:posOffset>1108710</wp:posOffset>
                </wp:positionV>
                <wp:extent cx="834390" cy="321310"/>
                <wp:effectExtent l="0" t="0" r="0" b="0"/>
                <wp:wrapNone/>
                <wp:docPr id="75" name="矩形标注 75"/>
                <wp:cNvGraphicFramePr/>
                <a:graphic xmlns:a="http://schemas.openxmlformats.org/drawingml/2006/main">
                  <a:graphicData uri="http://schemas.microsoft.com/office/word/2010/wordprocessingShape">
                    <wps:wsp>
                      <wps:cNvSpPr/>
                      <wps:spPr>
                        <a:xfrm>
                          <a:off x="0" y="0"/>
                          <a:ext cx="834390" cy="321310"/>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FFFF" w:themeColor="background1"/>
                                <w:lang w:eastAsia="zh-CN"/>
                                <w14:textFill>
                                  <w14:solidFill>
                                    <w14:schemeClr w14:val="bg1"/>
                                  </w14:solidFill>
                                </w14:textFill>
                              </w:rPr>
                            </w:pPr>
                            <w:r>
                              <w:rPr>
                                <w:rFonts w:hint="eastAsia"/>
                                <w:color w:val="auto"/>
                                <w:lang w:eastAsia="zh-CN"/>
                              </w:rPr>
                              <w:t>水流方向水</w:t>
                            </w:r>
                            <w:r>
                              <w:rPr>
                                <w:rFonts w:hint="eastAsia"/>
                                <w:color w:val="FFFFFF" w:themeColor="background1"/>
                                <w:lang w:eastAsia="zh-CN"/>
                                <w14:textFill>
                                  <w14:solidFill>
                                    <w14:schemeClr w14:val="bg1"/>
                                  </w14:solidFill>
                                </w14:textFill>
                              </w:rPr>
                              <w:t>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6.55pt;margin-top:87.3pt;height:25.3pt;width:65.7pt;z-index:251679744;v-text-anchor:middle;mso-width-relative:page;mso-height-relative:page;" filled="f" stroked="f" coordsize="21600,21600" o:gfxdata="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VFLMdgAAAALAQAADwAAAAAAAAABACAAAAAiAAAAZHJzL2Rvd25yZXYueG1sUEsB&#10;AhQAFAAAAAgAh07iQBPHv3tnAgAAqQQAAA4AAAAAAAAAAQAgAAAAJwEAAGRycy9lMm9Eb2MueG1s&#10;UEsFBgAAAAAGAAYAWQEAAAAGAAAAAA==&#10;" adj="6300,24300">
                <v:fill on="f" focussize="0,0"/>
                <v:stroke on="f" weight="2pt"/>
                <v:imagedata o:title=""/>
                <o:lock v:ext="edit" aspectratio="f"/>
                <v:textbox>
                  <w:txbxContent>
                    <w:p>
                      <w:pPr>
                        <w:jc w:val="center"/>
                        <w:rPr>
                          <w:rFonts w:hint="eastAsia" w:eastAsia="宋体"/>
                          <w:color w:val="FFFFFF" w:themeColor="background1"/>
                          <w:lang w:eastAsia="zh-CN"/>
                          <w14:textFill>
                            <w14:solidFill>
                              <w14:schemeClr w14:val="bg1"/>
                            </w14:solidFill>
                          </w14:textFill>
                        </w:rPr>
                      </w:pPr>
                      <w:r>
                        <w:rPr>
                          <w:rFonts w:hint="eastAsia"/>
                          <w:color w:val="auto"/>
                          <w:lang w:eastAsia="zh-CN"/>
                        </w:rPr>
                        <w:t>水流方向水</w:t>
                      </w:r>
                      <w:r>
                        <w:rPr>
                          <w:rFonts w:hint="eastAsia"/>
                          <w:color w:val="FFFFFF" w:themeColor="background1"/>
                          <w:lang w:eastAsia="zh-CN"/>
                          <w14:textFill>
                            <w14:solidFill>
                              <w14:schemeClr w14:val="bg1"/>
                            </w14:solidFill>
                          </w14:textFill>
                        </w:rPr>
                        <w:t>流方向</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1226185</wp:posOffset>
                </wp:positionH>
                <wp:positionV relativeFrom="paragraph">
                  <wp:posOffset>406400</wp:posOffset>
                </wp:positionV>
                <wp:extent cx="834390" cy="321310"/>
                <wp:effectExtent l="0" t="0" r="0" b="0"/>
                <wp:wrapNone/>
                <wp:docPr id="41" name="矩形标注 41"/>
                <wp:cNvGraphicFramePr/>
                <a:graphic xmlns:a="http://schemas.openxmlformats.org/drawingml/2006/main">
                  <a:graphicData uri="http://schemas.microsoft.com/office/word/2010/wordprocessingShape">
                    <wps:wsp>
                      <wps:cNvSpPr/>
                      <wps:spPr>
                        <a:xfrm>
                          <a:off x="2316480" y="1282065"/>
                          <a:ext cx="834390" cy="321310"/>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FFFF" w:themeColor="background1"/>
                                <w:lang w:eastAsia="zh-CN"/>
                                <w14:textFill>
                                  <w14:solidFill>
                                    <w14:schemeClr w14:val="bg1"/>
                                  </w14:solidFill>
                                </w14:textFill>
                              </w:rPr>
                            </w:pPr>
                            <w:r>
                              <w:rPr>
                                <w:rFonts w:hint="eastAsia"/>
                                <w:color w:val="auto"/>
                                <w:lang w:eastAsia="zh-CN"/>
                              </w:rPr>
                              <w:t>水流方向水</w:t>
                            </w:r>
                            <w:r>
                              <w:rPr>
                                <w:rFonts w:hint="eastAsia"/>
                                <w:color w:val="FFFFFF" w:themeColor="background1"/>
                                <w:lang w:eastAsia="zh-CN"/>
                                <w14:textFill>
                                  <w14:solidFill>
                                    <w14:schemeClr w14:val="bg1"/>
                                  </w14:solidFill>
                                </w14:textFill>
                              </w:rPr>
                              <w:t>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6.55pt;margin-top:32pt;height:25.3pt;width:65.7pt;z-index:251675648;v-text-anchor:middle;mso-width-relative:page;mso-height-relative:page;" filled="f" stroked="f" coordsize="21600,21600" o:gfxdata="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ScBqOtcAAAAKAQAADwAAAAAAAAABACAAAAAiAAAAZHJzL2Rv&#10;d25yZXYueG1sUEsBAhQAFAAAAAgAh07iQKHZ3CV0AgAAtQQAAA4AAAAAAAAAAQAgAAAAJgEAAGRy&#10;cy9lMm9Eb2MueG1sUEsFBgAAAAAGAAYAWQEAAAwGAAAAAA==&#10;" adj="6300,24300">
                <v:fill on="f" focussize="0,0"/>
                <v:stroke on="f" weight="2pt"/>
                <v:imagedata o:title=""/>
                <o:lock v:ext="edit" aspectratio="f"/>
                <v:textbox>
                  <w:txbxContent>
                    <w:p>
                      <w:pPr>
                        <w:jc w:val="center"/>
                        <w:rPr>
                          <w:rFonts w:hint="eastAsia" w:eastAsia="宋体"/>
                          <w:color w:val="FFFFFF" w:themeColor="background1"/>
                          <w:lang w:eastAsia="zh-CN"/>
                          <w14:textFill>
                            <w14:solidFill>
                              <w14:schemeClr w14:val="bg1"/>
                            </w14:solidFill>
                          </w14:textFill>
                        </w:rPr>
                      </w:pPr>
                      <w:r>
                        <w:rPr>
                          <w:rFonts w:hint="eastAsia"/>
                          <w:color w:val="auto"/>
                          <w:lang w:eastAsia="zh-CN"/>
                        </w:rPr>
                        <w:t>水流方向水</w:t>
                      </w:r>
                      <w:r>
                        <w:rPr>
                          <w:rFonts w:hint="eastAsia"/>
                          <w:color w:val="FFFFFF" w:themeColor="background1"/>
                          <w:lang w:eastAsia="zh-CN"/>
                          <w14:textFill>
                            <w14:solidFill>
                              <w14:schemeClr w14:val="bg1"/>
                            </w14:solidFill>
                          </w14:textFill>
                        </w:rPr>
                        <w:t>流方向</w:t>
                      </w:r>
                    </w:p>
                  </w:txbxContent>
                </v:textbox>
              </v:shape>
            </w:pict>
          </mc:Fallback>
        </mc:AlternateContent>
      </w:r>
      <w:r>
        <w:rPr>
          <w:rFonts w:ascii="Times New Roman" w:hAnsi="Times New Roman" w:eastAsia="黑体" w:cs="Times New Roman"/>
          <w:bCs/>
          <w:color w:val="000000" w:themeColor="text1"/>
          <w:spacing w:val="8"/>
          <w:kern w:val="21"/>
          <w:sz w:val="24"/>
          <w:highlight w:val="none"/>
          <w:lang w:val="en-US" w:bidi="ar-SA"/>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1750060</wp:posOffset>
                </wp:positionH>
                <wp:positionV relativeFrom="paragraph">
                  <wp:posOffset>324485</wp:posOffset>
                </wp:positionV>
                <wp:extent cx="612140" cy="819785"/>
                <wp:effectExtent l="0" t="8255" r="16510" b="10160"/>
                <wp:wrapNone/>
                <wp:docPr id="12" name="直接箭头连接符 12"/>
                <wp:cNvGraphicFramePr/>
                <a:graphic xmlns:a="http://schemas.openxmlformats.org/drawingml/2006/main">
                  <a:graphicData uri="http://schemas.microsoft.com/office/word/2010/wordprocessingShape">
                    <wps:wsp>
                      <wps:cNvCnPr>
                        <a:cxnSpLocks noChangeShapeType="1"/>
                      </wps:cNvCnPr>
                      <wps:spPr bwMode="auto">
                        <a:xfrm flipH="1">
                          <a:off x="0" y="0"/>
                          <a:ext cx="612140" cy="819785"/>
                        </a:xfrm>
                        <a:prstGeom prst="straightConnector1">
                          <a:avLst/>
                        </a:prstGeom>
                        <a:noFill/>
                        <a:ln w="2857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37.8pt;margin-top:25.55pt;height:64.55pt;width:48.2pt;z-index:251664384;mso-width-relative:page;mso-height-relative:page;" filled="f" stroked="t" coordsize="21600,21600" o:gfxdata="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s57EtcAAAAKAQAA&#10;DwAAAAAAAAABACAAAAAiAAAAZHJzL2Rvd25yZXYueG1sUEsBAhQAFAAAAAgAh07iQF4KmHQaAgAA&#10;/QMAAA4AAAAAAAAAAQAgAAAAJgEAAGRycy9lMm9Eb2MueG1sUEsFBgAAAAAGAAYAWQEAALIFAAAA&#10;AA==&#10;">
                <v:fill on="f" focussize="0,0"/>
                <v:stroke weight="2.25pt" color="#000000" joinstyle="round" endarrow="block"/>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3831590" cy="3788410"/>
            <wp:effectExtent l="0" t="0" r="16510" b="254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43"/>
                    <a:stretch>
                      <a:fillRect/>
                    </a:stretch>
                  </pic:blipFill>
                  <pic:spPr>
                    <a:xfrm>
                      <a:off x="0" y="0"/>
                      <a:ext cx="3831590" cy="378841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762000" cy="3733800"/>
            <wp:effectExtent l="0" t="0" r="0" b="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44"/>
                    <a:stretch>
                      <a:fillRect/>
                    </a:stretch>
                  </pic:blipFill>
                  <pic:spPr>
                    <a:xfrm>
                      <a:off x="0" y="0"/>
                      <a:ext cx="762000" cy="3733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cs="Times New Roman"/>
          <w:b/>
          <w:bCs/>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32"/>
          <w:highlight w:val="none"/>
          <w:lang w:val="en-US" w:bidi="ar-SA"/>
          <w14:textFill>
            <w14:solidFill>
              <w14:schemeClr w14:val="tx1"/>
            </w14:solidFill>
          </w14:textFill>
        </w:rPr>
        <w:t>图5.2-1</w:t>
      </w:r>
      <w:r>
        <w:rPr>
          <w:rFonts w:hint="eastAsia" w:ascii="Times New Roman" w:hAnsi="Times New Roman" w:cs="Times New Roman"/>
          <w:b/>
          <w:bCs/>
          <w:color w:val="000000" w:themeColor="text1"/>
          <w:w w:val="99"/>
          <w:kern w:val="2"/>
          <w:sz w:val="24"/>
          <w:szCs w:val="32"/>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32"/>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32"/>
          <w:highlight w:val="none"/>
          <w:lang w:val="en-US" w:bidi="ar-SA"/>
          <w14:textFill>
            <w14:solidFill>
              <w14:schemeClr w14:val="tx1"/>
            </w14:solidFill>
          </w14:textFill>
        </w:rPr>
        <w:t>油井套管</w:t>
      </w:r>
      <w:r>
        <w:rPr>
          <w:rFonts w:hint="eastAsia" w:ascii="Times New Roman" w:hAnsi="Times New Roman" w:cs="Times New Roman"/>
          <w:b/>
          <w:bCs/>
          <w:color w:val="000000" w:themeColor="text1"/>
          <w:w w:val="99"/>
          <w:kern w:val="2"/>
          <w:sz w:val="24"/>
          <w:szCs w:val="32"/>
          <w:highlight w:val="none"/>
          <w:lang w:val="en-US" w:bidi="ar-SA"/>
          <w14:textFill>
            <w14:solidFill>
              <w14:schemeClr w14:val="tx1"/>
            </w14:solidFill>
          </w14:textFill>
        </w:rPr>
        <w:t>石油类</w:t>
      </w:r>
      <w:r>
        <w:rPr>
          <w:rFonts w:ascii="Times New Roman" w:hAnsi="Times New Roman" w:cs="Times New Roman"/>
          <w:b/>
          <w:bCs/>
          <w:color w:val="000000" w:themeColor="text1"/>
          <w:w w:val="99"/>
          <w:kern w:val="2"/>
          <w:sz w:val="24"/>
          <w:szCs w:val="32"/>
          <w:highlight w:val="none"/>
          <w:lang w:val="en-US" w:bidi="ar-SA"/>
          <w14:textFill>
            <w14:solidFill>
              <w14:schemeClr w14:val="tx1"/>
            </w14:solidFill>
          </w14:textFill>
        </w:rPr>
        <w:t>泄漏100d预测范围示意图</w:t>
      </w:r>
    </w:p>
    <w:p>
      <w:pPr>
        <w:pStyle w:val="4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1349375</wp:posOffset>
                </wp:positionH>
                <wp:positionV relativeFrom="paragraph">
                  <wp:posOffset>678815</wp:posOffset>
                </wp:positionV>
                <wp:extent cx="869315" cy="297815"/>
                <wp:effectExtent l="0" t="0" r="0" b="0"/>
                <wp:wrapNone/>
                <wp:docPr id="76" name="矩形标注 76"/>
                <wp:cNvGraphicFramePr/>
                <a:graphic xmlns:a="http://schemas.openxmlformats.org/drawingml/2006/main">
                  <a:graphicData uri="http://schemas.microsoft.com/office/word/2010/wordprocessingShape">
                    <wps:wsp>
                      <wps:cNvSpPr/>
                      <wps:spPr>
                        <a:xfrm>
                          <a:off x="2367915" y="5591810"/>
                          <a:ext cx="869315" cy="297815"/>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6.25pt;margin-top:53.45pt;height:23.45pt;width:68.45pt;z-index:251680768;v-text-anchor:middle;mso-width-relative:page;mso-height-relative:page;" filled="f" stroked="f" coordsize="21600,21600" o:gfxdata="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9TNOh2AAAAAsBAAAPAAAAAAAAAAEAIAAAACIAAABkcnMvZG93&#10;bnJldi54bWxQSwECFAAUAAAACACHTuJA4ZvMRXICAAC1BAAADgAAAAAAAAABACAAAAAnAQAAZHJz&#10;L2Uyb0RvYy54bWxQSwUGAAAAAAYABgBZAQAACwYAAAAA&#10;" adj="6300,2430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水流方向</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935" distR="114935" simplePos="0" relativeHeight="251678720" behindDoc="0" locked="0" layoutInCell="1" allowOverlap="1">
                <wp:simplePos x="0" y="0"/>
                <wp:positionH relativeFrom="column">
                  <wp:posOffset>1292860</wp:posOffset>
                </wp:positionH>
                <wp:positionV relativeFrom="paragraph">
                  <wp:posOffset>757555</wp:posOffset>
                </wp:positionV>
                <wp:extent cx="834390" cy="321310"/>
                <wp:effectExtent l="0" t="0" r="0" b="0"/>
                <wp:wrapNone/>
                <wp:docPr id="74" name="矩形标注 74"/>
                <wp:cNvGraphicFramePr/>
                <a:graphic xmlns:a="http://schemas.openxmlformats.org/drawingml/2006/main">
                  <a:graphicData uri="http://schemas.microsoft.com/office/word/2010/wordprocessingShape">
                    <wps:wsp>
                      <wps:cNvSpPr/>
                      <wps:spPr>
                        <a:xfrm>
                          <a:off x="0" y="0"/>
                          <a:ext cx="834390" cy="321310"/>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FFFF" w:themeColor="background1"/>
                                <w:lang w:eastAsia="zh-CN"/>
                                <w14:textFill>
                                  <w14:solidFill>
                                    <w14:schemeClr w14:val="bg1"/>
                                  </w14:solidFill>
                                </w14:textFill>
                              </w:rPr>
                            </w:pPr>
                            <w:r>
                              <w:rPr>
                                <w:rFonts w:hint="eastAsia"/>
                                <w:color w:val="auto"/>
                                <w:lang w:eastAsia="zh-CN"/>
                              </w:rPr>
                              <w:t>水流方向水</w:t>
                            </w:r>
                            <w:r>
                              <w:rPr>
                                <w:rFonts w:hint="eastAsia"/>
                                <w:color w:val="FFFFFF" w:themeColor="background1"/>
                                <w:lang w:eastAsia="zh-CN"/>
                                <w14:textFill>
                                  <w14:solidFill>
                                    <w14:schemeClr w14:val="bg1"/>
                                  </w14:solidFill>
                                </w14:textFill>
                              </w:rPr>
                              <w:t>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1.8pt;margin-top:59.65pt;height:25.3pt;width:65.7pt;z-index:251678720;v-text-anchor:middle;mso-width-relative:page;mso-height-relative:page;" filled="f" stroked="f" coordsize="21600,21600" o:gfxdata="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Z1mgt1wAAAAsBAAAPAAAAAAAAAAEAIAAAACIAAABkcnMvZG93bnJldi54bWxQSwEC&#10;FAAUAAAACACHTuJAF77pJmcCAACpBAAADgAAAAAAAAABACAAAAAmAQAAZHJzL2Uyb0RvYy54bWxQ&#10;SwUGAAAAAAYABgBZAQAA/wUAAAAA&#10;" adj="6300,24300">
                <v:fill on="f" focussize="0,0"/>
                <v:stroke on="f" weight="2pt"/>
                <v:imagedata o:title=""/>
                <o:lock v:ext="edit" aspectratio="f"/>
                <v:textbox>
                  <w:txbxContent>
                    <w:p>
                      <w:pPr>
                        <w:jc w:val="center"/>
                        <w:rPr>
                          <w:rFonts w:hint="eastAsia" w:eastAsia="宋体"/>
                          <w:color w:val="FFFFFF" w:themeColor="background1"/>
                          <w:lang w:eastAsia="zh-CN"/>
                          <w14:textFill>
                            <w14:solidFill>
                              <w14:schemeClr w14:val="bg1"/>
                            </w14:solidFill>
                          </w14:textFill>
                        </w:rPr>
                      </w:pPr>
                      <w:r>
                        <w:rPr>
                          <w:rFonts w:hint="eastAsia"/>
                          <w:color w:val="auto"/>
                          <w:lang w:eastAsia="zh-CN"/>
                        </w:rPr>
                        <w:t>水流方向水</w:t>
                      </w:r>
                      <w:r>
                        <w:rPr>
                          <w:rFonts w:hint="eastAsia"/>
                          <w:color w:val="FFFFFF" w:themeColor="background1"/>
                          <w:lang w:eastAsia="zh-CN"/>
                          <w14:textFill>
                            <w14:solidFill>
                              <w14:schemeClr w14:val="bg1"/>
                            </w14:solidFill>
                          </w14:textFill>
                        </w:rPr>
                        <w:t>流方向</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1226185</wp:posOffset>
                </wp:positionH>
                <wp:positionV relativeFrom="paragraph">
                  <wp:posOffset>750570</wp:posOffset>
                </wp:positionV>
                <wp:extent cx="834390" cy="321310"/>
                <wp:effectExtent l="0" t="0" r="0" b="0"/>
                <wp:wrapNone/>
                <wp:docPr id="70" name="矩形标注 70"/>
                <wp:cNvGraphicFramePr/>
                <a:graphic xmlns:a="http://schemas.openxmlformats.org/drawingml/2006/main">
                  <a:graphicData uri="http://schemas.microsoft.com/office/word/2010/wordprocessingShape">
                    <wps:wsp>
                      <wps:cNvSpPr/>
                      <wps:spPr>
                        <a:xfrm>
                          <a:off x="0" y="0"/>
                          <a:ext cx="834390" cy="321310"/>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FFFF" w:themeColor="background1"/>
                                <w:lang w:eastAsia="zh-CN"/>
                                <w14:textFill>
                                  <w14:solidFill>
                                    <w14:schemeClr w14:val="bg1"/>
                                  </w14:solidFill>
                                </w14:textFill>
                              </w:rPr>
                            </w:pPr>
                            <w:r>
                              <w:rPr>
                                <w:rFonts w:hint="eastAsia"/>
                                <w:color w:val="auto"/>
                                <w:lang w:eastAsia="zh-CN"/>
                              </w:rPr>
                              <w:t>水流方向水</w:t>
                            </w:r>
                            <w:r>
                              <w:rPr>
                                <w:rFonts w:hint="eastAsia"/>
                                <w:color w:val="FFFFFF" w:themeColor="background1"/>
                                <w:lang w:eastAsia="zh-CN"/>
                                <w14:textFill>
                                  <w14:solidFill>
                                    <w14:schemeClr w14:val="bg1"/>
                                  </w14:solidFill>
                                </w14:textFill>
                              </w:rPr>
                              <w:t>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6.55pt;margin-top:59.1pt;height:25.3pt;width:65.7pt;z-index:251677696;v-text-anchor:middle;mso-width-relative:page;mso-height-relative:page;" filled="f" stroked="f" coordsize="21600,21600" o:gfxdata="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Oi0sv2AAAAAsBAAAPAAAAAAAAAAEAIAAAACIAAABkcnMvZG93bnJldi54bWxQSwEC&#10;FAAUAAAACACHTuJARlzBiGYCAACpBAAADgAAAAAAAAABACAAAAAnAQAAZHJzL2Uyb0RvYy54bWxQ&#10;SwUGAAAAAAYABgBZAQAA/wUAAAAA&#10;" adj="6300,24300">
                <v:fill on="f" focussize="0,0"/>
                <v:stroke on="f" weight="2pt"/>
                <v:imagedata o:title=""/>
                <o:lock v:ext="edit" aspectratio="f"/>
                <v:textbox>
                  <w:txbxContent>
                    <w:p>
                      <w:pPr>
                        <w:jc w:val="center"/>
                        <w:rPr>
                          <w:rFonts w:hint="eastAsia" w:eastAsia="宋体"/>
                          <w:color w:val="FFFFFF" w:themeColor="background1"/>
                          <w:lang w:eastAsia="zh-CN"/>
                          <w14:textFill>
                            <w14:solidFill>
                              <w14:schemeClr w14:val="bg1"/>
                            </w14:solidFill>
                          </w14:textFill>
                        </w:rPr>
                      </w:pPr>
                      <w:r>
                        <w:rPr>
                          <w:rFonts w:hint="eastAsia"/>
                          <w:color w:val="auto"/>
                          <w:lang w:eastAsia="zh-CN"/>
                        </w:rPr>
                        <w:t>水流方向水</w:t>
                      </w:r>
                      <w:r>
                        <w:rPr>
                          <w:rFonts w:hint="eastAsia"/>
                          <w:color w:val="FFFFFF" w:themeColor="background1"/>
                          <w:lang w:eastAsia="zh-CN"/>
                          <w14:textFill>
                            <w14:solidFill>
                              <w14:schemeClr w14:val="bg1"/>
                            </w14:solidFill>
                          </w14:textFill>
                        </w:rPr>
                        <w:t>流方向</w:t>
                      </w:r>
                    </w:p>
                  </w:txbxContent>
                </v:textbox>
              </v:shape>
            </w:pict>
          </mc:Fallback>
        </mc:AlternateContent>
      </w:r>
      <w:r>
        <w:rPr>
          <w:rFonts w:ascii="Times New Roman" w:hAnsi="Times New Roman" w:eastAsia="黑体" w:cs="Times New Roman"/>
          <w:bCs/>
          <w:color w:val="000000" w:themeColor="text1"/>
          <w:spacing w:val="8"/>
          <w:kern w:val="21"/>
          <w:sz w:val="24"/>
          <w:highlight w:val="none"/>
          <w:lang w:val="en-US" w:bidi="ar-SA"/>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1833245</wp:posOffset>
                </wp:positionH>
                <wp:positionV relativeFrom="paragraph">
                  <wp:posOffset>621030</wp:posOffset>
                </wp:positionV>
                <wp:extent cx="612140" cy="819785"/>
                <wp:effectExtent l="0" t="8255" r="16510" b="10160"/>
                <wp:wrapNone/>
                <wp:docPr id="68" name="直接箭头连接符 68"/>
                <wp:cNvGraphicFramePr/>
                <a:graphic xmlns:a="http://schemas.openxmlformats.org/drawingml/2006/main">
                  <a:graphicData uri="http://schemas.microsoft.com/office/word/2010/wordprocessingShape">
                    <wps:wsp>
                      <wps:cNvCnPr>
                        <a:cxnSpLocks noChangeShapeType="1"/>
                      </wps:cNvCnPr>
                      <wps:spPr bwMode="auto">
                        <a:xfrm flipH="1">
                          <a:off x="0" y="0"/>
                          <a:ext cx="612140" cy="819785"/>
                        </a:xfrm>
                        <a:prstGeom prst="straightConnector1">
                          <a:avLst/>
                        </a:prstGeom>
                        <a:noFill/>
                        <a:ln w="2857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44.35pt;margin-top:48.9pt;height:64.55pt;width:48.2pt;z-index:251676672;mso-width-relative:page;mso-height-relative:page;" filled="f" stroked="t" coordsize="21600,21600" o:gfxdata="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QgfwN2AAAAAoB&#10;AAAPAAAAAAAAAAEAIAAAACIAAABkcnMvZG93bnJldi54bWxQSwECFAAUAAAACACHTuJAfpcMXRsC&#10;AAD9AwAADgAAAAAAAAABACAAAAAnAQAAZHJzL2Uyb0RvYy54bWxQSwUGAAAAAAYABgBZAQAAtAUA&#10;AAAA&#10;">
                <v:fill on="f" focussize="0,0"/>
                <v:stroke weight="2.25pt" color="#000000" joinstyle="round" endarrow="block"/>
                <v:imagedata o:title=""/>
                <o:lock v:ext="edit" aspectratio="f"/>
              </v:shape>
            </w:pict>
          </mc:Fallback>
        </mc:AlternateConten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drawing>
          <wp:inline distT="0" distB="0" distL="114300" distR="114300">
            <wp:extent cx="3791585" cy="3736340"/>
            <wp:effectExtent l="0" t="0" r="18415" b="1651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45"/>
                    <a:stretch>
                      <a:fillRect/>
                    </a:stretch>
                  </pic:blipFill>
                  <pic:spPr>
                    <a:xfrm>
                      <a:off x="0" y="0"/>
                      <a:ext cx="3791585" cy="373634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762000" cy="3733800"/>
            <wp:effectExtent l="0" t="0" r="0" b="0"/>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46"/>
                    <a:stretch>
                      <a:fillRect/>
                    </a:stretch>
                  </pic:blipFill>
                  <pic:spPr>
                    <a:xfrm>
                      <a:off x="0" y="0"/>
                      <a:ext cx="762000" cy="3733800"/>
                    </a:xfrm>
                    <a:prstGeom prst="rect">
                      <a:avLst/>
                    </a:prstGeom>
                    <a:noFill/>
                    <a:ln>
                      <a:noFill/>
                    </a:ln>
                  </pic:spPr>
                </pic:pic>
              </a:graphicData>
            </a:graphic>
          </wp:inline>
        </w:drawing>
      </w:r>
    </w:p>
    <w:p>
      <w:pPr>
        <w:autoSpaceDE/>
        <w:autoSpaceDN/>
        <w:spacing w:line="440" w:lineRule="exact"/>
        <w:jc w:val="center"/>
        <w:rPr>
          <w:rFonts w:ascii="Times New Roman" w:hAnsi="Times New Roman" w:cs="Times New Roman"/>
          <w:b/>
          <w:bCs/>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32"/>
          <w:highlight w:val="none"/>
          <w:lang w:val="en-US" w:bidi="ar-SA"/>
          <w14:textFill>
            <w14:solidFill>
              <w14:schemeClr w14:val="tx1"/>
            </w14:solidFill>
          </w14:textFill>
        </w:rPr>
        <w:t>图5.2-2</w:t>
      </w:r>
      <w:r>
        <w:rPr>
          <w:rFonts w:hint="eastAsia" w:ascii="Times New Roman" w:hAnsi="Times New Roman" w:cs="Times New Roman"/>
          <w:b/>
          <w:bCs/>
          <w:color w:val="000000" w:themeColor="text1"/>
          <w:w w:val="99"/>
          <w:kern w:val="2"/>
          <w:sz w:val="24"/>
          <w:szCs w:val="32"/>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32"/>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32"/>
          <w:highlight w:val="none"/>
          <w:lang w:val="en-US" w:bidi="ar-SA"/>
          <w14:textFill>
            <w14:solidFill>
              <w14:schemeClr w14:val="tx1"/>
            </w14:solidFill>
          </w14:textFill>
        </w:rPr>
        <w:t>油井套管</w:t>
      </w:r>
      <w:r>
        <w:rPr>
          <w:rFonts w:hint="eastAsia" w:ascii="Times New Roman" w:hAnsi="Times New Roman" w:cs="Times New Roman"/>
          <w:b/>
          <w:bCs/>
          <w:color w:val="000000" w:themeColor="text1"/>
          <w:w w:val="99"/>
          <w:kern w:val="2"/>
          <w:sz w:val="24"/>
          <w:szCs w:val="32"/>
          <w:highlight w:val="none"/>
          <w:lang w:val="en-US" w:bidi="ar-SA"/>
          <w14:textFill>
            <w14:solidFill>
              <w14:schemeClr w14:val="tx1"/>
            </w14:solidFill>
          </w14:textFill>
        </w:rPr>
        <w:t>石油类</w:t>
      </w:r>
      <w:r>
        <w:rPr>
          <w:rFonts w:ascii="Times New Roman" w:hAnsi="Times New Roman" w:cs="Times New Roman"/>
          <w:b/>
          <w:bCs/>
          <w:color w:val="000000" w:themeColor="text1"/>
          <w:w w:val="99"/>
          <w:kern w:val="2"/>
          <w:sz w:val="24"/>
          <w:szCs w:val="32"/>
          <w:highlight w:val="none"/>
          <w:lang w:val="en-US" w:bidi="ar-SA"/>
          <w14:textFill>
            <w14:solidFill>
              <w14:schemeClr w14:val="tx1"/>
            </w14:solidFill>
          </w14:textFill>
        </w:rPr>
        <w:t>泄漏1</w:t>
      </w:r>
      <w:r>
        <w:rPr>
          <w:rFonts w:hint="eastAsia" w:ascii="Times New Roman" w:hAnsi="Times New Roman" w:cs="Times New Roman"/>
          <w:b/>
          <w:bCs/>
          <w:color w:val="000000" w:themeColor="text1"/>
          <w:w w:val="99"/>
          <w:kern w:val="2"/>
          <w:sz w:val="24"/>
          <w:szCs w:val="32"/>
          <w:highlight w:val="none"/>
          <w:lang w:val="en-US" w:bidi="ar-SA"/>
          <w14:textFill>
            <w14:solidFill>
              <w14:schemeClr w14:val="tx1"/>
            </w14:solidFill>
          </w14:textFill>
        </w:rPr>
        <w:t>0</w:t>
      </w:r>
      <w:r>
        <w:rPr>
          <w:rFonts w:ascii="Times New Roman" w:hAnsi="Times New Roman" w:cs="Times New Roman"/>
          <w:b/>
          <w:bCs/>
          <w:color w:val="000000" w:themeColor="text1"/>
          <w:w w:val="99"/>
          <w:kern w:val="2"/>
          <w:sz w:val="24"/>
          <w:szCs w:val="32"/>
          <w:highlight w:val="none"/>
          <w:lang w:val="en-US" w:bidi="ar-SA"/>
          <w14:textFill>
            <w14:solidFill>
              <w14:schemeClr w14:val="tx1"/>
            </w14:solidFill>
          </w14:textFill>
        </w:rPr>
        <w:t>00d预测范围示意图</w:t>
      </w:r>
    </w:p>
    <w:p>
      <w:pPr>
        <w:widowControl w:val="0"/>
        <w:spacing w:line="440" w:lineRule="exact"/>
        <w:ind w:firstLine="474"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根据预测结果可知，</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在油井套管破损后，随着时间增加，污染范围有所增加，油井套管泄漏100d、1000d 的石油类浓度超标范围在地下水流向下游方向分别为</w:t>
      </w:r>
      <w:r>
        <w:rPr>
          <w:rFonts w:hint="eastAsia" w:ascii="Times New Roman" w:hAnsi="Times New Roman" w:cs="Times New Roman"/>
          <w:bCs/>
          <w:color w:val="000000" w:themeColor="text1"/>
          <w:w w:val="99"/>
          <w:kern w:val="2"/>
          <w:sz w:val="24"/>
          <w:szCs w:val="32"/>
          <w:highlight w:val="none"/>
          <w:lang w:val="en-US" w:eastAsia="zh-CN" w:bidi="ar-SA"/>
          <w14:textFill>
            <w14:solidFill>
              <w14:schemeClr w14:val="tx1"/>
            </w14:solidFill>
          </w14:textFill>
        </w:rPr>
        <w:t>53</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m、</w:t>
      </w:r>
      <w:r>
        <w:rPr>
          <w:rFonts w:hint="eastAsia" w:ascii="Times New Roman" w:hAnsi="Times New Roman" w:cs="Times New Roman"/>
          <w:bCs/>
          <w:color w:val="000000" w:themeColor="text1"/>
          <w:w w:val="99"/>
          <w:kern w:val="2"/>
          <w:sz w:val="24"/>
          <w:szCs w:val="32"/>
          <w:highlight w:val="none"/>
          <w:lang w:val="en-US" w:eastAsia="zh-CN" w:bidi="ar-SA"/>
          <w14:textFill>
            <w14:solidFill>
              <w14:schemeClr w14:val="tx1"/>
            </w14:solidFill>
          </w14:textFill>
        </w:rPr>
        <w:t>102</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m，</w:t>
      </w:r>
      <w:r>
        <w:rPr>
          <w:rFonts w:hint="eastAsia" w:ascii="Times New Roman" w:hAnsi="Times New Roman" w:cs="Times New Roman"/>
          <w:bCs/>
          <w:color w:val="000000" w:themeColor="text1"/>
          <w:w w:val="99"/>
          <w:kern w:val="2"/>
          <w:sz w:val="24"/>
          <w:szCs w:val="32"/>
          <w:highlight w:val="none"/>
          <w:lang w:val="en-US" w:bidi="ar-SA"/>
          <w14:textFill>
            <w14:solidFill>
              <w14:schemeClr w14:val="tx1"/>
            </w14:solidFill>
          </w14:textFill>
        </w:rPr>
        <w:t>本项目</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井场周边在此范围内无饮用</w:t>
      </w:r>
      <w:r>
        <w:rPr>
          <w:rFonts w:hint="eastAsia" w:ascii="Times New Roman" w:hAnsi="Times New Roman" w:cs="Times New Roman"/>
          <w:bCs/>
          <w:color w:val="000000" w:themeColor="text1"/>
          <w:w w:val="99"/>
          <w:kern w:val="2"/>
          <w:sz w:val="24"/>
          <w:szCs w:val="32"/>
          <w:highlight w:val="none"/>
          <w:lang w:val="en-US" w:eastAsia="zh-CN" w:bidi="ar-SA"/>
          <w14:textFill>
            <w14:solidFill>
              <w14:schemeClr w14:val="tx1"/>
            </w14:solidFill>
          </w14:textFill>
        </w:rPr>
        <w:t>注入井</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分布，</w:t>
      </w:r>
      <w:r>
        <w:rPr>
          <w:rFonts w:hint="eastAsia" w:ascii="Times New Roman" w:hAnsi="Times New Roman" w:cs="Times New Roman"/>
          <w:bCs/>
          <w:color w:val="000000" w:themeColor="text1"/>
          <w:w w:val="99"/>
          <w:kern w:val="2"/>
          <w:sz w:val="24"/>
          <w:szCs w:val="32"/>
          <w:highlight w:val="none"/>
          <w:lang w:val="en-US" w:eastAsia="zh-CN" w:bidi="ar-SA"/>
          <w14:textFill>
            <w14:solidFill>
              <w14:schemeClr w14:val="tx1"/>
            </w14:solidFill>
          </w14:textFill>
        </w:rPr>
        <w:t>且</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工程采油地下井管使用双层套管，发生泄漏的可能性很小，通过跟踪监测避免对地下</w:t>
      </w:r>
      <w:r>
        <w:rPr>
          <w:rFonts w:hint="eastAsia" w:ascii="Times New Roman" w:hAnsi="Times New Roman" w:cs="Times New Roman"/>
          <w:color w:val="000000" w:themeColor="text1"/>
          <w:w w:val="99"/>
          <w:kern w:val="2"/>
          <w:sz w:val="24"/>
          <w:szCs w:val="32"/>
          <w:highlight w:val="none"/>
          <w:lang w:val="en-US" w:eastAsia="zh-CN" w:bidi="ar-SA"/>
          <w14:textFill>
            <w14:solidFill>
              <w14:schemeClr w14:val="tx1"/>
            </w14:solidFill>
          </w14:textFill>
        </w:rPr>
        <w:t>注入井</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的污染。</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 xml:space="preserve">5.2.2.4 </w:t>
      </w:r>
      <w:r>
        <w:rPr>
          <w:rFonts w:hint="eastAsia" w:ascii="Times New Roman" w:hAnsi="Times New Roman" w:cs="Times New Roman" w:eastAsiaTheme="minorEastAsia"/>
          <w:b/>
          <w:color w:val="000000" w:themeColor="text1"/>
          <w:w w:val="99"/>
          <w:sz w:val="24"/>
          <w:szCs w:val="24"/>
          <w:highlight w:val="none"/>
          <w:lang w:val="en-US" w:eastAsia="zh-CN"/>
          <w14:textFill>
            <w14:solidFill>
              <w14:schemeClr w14:val="tx1"/>
            </w14:solidFill>
          </w14:textFill>
        </w:rPr>
        <w:t>集油管线</w:t>
      </w: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泄漏事故对地下水环境影响</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（1）泄漏源强</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事故</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情况下</w:t>
      </w:r>
      <w:r>
        <w:rPr>
          <w:rFonts w:hint="eastAsia" w:ascii="Times New Roman" w:hAnsi="Times New Roman" w:cs="Times New Roman"/>
          <w:color w:val="000000" w:themeColor="text1"/>
          <w:w w:val="99"/>
          <w:kern w:val="2"/>
          <w:sz w:val="24"/>
          <w:szCs w:val="32"/>
          <w:highlight w:val="none"/>
          <w:lang w:val="en-US" w:eastAsia="zh-CN" w:bidi="ar-SA"/>
          <w14:textFill>
            <w14:solidFill>
              <w14:schemeClr w14:val="tx1"/>
            </w14:solidFill>
          </w14:textFill>
        </w:rPr>
        <w:t>集油管线</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泄漏主要</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影响</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潜水层位，本项目单井产油量</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最大</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为</w:t>
      </w:r>
      <w:r>
        <w:rPr>
          <w:rFonts w:hint="eastAsia" w:ascii="Times New Roman" w:hAnsi="Times New Roman" w:cs="Times New Roman"/>
          <w:color w:val="000000" w:themeColor="text1"/>
          <w:w w:val="99"/>
          <w:kern w:val="2"/>
          <w:sz w:val="24"/>
          <w:szCs w:val="32"/>
          <w:highlight w:val="none"/>
          <w:lang w:val="en-US" w:eastAsia="zh-CN" w:bidi="ar-SA"/>
          <w14:textFill>
            <w14:solidFill>
              <w14:schemeClr w14:val="tx1"/>
            </w14:solidFill>
          </w14:textFill>
        </w:rPr>
        <w:t>2.47</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t/d，假设其</w:t>
      </w:r>
      <w:r>
        <w:rPr>
          <w:rFonts w:hint="eastAsia" w:ascii="Times New Roman" w:hAnsi="Times New Roman" w:cs="Times New Roman"/>
          <w:color w:val="000000" w:themeColor="text1"/>
          <w:w w:val="99"/>
          <w:kern w:val="2"/>
          <w:sz w:val="24"/>
          <w:szCs w:val="32"/>
          <w:highlight w:val="none"/>
          <w:lang w:val="en-US" w:eastAsia="zh-CN" w:bidi="ar-SA"/>
          <w14:textFill>
            <w14:solidFill>
              <w14:schemeClr w14:val="tx1"/>
            </w14:solidFill>
          </w14:textFill>
        </w:rPr>
        <w:t>集油管线</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发生泄漏，根据大庆油田多年统计数据，泄漏源强以</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油</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井产油量的10%</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计</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由于</w:t>
      </w:r>
      <w:r>
        <w:rPr>
          <w:rFonts w:hint="eastAsia" w:ascii="Times New Roman" w:hAnsi="Times New Roman" w:cs="Times New Roman"/>
          <w:color w:val="000000" w:themeColor="text1"/>
          <w:w w:val="99"/>
          <w:kern w:val="2"/>
          <w:sz w:val="24"/>
          <w:szCs w:val="32"/>
          <w:highlight w:val="none"/>
          <w:lang w:val="en-US" w:eastAsia="zh-CN" w:bidi="ar-SA"/>
          <w14:textFill>
            <w14:solidFill>
              <w14:schemeClr w14:val="tx1"/>
            </w14:solidFill>
          </w14:textFill>
        </w:rPr>
        <w:t>集油管线</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设有实时监控系统，</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在1</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h内可发现泄漏状况，</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采取</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关闭</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阀组</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等措施，</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其</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泄漏原</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油</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量10</w:t>
      </w:r>
      <w:r>
        <w:rPr>
          <w:rFonts w:hint="eastAsia" w:ascii="Times New Roman" w:hAnsi="Times New Roman" w:cs="Times New Roman"/>
          <w:color w:val="000000" w:themeColor="text1"/>
          <w:w w:val="99"/>
          <w:kern w:val="2"/>
          <w:sz w:val="24"/>
          <w:szCs w:val="32"/>
          <w:highlight w:val="none"/>
          <w:lang w:val="en-US" w:eastAsia="zh-CN" w:bidi="ar-SA"/>
          <w14:textFill>
            <w14:solidFill>
              <w14:schemeClr w14:val="tx1"/>
            </w14:solidFill>
          </w14:textFill>
        </w:rPr>
        <w:t>.29</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kg。</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（2）预测因子</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预测</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因子选取</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项目</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特征污染物石油类。</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（3）预测模型</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预测模型选择《环境影响评价技术导则 地下水环境》推荐的地下水溶质运移解析法中的</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一维稳定流动二维水动力弥散模型</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进行预测。由于集油管道泄漏时可以及时发现并处理，因此按瞬时点源计算。</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瞬时注入示踪剂—平面瞬时点源</w:t>
      </w:r>
    </w:p>
    <w:p>
      <w:pPr>
        <w:autoSpaceDE/>
        <w:autoSpaceDN/>
        <w:ind w:firstLine="474" w:firstLineChars="200"/>
        <w:jc w:val="cente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drawing>
          <wp:inline distT="0" distB="0" distL="114300" distR="114300">
            <wp:extent cx="3543300" cy="866775"/>
            <wp:effectExtent l="0" t="0" r="0" b="952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47"/>
                    <a:stretch>
                      <a:fillRect/>
                    </a:stretch>
                  </pic:blipFill>
                  <pic:spPr>
                    <a:xfrm>
                      <a:off x="0" y="0"/>
                      <a:ext cx="3543300" cy="866775"/>
                    </a:xfrm>
                    <a:prstGeom prst="rect">
                      <a:avLst/>
                    </a:prstGeom>
                    <a:noFill/>
                    <a:ln>
                      <a:noFill/>
                    </a:ln>
                  </pic:spPr>
                </pic:pic>
              </a:graphicData>
            </a:graphic>
          </wp:inline>
        </w:drawing>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式中：x，y--计算点处的位置坐标</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40" w:lineRule="exact"/>
        <w:ind w:firstLine="1137" w:firstLineChars="48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t--时间，d</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40" w:lineRule="exact"/>
        <w:ind w:firstLine="1137" w:firstLineChars="48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C（x，y，t）--t 时刻x，y 处的示踪剂浓度，g/L</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40" w:lineRule="exact"/>
        <w:ind w:firstLine="1137" w:firstLineChars="48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M--含水层的厚度，m</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40" w:lineRule="exact"/>
        <w:ind w:firstLine="1137" w:firstLineChars="48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m</w:t>
      </w:r>
      <w:r>
        <w:rPr>
          <w:rFonts w:ascii="Times New Roman" w:hAnsi="Times New Roman" w:cs="Times New Roman"/>
          <w:color w:val="000000" w:themeColor="text1"/>
          <w:w w:val="99"/>
          <w:kern w:val="2"/>
          <w:sz w:val="24"/>
          <w:szCs w:val="32"/>
          <w:highlight w:val="none"/>
          <w:vertAlign w:val="subscript"/>
          <w:lang w:val="en-US" w:bidi="ar-SA"/>
          <w14:textFill>
            <w14:solidFill>
              <w14:schemeClr w14:val="tx1"/>
            </w14:solidFill>
          </w14:textFill>
        </w:rPr>
        <w:t>M</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--长度为M的线源瞬时注入的示踪剂质量，kg</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40" w:lineRule="exact"/>
        <w:ind w:firstLine="1137" w:firstLineChars="48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U--水流速度，m/d</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40" w:lineRule="exact"/>
        <w:ind w:firstLine="1137" w:firstLineChars="48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n</w:t>
      </w:r>
      <w:r>
        <w:rPr>
          <w:rFonts w:ascii="Times New Roman" w:hAnsi="Times New Roman" w:cs="Times New Roman"/>
          <w:color w:val="000000" w:themeColor="text1"/>
          <w:w w:val="99"/>
          <w:kern w:val="2"/>
          <w:sz w:val="24"/>
          <w:szCs w:val="32"/>
          <w:highlight w:val="none"/>
          <w:vertAlign w:val="subscript"/>
          <w:lang w:val="en-US" w:bidi="ar-SA"/>
          <w14:textFill>
            <w14:solidFill>
              <w14:schemeClr w14:val="tx1"/>
            </w14:solidFill>
          </w14:textFill>
        </w:rPr>
        <w:t>e</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--有效孔隙度，无量纲</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40" w:lineRule="exact"/>
        <w:ind w:firstLine="1137" w:firstLineChars="48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D</w:t>
      </w:r>
      <w:r>
        <w:rPr>
          <w:rFonts w:ascii="Times New Roman" w:hAnsi="Times New Roman" w:cs="Times New Roman"/>
          <w:color w:val="000000" w:themeColor="text1"/>
          <w:w w:val="99"/>
          <w:kern w:val="2"/>
          <w:sz w:val="24"/>
          <w:szCs w:val="32"/>
          <w:highlight w:val="none"/>
          <w:vertAlign w:val="subscript"/>
          <w:lang w:val="en-US" w:bidi="ar-SA"/>
          <w14:textFill>
            <w14:solidFill>
              <w14:schemeClr w14:val="tx1"/>
            </w14:solidFill>
          </w14:textFill>
        </w:rPr>
        <w:t>L</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--纵向弥散系数，m</w:t>
      </w:r>
      <w:r>
        <w:rPr>
          <w:rFonts w:ascii="Times New Roman" w:hAnsi="Times New Roman" w:cs="Times New Roman"/>
          <w:color w:val="000000" w:themeColor="text1"/>
          <w:w w:val="99"/>
          <w:kern w:val="2"/>
          <w:sz w:val="24"/>
          <w:szCs w:val="32"/>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/d</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40" w:lineRule="exact"/>
        <w:ind w:firstLine="1137" w:firstLineChars="48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D</w:t>
      </w:r>
      <w:r>
        <w:rPr>
          <w:rFonts w:ascii="Times New Roman" w:hAnsi="Times New Roman" w:cs="Times New Roman"/>
          <w:color w:val="000000" w:themeColor="text1"/>
          <w:w w:val="99"/>
          <w:kern w:val="2"/>
          <w:sz w:val="24"/>
          <w:szCs w:val="32"/>
          <w:highlight w:val="none"/>
          <w:vertAlign w:val="subscript"/>
          <w:lang w:val="en-US" w:bidi="ar-SA"/>
          <w14:textFill>
            <w14:solidFill>
              <w14:schemeClr w14:val="tx1"/>
            </w14:solidFill>
          </w14:textFill>
        </w:rPr>
        <w:t>T</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--纵向y方向的弥散系数，m</w:t>
      </w:r>
      <w:r>
        <w:rPr>
          <w:rFonts w:ascii="Times New Roman" w:hAnsi="Times New Roman" w:cs="Times New Roman"/>
          <w:color w:val="000000" w:themeColor="text1"/>
          <w:w w:val="99"/>
          <w:kern w:val="2"/>
          <w:sz w:val="24"/>
          <w:szCs w:val="32"/>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/d</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（4）参数选择</w:t>
      </w:r>
    </w:p>
    <w:p>
      <w:pPr>
        <w:autoSpaceDE/>
        <w:autoSpaceDN/>
        <w:spacing w:line="440" w:lineRule="exact"/>
        <w:ind w:firstLine="474" w:firstLineChars="200"/>
        <w:jc w:val="both"/>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根据《大庆市水文地质勘察报告》（石油管理局）及区域含水层特点综合确定，</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潜水地下水流速度0.005m/d；根据《环境影响评价技术导则地下水环境》（HJ610-2016）水文地质参数经验值表数据及相关地勘资料，区域地下水纵向弥散系数0.6m</w:t>
      </w:r>
      <w:r>
        <w:rPr>
          <w:rFonts w:ascii="Times New Roman" w:hAnsi="Times New Roman" w:cs="Times New Roman"/>
          <w:bCs/>
          <w:color w:val="000000" w:themeColor="text1"/>
          <w:w w:val="99"/>
          <w:kern w:val="2"/>
          <w:sz w:val="24"/>
          <w:szCs w:val="32"/>
          <w:highlight w:val="none"/>
          <w:vertAlign w:val="superscript"/>
          <w:lang w:val="en-US" w:bidi="ar-SA"/>
          <w14:textFill>
            <w14:solidFill>
              <w14:schemeClr w14:val="tx1"/>
            </w14:solidFill>
          </w14:textFill>
        </w:rPr>
        <w:t>2</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/d，横向弥散系数0.01m</w:t>
      </w:r>
      <w:r>
        <w:rPr>
          <w:rFonts w:ascii="Times New Roman" w:hAnsi="Times New Roman" w:cs="Times New Roman"/>
          <w:bCs/>
          <w:color w:val="000000" w:themeColor="text1"/>
          <w:w w:val="99"/>
          <w:kern w:val="2"/>
          <w:sz w:val="24"/>
          <w:szCs w:val="32"/>
          <w:highlight w:val="none"/>
          <w:vertAlign w:val="superscript"/>
          <w:lang w:val="en-US" w:bidi="ar-SA"/>
          <w14:textFill>
            <w14:solidFill>
              <w14:schemeClr w14:val="tx1"/>
            </w14:solidFill>
          </w14:textFill>
        </w:rPr>
        <w:t>2</w:t>
      </w:r>
      <w:r>
        <w:rPr>
          <w:rFonts w:ascii="Times New Roman" w:hAnsi="Times New Roman" w:cs="Times New Roman"/>
          <w:bCs/>
          <w:color w:val="000000" w:themeColor="text1"/>
          <w:w w:val="99"/>
          <w:kern w:val="2"/>
          <w:sz w:val="24"/>
          <w:szCs w:val="32"/>
          <w:highlight w:val="none"/>
          <w:lang w:val="en-US" w:bidi="ar-SA"/>
          <w14:textFill>
            <w14:solidFill>
              <w14:schemeClr w14:val="tx1"/>
            </w14:solidFill>
          </w14:textFill>
        </w:rPr>
        <w:t>/d，有效孔隙度为0.3，水力坡度I=0.3%，潜水含水层厚度采用1.75m，化学反应常数为0。</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（5）预测结果</w:t>
      </w:r>
    </w:p>
    <w:p>
      <w:pPr>
        <w:widowControl w:val="0"/>
        <w:spacing w:line="440" w:lineRule="exact"/>
        <w:ind w:firstLine="436" w:firstLineChars="200"/>
        <w:jc w:val="both"/>
        <w:rPr>
          <w:rFonts w:ascii="Times New Roman" w:hAnsi="Times New Roman" w:cs="Times New Roman"/>
          <w:b/>
          <w:color w:val="000000" w:themeColor="text1"/>
          <w:w w:val="99"/>
          <w:kern w:val="2"/>
          <w:szCs w:val="20"/>
          <w:highlight w:val="none"/>
          <w14:textFill>
            <w14:solidFill>
              <w14:schemeClr w14:val="tx1"/>
            </w14:solidFill>
          </w14:textFill>
        </w:rPr>
      </w:pPr>
      <w:r>
        <w:rPr>
          <w:rFonts w:ascii="Times New Roman" w:hAnsi="Times New Roman" w:cs="Times New Roman"/>
          <w:b/>
          <w:color w:val="000000" w:themeColor="text1"/>
          <w:w w:val="99"/>
          <w:kern w:val="2"/>
          <w:szCs w:val="20"/>
          <w:highlight w:val="none"/>
          <w14:textFill>
            <w14:solidFill>
              <w14:schemeClr w14:val="tx1"/>
            </w14:solidFill>
          </w14:textFill>
        </w:rPr>
        <w:t>表5.2-</w:t>
      </w:r>
      <w:r>
        <w:rPr>
          <w:rFonts w:hint="eastAsia" w:ascii="Times New Roman" w:hAnsi="Times New Roman" w:cs="Times New Roman"/>
          <w:b/>
          <w:color w:val="000000" w:themeColor="text1"/>
          <w:w w:val="99"/>
          <w:kern w:val="2"/>
          <w:szCs w:val="20"/>
          <w:highlight w:val="none"/>
          <w:lang w:val="en-US" w:eastAsia="zh-CN"/>
          <w14:textFill>
            <w14:solidFill>
              <w14:schemeClr w14:val="tx1"/>
            </w14:solidFill>
          </w14:textFill>
        </w:rPr>
        <w:t xml:space="preserve">3    </w:t>
      </w:r>
      <w:r>
        <w:rPr>
          <w:rFonts w:ascii="Times New Roman" w:hAnsi="Times New Roman" w:cs="Times New Roman"/>
          <w:b/>
          <w:color w:val="000000" w:themeColor="text1"/>
          <w:w w:val="99"/>
          <w:kern w:val="2"/>
          <w:szCs w:val="20"/>
          <w:highlight w:val="none"/>
          <w14:textFill>
            <w14:solidFill>
              <w14:schemeClr w14:val="tx1"/>
            </w14:solidFill>
          </w14:textFill>
        </w:rPr>
        <w:t xml:space="preserve">     集油管道泄漏对地下水的影响预测结果表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301"/>
        <w:gridCol w:w="1775"/>
        <w:gridCol w:w="1775"/>
        <w:gridCol w:w="1775"/>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8"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污染物</w:t>
            </w:r>
          </w:p>
        </w:tc>
        <w:tc>
          <w:tcPr>
            <w:tcW w:w="700"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预测时间</w:t>
            </w:r>
          </w:p>
        </w:tc>
        <w:tc>
          <w:tcPr>
            <w:tcW w:w="95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下游最大浓度</w:t>
            </w:r>
          </w:p>
        </w:tc>
        <w:tc>
          <w:tcPr>
            <w:tcW w:w="95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超标最远距离</w:t>
            </w:r>
          </w:p>
        </w:tc>
        <w:tc>
          <w:tcPr>
            <w:tcW w:w="95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最远影响距离</w:t>
            </w:r>
          </w:p>
        </w:tc>
        <w:tc>
          <w:tcPr>
            <w:tcW w:w="846"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影响面积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8" w:type="pct"/>
            <w:vMerge w:val="restar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石油类</w:t>
            </w:r>
          </w:p>
        </w:tc>
        <w:tc>
          <w:tcPr>
            <w:tcW w:w="700"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100天</w:t>
            </w:r>
          </w:p>
        </w:tc>
        <w:tc>
          <w:tcPr>
            <w:tcW w:w="95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201.3</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mg/L</w:t>
            </w:r>
          </w:p>
        </w:tc>
        <w:tc>
          <w:tcPr>
            <w:tcW w:w="95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45.5</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p>
        </w:tc>
        <w:tc>
          <w:tcPr>
            <w:tcW w:w="95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49.5</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p>
        </w:tc>
        <w:tc>
          <w:tcPr>
            <w:tcW w:w="846"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956</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r>
              <w:rPr>
                <w:rFonts w:ascii="Times New Roman" w:hAnsi="Times New Roman" w:cs="Times New Roman" w:eastAsiaTheme="minorEastAsia"/>
                <w:color w:val="000000" w:themeColor="text1"/>
                <w:w w:val="99"/>
                <w:kern w:val="2"/>
                <w:sz w:val="21"/>
                <w:szCs w:val="21"/>
                <w:highlight w:val="none"/>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8" w:type="pct"/>
            <w:vMerge w:val="continue"/>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p>
        </w:tc>
        <w:tc>
          <w:tcPr>
            <w:tcW w:w="700"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1000天</w:t>
            </w:r>
          </w:p>
        </w:tc>
        <w:tc>
          <w:tcPr>
            <w:tcW w:w="95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55.2</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4mg/L</w:t>
            </w:r>
          </w:p>
        </w:tc>
        <w:tc>
          <w:tcPr>
            <w:tcW w:w="95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80.8</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p>
        </w:tc>
        <w:tc>
          <w:tcPr>
            <w:tcW w:w="955"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88.8</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p>
        </w:tc>
        <w:tc>
          <w:tcPr>
            <w:tcW w:w="846" w:type="pct"/>
            <w:vAlign w:val="center"/>
          </w:tcPr>
          <w:p>
            <w:pPr>
              <w:spacing w:line="360" w:lineRule="exact"/>
              <w:jc w:val="cente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highlight w:val="none"/>
                <w:lang w:val="en-US" w:eastAsia="zh-CN"/>
                <w14:textFill>
                  <w14:solidFill>
                    <w14:schemeClr w14:val="tx1"/>
                  </w14:solidFill>
                </w14:textFill>
              </w:rPr>
              <w:t>3058</w:t>
            </w:r>
            <w:r>
              <w:rPr>
                <w:rFonts w:ascii="Times New Roman" w:hAnsi="Times New Roman" w:cs="Times New Roman" w:eastAsiaTheme="minorEastAsia"/>
                <w:color w:val="000000" w:themeColor="text1"/>
                <w:w w:val="99"/>
                <w:kern w:val="2"/>
                <w:sz w:val="21"/>
                <w:szCs w:val="21"/>
                <w:highlight w:val="none"/>
                <w14:textFill>
                  <w14:solidFill>
                    <w14:schemeClr w14:val="tx1"/>
                  </w14:solidFill>
                </w14:textFill>
              </w:rPr>
              <w:t>m</w:t>
            </w:r>
            <w:r>
              <w:rPr>
                <w:rFonts w:ascii="Times New Roman" w:hAnsi="Times New Roman" w:cs="Times New Roman" w:eastAsiaTheme="minorEastAsia"/>
                <w:color w:val="000000" w:themeColor="text1"/>
                <w:w w:val="99"/>
                <w:kern w:val="2"/>
                <w:sz w:val="21"/>
                <w:szCs w:val="21"/>
                <w:highlight w:val="none"/>
                <w:vertAlign w:val="superscript"/>
                <w14:textFill>
                  <w14:solidFill>
                    <w14:schemeClr w14:val="tx1"/>
                  </w14:solidFill>
                </w14:textFill>
              </w:rPr>
              <w:t>2</w:t>
            </w:r>
          </w:p>
        </w:tc>
      </w:tr>
    </w:tbl>
    <w:p>
      <w:pPr>
        <w:widowControl w:val="0"/>
        <w:spacing w:line="440" w:lineRule="exact"/>
        <w:ind w:firstLine="436" w:firstLineChars="200"/>
        <w:jc w:val="both"/>
        <w:rPr>
          <w:rFonts w:ascii="Times New Roman" w:hAnsi="Times New Roman" w:cs="Times New Roman"/>
          <w:b/>
          <w:color w:val="000000" w:themeColor="text1"/>
          <w:w w:val="99"/>
          <w:kern w:val="2"/>
          <w:szCs w:val="20"/>
          <w:highlight w:val="none"/>
          <w14:textFill>
            <w14:solidFill>
              <w14:schemeClr w14:val="tx1"/>
            </w14:solidFill>
          </w14:textFill>
        </w:rPr>
      </w:pPr>
    </w:p>
    <w:p>
      <w:pPr>
        <w:autoSpaceDE/>
        <w:autoSpaceDN/>
        <w:jc w:val="cente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1301750</wp:posOffset>
                </wp:positionH>
                <wp:positionV relativeFrom="paragraph">
                  <wp:posOffset>1075055</wp:posOffset>
                </wp:positionV>
                <wp:extent cx="869315" cy="297815"/>
                <wp:effectExtent l="0" t="0" r="0" b="0"/>
                <wp:wrapNone/>
                <wp:docPr id="16" name="矩形标注 16"/>
                <wp:cNvGraphicFramePr/>
                <a:graphic xmlns:a="http://schemas.openxmlformats.org/drawingml/2006/main">
                  <a:graphicData uri="http://schemas.microsoft.com/office/word/2010/wordprocessingShape">
                    <wps:wsp>
                      <wps:cNvSpPr/>
                      <wps:spPr>
                        <a:xfrm>
                          <a:off x="0" y="0"/>
                          <a:ext cx="869315" cy="297815"/>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2.5pt;margin-top:84.65pt;height:23.45pt;width:68.45pt;z-index:251682816;v-text-anchor:middle;mso-width-relative:page;mso-height-relative:page;" filled="f" stroked="f" coordsize="21600,21600" o:gfxdata="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qepADYAAAACwEAAA8AAAAAAAAAAQAgAAAAIgAAAGRycy9kb3ducmV2LnhtbFBLAQIU&#10;ABQAAAAIAIdO4kBWik8kZQIAAKkEAAAOAAAAAAAAAAEAIAAAACcBAABkcnMvZTJvRG9jLnhtbFBL&#10;BQYAAAAABgAGAFkBAAD+BQAAAAA=&#10;" adj="6300,2430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水流方向</w:t>
                      </w:r>
                    </w:p>
                  </w:txbxContent>
                </v:textbox>
              </v:shape>
            </w:pict>
          </mc:Fallback>
        </mc:AlternateContent>
      </w:r>
      <w:r>
        <w:rPr>
          <w:color w:val="000000" w:themeColor="text1"/>
          <w:sz w:val="24"/>
          <w:highlight w:val="none"/>
          <w:lang w:val="en-US" w:bidi="ar-SA"/>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1884680</wp:posOffset>
                </wp:positionH>
                <wp:positionV relativeFrom="paragraph">
                  <wp:posOffset>1191260</wp:posOffset>
                </wp:positionV>
                <wp:extent cx="509270" cy="705485"/>
                <wp:effectExtent l="0" t="8255" r="24130" b="10160"/>
                <wp:wrapNone/>
                <wp:docPr id="31" name="直接箭头连接符 31"/>
                <wp:cNvGraphicFramePr/>
                <a:graphic xmlns:a="http://schemas.openxmlformats.org/drawingml/2006/main">
                  <a:graphicData uri="http://schemas.microsoft.com/office/word/2010/wordprocessingShape">
                    <wps:wsp>
                      <wps:cNvCnPr>
                        <a:cxnSpLocks noChangeShapeType="1"/>
                      </wps:cNvCnPr>
                      <wps:spPr bwMode="auto">
                        <a:xfrm flipH="1">
                          <a:off x="0" y="0"/>
                          <a:ext cx="509270" cy="705485"/>
                        </a:xfrm>
                        <a:prstGeom prst="straightConnector1">
                          <a:avLst/>
                        </a:prstGeom>
                        <a:noFill/>
                        <a:ln w="2857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48.4pt;margin-top:93.8pt;height:55.55pt;width:40.1pt;z-index:251665408;mso-width-relative:page;mso-height-relative:page;" filled="f" stroked="t" coordsize="21600,21600" o:gfxdata="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k246PXAAAACwEA&#10;AA8AAAAAAAAAAQAgAAAAIgAAAGRycy9kb3ducmV2LnhtbFBLAQIUABQAAAAIAIdO4kBV68rcGwIA&#10;AP0DAAAOAAAAAAAAAAEAIAAAACYBAABkcnMvZTJvRG9jLnhtbFBLBQYAAAAABgAGAFkBAACzBQAA&#10;AAA=&#10;">
                <v:fill on="f" focussize="0,0"/>
                <v:stroke weight="2.25pt" color="#000000" joinstyle="round" endarrow="block"/>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086860" cy="4041140"/>
            <wp:effectExtent l="0" t="0" r="8890" b="16510"/>
            <wp:docPr id="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pic:cNvPicPr>
                      <a:picLocks noChangeAspect="1"/>
                    </pic:cNvPicPr>
                  </pic:nvPicPr>
                  <pic:blipFill>
                    <a:blip r:embed="rId48"/>
                    <a:stretch>
                      <a:fillRect/>
                    </a:stretch>
                  </pic:blipFill>
                  <pic:spPr>
                    <a:xfrm>
                      <a:off x="0" y="0"/>
                      <a:ext cx="4086860" cy="404114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514350" cy="3733800"/>
            <wp:effectExtent l="0" t="0" r="0" b="0"/>
            <wp:docPr id="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49"/>
                    <a:stretch>
                      <a:fillRect/>
                    </a:stretch>
                  </pic:blipFill>
                  <pic:spPr>
                    <a:xfrm>
                      <a:off x="0" y="0"/>
                      <a:ext cx="514350" cy="3733800"/>
                    </a:xfrm>
                    <a:prstGeom prst="rect">
                      <a:avLst/>
                    </a:prstGeom>
                    <a:noFill/>
                    <a:ln>
                      <a:noFill/>
                    </a:ln>
                  </pic:spPr>
                </pic:pic>
              </a:graphicData>
            </a:graphic>
          </wp:inline>
        </w:drawing>
      </w:r>
    </w:p>
    <w:p>
      <w:pPr>
        <w:autoSpaceDE/>
        <w:autoSpaceDN/>
        <w:spacing w:line="440" w:lineRule="exact"/>
        <w:jc w:val="cente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图5.2-3</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集油管道</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石油类</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泄漏 100d 预测范围示意图</w:t>
      </w:r>
    </w:p>
    <w:p>
      <w:pPr>
        <w:autoSpaceDE/>
        <w:autoSpaceDN/>
        <w:jc w:val="center"/>
        <w:rPr>
          <w:color w:val="000000" w:themeColor="text1"/>
          <w:sz w:val="28"/>
          <w:szCs w:val="20"/>
          <w:highlight w:val="none"/>
          <w:lang w:val="en-US" w:bidi="ar-SA"/>
          <w14:textFill>
            <w14:solidFill>
              <w14:schemeClr w14:val="tx1"/>
            </w14:solidFill>
          </w14:textFill>
        </w:rPr>
      </w:pPr>
    </w:p>
    <w:p>
      <w:pPr>
        <w:pStyle w:val="40"/>
        <w:rPr>
          <w:color w:val="000000" w:themeColor="text1"/>
          <w:sz w:val="28"/>
          <w:szCs w:val="20"/>
          <w:highlight w:val="none"/>
          <w:lang w:val="en-US" w:bidi="ar-SA"/>
          <w14:textFill>
            <w14:solidFill>
              <w14:schemeClr w14:val="tx1"/>
            </w14:solidFill>
          </w14:textFill>
        </w:rPr>
      </w:pPr>
    </w:p>
    <w:p>
      <w:pPr>
        <w:rPr>
          <w:color w:val="000000" w:themeColor="text1"/>
          <w:sz w:val="28"/>
          <w:szCs w:val="20"/>
          <w:highlight w:val="none"/>
          <w:lang w:val="en-US"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1539875</wp:posOffset>
                </wp:positionH>
                <wp:positionV relativeFrom="paragraph">
                  <wp:posOffset>996315</wp:posOffset>
                </wp:positionV>
                <wp:extent cx="869315" cy="297815"/>
                <wp:effectExtent l="0" t="0" r="0" b="0"/>
                <wp:wrapNone/>
                <wp:docPr id="22" name="矩形标注 22"/>
                <wp:cNvGraphicFramePr/>
                <a:graphic xmlns:a="http://schemas.openxmlformats.org/drawingml/2006/main">
                  <a:graphicData uri="http://schemas.microsoft.com/office/word/2010/wordprocessingShape">
                    <wps:wsp>
                      <wps:cNvSpPr/>
                      <wps:spPr>
                        <a:xfrm>
                          <a:off x="0" y="0"/>
                          <a:ext cx="869315" cy="297815"/>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水流方向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1.25pt;margin-top:78.45pt;height:23.45pt;width:68.45pt;z-index:251683840;v-text-anchor:middle;mso-width-relative:page;mso-height-relative:page;" filled="f" stroked="f" coordsize="21600,21600" o:gfxdata="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gP4M12AAAAAsBAAAPAAAAAAAAAAEAIAAAACIAAABkcnMvZG93bnJldi54bWxQSwEC&#10;FAAUAAAACACHTuJAp942g2YCAACpBAAADgAAAAAAAAABACAAAAAnAQAAZHJzL2Uyb0RvYy54bWxQ&#10;SwUGAAAAAAYABgBZAQAA/wUAAAAA&#10;" adj="6300,2430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水流方向</w:t>
                      </w:r>
                    </w:p>
                  </w:txbxContent>
                </v:textbox>
              </v:shape>
            </w:pict>
          </mc:Fallback>
        </mc:AlternateContent>
      </w:r>
      <w:r>
        <w:rPr>
          <w:color w:val="000000" w:themeColor="text1"/>
          <w:sz w:val="28"/>
          <w:szCs w:val="20"/>
          <w:highlight w:val="none"/>
          <w:lang w:val="en-US" w:bidi="ar-SA"/>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2077720</wp:posOffset>
                </wp:positionH>
                <wp:positionV relativeFrom="paragraph">
                  <wp:posOffset>895350</wp:posOffset>
                </wp:positionV>
                <wp:extent cx="687705" cy="857885"/>
                <wp:effectExtent l="0" t="8890" r="17145" b="9525"/>
                <wp:wrapNone/>
                <wp:docPr id="40" name="直接箭头连接符 40"/>
                <wp:cNvGraphicFramePr/>
                <a:graphic xmlns:a="http://schemas.openxmlformats.org/drawingml/2006/main">
                  <a:graphicData uri="http://schemas.microsoft.com/office/word/2010/wordprocessingShape">
                    <wps:wsp>
                      <wps:cNvCnPr>
                        <a:cxnSpLocks noChangeShapeType="1"/>
                      </wps:cNvCnPr>
                      <wps:spPr bwMode="auto">
                        <a:xfrm flipH="1">
                          <a:off x="0" y="0"/>
                          <a:ext cx="687705" cy="857885"/>
                        </a:xfrm>
                        <a:prstGeom prst="straightConnector1">
                          <a:avLst/>
                        </a:prstGeom>
                        <a:noFill/>
                        <a:ln w="2857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63.6pt;margin-top:70.5pt;height:67.55pt;width:54.15pt;z-index:251666432;mso-width-relative:page;mso-height-relative:page;" filled="f" stroked="t" coordsize="21600,21600" o:gfxdata="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RA/RrZAAAACwEA&#10;AA8AAAAAAAAAAQAgAAAAIgAAAGRycy9kb3ducmV2LnhtbFBLAQIUABQAAAAIAIdO4kC9Jz3NGQIA&#10;AP0DAAAOAAAAAAAAAAEAIAAAACgBAABkcnMvZTJvRG9jLnhtbFBLBQYAAAAABgAGAFkBAACzBQAA&#10;AAA=&#10;">
                <v:fill on="f" focussize="0,0"/>
                <v:stroke weight="2.25pt" color="#000000" joinstyle="round" endarrow="block"/>
                <v:imagedata o:title=""/>
                <o:lock v:ext="edit" aspectratio="f"/>
              </v:shape>
            </w:pict>
          </mc:Fallback>
        </mc:AlternateConten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drawing>
          <wp:inline distT="0" distB="0" distL="114300" distR="114300">
            <wp:extent cx="4071620" cy="4025900"/>
            <wp:effectExtent l="0" t="0" r="5080" b="1270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0"/>
                    <a:stretch>
                      <a:fillRect/>
                    </a:stretch>
                  </pic:blipFill>
                  <pic:spPr>
                    <a:xfrm>
                      <a:off x="0" y="0"/>
                      <a:ext cx="4071620" cy="402590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514350" cy="37338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1"/>
                    <a:stretch>
                      <a:fillRect/>
                    </a:stretch>
                  </pic:blipFill>
                  <pic:spPr>
                    <a:xfrm>
                      <a:off x="0" y="0"/>
                      <a:ext cx="514350" cy="3733800"/>
                    </a:xfrm>
                    <a:prstGeom prst="rect">
                      <a:avLst/>
                    </a:prstGeom>
                    <a:noFill/>
                    <a:ln>
                      <a:noFill/>
                    </a:ln>
                  </pic:spPr>
                </pic:pic>
              </a:graphicData>
            </a:graphic>
          </wp:inline>
        </w:drawing>
      </w:r>
    </w:p>
    <w:p>
      <w:pPr>
        <w:autoSpaceDE/>
        <w:autoSpaceDN/>
        <w:spacing w:line="440" w:lineRule="exact"/>
        <w:ind w:firstLine="1422" w:firstLineChars="600"/>
        <w:jc w:val="both"/>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图5.2-4</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集油管道</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石油类</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泄漏1000d预测范围示意图</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根据预测结果可知，</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在</w:t>
      </w:r>
      <w:r>
        <w:rPr>
          <w:rFonts w:hint="eastAsia" w:ascii="Times New Roman" w:hAnsi="Times New Roman" w:cs="Times New Roman"/>
          <w:bCs/>
          <w:color w:val="000000" w:themeColor="text1"/>
          <w:spacing w:val="-9"/>
          <w:w w:val="99"/>
          <w:sz w:val="24"/>
          <w:szCs w:val="24"/>
          <w:highlight w:val="none"/>
          <w:lang w:val="en-US"/>
          <w14:textFill>
            <w14:solidFill>
              <w14:schemeClr w14:val="tx1"/>
            </w14:solidFill>
          </w14:textFill>
        </w:rPr>
        <w:t>集油管道泄露</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后，随着时间增加，污染范围有所增加，</w:t>
      </w:r>
      <w:r>
        <w:rPr>
          <w:rFonts w:hint="eastAsia" w:ascii="Times New Roman" w:hAnsi="Times New Roman" w:cs="Times New Roman"/>
          <w:bCs/>
          <w:color w:val="000000" w:themeColor="text1"/>
          <w:spacing w:val="-9"/>
          <w:w w:val="99"/>
          <w:sz w:val="24"/>
          <w:szCs w:val="24"/>
          <w:highlight w:val="none"/>
          <w:lang w:val="en-US"/>
          <w14:textFill>
            <w14:solidFill>
              <w14:schemeClr w14:val="tx1"/>
            </w14:solidFill>
          </w14:textFill>
        </w:rPr>
        <w:t>集油管道</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泄漏100d、1000d 的石油类浓度超标范围在地下水流向下游方向分别为4</w:t>
      </w:r>
      <w:r>
        <w:rPr>
          <w:rFonts w:hint="eastAsia" w:ascii="Times New Roman" w:hAnsi="Times New Roman" w:cs="Times New Roman"/>
          <w:bCs/>
          <w:color w:val="000000" w:themeColor="text1"/>
          <w:spacing w:val="-9"/>
          <w:w w:val="99"/>
          <w:sz w:val="24"/>
          <w:szCs w:val="24"/>
          <w:highlight w:val="none"/>
          <w:lang w:val="en-US" w:eastAsia="zh-CN"/>
          <w14:textFill>
            <w14:solidFill>
              <w14:schemeClr w14:val="tx1"/>
            </w14:solidFill>
          </w14:textFill>
        </w:rPr>
        <w:t>5.5</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m、</w:t>
      </w:r>
      <w:r>
        <w:rPr>
          <w:rFonts w:hint="eastAsia" w:ascii="Times New Roman" w:hAnsi="Times New Roman" w:cs="Times New Roman"/>
          <w:bCs/>
          <w:color w:val="000000" w:themeColor="text1"/>
          <w:spacing w:val="-9"/>
          <w:w w:val="99"/>
          <w:sz w:val="24"/>
          <w:szCs w:val="24"/>
          <w:highlight w:val="none"/>
          <w:lang w:val="en-US" w:eastAsia="zh-CN"/>
          <w14:textFill>
            <w14:solidFill>
              <w14:schemeClr w14:val="tx1"/>
            </w14:solidFill>
          </w14:textFill>
        </w:rPr>
        <w:t>80.8</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m，</w:t>
      </w:r>
      <w:r>
        <w:rPr>
          <w:rFonts w:hint="eastAsia" w:ascii="Times New Roman" w:hAnsi="Times New Roman" w:cs="Times New Roman"/>
          <w:bCs/>
          <w:color w:val="000000" w:themeColor="text1"/>
          <w:spacing w:val="-9"/>
          <w:w w:val="99"/>
          <w:sz w:val="24"/>
          <w:szCs w:val="24"/>
          <w:highlight w:val="none"/>
          <w:lang w:val="en-US"/>
          <w14:textFill>
            <w14:solidFill>
              <w14:schemeClr w14:val="tx1"/>
            </w14:solidFill>
          </w14:textFill>
        </w:rPr>
        <w:t>本项目</w:t>
      </w:r>
      <w:r>
        <w:rPr>
          <w:rFonts w:hint="eastAsia" w:ascii="Times New Roman" w:hAnsi="Times New Roman" w:cs="Times New Roman"/>
          <w:bCs/>
          <w:color w:val="000000" w:themeColor="text1"/>
          <w:spacing w:val="-9"/>
          <w:w w:val="99"/>
          <w:sz w:val="24"/>
          <w:szCs w:val="24"/>
          <w:highlight w:val="none"/>
          <w:lang w:val="en-US" w:eastAsia="zh-CN"/>
          <w14:textFill>
            <w14:solidFill>
              <w14:schemeClr w14:val="tx1"/>
            </w14:solidFill>
          </w14:textFill>
        </w:rPr>
        <w:t>集油管线</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周边在此范围内无饮用</w:t>
      </w:r>
      <w:r>
        <w:rPr>
          <w:rFonts w:hint="eastAsia" w:ascii="Times New Roman" w:hAnsi="Times New Roman" w:cs="Times New Roman"/>
          <w:bCs/>
          <w:color w:val="000000" w:themeColor="text1"/>
          <w:spacing w:val="-9"/>
          <w:w w:val="99"/>
          <w:sz w:val="24"/>
          <w:szCs w:val="24"/>
          <w:highlight w:val="none"/>
          <w:lang w:val="en-US" w:eastAsia="zh-CN"/>
          <w14:textFill>
            <w14:solidFill>
              <w14:schemeClr w14:val="tx1"/>
            </w14:solidFill>
          </w14:textFill>
        </w:rPr>
        <w:t>注入井</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分布</w:t>
      </w:r>
      <w:r>
        <w:rPr>
          <w:rFonts w:hint="eastAsia" w:ascii="Times New Roman" w:hAnsi="Times New Roman" w:cs="Times New Roman"/>
          <w:bCs/>
          <w:color w:val="000000" w:themeColor="text1"/>
          <w:spacing w:val="-9"/>
          <w:w w:val="99"/>
          <w:sz w:val="24"/>
          <w:szCs w:val="24"/>
          <w:highlight w:val="none"/>
          <w:lang w:val="en-US"/>
          <w14:textFill>
            <w14:solidFill>
              <w14:schemeClr w14:val="tx1"/>
            </w14:solidFill>
          </w14:textFill>
        </w:rPr>
        <w:t>，</w:t>
      </w:r>
      <w:r>
        <w:rPr>
          <w:rFonts w:hint="eastAsia" w:ascii="Times New Roman" w:hAnsi="Times New Roman" w:cs="Times New Roman"/>
          <w:bCs/>
          <w:color w:val="000000" w:themeColor="text1"/>
          <w:spacing w:val="-9"/>
          <w:w w:val="99"/>
          <w:sz w:val="24"/>
          <w:szCs w:val="24"/>
          <w:highlight w:val="none"/>
          <w:lang w:val="en-US" w:eastAsia="zh-CN"/>
          <w14:textFill>
            <w14:solidFill>
              <w14:schemeClr w14:val="tx1"/>
            </w14:solidFill>
          </w14:textFill>
        </w:rPr>
        <w:t>葡71-72井</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管线</w:t>
      </w:r>
      <w:r>
        <w:rPr>
          <w:rFonts w:hint="eastAsia" w:ascii="Times New Roman" w:hAnsi="Times New Roman" w:cs="Times New Roman"/>
          <w:bCs/>
          <w:color w:val="000000" w:themeColor="text1"/>
          <w:spacing w:val="-9"/>
          <w:w w:val="99"/>
          <w:sz w:val="24"/>
          <w:szCs w:val="24"/>
          <w:highlight w:val="none"/>
          <w:lang w:val="en-US" w:eastAsia="zh-CN"/>
          <w14:textFill>
            <w14:solidFill>
              <w14:schemeClr w14:val="tx1"/>
            </w14:solidFill>
          </w14:textFill>
        </w:rPr>
        <w:t>北50</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m</w:t>
      </w:r>
      <w:r>
        <w:rPr>
          <w:rFonts w:hint="eastAsia" w:ascii="Times New Roman" w:hAnsi="Times New Roman" w:cs="Times New Roman"/>
          <w:bCs/>
          <w:color w:val="000000" w:themeColor="text1"/>
          <w:spacing w:val="-9"/>
          <w:w w:val="99"/>
          <w:sz w:val="24"/>
          <w:szCs w:val="24"/>
          <w:highlight w:val="none"/>
          <w:lang w:val="en-US"/>
          <w14:textFill>
            <w14:solidFill>
              <w14:schemeClr w14:val="tx1"/>
            </w14:solidFill>
          </w14:textFill>
        </w:rPr>
        <w:t>为</w:t>
      </w:r>
      <w:r>
        <w:rPr>
          <w:rFonts w:hint="eastAsia" w:ascii="Times New Roman" w:hAnsi="Times New Roman" w:cs="Times New Roman"/>
          <w:bCs/>
          <w:color w:val="000000" w:themeColor="text1"/>
          <w:spacing w:val="-9"/>
          <w:w w:val="99"/>
          <w:sz w:val="24"/>
          <w:szCs w:val="24"/>
          <w:highlight w:val="none"/>
          <w:lang w:val="en-US" w:eastAsia="zh-CN"/>
          <w14:textFill>
            <w14:solidFill>
              <w14:schemeClr w14:val="tx1"/>
            </w14:solidFill>
          </w14:textFill>
        </w:rPr>
        <w:t>钱家屯注入井</w:t>
      </w:r>
      <w:r>
        <w:rPr>
          <w:rFonts w:ascii="Times New Roman" w:hAnsi="Times New Roman" w:cs="Times New Roman"/>
          <w:bCs/>
          <w:color w:val="000000" w:themeColor="text1"/>
          <w:spacing w:val="-9"/>
          <w:w w:val="99"/>
          <w:sz w:val="24"/>
          <w:szCs w:val="24"/>
          <w:highlight w:val="none"/>
          <w:lang w:val="en-US"/>
          <w14:textFill>
            <w14:solidFill>
              <w14:schemeClr w14:val="tx1"/>
            </w14:solidFill>
          </w14:textFill>
        </w:rPr>
        <w:t>，</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该</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村</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井为灌溉</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和</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养殖用水</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注入井</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，预测</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集油管线</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泄漏后石油类对其几乎不产生影响。</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5.2.2.5 地下水环境影响评价结论</w:t>
      </w:r>
    </w:p>
    <w:p>
      <w:pPr>
        <w:tabs>
          <w:tab w:val="left" w:pos="1158"/>
        </w:tabs>
        <w:autoSpaceDE/>
        <w:autoSpaceDN/>
        <w:spacing w:line="440" w:lineRule="exact"/>
        <w:ind w:firstLine="474" w:firstLineChars="200"/>
        <w:jc w:val="both"/>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本工程在正常且各项环境保护措施落实到位情况下对地下水环境无影响，但在事故状态下可能对地下水环境造成影响，但在各项地下水污染防控措施及应急措施落实到位的情况下，地下水环境影响可接受。</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74" w:name="_Toc2246"/>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5.3 声环境影响分析</w:t>
      </w:r>
      <w:bookmarkEnd w:id="174"/>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5.3.1 施工期声环境影响分析</w:t>
      </w:r>
    </w:p>
    <w:p>
      <w:pPr>
        <w:autoSpaceDE/>
        <w:autoSpaceDN/>
        <w:adjustRightInd w:val="0"/>
        <w:snapToGrid w:val="0"/>
        <w:spacing w:line="440" w:lineRule="exact"/>
        <w:ind w:firstLine="474" w:firstLineChars="200"/>
        <w:jc w:val="both"/>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4"/>
          <w:szCs w:val="24"/>
          <w:highlight w:val="none"/>
          <w:lang w:val="en-US"/>
          <w14:textFill>
            <w14:solidFill>
              <w14:schemeClr w14:val="tx1"/>
            </w14:solidFill>
          </w14:textFill>
        </w:rPr>
        <w:t>本工程产生的主要噪声源包括挖掘机、搅拌机、推土机、压路机等设备噪声及运输车辆的交通噪声，</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参照《</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环境噪声与振动控制工程技术导则</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HJ 2034-2013）</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中表A.2常见</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施工设备噪声源不同距离声压级，</w:t>
      </w: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施工机械</w:t>
      </w: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噪声衰减结果见表5.3-1。</w:t>
      </w:r>
    </w:p>
    <w:p>
      <w:pPr>
        <w:autoSpaceDE/>
        <w:autoSpaceDN/>
        <w:spacing w:line="50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表5.3-1        施工期施工机械噪声统计表        单位：dB(A)</w:t>
      </w:r>
    </w:p>
    <w:tbl>
      <w:tblPr>
        <w:tblStyle w:val="3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250"/>
        <w:gridCol w:w="1091"/>
        <w:gridCol w:w="1014"/>
        <w:gridCol w:w="1161"/>
        <w:gridCol w:w="1161"/>
        <w:gridCol w:w="1308"/>
        <w:gridCol w:w="13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1" w:hRule="atLeast"/>
          <w:tblHeader/>
          <w:jc w:val="center"/>
        </w:trPr>
        <w:tc>
          <w:tcPr>
            <w:tcW w:w="1211" w:type="pct"/>
            <w:vMerge w:val="restar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机械名称</w:t>
            </w:r>
          </w:p>
        </w:tc>
        <w:tc>
          <w:tcPr>
            <w:tcW w:w="3789" w:type="pct"/>
            <w:gridSpan w:val="6"/>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离施工点距离不同处的噪声值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1" w:hRule="atLeast"/>
          <w:tblHeader/>
          <w:jc w:val="center"/>
        </w:trPr>
        <w:tc>
          <w:tcPr>
            <w:tcW w:w="1211" w:type="pct"/>
            <w:vMerge w:val="continue"/>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587"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10m</w:t>
            </w:r>
          </w:p>
        </w:tc>
        <w:tc>
          <w:tcPr>
            <w:tcW w:w="546"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50m</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100m</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200m</w:t>
            </w:r>
          </w:p>
        </w:tc>
        <w:tc>
          <w:tcPr>
            <w:tcW w:w="704"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300m</w:t>
            </w:r>
          </w:p>
        </w:tc>
        <w:tc>
          <w:tcPr>
            <w:tcW w:w="702"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1" w:hRule="atLeast"/>
          <w:jc w:val="center"/>
        </w:trPr>
        <w:tc>
          <w:tcPr>
            <w:tcW w:w="1211"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压路机</w:t>
            </w:r>
          </w:p>
        </w:tc>
        <w:tc>
          <w:tcPr>
            <w:tcW w:w="587"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86</w:t>
            </w:r>
          </w:p>
        </w:tc>
        <w:tc>
          <w:tcPr>
            <w:tcW w:w="546"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72.1</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66.0</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60.0</w:t>
            </w:r>
          </w:p>
        </w:tc>
        <w:tc>
          <w:tcPr>
            <w:tcW w:w="704"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56.5</w:t>
            </w:r>
          </w:p>
        </w:tc>
        <w:tc>
          <w:tcPr>
            <w:tcW w:w="702"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1" w:hRule="atLeast"/>
          <w:jc w:val="center"/>
        </w:trPr>
        <w:tc>
          <w:tcPr>
            <w:tcW w:w="1211"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运输车</w:t>
            </w:r>
          </w:p>
        </w:tc>
        <w:tc>
          <w:tcPr>
            <w:tcW w:w="587"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86</w:t>
            </w:r>
          </w:p>
        </w:tc>
        <w:tc>
          <w:tcPr>
            <w:tcW w:w="546"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72.1</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66.0</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60.0</w:t>
            </w:r>
          </w:p>
        </w:tc>
        <w:tc>
          <w:tcPr>
            <w:tcW w:w="704"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56.5</w:t>
            </w:r>
          </w:p>
        </w:tc>
        <w:tc>
          <w:tcPr>
            <w:tcW w:w="702"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1" w:hRule="atLeast"/>
          <w:jc w:val="center"/>
        </w:trPr>
        <w:tc>
          <w:tcPr>
            <w:tcW w:w="1211"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推土机</w:t>
            </w:r>
          </w:p>
        </w:tc>
        <w:tc>
          <w:tcPr>
            <w:tcW w:w="587"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85</w:t>
            </w:r>
          </w:p>
        </w:tc>
        <w:tc>
          <w:tcPr>
            <w:tcW w:w="546"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71.1</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65.0</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59.0</w:t>
            </w:r>
          </w:p>
        </w:tc>
        <w:tc>
          <w:tcPr>
            <w:tcW w:w="704"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55.5</w:t>
            </w:r>
          </w:p>
        </w:tc>
        <w:tc>
          <w:tcPr>
            <w:tcW w:w="702"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1" w:hRule="atLeast"/>
          <w:jc w:val="center"/>
        </w:trPr>
        <w:tc>
          <w:tcPr>
            <w:tcW w:w="1211"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挖掘机</w:t>
            </w:r>
          </w:p>
        </w:tc>
        <w:tc>
          <w:tcPr>
            <w:tcW w:w="587"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86</w:t>
            </w:r>
          </w:p>
        </w:tc>
        <w:tc>
          <w:tcPr>
            <w:tcW w:w="546"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72.1</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66.0</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60.0</w:t>
            </w:r>
          </w:p>
        </w:tc>
        <w:tc>
          <w:tcPr>
            <w:tcW w:w="704"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56.5</w:t>
            </w:r>
          </w:p>
        </w:tc>
        <w:tc>
          <w:tcPr>
            <w:tcW w:w="702"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1" w:hRule="atLeast"/>
          <w:jc w:val="center"/>
        </w:trPr>
        <w:tc>
          <w:tcPr>
            <w:tcW w:w="1211"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吊管机</w:t>
            </w:r>
          </w:p>
        </w:tc>
        <w:tc>
          <w:tcPr>
            <w:tcW w:w="587"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73</w:t>
            </w:r>
          </w:p>
        </w:tc>
        <w:tc>
          <w:tcPr>
            <w:tcW w:w="546"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59.1</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3.1</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47.1</w:t>
            </w:r>
          </w:p>
        </w:tc>
        <w:tc>
          <w:tcPr>
            <w:tcW w:w="704"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43.6</w:t>
            </w:r>
          </w:p>
        </w:tc>
        <w:tc>
          <w:tcPr>
            <w:tcW w:w="702"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1" w:hRule="atLeast"/>
          <w:jc w:val="center"/>
        </w:trPr>
        <w:tc>
          <w:tcPr>
            <w:tcW w:w="1211"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电焊机</w:t>
            </w:r>
          </w:p>
        </w:tc>
        <w:tc>
          <w:tcPr>
            <w:tcW w:w="587"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73</w:t>
            </w:r>
          </w:p>
        </w:tc>
        <w:tc>
          <w:tcPr>
            <w:tcW w:w="546"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59.1</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3.1</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47.1</w:t>
            </w:r>
          </w:p>
        </w:tc>
        <w:tc>
          <w:tcPr>
            <w:tcW w:w="704"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43.6</w:t>
            </w:r>
          </w:p>
        </w:tc>
        <w:tc>
          <w:tcPr>
            <w:tcW w:w="702"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36.3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1" w:hRule="atLeast"/>
          <w:jc w:val="center"/>
        </w:trPr>
        <w:tc>
          <w:tcPr>
            <w:tcW w:w="1211"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搅拌机</w:t>
            </w:r>
          </w:p>
        </w:tc>
        <w:tc>
          <w:tcPr>
            <w:tcW w:w="587"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73</w:t>
            </w:r>
          </w:p>
        </w:tc>
        <w:tc>
          <w:tcPr>
            <w:tcW w:w="546"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59.1</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5</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3.1</w:t>
            </w:r>
          </w:p>
        </w:tc>
        <w:tc>
          <w:tcPr>
            <w:tcW w:w="625"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47.1</w:t>
            </w:r>
          </w:p>
        </w:tc>
        <w:tc>
          <w:tcPr>
            <w:tcW w:w="704"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43.6</w:t>
            </w:r>
          </w:p>
        </w:tc>
        <w:tc>
          <w:tcPr>
            <w:tcW w:w="702" w:type="pct"/>
            <w:vAlign w:val="center"/>
          </w:tcPr>
          <w:p>
            <w:pPr>
              <w:spacing w:line="32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36.3</w:t>
            </w:r>
          </w:p>
        </w:tc>
      </w:tr>
    </w:tbl>
    <w:p>
      <w:pPr>
        <w:autoSpaceDE/>
        <w:autoSpaceDN/>
        <w:adjustRightInd w:val="0"/>
        <w:snapToGrid w:val="0"/>
        <w:spacing w:line="440" w:lineRule="exact"/>
        <w:ind w:firstLine="464" w:firstLineChars="196"/>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由表5.3-1可以看出，主要施工机械在100m以外均能够</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满足</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《建筑施工场界环境噪声排放标准》（GB 12523-2011）中昼间限值不超过70dB（A）的要求，</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本项目</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新建</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道路</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及管线工程</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等</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夜间均不施工，</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本项目</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距离</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施工井场和管线最近的声环境保护目标主要是</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葡</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71-更71</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井</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北120</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m</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的</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钱家</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屯</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管线</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施工场地距离</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村屯</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较近，施工</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活动及</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运输车辆可能会对</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钱家屯</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产生</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一定影响</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，施工期</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应</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在</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采取严格</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的</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噪声控制措施后，</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避免</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对村屯声环境产生显著不良影响。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5.3.2 运营期声环境影响预测与评价</w:t>
      </w:r>
    </w:p>
    <w:p>
      <w:pPr>
        <w:autoSpaceDE/>
        <w:autoSpaceDN/>
        <w:adjustRightInd w:val="0"/>
        <w:snapToGrid w:val="0"/>
        <w:spacing w:line="440" w:lineRule="exact"/>
        <w:ind w:firstLine="533" w:firstLineChars="225"/>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 xml:space="preserve">油田运行期所产生的噪声污染贯穿油田生产的全过程，具有点多、分散的特点，其影响程度视油田生产中的设备发声强度和周围环境的功能要求而定。本工程主要噪声源为平台井井场。 </w:t>
      </w:r>
    </w:p>
    <w:p>
      <w:pPr>
        <w:autoSpaceDE/>
        <w:autoSpaceDN/>
        <w:adjustRightInd w:val="0"/>
        <w:snapToGrid w:val="0"/>
        <w:spacing w:line="440" w:lineRule="exact"/>
        <w:ind w:firstLine="464" w:firstLineChars="196"/>
        <w:jc w:val="both"/>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距离本项目油井最近的敏感点为葡71-72北侧 50</w:t>
      </w:r>
      <w:r>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 xml:space="preserve">m </w:t>
      </w: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 xml:space="preserve">的钱家屯，因此本次对葡71-72井进行预测，预测结果见图 </w:t>
      </w:r>
      <w:r>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5.4-1</w:t>
      </w: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 xml:space="preserve">、图 </w:t>
      </w:r>
      <w:r>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5.4-2</w:t>
      </w:r>
    </w:p>
    <w:p>
      <w:pPr>
        <w:pStyle w:val="40"/>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drawing>
          <wp:anchor distT="0" distB="0" distL="114935" distR="114935" simplePos="0" relativeHeight="251686912" behindDoc="0" locked="0" layoutInCell="1" allowOverlap="1">
            <wp:simplePos x="0" y="0"/>
            <wp:positionH relativeFrom="column">
              <wp:posOffset>4135755</wp:posOffset>
            </wp:positionH>
            <wp:positionV relativeFrom="paragraph">
              <wp:posOffset>57150</wp:posOffset>
            </wp:positionV>
            <wp:extent cx="489585" cy="531495"/>
            <wp:effectExtent l="0" t="0" r="5715" b="1905"/>
            <wp:wrapNone/>
            <wp:docPr id="29" name="图片 29" descr="1635812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35812726(1)"/>
                    <pic:cNvPicPr>
                      <a:picLocks noChangeAspect="1"/>
                    </pic:cNvPicPr>
                  </pic:nvPicPr>
                  <pic:blipFill>
                    <a:blip r:embed="rId52"/>
                    <a:stretch>
                      <a:fillRect/>
                    </a:stretch>
                  </pic:blipFill>
                  <pic:spPr>
                    <a:xfrm>
                      <a:off x="0" y="0"/>
                      <a:ext cx="489585" cy="531495"/>
                    </a:xfrm>
                    <a:prstGeom prst="rect">
                      <a:avLst/>
                    </a:prstGeom>
                  </pic:spPr>
                </pic:pic>
              </a:graphicData>
            </a:graphic>
          </wp:anchor>
        </w:drawing>
      </w:r>
      <w:r>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drawing>
          <wp:inline distT="0" distB="0" distL="114300" distR="114300">
            <wp:extent cx="2995295" cy="2225040"/>
            <wp:effectExtent l="0" t="0" r="14605" b="3810"/>
            <wp:docPr id="5" name="图片 5" descr="89810545321a85a931e16d50607b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9810545321a85a931e16d50607b725"/>
                    <pic:cNvPicPr>
                      <a:picLocks noChangeAspect="1"/>
                    </pic:cNvPicPr>
                  </pic:nvPicPr>
                  <pic:blipFill>
                    <a:blip r:embed="rId53"/>
                    <a:stretch>
                      <a:fillRect/>
                    </a:stretch>
                  </pic:blipFill>
                  <pic:spPr>
                    <a:xfrm>
                      <a:off x="0" y="0"/>
                      <a:ext cx="2995295" cy="2225040"/>
                    </a:xfrm>
                    <a:prstGeom prst="rect">
                      <a:avLst/>
                    </a:prstGeom>
                  </pic:spPr>
                </pic:pic>
              </a:graphicData>
            </a:graphic>
          </wp:inline>
        </w:drawing>
      </w:r>
      <w:r>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drawing>
          <wp:inline distT="0" distB="0" distL="114300" distR="114300">
            <wp:extent cx="469900" cy="1698625"/>
            <wp:effectExtent l="0" t="0" r="6350" b="15875"/>
            <wp:docPr id="11" name="图片 11" descr="4cacb936c289a9d00642767fb9af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cacb936c289a9d00642767fb9af58a"/>
                    <pic:cNvPicPr>
                      <a:picLocks noChangeAspect="1"/>
                    </pic:cNvPicPr>
                  </pic:nvPicPr>
                  <pic:blipFill>
                    <a:blip r:embed="rId54"/>
                    <a:stretch>
                      <a:fillRect/>
                    </a:stretch>
                  </pic:blipFill>
                  <pic:spPr>
                    <a:xfrm>
                      <a:off x="0" y="0"/>
                      <a:ext cx="469900" cy="1698625"/>
                    </a:xfrm>
                    <a:prstGeom prst="rect">
                      <a:avLst/>
                    </a:prstGeom>
                  </pic:spPr>
                </pic:pic>
              </a:graphicData>
            </a:graphic>
          </wp:inline>
        </w:drawing>
      </w:r>
    </w:p>
    <w:p>
      <w:pPr>
        <w:autoSpaceDE/>
        <w:autoSpaceDN/>
        <w:adjustRightInd w:val="0"/>
        <w:snapToGrid w:val="0"/>
        <w:spacing w:line="440" w:lineRule="exact"/>
        <w:ind w:firstLine="466" w:firstLineChars="196"/>
        <w:jc w:val="center"/>
        <w:rPr>
          <w:rFonts w:hint="default" w:ascii="Times New Roman" w:hAnsi="Times New Roman" w:cs="Times New Roman"/>
          <w:b/>
          <w:bCs/>
          <w:color w:val="000000" w:themeColor="text1"/>
          <w:w w:val="99"/>
          <w:kern w:val="2"/>
          <w:sz w:val="24"/>
          <w:szCs w:val="20"/>
          <w:highlight w:val="none"/>
          <w:lang w:val="en-US" w:eastAsia="zh-CN" w:bidi="ar-SA"/>
          <w14:textFill>
            <w14:solidFill>
              <w14:schemeClr w14:val="tx1"/>
            </w14:solidFill>
          </w14:textFill>
        </w:rPr>
      </w:pPr>
      <w:r>
        <w:rPr>
          <w:rFonts w:hint="default" w:ascii="Times New Roman" w:hAnsi="Times New Roman" w:cs="Times New Roman"/>
          <w:b/>
          <w:bCs/>
          <w:color w:val="000000" w:themeColor="text1"/>
          <w:w w:val="99"/>
          <w:kern w:val="2"/>
          <w:sz w:val="24"/>
          <w:szCs w:val="20"/>
          <w:highlight w:val="none"/>
          <w:lang w:val="en-US" w:eastAsia="zh-CN" w:bidi="ar-SA"/>
          <w14:textFill>
            <w14:solidFill>
              <w14:schemeClr w14:val="tx1"/>
            </w14:solidFill>
          </w14:textFill>
        </w:rPr>
        <w:t>图 5.4-1        井场噪声预测结果</w:t>
      </w:r>
    </w:p>
    <w:p>
      <w:pPr>
        <w:pStyle w:val="40"/>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pPr>
    </w:p>
    <w:p>
      <w:pPr>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pPr>
    </w:p>
    <w:p>
      <w:pPr>
        <w:pStyle w:val="4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drawing>
          <wp:anchor distT="0" distB="0" distL="114935" distR="114935" simplePos="0" relativeHeight="251685888" behindDoc="0" locked="0" layoutInCell="1" allowOverlap="1">
            <wp:simplePos x="0" y="0"/>
            <wp:positionH relativeFrom="column">
              <wp:posOffset>4474845</wp:posOffset>
            </wp:positionH>
            <wp:positionV relativeFrom="paragraph">
              <wp:posOffset>1680210</wp:posOffset>
            </wp:positionV>
            <wp:extent cx="469900" cy="1501140"/>
            <wp:effectExtent l="0" t="0" r="6350" b="3810"/>
            <wp:wrapNone/>
            <wp:docPr id="20" name="图片 20" descr="4cacb936c289a9d00642767fb9af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cacb936c289a9d00642767fb9af58a"/>
                    <pic:cNvPicPr>
                      <a:picLocks noChangeAspect="1"/>
                    </pic:cNvPicPr>
                  </pic:nvPicPr>
                  <pic:blipFill>
                    <a:blip r:embed="rId54"/>
                    <a:stretch>
                      <a:fillRect/>
                    </a:stretch>
                  </pic:blipFill>
                  <pic:spPr>
                    <a:xfrm>
                      <a:off x="0" y="0"/>
                      <a:ext cx="469900" cy="1501140"/>
                    </a:xfrm>
                    <a:prstGeom prst="rect">
                      <a:avLst/>
                    </a:prstGeom>
                  </pic:spPr>
                </pic:pic>
              </a:graphicData>
            </a:graphic>
          </wp:anchor>
        </w:drawing>
      </w:r>
      <w:r>
        <w:rPr>
          <w:rFonts w:hint="eastAsia"/>
          <w:color w:val="000000" w:themeColor="text1"/>
          <w:highlight w:val="none"/>
          <w:lang w:val="en-US" w:eastAsia="zh-CN"/>
          <w14:textFill>
            <w14:solidFill>
              <w14:schemeClr w14:val="tx1"/>
            </w14:solidFill>
          </w14:textFill>
        </w:rPr>
        <w:drawing>
          <wp:anchor distT="0" distB="0" distL="114935" distR="114935" simplePos="0" relativeHeight="251684864" behindDoc="0" locked="0" layoutInCell="1" allowOverlap="1">
            <wp:simplePos x="0" y="0"/>
            <wp:positionH relativeFrom="column">
              <wp:posOffset>3418205</wp:posOffset>
            </wp:positionH>
            <wp:positionV relativeFrom="paragraph">
              <wp:posOffset>1839595</wp:posOffset>
            </wp:positionV>
            <wp:extent cx="533400" cy="396240"/>
            <wp:effectExtent l="0" t="0" r="0" b="3810"/>
            <wp:wrapNone/>
            <wp:docPr id="19" name="图片 19" descr="89810545321a85a931e16d50607b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9810545321a85a931e16d50607b725"/>
                    <pic:cNvPicPr>
                      <a:picLocks noChangeAspect="1"/>
                    </pic:cNvPicPr>
                  </pic:nvPicPr>
                  <pic:blipFill>
                    <a:blip r:embed="rId53"/>
                    <a:stretch>
                      <a:fillRect/>
                    </a:stretch>
                  </pic:blipFill>
                  <pic:spPr>
                    <a:xfrm>
                      <a:off x="0" y="0"/>
                      <a:ext cx="533400" cy="396240"/>
                    </a:xfrm>
                    <a:prstGeom prst="rect">
                      <a:avLst/>
                    </a:prstGeom>
                  </pic:spPr>
                </pic:pic>
              </a:graphicData>
            </a:graphic>
          </wp:anchor>
        </w:drawing>
      </w:r>
      <w:r>
        <w:rPr>
          <w:rFonts w:hint="eastAsia"/>
          <w:color w:val="000000" w:themeColor="text1"/>
          <w:highlight w:val="none"/>
          <w:lang w:val="en-US" w:eastAsia="zh-CN"/>
          <w14:textFill>
            <w14:solidFill>
              <w14:schemeClr w14:val="tx1"/>
            </w14:solidFill>
          </w14:textFill>
        </w:rPr>
        <w:drawing>
          <wp:inline distT="0" distB="0" distL="114300" distR="114300">
            <wp:extent cx="4129405" cy="3181350"/>
            <wp:effectExtent l="0" t="0" r="4445" b="0"/>
            <wp:docPr id="13" name="图片 13" descr="123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38978"/>
                    <pic:cNvPicPr>
                      <a:picLocks noChangeAspect="1"/>
                    </pic:cNvPicPr>
                  </pic:nvPicPr>
                  <pic:blipFill>
                    <a:blip r:embed="rId55"/>
                    <a:stretch>
                      <a:fillRect/>
                    </a:stretch>
                  </pic:blipFill>
                  <pic:spPr>
                    <a:xfrm>
                      <a:off x="0" y="0"/>
                      <a:ext cx="4129405" cy="3181350"/>
                    </a:xfrm>
                    <a:prstGeom prst="rect">
                      <a:avLst/>
                    </a:prstGeom>
                  </pic:spPr>
                </pic:pic>
              </a:graphicData>
            </a:graphic>
          </wp:inline>
        </w:drawing>
      </w:r>
    </w:p>
    <w:p>
      <w:pPr>
        <w:keepNext w:val="0"/>
        <w:keepLines w:val="0"/>
        <w:widowControl/>
        <w:suppressLineNumbers w:val="0"/>
        <w:jc w:val="center"/>
        <w:rPr>
          <w:rFonts w:hint="default" w:ascii="Times New Roman" w:hAnsi="Times New Roman" w:cs="Times New Roman"/>
          <w:b/>
          <w:bCs/>
          <w:color w:val="000000" w:themeColor="text1"/>
          <w:w w:val="99"/>
          <w:kern w:val="2"/>
          <w:sz w:val="24"/>
          <w:szCs w:val="20"/>
          <w:highlight w:val="none"/>
          <w:lang w:val="en-US" w:eastAsia="zh-CN" w:bidi="ar-SA"/>
          <w14:textFill>
            <w14:solidFill>
              <w14:schemeClr w14:val="tx1"/>
            </w14:solidFill>
          </w14:textFill>
        </w:rPr>
      </w:pPr>
      <w:r>
        <w:rPr>
          <w:rFonts w:hint="default" w:ascii="Times New Roman" w:hAnsi="Times New Roman" w:cs="Times New Roman"/>
          <w:b/>
          <w:bCs/>
          <w:color w:val="000000" w:themeColor="text1"/>
          <w:w w:val="99"/>
          <w:kern w:val="2"/>
          <w:sz w:val="24"/>
          <w:szCs w:val="20"/>
          <w:highlight w:val="none"/>
          <w:lang w:val="en-US" w:eastAsia="zh-CN" w:bidi="ar-SA"/>
          <w14:textFill>
            <w14:solidFill>
              <w14:schemeClr w14:val="tx1"/>
            </w14:solidFill>
          </w14:textFill>
        </w:rPr>
        <w:t xml:space="preserve">图 5.4-1        </w:t>
      </w:r>
      <w:r>
        <w:rPr>
          <w:rFonts w:hint="eastAsia" w:ascii="Times New Roman" w:hAnsi="Times New Roman" w:cs="Times New Roman"/>
          <w:b/>
          <w:bCs/>
          <w:color w:val="000000" w:themeColor="text1"/>
          <w:w w:val="99"/>
          <w:kern w:val="2"/>
          <w:sz w:val="24"/>
          <w:szCs w:val="20"/>
          <w:highlight w:val="none"/>
          <w:lang w:val="en-US" w:eastAsia="zh-CN" w:bidi="ar-SA"/>
          <w14:textFill>
            <w14:solidFill>
              <w14:schemeClr w14:val="tx1"/>
            </w14:solidFill>
          </w14:textFill>
        </w:rPr>
        <w:t>井场噪声及对周边敏感点影响预测结果</w:t>
      </w:r>
    </w:p>
    <w:p>
      <w:pPr>
        <w:autoSpaceDE/>
        <w:autoSpaceDN/>
        <w:adjustRightInd w:val="0"/>
        <w:snapToGrid w:val="0"/>
        <w:spacing w:line="440" w:lineRule="exact"/>
        <w:ind w:firstLine="464" w:firstLineChars="196"/>
        <w:jc w:val="both"/>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由预测结果可知，在运营期井场厂界可满足《工业企业厂界环境噪声排放标准》 （</w:t>
      </w:r>
      <w:r>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GB12348-2008</w:t>
      </w: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 xml:space="preserve">）中 </w:t>
      </w:r>
      <w:r>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 xml:space="preserve">2 </w:t>
      </w: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类标准的要求，井场噪声对周边敏感点的影响极小，环境噪声可以满足《声环境质量标准》</w:t>
      </w:r>
      <w:r>
        <w:rPr>
          <w:rFonts w:hint="default"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 xml:space="preserve">1 </w:t>
      </w:r>
      <w:r>
        <w:rPr>
          <w:rFonts w:hint="eastAsia" w:ascii="Times New Roman" w:hAnsi="Times New Roman" w:cs="Times New Roman"/>
          <w:color w:val="000000" w:themeColor="text1"/>
          <w:w w:val="99"/>
          <w:kern w:val="2"/>
          <w:sz w:val="24"/>
          <w:szCs w:val="20"/>
          <w:highlight w:val="none"/>
          <w:lang w:val="en-US" w:eastAsia="zh-CN" w:bidi="ar-SA"/>
          <w14:textFill>
            <w14:solidFill>
              <w14:schemeClr w14:val="tx1"/>
            </w14:solidFill>
          </w14:textFill>
        </w:rPr>
        <w:t>类区标准要求。项目建设和运行对周边声环境影响较小，不会发生噪声扰民问题。</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75" w:name="_Toc7801"/>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5.4 固体废物环境影响分析</w:t>
      </w:r>
      <w:bookmarkEnd w:id="175"/>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5.4.1 施工期固体废物环境影响分析</w:t>
      </w:r>
    </w:p>
    <w:p>
      <w:pPr>
        <w:wordWrap w:val="0"/>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施工期产生的固体废弃物主要有管道施工产生的施工废料和施工人员产生的生活垃圾等。</w:t>
      </w:r>
    </w:p>
    <w:p>
      <w:pPr>
        <w:wordWrap w:val="0"/>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本项目</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管道铺设施工过程中产生的</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聚氨酯</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等施工废料回收后送至第</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七</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采油厂工业固废填埋场。施工人员</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生活垃圾</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由环卫部门拉运至大庆市生活垃圾综合处理厂进行处理。</w:t>
      </w:r>
    </w:p>
    <w:p>
      <w:pPr>
        <w:pStyle w:val="14"/>
        <w:spacing w:line="440" w:lineRule="exact"/>
        <w:ind w:firstLine="474"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0"/>
          <w:highlight w:val="none"/>
          <w:lang w:val="en-US" w:bidi="ar-SA"/>
          <w14:textFill>
            <w14:solidFill>
              <w14:schemeClr w14:val="tx1"/>
            </w14:solidFill>
          </w14:textFill>
        </w:rPr>
        <w:t>通过采取以上措施，施工期产生的固体废物均得到有效处置，不会对周围环境产生不良影响。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5.4.2 运营期固体废物环境影响分析</w:t>
      </w:r>
    </w:p>
    <w:p>
      <w:pPr>
        <w:wordWrap w:val="0"/>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本项目运营期产生的固体废物主要为原油集输过程中产生的含油污泥、以及油</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注入井</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作业产生的落地油、废弃防渗布。</w:t>
      </w:r>
    </w:p>
    <w:p>
      <w:pPr>
        <w:wordWrap w:val="0"/>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作业过程产生的含油污泥运送至葡萄花含油污泥处理站处理；落地油100%回收后送至葡萄花含油污泥处理站进行处理；废防渗布送至有资质单位进行处理。</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根据《建设项目危险废物环境影响评价指南》（环境保护部公告2017年第43号）相关规定，本工程依托场站污水处理和作业产生的落地油100%回收，作业过程与场站油气处理设备清淤产生的含油污泥运送至葡萄花含油污泥处理站处理，含油防渗布由建设单位收集后委托有资质单位处置。</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5.4.3 危险废物分析</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根据《国家危险废物名录（2021 年版） 》（部令第 15 号），项目产生的危险废物包括 含油废防渗布、 含油污泥和落地油。其中含油防渗布直接由施工/作业单位委托有资质单位处理。含油污泥和落地油由罐车从井场</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和</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场站拉运至</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葡萄花</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含油污泥处理站处理后回用于道路铺设或井场垫高。</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本项目</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施工期和运营期危险废物产生情况汇总见表</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5.4-1。</w:t>
      </w:r>
    </w:p>
    <w:p>
      <w:pPr>
        <w:autoSpaceDE/>
        <w:autoSpaceDN/>
        <w:adjustRightInd w:val="0"/>
        <w:snapToGrid w:val="0"/>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表5.4-1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危险废物汇总表</w:t>
      </w:r>
    </w:p>
    <w:tbl>
      <w:tblPr>
        <w:tblStyle w:val="3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798"/>
        <w:gridCol w:w="783"/>
        <w:gridCol w:w="562"/>
        <w:gridCol w:w="887"/>
        <w:gridCol w:w="732"/>
        <w:gridCol w:w="423"/>
        <w:gridCol w:w="423"/>
        <w:gridCol w:w="584"/>
        <w:gridCol w:w="942"/>
        <w:gridCol w:w="659"/>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798"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危险废物名称</w:t>
            </w:r>
          </w:p>
        </w:tc>
        <w:tc>
          <w:tcPr>
            <w:tcW w:w="783"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危险废物类别</w:t>
            </w:r>
          </w:p>
        </w:tc>
        <w:tc>
          <w:tcPr>
            <w:tcW w:w="562"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危险废物代码</w:t>
            </w:r>
          </w:p>
        </w:tc>
        <w:tc>
          <w:tcPr>
            <w:tcW w:w="887"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产生量</w:t>
            </w:r>
          </w:p>
        </w:tc>
        <w:tc>
          <w:tcPr>
            <w:tcW w:w="732"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产生工序及装置</w:t>
            </w:r>
          </w:p>
        </w:tc>
        <w:tc>
          <w:tcPr>
            <w:tcW w:w="423"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形态</w:t>
            </w:r>
          </w:p>
        </w:tc>
        <w:tc>
          <w:tcPr>
            <w:tcW w:w="423"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主要成分</w:t>
            </w:r>
          </w:p>
        </w:tc>
        <w:tc>
          <w:tcPr>
            <w:tcW w:w="584"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有害成分</w:t>
            </w:r>
          </w:p>
        </w:tc>
        <w:tc>
          <w:tcPr>
            <w:tcW w:w="942"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产废期</w:t>
            </w:r>
          </w:p>
        </w:tc>
        <w:tc>
          <w:tcPr>
            <w:tcW w:w="659"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危险特性</w:t>
            </w:r>
          </w:p>
        </w:tc>
        <w:tc>
          <w:tcPr>
            <w:tcW w:w="1828"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798"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含油污泥、落地油</w:t>
            </w:r>
          </w:p>
        </w:tc>
        <w:tc>
          <w:tcPr>
            <w:tcW w:w="783" w:type="dxa"/>
            <w:tcBorders>
              <w:tl2br w:val="nil"/>
              <w:tr2bl w:val="nil"/>
            </w:tcBorders>
            <w:vAlign w:val="center"/>
          </w:tcPr>
          <w:p>
            <w:pPr>
              <w:wordWrap w:val="0"/>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HW08废矿物油与含矿物油废物</w:t>
            </w:r>
          </w:p>
        </w:tc>
        <w:tc>
          <w:tcPr>
            <w:tcW w:w="562" w:type="dxa"/>
            <w:tcBorders>
              <w:bottom w:val="single" w:color="auto" w:sz="2" w:space="0"/>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071-001-08</w:t>
            </w:r>
          </w:p>
        </w:tc>
        <w:tc>
          <w:tcPr>
            <w:tcW w:w="887"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1.213t/a</w:t>
            </w:r>
          </w:p>
        </w:tc>
        <w:tc>
          <w:tcPr>
            <w:tcW w:w="732"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油井作业储罐清淤</w:t>
            </w:r>
          </w:p>
        </w:tc>
        <w:tc>
          <w:tcPr>
            <w:tcW w:w="423"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固态</w:t>
            </w:r>
          </w:p>
        </w:tc>
        <w:tc>
          <w:tcPr>
            <w:tcW w:w="423"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油泥砂</w:t>
            </w:r>
          </w:p>
        </w:tc>
        <w:tc>
          <w:tcPr>
            <w:tcW w:w="584"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942"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油井作业1.5年/次，场站每年一次</w:t>
            </w:r>
          </w:p>
        </w:tc>
        <w:tc>
          <w:tcPr>
            <w:tcW w:w="659"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T、I</w:t>
            </w:r>
          </w:p>
        </w:tc>
        <w:tc>
          <w:tcPr>
            <w:tcW w:w="1828"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送葡萄花含油污泥处理站处理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798"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作业废防渗布</w:t>
            </w:r>
          </w:p>
        </w:tc>
        <w:tc>
          <w:tcPr>
            <w:tcW w:w="783" w:type="dxa"/>
            <w:tcBorders>
              <w:tl2br w:val="nil"/>
              <w:tr2bl w:val="nil"/>
            </w:tcBorders>
            <w:vAlign w:val="center"/>
          </w:tcPr>
          <w:p>
            <w:pPr>
              <w:wordWrap w:val="0"/>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HW49其他</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废物</w:t>
            </w:r>
          </w:p>
        </w:tc>
        <w:tc>
          <w:tcPr>
            <w:tcW w:w="562" w:type="dxa"/>
            <w:tcBorders>
              <w:top w:val="single" w:color="auto" w:sz="2" w:space="0"/>
              <w:bottom w:val="single" w:color="auto" w:sz="2" w:space="0"/>
              <w:tl2br w:val="nil"/>
              <w:tr2bl w:val="nil"/>
            </w:tcBorders>
            <w:vAlign w:val="center"/>
          </w:tcPr>
          <w:p>
            <w:pPr>
              <w:wordWrap w:val="0"/>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900-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041-49</w:t>
            </w:r>
          </w:p>
        </w:tc>
        <w:tc>
          <w:tcPr>
            <w:tcW w:w="887" w:type="dxa"/>
            <w:tcBorders>
              <w:tl2br w:val="nil"/>
              <w:tr2bl w:val="nil"/>
            </w:tcBorders>
            <w:vAlign w:val="center"/>
          </w:tcPr>
          <w:p>
            <w:pPr>
              <w:wordWrap w:val="0"/>
              <w:autoSpaceDE/>
              <w:autoSpaceDN/>
              <w:adjustRightInd w:val="0"/>
              <w:snapToGrid w:val="0"/>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0.35t/a</w:t>
            </w:r>
          </w:p>
        </w:tc>
        <w:tc>
          <w:tcPr>
            <w:tcW w:w="732"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作业</w:t>
            </w:r>
          </w:p>
        </w:tc>
        <w:tc>
          <w:tcPr>
            <w:tcW w:w="423"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固态</w:t>
            </w:r>
          </w:p>
        </w:tc>
        <w:tc>
          <w:tcPr>
            <w:tcW w:w="423"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油泥砂</w:t>
            </w:r>
          </w:p>
        </w:tc>
        <w:tc>
          <w:tcPr>
            <w:tcW w:w="584"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942"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油井作业1.5年/次</w:t>
            </w:r>
          </w:p>
        </w:tc>
        <w:tc>
          <w:tcPr>
            <w:tcW w:w="659"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T、In</w:t>
            </w:r>
          </w:p>
        </w:tc>
        <w:tc>
          <w:tcPr>
            <w:tcW w:w="1828" w:type="dxa"/>
            <w:tcBorders>
              <w:tl2br w:val="nil"/>
              <w:tr2bl w:val="nil"/>
            </w:tcBorders>
            <w:vAlign w:val="center"/>
          </w:tcPr>
          <w:p>
            <w:pPr>
              <w:wordWrap w:val="0"/>
              <w:autoSpaceDE/>
              <w:autoSpaceDN/>
              <w:adjustRightInd w:val="0"/>
              <w:snapToGrid w:val="0"/>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委托有资质单位处理</w:t>
            </w:r>
          </w:p>
        </w:tc>
      </w:tr>
    </w:tbl>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根据《建设项目危险废物环境影响评价指南》（环境保护部公告 2017 年第 43 号）相关规定，危险废物收集、贮存、运输的一般要求：</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（2）危险废物转移过程应按《危险废物转移联单管理办法》 执行。</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（4）危险废物收集、贮存、运输单位应编制应急预案。应急预案编制可参照《危险废物经营单位编制应急预案指南》 ，涉及运输的相关内容还应符合交通行政主管部门的有关规定。针对危险废物收集、贮存、运输过程中的事故易发环节应定期组织应急演练。</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（5）危险废物收集、贮存、运输时应按危险特性对危险废物进行分类、包装并设置形影的标志及标签。采取以上措施后，本项目产生的固体废物均得到有效处置，不会对周围环境产生不良影响。</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大庆油田有限责任公司</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第七采油厂</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已经与</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大庆优嘉环保科技有限公司签订了</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废包装袋</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含油防渗布</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委托处置合同</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（见</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附件</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7）</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大庆优嘉环保科技有限公司经营范围：HW08-废矿物油与含矿物油废物（</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071-001-08、071-002-08、072-001-08、251-001-08、251-002-08、251-003-08、251-004-08、251-005-08、251-006-08、251-010-08、251-011-08、251-012-08、900-199-08、900-200-08、900-210-08、900-215-08、900-221-08、900-249-08、900-214-08</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）、HW49（900-041-49）等危险废物类别，核准经营规模HW08类100000</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吨/年</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含油防渗布处理规模35000吨</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/年</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，目前实际处理量为22000t/a，能够满足本项目要求</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14:textFill>
            <w14:solidFill>
              <w14:schemeClr w14:val="tx1"/>
            </w14:solidFill>
          </w14:textFill>
        </w:rPr>
        <w:t>大庆优嘉环保科技有限公司有资质处理本项目产生的废过硫酸钾包装袋及含油废防渗布，且处理能力均能够满足本项目处理需求。</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14:textFill>
            <w14:solidFill>
              <w14:schemeClr w14:val="tx1"/>
            </w14:solidFill>
          </w14:textFill>
        </w:rPr>
        <w:t>建设单位及危险废物资质单位应加强对含油废防渗布转移和处置的管理，实行危险废物转移联单制度。</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危险废物中若发生散落、泄漏会对周围环境产生不良影响，项目危险废物运输过程中应严格控制运输车辆密闭性，避免“跑、冒、滴、漏”情况发生。项目危险废物的运输按照《危险废物收集贮存运输技术规范》要求进行运输管理，危废的转移过程按照《危险废物转移联单管理办法》执行，运输路线的选择过程中尽量避开环境敏感点，一旦运输过程发生意外事故，运输单位及相关部门应根据风险程度采取如下措施：</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（1）设立事故警戒线，启动应急预案，并按《突发环境事件应急管理办法》（部令 第34号）要求进行报告；</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（2）应立即疏散人群，并请求环境保护、消防、医疗、公安等相关部门支援；</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（3）对事故现场受到污染的土壤和水体等环境介质应进行相的清理和作复；</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（4）清理过程中产生的所有废物均应按危险废物进行管理和处置；</w:t>
      </w:r>
    </w:p>
    <w:p>
      <w:pPr>
        <w:pStyle w:val="14"/>
        <w:spacing w:line="440" w:lineRule="exact"/>
        <w:ind w:firstLine="474"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（5）进入现场清理和包装危险废物的人员应受过专业培训，穿防护服，并佩戴相应的防护工具。</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5.4.4 结论</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本项目产生的固体废弃物按照相关处置要求进行，处置方式可行，对周围环境和人体健康不会造成危险，对周围环境基本无影响。</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76" w:name="_Toc9958"/>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5.5 生态环境影响评价</w:t>
      </w:r>
      <w:bookmarkEnd w:id="176"/>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5.5.1 对占地类型影响分析</w:t>
      </w:r>
    </w:p>
    <w:p>
      <w:pPr>
        <w:autoSpaceDE/>
        <w:autoSpaceDN/>
        <w:spacing w:line="440" w:lineRule="exact"/>
        <w:ind w:firstLine="474" w:firstLineChars="200"/>
        <w:jc w:val="both"/>
        <w:rPr>
          <w:rFonts w:ascii="Times New Roman" w:hAnsi="Times New Roman" w:cs="Times New Roman"/>
          <w:color w:val="000000" w:themeColor="text1"/>
          <w:w w:val="99"/>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本项目</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新增</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占地</w:t>
      </w:r>
      <w:r>
        <w:rPr>
          <w:rFonts w:hint="eastAsia" w:ascii="Times New Roman" w:hAnsi="Times New Roman" w:cs="Times New Roman"/>
          <w:color w:val="000000" w:themeColor="text1"/>
          <w:w w:val="99"/>
          <w:kern w:val="2"/>
          <w:sz w:val="24"/>
          <w:szCs w:val="28"/>
          <w:highlight w:val="none"/>
          <w:lang w:val="en-US" w:eastAsia="zh-CN" w:bidi="ar-SA"/>
          <w14:textFill>
            <w14:solidFill>
              <w14:schemeClr w14:val="tx1"/>
            </w14:solidFill>
          </w14:textFill>
        </w:rPr>
        <w:t>4.97</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hm</w:t>
      </w:r>
      <w:r>
        <w:rPr>
          <w:rFonts w:ascii="Times New Roman" w:hAnsi="Times New Roman" w:cs="Times New Roman"/>
          <w:color w:val="000000" w:themeColor="text1"/>
          <w:w w:val="99"/>
          <w:kern w:val="2"/>
          <w:sz w:val="24"/>
          <w:szCs w:val="28"/>
          <w:highlight w:val="none"/>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28"/>
          <w:highlight w:val="none"/>
          <w:lang w:val="en-US" w:eastAsia="zh-CN" w:bidi="ar-SA"/>
          <w14:textFill>
            <w14:solidFill>
              <w14:schemeClr w14:val="tx1"/>
            </w14:solidFill>
          </w14:textFill>
        </w:rPr>
        <w:t>临时占地4.72</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hm</w:t>
      </w:r>
      <w:r>
        <w:rPr>
          <w:rFonts w:ascii="Times New Roman" w:hAnsi="Times New Roman" w:cs="Times New Roman"/>
          <w:color w:val="000000" w:themeColor="text1"/>
          <w:w w:val="99"/>
          <w:kern w:val="2"/>
          <w:sz w:val="24"/>
          <w:szCs w:val="28"/>
          <w:highlight w:val="none"/>
          <w:vertAlign w:val="superscript"/>
          <w:lang w:val="en-US" w:bidi="ar-SA"/>
          <w14:textFill>
            <w14:solidFill>
              <w14:schemeClr w14:val="tx1"/>
            </w14:solidFill>
          </w14:textFill>
        </w:rPr>
        <w:t>2</w:t>
      </w:r>
      <w:r>
        <w:rPr>
          <w:rFonts w:hint="eastAsia" w:ascii="Times New Roman" w:hAnsi="Times New Roman" w:cs="Times New Roman"/>
          <w:color w:val="000000" w:themeColor="text1"/>
          <w:w w:val="99"/>
          <w:kern w:val="2"/>
          <w:sz w:val="24"/>
          <w:szCs w:val="28"/>
          <w:highlight w:val="none"/>
          <w:vertAlign w:val="baseline"/>
          <w:lang w:val="en-US" w:eastAsia="zh-CN" w:bidi="ar-SA"/>
          <w14:textFill>
            <w14:solidFill>
              <w14:schemeClr w14:val="tx1"/>
            </w14:solidFill>
          </w14:textFill>
        </w:rPr>
        <w:t>，临时占地全部为管线</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施工临时占地，占地类型</w:t>
      </w:r>
      <w:r>
        <w:rPr>
          <w:rFonts w:hint="eastAsia" w:ascii="Times New Roman" w:hAnsi="Times New Roman" w:cs="Times New Roman"/>
          <w:color w:val="000000" w:themeColor="text1"/>
          <w:w w:val="99"/>
          <w:kern w:val="2"/>
          <w:sz w:val="24"/>
          <w:szCs w:val="28"/>
          <w:highlight w:val="none"/>
          <w:lang w:val="en-US" w:eastAsia="zh-CN" w:bidi="ar-SA"/>
          <w14:textFill>
            <w14:solidFill>
              <w14:schemeClr w14:val="tx1"/>
            </w14:solidFill>
          </w14:textFill>
        </w:rPr>
        <w:t>均</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为</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草地</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临时占地时间约60d。本项目的临时占地在占用完毕后都可在较短时间内恢复，根据现场调查，项目新增临时占地在当地现有土地利用类型中所占比例很小，不会导致区域土地利用格局的变化，对区域土地利用格局产生的影响甚微。</w:t>
      </w:r>
      <w:r>
        <w:rPr>
          <w:rFonts w:ascii="Times New Roman" w:hAnsi="Times New Roman" w:cs="Times New Roman"/>
          <w:color w:val="000000" w:themeColor="text1"/>
          <w:w w:val="99"/>
          <w:sz w:val="24"/>
          <w:szCs w:val="28"/>
          <w:highlight w:val="none"/>
          <w:lang w:val="en-US" w:bidi="ar-SA"/>
          <w14:textFill>
            <w14:solidFill>
              <w14:schemeClr w14:val="tx1"/>
            </w14:solidFill>
          </w14:textFill>
        </w:rPr>
        <w:t>本工程永久占地在原来连续分布的生态环境中形成生态斑块，产生地表温度等物理性质发生异常，以及干扰地面植被，影响生态环境的类型和结构。</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5.5.2 对土壤环境影响分析</w:t>
      </w:r>
    </w:p>
    <w:p>
      <w:pPr>
        <w:autoSpaceDE/>
        <w:autoSpaceDN/>
        <w:spacing w:line="440" w:lineRule="exact"/>
        <w:ind w:firstLine="474" w:firstLineChars="200"/>
        <w:jc w:val="both"/>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工程对土壤的影响主要体现在工程建设期的开挖、填埋行为对土壤结构的破坏。对</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管线</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施工剥离的表层土集中临时堆放，</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敷设</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结束后用于</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植被恢复</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。对</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表</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土堆放场进行苫盖防止水土流失。</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井场作业</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期间井场地面均铺设防渗布，</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作业</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废水</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集中收集</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拉运，不会对土壤产生影响。随着工程施工的结束，生态保护和临时占地的植被恢复措施的进行，有效的保护和恢复措施能保证工程对</w:t>
      </w:r>
      <w:r>
        <w:rPr>
          <w:rFonts w:hint="eastAsia" w:ascii="Times New Roman" w:hAnsi="Times New Roman" w:cs="Times New Roman"/>
          <w:color w:val="000000" w:themeColor="text1"/>
          <w:w w:val="99"/>
          <w:kern w:val="2"/>
          <w:sz w:val="24"/>
          <w:szCs w:val="28"/>
          <w:highlight w:val="none"/>
          <w:lang w:val="en-US" w:bidi="ar-SA"/>
          <w14:textFill>
            <w14:solidFill>
              <w14:schemeClr w14:val="tx1"/>
            </w14:solidFill>
          </w14:textFill>
        </w:rPr>
        <w:t>施工现场</w:t>
      </w:r>
      <w:r>
        <w:rPr>
          <w:rFonts w:ascii="Times New Roman" w:hAnsi="Times New Roman" w:cs="Times New Roman"/>
          <w:color w:val="000000" w:themeColor="text1"/>
          <w:w w:val="99"/>
          <w:kern w:val="2"/>
          <w:sz w:val="24"/>
          <w:szCs w:val="28"/>
          <w:highlight w:val="none"/>
          <w:lang w:val="en-US" w:bidi="ar-SA"/>
          <w14:textFill>
            <w14:solidFill>
              <w14:schemeClr w14:val="tx1"/>
            </w14:solidFill>
          </w14:textFill>
        </w:rPr>
        <w:t>周边土壤的影响得到尽快的恢复。通过上述措施，本项目建设对项目所在地土壤环境影响在当地环境可接受范围内。</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5.5.3 对植被环境影响分析</w:t>
      </w:r>
    </w:p>
    <w:p>
      <w:pPr>
        <w:pStyle w:val="14"/>
        <w:spacing w:line="440" w:lineRule="exact"/>
        <w:ind w:firstLine="474"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本项目区域内未发现珍稀保护植物。本项目对植被的影响主要表现在占地对少量</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草地</w:t>
      </w:r>
      <w:r>
        <w:rPr>
          <w:rFonts w:ascii="Times New Roman" w:hAnsi="Times New Roman" w:cs="Times New Roman"/>
          <w:color w:val="000000" w:themeColor="text1"/>
          <w:w w:val="99"/>
          <w:kern w:val="2"/>
          <w:sz w:val="24"/>
          <w:highlight w:val="none"/>
          <w:lang w:val="en-US" w:bidi="ar-SA"/>
          <w14:textFill>
            <w14:solidFill>
              <w14:schemeClr w14:val="tx1"/>
            </w14:solidFill>
          </w14:textFill>
        </w:rPr>
        <w:t>的破坏。</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施工对</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植被</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的影响主要表现为，一是临时占地，直接造成当年的</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生物量</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损失。二是破坏土体结构，导致土壤肥力下降，造成今后一段时间的</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生物量</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下降。为</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保证</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施工后</w:t>
      </w:r>
      <w:r>
        <w:rPr>
          <w:rFonts w:hint="eastAsia" w:ascii="Times New Roman" w:hAnsi="Times New Roman" w:cs="Times New Roman"/>
          <w:color w:val="000000" w:themeColor="text1"/>
          <w:w w:val="99"/>
          <w:kern w:val="2"/>
          <w:sz w:val="24"/>
          <w:szCs w:val="20"/>
          <w:highlight w:val="none"/>
          <w:lang w:val="en-US" w:bidi="ar-SA"/>
          <w14:textFill>
            <w14:solidFill>
              <w14:schemeClr w14:val="tx1"/>
            </w14:solidFill>
          </w14:textFill>
        </w:rPr>
        <w:t>植被恢复</w:t>
      </w:r>
      <w:r>
        <w:rPr>
          <w:rFonts w:ascii="Times New Roman" w:hAnsi="Times New Roman" w:cs="Times New Roman"/>
          <w:color w:val="000000" w:themeColor="text1"/>
          <w:w w:val="99"/>
          <w:kern w:val="2"/>
          <w:sz w:val="24"/>
          <w:szCs w:val="20"/>
          <w:highlight w:val="none"/>
          <w:lang w:val="en-US" w:bidi="ar-SA"/>
          <w14:textFill>
            <w14:solidFill>
              <w14:schemeClr w14:val="tx1"/>
            </w14:solidFill>
          </w14:textFill>
        </w:rPr>
        <w:t>效果，要求对挖出土进行分层堆放，回填时按层填覆，尽量不破坏土壤结构。</w:t>
      </w:r>
    </w:p>
    <w:p>
      <w:pPr>
        <w:pStyle w:val="14"/>
        <w:spacing w:line="440" w:lineRule="exact"/>
        <w:ind w:firstLine="474" w:firstLineChars="200"/>
        <w:jc w:val="both"/>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采取上述措施后，本项目建设对当地植被环境影响在可接受范围内。</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5.5.4 对生态系统的影响分析</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本工程所在区域内生态环境以草地生态系统为主，为保护区域盐碱草地生态环境，</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项目施工</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时采取了一系列的生态保护措施，</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如</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严格控制</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管线施工</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的临时占地，</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加强</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生态恢复等措施，</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油</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田的开发对区域盐碱草地生态系统没有造成明显影响。</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14:textFill>
            <w14:solidFill>
              <w14:schemeClr w14:val="tx1"/>
            </w14:solidFill>
          </w14:textFill>
        </w:rPr>
        <w:t>项目</w:t>
      </w:r>
      <w:r>
        <w:rPr>
          <w:rFonts w:ascii="Times New Roman" w:hAnsi="Times New Roman" w:cs="Times New Roman"/>
          <w:color w:val="000000" w:themeColor="text1"/>
          <w:spacing w:val="-9"/>
          <w:w w:val="99"/>
          <w:sz w:val="24"/>
          <w:szCs w:val="24"/>
          <w:highlight w:val="none"/>
          <w14:textFill>
            <w14:solidFill>
              <w14:schemeClr w14:val="tx1"/>
            </w14:solidFill>
          </w14:textFill>
        </w:rPr>
        <w:t>运营期事故性含油污水的大规模泄漏可影响草地的生态环境，危害植物生长。其危害最显著的表现为植物，原油黏附于枝叶，阻止植物进行光合作用，可使植物枯萎死亡；在土壤中粘附于植物根系，可阻止植物吸收水分和矿物质而死亡。所以，污水泄漏可引起原生植被生态系统退化，次生植被生态系统的演替。</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5.5.</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5</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对动物影响分析</w:t>
      </w:r>
    </w:p>
    <w:p>
      <w:pPr>
        <w:pStyle w:val="14"/>
        <w:spacing w:line="440" w:lineRule="exact"/>
        <w:ind w:firstLine="474" w:firstLineChars="200"/>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本次评价区内野生动物种类较少，未见大型野生哺乳动物出没迹象，现有的野生动物多为一些常见的啮齿类、鸟类及昆虫等，无珍稀保护动物</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，项目施工期</w:t>
      </w:r>
      <w:r>
        <w:rPr>
          <w:rFonts w:ascii="Times New Roman" w:hAnsi="Times New Roman" w:cs="Times New Roman"/>
          <w:color w:val="000000" w:themeColor="text1"/>
          <w:w w:val="99"/>
          <w:sz w:val="24"/>
          <w:szCs w:val="24"/>
          <w:highlight w:val="none"/>
          <w:lang w:val="en-US"/>
          <w14:textFill>
            <w14:solidFill>
              <w14:schemeClr w14:val="tx1"/>
            </w14:solidFill>
          </w14:textFill>
        </w:rPr>
        <w:t>较短，对周边动物影响不大。</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5.5.6 对景观的影响分析</w:t>
      </w:r>
    </w:p>
    <w:p>
      <w:pPr>
        <w:pStyle w:val="14"/>
        <w:spacing w:line="440" w:lineRule="exact"/>
        <w:ind w:firstLine="474" w:firstLineChars="200"/>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本项目</w:t>
      </w:r>
      <w:r>
        <w:rPr>
          <w:rFonts w:ascii="Times New Roman" w:hAnsi="Times New Roman" w:cs="Times New Roman"/>
          <w:color w:val="000000" w:themeColor="text1"/>
          <w:w w:val="99"/>
          <w:sz w:val="24"/>
          <w:szCs w:val="24"/>
          <w:highlight w:val="none"/>
          <w:lang w:val="en-US"/>
          <w14:textFill>
            <w14:solidFill>
              <w14:schemeClr w14:val="tx1"/>
            </w14:solidFill>
          </w14:textFill>
        </w:rPr>
        <w:t>主要工程是</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在现有</w:t>
      </w:r>
      <w:r>
        <w:rPr>
          <w:rFonts w:ascii="Times New Roman" w:hAnsi="Times New Roman" w:cs="Times New Roman"/>
          <w:color w:val="000000" w:themeColor="text1"/>
          <w:w w:val="99"/>
          <w:sz w:val="24"/>
          <w:szCs w:val="24"/>
          <w:highlight w:val="none"/>
          <w:lang w:val="en-US"/>
          <w14:textFill>
            <w14:solidFill>
              <w14:schemeClr w14:val="tx1"/>
            </w14:solidFill>
          </w14:textFill>
        </w:rPr>
        <w:t>井场</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内</w:t>
      </w:r>
      <w:r>
        <w:rPr>
          <w:rFonts w:ascii="Times New Roman" w:hAnsi="Times New Roman" w:cs="Times New Roman"/>
          <w:color w:val="000000" w:themeColor="text1"/>
          <w:w w:val="99"/>
          <w:sz w:val="24"/>
          <w:szCs w:val="24"/>
          <w:highlight w:val="none"/>
          <w:lang w:val="en-US"/>
          <w14:textFill>
            <w14:solidFill>
              <w14:schemeClr w14:val="tx1"/>
            </w14:solidFill>
          </w14:textFill>
        </w:rPr>
        <w:t>的改造工程，均在现有工程基础上的改造施工，</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对</w:t>
      </w:r>
      <w:r>
        <w:rPr>
          <w:rFonts w:ascii="Times New Roman" w:hAnsi="Times New Roman" w:cs="Times New Roman"/>
          <w:color w:val="000000" w:themeColor="text1"/>
          <w:w w:val="99"/>
          <w:sz w:val="24"/>
          <w:szCs w:val="24"/>
          <w:highlight w:val="none"/>
          <w:lang w:val="en-US"/>
          <w14:textFill>
            <w14:solidFill>
              <w14:schemeClr w14:val="tx1"/>
            </w14:solidFill>
          </w14:textFill>
        </w:rPr>
        <w:t>区域原有景观环境影响不大，</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管线</w:t>
      </w:r>
      <w:r>
        <w:rPr>
          <w:rFonts w:ascii="Times New Roman" w:hAnsi="Times New Roman" w:cs="Times New Roman"/>
          <w:color w:val="000000" w:themeColor="text1"/>
          <w:w w:val="99"/>
          <w:sz w:val="24"/>
          <w:szCs w:val="24"/>
          <w:highlight w:val="none"/>
          <w:lang w:val="en-US"/>
          <w14:textFill>
            <w14:solidFill>
              <w14:schemeClr w14:val="tx1"/>
            </w14:solidFill>
          </w14:textFill>
        </w:rPr>
        <w:t>施工均为临时占地，在施工期对周边景观</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有</w:t>
      </w:r>
      <w:r>
        <w:rPr>
          <w:rFonts w:ascii="Times New Roman" w:hAnsi="Times New Roman" w:cs="Times New Roman"/>
          <w:color w:val="000000" w:themeColor="text1"/>
          <w:w w:val="99"/>
          <w:sz w:val="24"/>
          <w:szCs w:val="24"/>
          <w:highlight w:val="none"/>
          <w:lang w:val="en-US"/>
          <w14:textFill>
            <w14:solidFill>
              <w14:schemeClr w14:val="tx1"/>
            </w14:solidFill>
          </w14:textFill>
        </w:rPr>
        <w:t>一定影响，待施工结束后及时</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进行土方</w:t>
      </w:r>
      <w:r>
        <w:rPr>
          <w:rFonts w:ascii="Times New Roman" w:hAnsi="Times New Roman" w:cs="Times New Roman"/>
          <w:color w:val="000000" w:themeColor="text1"/>
          <w:w w:val="99"/>
          <w:sz w:val="24"/>
          <w:szCs w:val="24"/>
          <w:highlight w:val="none"/>
          <w:lang w:val="en-US"/>
          <w14:textFill>
            <w14:solidFill>
              <w14:schemeClr w14:val="tx1"/>
            </w14:solidFill>
          </w14:textFill>
        </w:rPr>
        <w:t>回填</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和</w:t>
      </w:r>
      <w:r>
        <w:rPr>
          <w:rFonts w:ascii="Times New Roman" w:hAnsi="Times New Roman" w:cs="Times New Roman"/>
          <w:color w:val="000000" w:themeColor="text1"/>
          <w:w w:val="99"/>
          <w:sz w:val="24"/>
          <w:szCs w:val="24"/>
          <w:highlight w:val="none"/>
          <w:lang w:val="en-US"/>
          <w14:textFill>
            <w14:solidFill>
              <w14:schemeClr w14:val="tx1"/>
            </w14:solidFill>
          </w14:textFill>
        </w:rPr>
        <w:t>生态恢复</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w:t>
      </w:r>
      <w:r>
        <w:rPr>
          <w:rFonts w:ascii="Times New Roman" w:hAnsi="Times New Roman" w:cs="Times New Roman"/>
          <w:color w:val="000000" w:themeColor="text1"/>
          <w:w w:val="99"/>
          <w:sz w:val="24"/>
          <w:szCs w:val="24"/>
          <w:highlight w:val="none"/>
          <w:lang w:val="en-US"/>
          <w14:textFill>
            <w14:solidFill>
              <w14:schemeClr w14:val="tx1"/>
            </w14:solidFill>
          </w14:textFill>
        </w:rPr>
        <w:t>可将区域景观环境恢复至施工</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前</w:t>
      </w:r>
      <w:r>
        <w:rPr>
          <w:rFonts w:ascii="Times New Roman" w:hAnsi="Times New Roman" w:cs="Times New Roman"/>
          <w:color w:val="000000" w:themeColor="text1"/>
          <w:w w:val="99"/>
          <w:sz w:val="24"/>
          <w:szCs w:val="24"/>
          <w:highlight w:val="none"/>
          <w:lang w:val="en-US"/>
          <w14:textFill>
            <w14:solidFill>
              <w14:schemeClr w14:val="tx1"/>
            </w14:solidFill>
          </w14:textFill>
        </w:rPr>
        <w:t>状态。</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5.5.</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7</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 项目对水土流失的影响</w:t>
      </w:r>
    </w:p>
    <w:p>
      <w:pPr>
        <w:pStyle w:val="14"/>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项目工程的开挖和填埋行为将会破坏土壤结构，项目通过对剥离表层土临时堆场地设置截排水沟等严格的水保措施防止水土流失，同时，利用土工布或塑料膜遮盖或采用水泥砂浆抹面的方法来减少水土流失。施工完成后作表层的覆土复植用，对临时堆放场地也进行植被恢复。施工完成后，随着生态保护和临时占地植被恢复措施的进行，管线建设对生态环境的影响将得到尽快恢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5.5.</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8</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 xml:space="preserve"> 生态环境影响评价结论</w:t>
      </w:r>
    </w:p>
    <w:p>
      <w:pPr>
        <w:autoSpaceDE/>
        <w:autoSpaceDN/>
        <w:spacing w:line="440" w:lineRule="exact"/>
        <w:ind w:firstLine="474" w:firstLineChars="200"/>
        <w:jc w:val="both"/>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1）该项目管道建设对土地的侵占，对植被的破坏，将使油田开发区内的第一生产者的生物量有一定程度的下降。但若选择适当时机施工，并在施工建设过程中采取必要的保护措施，则可能最大程度减小对生态环境的不利影响，加快生态环境在尽可能短的时间内得到恢复。</w:t>
      </w:r>
    </w:p>
    <w:p>
      <w:pPr>
        <w:autoSpaceDE/>
        <w:autoSpaceDN/>
        <w:spacing w:line="440" w:lineRule="exact"/>
        <w:ind w:firstLine="474" w:firstLineChars="200"/>
        <w:jc w:val="both"/>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2）油田采油、贮存、运输及其它生产过程中产生落地油环境污染物，对油井周围环境中的植物生长发育有一定的影响。但若能采取必要的环保措施，其对环境的污染程度是较小的，不会影响油田区域内植被的生长发育。</w:t>
      </w:r>
    </w:p>
    <w:p>
      <w:pPr>
        <w:autoSpaceDE/>
        <w:autoSpaceDN/>
        <w:spacing w:line="440" w:lineRule="exact"/>
        <w:ind w:firstLine="474" w:firstLineChars="200"/>
        <w:jc w:val="both"/>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（3）油田开发工程不可避免会改变原有的生态环境，但若合理规划和建设，石油产业有利于当地及周边地区的经济发展，有利于人类生存环境的改善，能够与周围生态环境协调共处。</w:t>
      </w:r>
    </w:p>
    <w:p>
      <w:pPr>
        <w:pStyle w:val="14"/>
        <w:spacing w:line="440" w:lineRule="exact"/>
        <w:ind w:firstLine="474"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w w:val="99"/>
          <w:kern w:val="2"/>
          <w:sz w:val="24"/>
          <w:szCs w:val="22"/>
          <w:highlight w:val="none"/>
          <w:lang w:val="en-US" w:bidi="ar-SA"/>
          <w14:textFill>
            <w14:solidFill>
              <w14:schemeClr w14:val="tx1"/>
            </w14:solidFill>
          </w14:textFill>
        </w:rPr>
        <w:t>可见，只要采取必要的措施，该项目油田开发对生态环境的影响不会太大，在生态上是可行的。</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77" w:name="_Toc9341"/>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5.6 环境风险评价</w:t>
      </w:r>
      <w:bookmarkEnd w:id="177"/>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5.6.1 风险调查</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本工程涉及的主要危险物质是原油、天然气（石油开采伴生气）。</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（1）原油</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原油主要是由烃类组成的一种复杂液态混合物，同时还含有少量的氧、氮、硫等其他化合物。其主要特性包括：易燃性、流动性、易挥发性、易积聚静电、腐蚀性、毒性。根据《石油天然气工程设计防火规范》（GB50183-2004），其为火灾危险性甲类物质。</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原油的危险特性见表5.6-1。</w:t>
      </w:r>
    </w:p>
    <w:p>
      <w:pPr>
        <w:autoSpaceDE/>
        <w:autoSpaceDN/>
        <w:adjustRightInd w:val="0"/>
        <w:snapToGrid w:val="0"/>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表5.6-1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原油危险特性</w:t>
      </w:r>
    </w:p>
    <w:tbl>
      <w:tblPr>
        <w:tblStyle w:val="32"/>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8"/>
        <w:gridCol w:w="1188"/>
        <w:gridCol w:w="1087"/>
        <w:gridCol w:w="1371"/>
        <w:gridCol w:w="989"/>
        <w:gridCol w:w="802"/>
        <w:gridCol w:w="486"/>
        <w:gridCol w:w="736"/>
        <w:gridCol w:w="1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trPr>
        <w:tc>
          <w:tcPr>
            <w:tcW w:w="788"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标识</w:t>
            </w:r>
          </w:p>
        </w:tc>
        <w:tc>
          <w:tcPr>
            <w:tcW w:w="8498" w:type="dxa"/>
            <w:gridSpan w:val="8"/>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中文名：石油原油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635" w:type="dxa"/>
            <w:gridSpan w:val="4"/>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英文名：petroleum</w:t>
            </w:r>
          </w:p>
        </w:tc>
        <w:tc>
          <w:tcPr>
            <w:tcW w:w="3863" w:type="dxa"/>
            <w:gridSpan w:val="4"/>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分子式：主要是烃（C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6</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6</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3646"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分子量：（根据组分确定）</w:t>
            </w:r>
          </w:p>
        </w:tc>
        <w:tc>
          <w:tcPr>
            <w:tcW w:w="2277"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25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3646"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危险货物编号：32003</w:t>
            </w:r>
          </w:p>
        </w:tc>
        <w:tc>
          <w:tcPr>
            <w:tcW w:w="2277"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RTECS号：</w:t>
            </w:r>
          </w:p>
        </w:tc>
        <w:tc>
          <w:tcPr>
            <w:tcW w:w="25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IMDG规则页码：3141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理化性质</w:t>
            </w:r>
          </w:p>
        </w:tc>
        <w:tc>
          <w:tcPr>
            <w:tcW w:w="2275" w:type="dxa"/>
            <w:gridSpan w:val="2"/>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外观与形状</w:t>
            </w:r>
          </w:p>
        </w:tc>
        <w:tc>
          <w:tcPr>
            <w:tcW w:w="6223" w:type="dxa"/>
            <w:gridSpan w:val="6"/>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黄色乃至黑色，有绿色荧光的稠厚性油状液体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熔点（</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2360" w:type="dxa"/>
            <w:gridSpan w:val="2"/>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024"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凝点（</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839"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沸程（</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2360"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常温至500</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以上</w:t>
            </w:r>
          </w:p>
        </w:tc>
        <w:tc>
          <w:tcPr>
            <w:tcW w:w="2024"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初馏点（</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839"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相对密度(水=1)</w:t>
            </w:r>
          </w:p>
        </w:tc>
        <w:tc>
          <w:tcPr>
            <w:tcW w:w="2360"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0.86</w:t>
            </w:r>
          </w:p>
        </w:tc>
        <w:tc>
          <w:tcPr>
            <w:tcW w:w="2024"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胶质、沥青质含量</w:t>
            </w:r>
          </w:p>
        </w:tc>
        <w:tc>
          <w:tcPr>
            <w:tcW w:w="1839"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含硫</w:t>
            </w:r>
          </w:p>
        </w:tc>
        <w:tc>
          <w:tcPr>
            <w:tcW w:w="2360"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0.11</w:t>
            </w:r>
          </w:p>
        </w:tc>
        <w:tc>
          <w:tcPr>
            <w:tcW w:w="2024"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含蜡</w:t>
            </w:r>
          </w:p>
        </w:tc>
        <w:tc>
          <w:tcPr>
            <w:tcW w:w="1839"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635" w:type="dxa"/>
            <w:gridSpan w:val="4"/>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溶解性</w:t>
            </w:r>
          </w:p>
        </w:tc>
        <w:tc>
          <w:tcPr>
            <w:tcW w:w="3863" w:type="dxa"/>
            <w:gridSpan w:val="4"/>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不溶于水，溶于多数有机溶剂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88"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毒性及健康危害</w:t>
            </w: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侵入途径</w:t>
            </w:r>
          </w:p>
        </w:tc>
        <w:tc>
          <w:tcPr>
            <w:tcW w:w="6223" w:type="dxa"/>
            <w:gridSpan w:val="6"/>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吸入、食入、经皮吸收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健康危害</w:t>
            </w:r>
          </w:p>
        </w:tc>
        <w:tc>
          <w:tcPr>
            <w:tcW w:w="6223" w:type="dxa"/>
            <w:gridSpan w:val="6"/>
            <w:tcBorders>
              <w:tl2br w:val="nil"/>
              <w:tr2bl w:val="nil"/>
            </w:tcBorders>
            <w:vAlign w:val="center"/>
          </w:tcPr>
          <w:p>
            <w:pPr>
              <w:adjustRightInd w:val="0"/>
              <w:snapToGrid w:val="0"/>
              <w:spacing w:line="360" w:lineRule="exac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原油本身无明显毒性，其不同的产品和中间产品表现出不同的毒性，遇热分解释放出有毒的烟雾，吸入大量蒸气能引起神经麻痹。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restart"/>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燃烧爆炸危险性</w:t>
            </w:r>
          </w:p>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燃烧性：可燃</w:t>
            </w:r>
          </w:p>
        </w:tc>
        <w:tc>
          <w:tcPr>
            <w:tcW w:w="3162"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建规火险分级：甲</w:t>
            </w:r>
          </w:p>
        </w:tc>
        <w:tc>
          <w:tcPr>
            <w:tcW w:w="3061"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爆炸上限（V%）：5.9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自燃温度（</w:t>
            </w:r>
            <w:r>
              <w:rPr>
                <w:rFonts w:hint="eastAsia"/>
                <w:color w:val="000000" w:themeColor="text1"/>
                <w:w w:val="99"/>
                <w:kern w:val="2"/>
                <w:sz w:val="21"/>
                <w:szCs w:val="21"/>
                <w:highlight w:val="none"/>
                <w:lang w:val="en-US" w:eastAsia="ja-JP"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350</w:t>
            </w:r>
          </w:p>
        </w:tc>
        <w:tc>
          <w:tcPr>
            <w:tcW w:w="3162"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闪点(</w:t>
            </w:r>
            <w:r>
              <w:rPr>
                <w:rFonts w:hint="eastAsia"/>
                <w:color w:val="000000" w:themeColor="text1"/>
                <w:w w:val="99"/>
                <w:kern w:val="2"/>
                <w:sz w:val="21"/>
                <w:szCs w:val="21"/>
                <w:highlight w:val="none"/>
                <w:lang w:val="en-US" w:eastAsia="ja-JP"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）：-6</w:t>
            </w:r>
          </w:p>
        </w:tc>
        <w:tc>
          <w:tcPr>
            <w:tcW w:w="3061" w:type="dxa"/>
            <w:gridSpan w:val="3"/>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爆炸下限（V%）：0.8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188"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危险特性</w:t>
            </w:r>
          </w:p>
        </w:tc>
        <w:tc>
          <w:tcPr>
            <w:tcW w:w="7310" w:type="dxa"/>
            <w:gridSpan w:val="7"/>
            <w:tcBorders>
              <w:tl2br w:val="nil"/>
              <w:tr2bl w:val="nil"/>
            </w:tcBorders>
            <w:vAlign w:val="center"/>
          </w:tcPr>
          <w:p>
            <w:pPr>
              <w:adjustRightInd w:val="0"/>
              <w:snapToGrid w:val="0"/>
              <w:spacing w:line="360" w:lineRule="exac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其蒸气与空气混合能形成爆炸性混合物，遇明火、高热能引起燃烧爆炸。与氧化剂能发生剧烈反应。遇高热分解出有毒的烟雾。其燃烧、爆炸危险性与轻汽油相似。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188"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泄漏处理</w:t>
            </w:r>
          </w:p>
        </w:tc>
        <w:tc>
          <w:tcPr>
            <w:tcW w:w="7310" w:type="dxa"/>
            <w:gridSpan w:val="7"/>
            <w:tcBorders>
              <w:tl2br w:val="nil"/>
              <w:tr2bl w:val="nil"/>
            </w:tcBorders>
            <w:vAlign w:val="center"/>
          </w:tcPr>
          <w:p>
            <w:pPr>
              <w:adjustRightInd w:val="0"/>
              <w:snapToGrid w:val="0"/>
              <w:spacing w:line="360" w:lineRule="exac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疏散泄漏污染区人员至安全区，禁止无关人员进入污染区，切断火源。应急处理人员戴自给式呼吸器，穿一般消防防护服，在确保安全情况下堵漏，喷水雾可减少蒸发，用活性碳或其他惰性材料吸收，然后收集运至废物处理场所。也可以用大量水冲洗，经稀释的洗液放入废水系统，如大量泄漏，利用围堤收容，然后收集、转移、回收或无害化处理后废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188"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储运</w:t>
            </w:r>
          </w:p>
        </w:tc>
        <w:tc>
          <w:tcPr>
            <w:tcW w:w="7310" w:type="dxa"/>
            <w:gridSpan w:val="7"/>
            <w:tcBorders>
              <w:tl2br w:val="nil"/>
              <w:tr2bl w:val="nil"/>
            </w:tcBorders>
            <w:vAlign w:val="center"/>
          </w:tcPr>
          <w:p>
            <w:pPr>
              <w:adjustRightInd w:val="0"/>
              <w:snapToGrid w:val="0"/>
              <w:spacing w:line="360" w:lineRule="exac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存于密闭容器内，置于通风、远离火种、热源，避免阳光直射处；严禁烟火，应与氧化剂分开存放，操作时使用专用工具，禁止采用易产生火花的机械设备和工具；罐装应注意流速，且有接地装置，防止静电积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燃烧分解产物</w:t>
            </w:r>
          </w:p>
        </w:tc>
        <w:tc>
          <w:tcPr>
            <w:tcW w:w="6223" w:type="dxa"/>
            <w:gridSpan w:val="6"/>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一氧化碳、二氧化碳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稳定性</w:t>
            </w:r>
          </w:p>
        </w:tc>
        <w:tc>
          <w:tcPr>
            <w:tcW w:w="6223" w:type="dxa"/>
            <w:gridSpan w:val="6"/>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聚合危害</w:t>
            </w:r>
          </w:p>
        </w:tc>
        <w:tc>
          <w:tcPr>
            <w:tcW w:w="6223" w:type="dxa"/>
            <w:gridSpan w:val="6"/>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不能出现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禁忌物</w:t>
            </w:r>
          </w:p>
        </w:tc>
        <w:tc>
          <w:tcPr>
            <w:tcW w:w="6223" w:type="dxa"/>
            <w:gridSpan w:val="6"/>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强氧化剂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27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灭火方法</w:t>
            </w:r>
          </w:p>
        </w:tc>
        <w:tc>
          <w:tcPr>
            <w:tcW w:w="6223" w:type="dxa"/>
            <w:gridSpan w:val="6"/>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干粉、二氧化碳、泡沫、砂土，用水灭火无效。</w:t>
            </w:r>
          </w:p>
        </w:tc>
      </w:tr>
    </w:tbl>
    <w:p>
      <w:pPr>
        <w:autoSpaceDE/>
        <w:autoSpaceDN/>
        <w:adjustRightInd w:val="0"/>
        <w:snapToGrid w:val="0"/>
        <w:spacing w:line="440" w:lineRule="exact"/>
        <w:ind w:firstLine="474" w:firstLineChars="200"/>
        <w:jc w:val="both"/>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（2）天然气</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天然气具有易燃、易爆的性质，按《原油和天然气工程设计防火规范》（GB50183-2004）中对火灾危险性的分类原则，属于火灾危险性甲类物质。天然气主要成分是含大量低分子烷</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 xml:space="preserve"> </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烃混合物，属甲类易燃气体，与空气混合极易燃烧爆炸。具体危险特性见表5.6-2。</w:t>
      </w:r>
    </w:p>
    <w:p>
      <w:pPr>
        <w:autoSpaceDE/>
        <w:autoSpaceDN/>
        <w:adjustRightInd w:val="0"/>
        <w:snapToGrid w:val="0"/>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表5.6-</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2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天然气的危险有害特性及安全技术表</w:t>
      </w:r>
    </w:p>
    <w:tbl>
      <w:tblPr>
        <w:tblStyle w:val="3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3733"/>
        <w:gridCol w:w="4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标识</w:t>
            </w:r>
          </w:p>
        </w:tc>
        <w:tc>
          <w:tcPr>
            <w:tcW w:w="373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中文名：甲烷</w:t>
            </w:r>
          </w:p>
        </w:tc>
        <w:tc>
          <w:tcPr>
            <w:tcW w:w="443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英文名：methane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3733" w:type="dxa"/>
            <w:tcBorders>
              <w:tl2br w:val="nil"/>
              <w:tr2bl w:val="nil"/>
            </w:tcBorders>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危规号：21007 </w:t>
            </w:r>
          </w:p>
        </w:tc>
        <w:tc>
          <w:tcPr>
            <w:tcW w:w="4433" w:type="dxa"/>
            <w:tcBorders>
              <w:tl2br w:val="nil"/>
              <w:tr2bl w:val="nil"/>
            </w:tcBorders>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CAS号：74-82-8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理化性质</w:t>
            </w:r>
          </w:p>
        </w:tc>
        <w:tc>
          <w:tcPr>
            <w:tcW w:w="3733" w:type="dxa"/>
            <w:tcBorders>
              <w:tl2br w:val="nil"/>
              <w:tr2bl w:val="nil"/>
            </w:tcBorders>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外观与形状：无色无味气体</w:t>
            </w:r>
          </w:p>
        </w:tc>
        <w:tc>
          <w:tcPr>
            <w:tcW w:w="4433" w:type="dxa"/>
            <w:tcBorders>
              <w:tl2br w:val="nil"/>
              <w:tr2bl w:val="nil"/>
            </w:tcBorders>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自燃温度：413</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3733" w:type="dxa"/>
            <w:tcBorders>
              <w:tl2br w:val="nil"/>
              <w:tr2bl w:val="nil"/>
            </w:tcBorders>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相对密度（水=1）：0.42（-164</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4433" w:type="dxa"/>
            <w:tcBorders>
              <w:tl2br w:val="nil"/>
              <w:tr2bl w:val="nil"/>
            </w:tcBorders>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相对蒸气密度（空气=1）：0.6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危险特性</w:t>
            </w:r>
          </w:p>
        </w:tc>
        <w:tc>
          <w:tcPr>
            <w:tcW w:w="373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危险性类别：第2.1类易燃气体</w:t>
            </w:r>
          </w:p>
        </w:tc>
        <w:tc>
          <w:tcPr>
            <w:tcW w:w="443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燃烧性：易燃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373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闪点（</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）：-218</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443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爆炸上限（%）：15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373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爆炸下限（%）：5</w:t>
            </w:r>
          </w:p>
        </w:tc>
        <w:tc>
          <w:tcPr>
            <w:tcW w:w="443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燃烧（分解）产物：一氧化碳、二氧化碳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6" w:type="dxa"/>
            <w:gridSpan w:val="2"/>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易燃，与空气混合能形成爆炸性混合物，遇热源和明火有燃烧爆炸的危险。与五氧化溴、氯气、次氯酸、三氟化氮、液氧、二氟化氧及其它强氧化剂接触剧烈反应。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6" w:type="dxa"/>
            <w:gridSpan w:val="2"/>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灭火方法：切断气源。若不能切断气源，则不允许熄灭泄漏处的火焰。喷水冷却容器，可能的话将容器从火场移至空旷处。灭火剂：雾状水、泡沫、二氧化碳、干粉。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6" w:type="dxa"/>
            <w:gridSpan w:val="2"/>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健康危害</w:t>
            </w:r>
          </w:p>
        </w:tc>
        <w:tc>
          <w:tcPr>
            <w:tcW w:w="8166" w:type="dxa"/>
            <w:gridSpan w:val="2"/>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侵入途径：吸入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166" w:type="dxa"/>
            <w:gridSpan w:val="2"/>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健康危害：甲烷对人基本无毒，但浓度过高时，使空气中氧含量明显降低，使人窒息。当空气中甲烷达25%～30%时，可引起头痛、头晕、乏力、注意力不集中、呼吸和心跳加速、共济失调。若不及时远离，可致窒息死亡。皮肤接触液化的甲烷，可致冻伤。</w:t>
            </w:r>
          </w:p>
        </w:tc>
      </w:tr>
    </w:tbl>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5.6.2 风险识别</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根据对国内外油田开发事故的类比调查及资料分析，结合建设项目的油藏情况、运行工艺、管理水平及自然灾害等因素，建设项目油田开发及生产过程可能发生的环境污染事故包</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括原油管线</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泄漏、火灾等事故，运行期的井下作业过程、采油过程、集油过程等工艺环节</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发生</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泄露</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中毒</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事故</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（1）火灾</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油田开发运行过程中发生火灾爆炸的原因很多，主要包括：</w:t>
      </w:r>
    </w:p>
    <w:p>
      <w:pPr>
        <w:widowControl/>
        <w:adjustRightIn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组织不严密，管理不善，违章作业导致大量的油气泄漏遇明火爆炸燃烧；</w:t>
      </w:r>
    </w:p>
    <w:p>
      <w:pPr>
        <w:widowControl/>
        <w:adjustRightIn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设备缺陷主要包括因选材错误而引起的设备、管线的腐蚀、侵蚀等引发火灾、爆炸；</w:t>
      </w:r>
    </w:p>
    <w:p>
      <w:pPr>
        <w:widowControl/>
        <w:adjustRightIn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设备安装时考虑不周不细，施工时施工质量差，不符合设计要求和施工验收规范，从而导致投产后发生事故；</w:t>
      </w:r>
    </w:p>
    <w:p>
      <w:pPr>
        <w:widowControl/>
        <w:adjustRightIn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4</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控制生产装置的仪表仪器失灵，造成设备操作失控，引发油气泄漏，形成火灾等。上述各类生产事故在发生火灾及爆炸安全生产危害的同时，对区域内环境也将产生严重的污染。</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（2）中毒</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工程涉及的天然气毒性较低，其中天然气主要成分烃类物质毒性较低，但如果浓度过高将使人昏迷、窒息，一般在封闭或通风不良的作业场所积聚后可能产生此类事故。阀组渗漏，管道腐蚀穿孔、超压泄漏，天然气系统安全控制装置失灵将在局部空间弥漫高浓度天然气，人员接触后将会有头晕、恶心、呼吸困难等症状，严重时将发生中毒窒息。虽然本工程天然气中含有硫化氢，但由于含量较低，只会出现呼吸道及眼急性刺激症状，不会出现呼吸麻痹而死亡的急性中毒事件。中毒危害多易发生在设备检修等过程中。</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（3）油气集输管道泄漏</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管道泄漏环境污染事故集中在</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注入管线</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在地面改造和运行的过程中，发生</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集油</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集输管道泄漏、腐蚀穿孔发生油泄漏、含油污水泄漏等。发生泄漏事故的人为因素原因：</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管道焊接不严，检测有误，造成泄漏；</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管道防腐涂层质量差，造成管道腐蚀；</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管材或连接缺陷，造成管道断裂，油气泄漏；</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4</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操作失误引发的憋压等造成的风险事故；</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5</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设备故障、机械失灵、老化造成的泄漏；</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6</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动力故障引发的事故，如停电造成的阀门无法关闭、通讯线路中断无法传递 控制指令等导致事故发生；</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7</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在管道近旁或上方进行其它生产活动时的挖掘，造成管道破裂；</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8</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其它选线不当或设计有误导致的事故风险。</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自然风险因素是由于自然环境条件恶劣，如土壤盐渍化造成管道腐蚀等威胁管道安全。</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根据油田的运行经验，一般在油田开发7-8年后低洼地区的油</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注入井</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管道可能发生腐蚀穿孔事故，而导致原油和含油污水泄漏到环境中。</w:t>
      </w:r>
    </w:p>
    <w:p>
      <w:pPr>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结合本项目工程内容分析，本次改造项目施工期间对油气管线进行暂停处理，施工后进行严格的测压和检测，因此，不会产生大规模的油气泄漏事故。管道断裂、气阀漏气等事故，通常是通过巡回检查及监控对此加以控制。工程主要作业场所、生产设备设施环境风险识别见下表。</w:t>
      </w:r>
    </w:p>
    <w:p>
      <w:pPr>
        <w:adjustRightInd w:val="0"/>
        <w:snapToGrid w:val="0"/>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表5.6-3</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工程环境风险识别表</w:t>
      </w:r>
    </w:p>
    <w:tbl>
      <w:tblPr>
        <w:tblStyle w:val="3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2536"/>
        <w:gridCol w:w="2744"/>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主要设备及场所名称</w:t>
            </w:r>
          </w:p>
        </w:tc>
        <w:tc>
          <w:tcPr>
            <w:tcW w:w="253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危险介质</w:t>
            </w:r>
          </w:p>
        </w:tc>
        <w:tc>
          <w:tcPr>
            <w:tcW w:w="274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主要危险特性</w:t>
            </w:r>
          </w:p>
        </w:tc>
        <w:tc>
          <w:tcPr>
            <w:tcW w:w="183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影响环境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井场</w:t>
            </w:r>
          </w:p>
        </w:tc>
        <w:tc>
          <w:tcPr>
            <w:tcW w:w="253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原油、含油污水、天然气</w:t>
            </w:r>
          </w:p>
        </w:tc>
        <w:tc>
          <w:tcPr>
            <w:tcW w:w="274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火灾、爆炸、油水泄漏污染</w:t>
            </w:r>
          </w:p>
        </w:tc>
        <w:tc>
          <w:tcPr>
            <w:tcW w:w="183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空气、地下水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集油</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管道</w:t>
            </w:r>
          </w:p>
        </w:tc>
        <w:tc>
          <w:tcPr>
            <w:tcW w:w="253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原油、含油污水、天然气</w:t>
            </w:r>
          </w:p>
        </w:tc>
        <w:tc>
          <w:tcPr>
            <w:tcW w:w="274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火灾、爆炸、油水泄漏污染</w:t>
            </w:r>
          </w:p>
        </w:tc>
        <w:tc>
          <w:tcPr>
            <w:tcW w:w="183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空气、地下水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计量间、阀组间等</w:t>
            </w:r>
          </w:p>
        </w:tc>
        <w:tc>
          <w:tcPr>
            <w:tcW w:w="253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原油、含油污水、天然气</w:t>
            </w:r>
          </w:p>
        </w:tc>
        <w:tc>
          <w:tcPr>
            <w:tcW w:w="274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火灾、爆炸、中毒、油水泄漏污染</w:t>
            </w:r>
          </w:p>
        </w:tc>
        <w:tc>
          <w:tcPr>
            <w:tcW w:w="183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空气、地下水</w:t>
            </w:r>
          </w:p>
        </w:tc>
      </w:tr>
    </w:tbl>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5.6.3 环境风险分析</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5.6.3.1 事故状态下对大气环境的影响</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对大气环境产生影响的事故为原油泄漏，会对</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大气</w:t>
      </w:r>
      <w:r>
        <w:rPr>
          <w:rFonts w:ascii="Times New Roman" w:hAnsi="Times New Roman" w:cs="Times New Roman"/>
          <w:color w:val="000000" w:themeColor="text1"/>
          <w:spacing w:val="-9"/>
          <w:w w:val="99"/>
          <w:sz w:val="24"/>
          <w:szCs w:val="24"/>
          <w:highlight w:val="none"/>
          <w14:textFill>
            <w14:solidFill>
              <w14:schemeClr w14:val="tx1"/>
            </w14:solidFill>
          </w14:textFill>
        </w:rPr>
        <w:t>环境</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造成</w:t>
      </w:r>
      <w:r>
        <w:rPr>
          <w:rFonts w:ascii="Times New Roman" w:hAnsi="Times New Roman" w:cs="Times New Roman"/>
          <w:color w:val="000000" w:themeColor="text1"/>
          <w:spacing w:val="-9"/>
          <w:w w:val="99"/>
          <w:sz w:val="24"/>
          <w:szCs w:val="24"/>
          <w:highlight w:val="none"/>
          <w14:textFill>
            <w14:solidFill>
              <w14:schemeClr w14:val="tx1"/>
            </w14:solidFill>
          </w14:textFill>
        </w:rPr>
        <w:t>直接影响。原油集输过程中</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事故泄漏</w:t>
      </w:r>
      <w:r>
        <w:rPr>
          <w:rFonts w:ascii="Times New Roman" w:hAnsi="Times New Roman" w:cs="Times New Roman"/>
          <w:color w:val="000000" w:themeColor="text1"/>
          <w:spacing w:val="-9"/>
          <w:w w:val="99"/>
          <w:sz w:val="24"/>
          <w:szCs w:val="24"/>
          <w:highlight w:val="none"/>
          <w14:textFill>
            <w14:solidFill>
              <w14:schemeClr w14:val="tx1"/>
            </w14:solidFill>
          </w14:textFill>
        </w:rPr>
        <w:t>会造成局部地区大气污染，</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类比</w:t>
      </w:r>
      <w:r>
        <w:rPr>
          <w:rFonts w:ascii="Times New Roman" w:hAnsi="Times New Roman" w:cs="Times New Roman"/>
          <w:color w:val="000000" w:themeColor="text1"/>
          <w:spacing w:val="-9"/>
          <w:w w:val="99"/>
          <w:sz w:val="24"/>
          <w:szCs w:val="24"/>
          <w:highlight w:val="none"/>
          <w14:textFill>
            <w14:solidFill>
              <w14:schemeClr w14:val="tx1"/>
            </w14:solidFill>
          </w14:textFill>
        </w:rPr>
        <w:t>同类工程，烃类气体的事故性泄漏可使</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泄漏</w:t>
      </w:r>
      <w:r>
        <w:rPr>
          <w:rFonts w:ascii="Times New Roman" w:hAnsi="Times New Roman" w:cs="Times New Roman"/>
          <w:color w:val="000000" w:themeColor="text1"/>
          <w:spacing w:val="-9"/>
          <w:w w:val="99"/>
          <w:sz w:val="24"/>
          <w:szCs w:val="24"/>
          <w:highlight w:val="none"/>
          <w14:textFill>
            <w14:solidFill>
              <w14:schemeClr w14:val="tx1"/>
            </w14:solidFill>
          </w14:textFill>
        </w:rPr>
        <w:t>区100m范围内烃类气体浓度达83.3mg/m</w:t>
      </w:r>
      <w:r>
        <w:rPr>
          <w:rFonts w:ascii="Times New Roman" w:hAnsi="Times New Roman" w:cs="Times New Roman"/>
          <w:color w:val="000000" w:themeColor="text1"/>
          <w:spacing w:val="-9"/>
          <w:w w:val="99"/>
          <w:sz w:val="24"/>
          <w:szCs w:val="24"/>
          <w:highlight w:val="none"/>
          <w:vertAlign w:val="superscript"/>
          <w14:textFill>
            <w14:solidFill>
              <w14:schemeClr w14:val="tx1"/>
            </w14:solidFill>
          </w14:textFill>
        </w:rPr>
        <w:t>3</w:t>
      </w:r>
      <w:r>
        <w:rPr>
          <w:rFonts w:ascii="Times New Roman" w:hAnsi="Times New Roman" w:cs="Times New Roman"/>
          <w:color w:val="000000" w:themeColor="text1"/>
          <w:spacing w:val="-9"/>
          <w:w w:val="99"/>
          <w:sz w:val="24"/>
          <w:szCs w:val="24"/>
          <w:highlight w:val="none"/>
          <w14:textFill>
            <w14:solidFill>
              <w14:schemeClr w14:val="tx1"/>
            </w14:solidFill>
          </w14:textFill>
        </w:rPr>
        <w:t>，造成严重危害，500m内烃类气体浓度达5.37mg/m</w:t>
      </w:r>
      <w:r>
        <w:rPr>
          <w:rFonts w:ascii="Times New Roman" w:hAnsi="Times New Roman" w:cs="Times New Roman"/>
          <w:color w:val="000000" w:themeColor="text1"/>
          <w:spacing w:val="-9"/>
          <w:w w:val="99"/>
          <w:sz w:val="24"/>
          <w:szCs w:val="24"/>
          <w:highlight w:val="none"/>
          <w:vertAlign w:val="superscript"/>
          <w14:textFill>
            <w14:solidFill>
              <w14:schemeClr w14:val="tx1"/>
            </w14:solidFill>
          </w14:textFill>
        </w:rPr>
        <w:t>3</w:t>
      </w:r>
      <w:r>
        <w:rPr>
          <w:rFonts w:ascii="Times New Roman" w:hAnsi="Times New Roman" w:cs="Times New Roman"/>
          <w:color w:val="000000" w:themeColor="text1"/>
          <w:spacing w:val="-9"/>
          <w:w w:val="99"/>
          <w:sz w:val="24"/>
          <w:szCs w:val="24"/>
          <w:highlight w:val="none"/>
          <w14:textFill>
            <w14:solidFill>
              <w14:schemeClr w14:val="tx1"/>
            </w14:solidFill>
          </w14:textFill>
        </w:rPr>
        <w:t>，出现超标，若处理不当，很可能发生火灾等事故。</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原油泄漏如不及时处理，对空气环境的影响相对较大，原油中的轻组分烃类会挥发进入大气，若事故处理不及时，则烃类挥发的时间会较长。如果一次泄漏的量很大，会形成的局部空气环境的严重污染，这时大气中烃类气体的浓度要高于正常情况的数倍之多。如果引发了火灾，则原油燃烧形成的</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CO次生污染</w:t>
      </w:r>
      <w:r>
        <w:rPr>
          <w:rFonts w:ascii="Times New Roman" w:hAnsi="Times New Roman" w:cs="Times New Roman"/>
          <w:color w:val="000000" w:themeColor="text1"/>
          <w:spacing w:val="-9"/>
          <w:w w:val="99"/>
          <w:sz w:val="24"/>
          <w:szCs w:val="24"/>
          <w:highlight w:val="none"/>
          <w14:textFill>
            <w14:solidFill>
              <w14:schemeClr w14:val="tx1"/>
            </w14:solidFill>
          </w14:textFill>
        </w:rPr>
        <w:t>会对周围居民区造成较重的大气污染。且原油泄漏产生的烃类气体挥发事故通常只会造成局部大气污染，由于大气本身具有稀释净化能力，因此</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w:t>
      </w:r>
      <w:r>
        <w:rPr>
          <w:rFonts w:ascii="Times New Roman" w:hAnsi="Times New Roman" w:cs="Times New Roman"/>
          <w:color w:val="000000" w:themeColor="text1"/>
          <w:spacing w:val="-9"/>
          <w:w w:val="99"/>
          <w:sz w:val="24"/>
          <w:szCs w:val="24"/>
          <w:highlight w:val="none"/>
          <w14:textFill>
            <w14:solidFill>
              <w14:schemeClr w14:val="tx1"/>
            </w14:solidFill>
          </w14:textFill>
        </w:rPr>
        <w:t>不会造成大面积的严重污染。</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集油管道及场站原油泄漏会对大气环境造成直接影响，事故会造成局部大气污染，但具有发生机率小、持续时间短的特性。由于该区块所处地势平坦，扩散条件好，在一定的气象条件下一次性事故形成的局部大气污染中烃类气体聚集成高浓度的可能性较小，且一次性事故形成的局部大气污染在一定的气象条件下会逐步自然净化，对周围大气环境的影响很小。</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5.6.3.2事故状态下对地表水环境的影响</w:t>
      </w:r>
    </w:p>
    <w:p>
      <w:pPr>
        <w:pStyle w:val="14"/>
        <w:spacing w:line="440" w:lineRule="exact"/>
        <w:ind w:firstLine="438" w:firstLineChars="200"/>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（1）井喷</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对地表水的风险分析</w:t>
      </w:r>
    </w:p>
    <w:p>
      <w:pPr>
        <w:pStyle w:val="14"/>
        <w:spacing w:line="440" w:lineRule="exact"/>
        <w:ind w:firstLine="438" w:firstLineChars="200"/>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发生井喷时，大量的油品外泄，会对项目周围的</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康家围子泡</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造成严重污染，进一步</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影</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响水体中动植物。石油在水体中扩散的影响：当水面被油层覆盖时，水下光的强度会减， 仅为表面光强度的 1%。这影响了水中浮游植物的光合作用，使水中溶解氧减少，水体中动植物出现供氧不足， 严重者窒息死亡。</w:t>
      </w:r>
    </w:p>
    <w:p>
      <w:pPr>
        <w:pStyle w:val="14"/>
        <w:spacing w:line="440" w:lineRule="exact"/>
        <w:ind w:firstLine="438" w:firstLineChars="200"/>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石油在水体中溶解的影响：石油具有低毒性，对于耐毒性较差的生物可能会死亡，尤其是初级和幼体生物；耐毒性较强的生物也降低了对传染病和外界刺激的抵抗能力；由于某个生物群落中断繁殖，可能破坏食物链的某个环节，导致生态破坏；石油在生物体内可积累，使其进入食物链，最终将影响人类的健康。</w:t>
      </w:r>
    </w:p>
    <w:p>
      <w:pPr>
        <w:pStyle w:val="14"/>
        <w:spacing w:line="440" w:lineRule="exact"/>
        <w:ind w:firstLine="438" w:firstLineChars="200"/>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本项目所在地层压力较低，要靠注水驱动和抽油机采油，并且在井下作业中采取了相应的防喷措施，一般不会发生井喷事故。</w:t>
      </w:r>
    </w:p>
    <w:p>
      <w:pPr>
        <w:pStyle w:val="14"/>
        <w:spacing w:line="440" w:lineRule="exact"/>
        <w:ind w:firstLine="438" w:firstLineChars="200"/>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（2）井场作业</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开井对地表水</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影响</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分析</w:t>
      </w:r>
    </w:p>
    <w:p>
      <w:pPr>
        <w:pStyle w:val="14"/>
        <w:spacing w:line="440" w:lineRule="exact"/>
        <w:ind w:firstLine="438" w:firstLineChars="200"/>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井下作业、地面工程维修等施工过程在事故情况下残留的落地油，在考虑地表径流受土壤渗滤、地表植被截流等综合作用的前提下，石油类物质对区域内地表水质产生一定的影响，但影响程度较小，并且油田使用污油污水回收设施对事故状态下落地油进行回收，可以控制本项目作业过程对项目区域内</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康家围子泡</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水体的影响。</w:t>
      </w:r>
    </w:p>
    <w:p>
      <w:pPr>
        <w:pStyle w:val="14"/>
        <w:spacing w:line="440" w:lineRule="exact"/>
        <w:ind w:firstLine="438" w:firstLineChars="200"/>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正常情况下本项目运行期所产生的油</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注入井</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作业污水、洗井污水不外排，不会对项目区域内地表水环境产生影响，同时在油</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注入井</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作业过程采取了铺设防渗布等环境保护措施。根据企业提供多年的作业情况可知，通过采取措施后可以保证原油等污染物不落地，全部回收，地表径流携带落地油进入外环境的可能性很小，因此本项目</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采取</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以上措施后事故状态下不会对项目区附近的地表水体产生影响。</w:t>
      </w:r>
    </w:p>
    <w:p>
      <w:pPr>
        <w:pStyle w:val="14"/>
        <w:spacing w:line="440" w:lineRule="exact"/>
        <w:ind w:firstLine="438" w:firstLineChars="200"/>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（3）集输管线</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泄露对地表水</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影响</w:t>
      </w:r>
    </w:p>
    <w:p>
      <w:pPr>
        <w:pStyle w:val="14"/>
        <w:spacing w:line="440" w:lineRule="exact"/>
        <w:ind w:firstLine="438" w:firstLineChars="200"/>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本项目</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集输管线</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为跨越地表水体，</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葡70-672、葡70-斜682</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井</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场位于</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康家围子泡</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东侧边缘</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，如果管线发生泄漏事故，若不能及时将泄漏原油完全回收，则泄漏的原油可能流入</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康家围子泡，</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造成水体污染。本项目在运行期对集输管线定期进行检测， 防止腐蚀穿孔引起油水泄漏污染环境，同时采用经过防腐处理的无缝钢管，以延长埋地管道使用寿命。所以，本地区发生集输管道泄漏随地表径流进入水体的可能性不大，但可能在事故情况下对</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管线周边</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的水体产生油水泄漏污染环境，建议通过加强检测、巡检巡视、事故应急措施等事故预防和控制措施尽量避免事故的发生，降低事故发生后对环境的影响程度和范围。</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项目管线采用内缠胶带硬质聚氨酯泡沫夹克管材料，且在运行期定期进行管线检测，防止腐蚀穿孔引起油水泄漏事故，若发生泄漏可第一时间发现并及时处理，对</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水体</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影响较小；</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葡70-672、葡70-斜682</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井</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场</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设置护坡，可将事故状态下泄漏的原油围堵在井场内；本项目对落地油采取了及时回收措施（回收率 100%），同时禁止在雨季进行油井作业，避免了石油类随地表径流进入地表水体的可能性，因此，地表径流不会对地表水体产生影响。</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5.6.3.3 事故状态下对地下水环境的影响</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（1）地面设施泄漏对地下水的影响</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工程事故状态下对地下水污染途径主要是集输管道事故泄漏。含油污水就可能会渗透到含水层中，造成地下水环境污染。资料研究结果表明：石油类污染物在一般土壤中绝大部分集中在泄漏层以下0～10cm及10～30cm范围，一般下渗深度在80cm以内，一般很难下渗2m以下，存在对潜水含水层造成影响的可能，但影响范围有限，一般在几百米范围。而承压含水层一般都有隔水顶板，与潜水层相互隔离，其透水性很差，因此对承压水层产生影响的可能性很小。</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（2）套损对地下水的影响</w:t>
      </w:r>
    </w:p>
    <w:p>
      <w:pPr>
        <w:widowControl/>
        <w:autoSpaceDE/>
        <w:autoSpaceDN/>
        <w:adjustRightIn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在</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原油开采</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过程中，由于腐蚀、固井质量差、地层错动等原因可能导致套管断裂或破损，使原油泄漏窜入地下水层造成污染。大庆油田套损统计表明，98%以上的套管断裂发生在700m以下，表层套管基本没有断裂发生，且套管破损机率一般为1/1万至1/5万，而因套损污染地下水的最大概率约为1/200万。资料显示，美国同类井套损后因外保护层失效而导致油水泄露的概率约1/400万到1/100万。因此，套管损坏虽然对地下水存在潜在污染隐患，但发生几率极小。只要防护得当，一般不会形成套损，即使套损，能发生油水泄漏污染地下水的概率也很小。</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5.6.3.4 事故状态下对土壤环境影响分析</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原油泄漏渗入土壤孔隙，会降低土壤的通透性，抑制土壤中酶活性，使土壤生物减少。 一般而言，原油集中于土壤表层 0～30cm 的范围内，使得根系分布于此深度的植物不能生长。</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石油类对土壤的污染，可使土地肥力下降，改变土壤的理化性质，影响局部区域土壤正常的结构和功能。事故性原油的大规模泄漏可影响草地的生态环境，危害植物生长。其危害最显著的表现为植物，原油黏附于枝叶，阻止植物进行光合作用，可使植物枯萎死亡； 在土壤中粘附于植物根系，可阻止植物吸收水分和矿物质而死亡。</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5.6.3.5 事故状态下对生态环境影响分析</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该项目</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井场</w:t>
      </w:r>
      <w:r>
        <w:rPr>
          <w:rFonts w:ascii="Times New Roman" w:hAnsi="Times New Roman" w:cs="Times New Roman"/>
          <w:color w:val="000000" w:themeColor="text1"/>
          <w:spacing w:val="-9"/>
          <w:w w:val="99"/>
          <w:sz w:val="24"/>
          <w:szCs w:val="24"/>
          <w:highlight w:val="none"/>
          <w14:textFill>
            <w14:solidFill>
              <w14:schemeClr w14:val="tx1"/>
            </w14:solidFill>
          </w14:textFill>
        </w:rPr>
        <w:t>周边的生态系统主要是耕地</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和草地</w:t>
      </w:r>
      <w:r>
        <w:rPr>
          <w:rFonts w:ascii="Times New Roman" w:hAnsi="Times New Roman" w:cs="Times New Roman"/>
          <w:color w:val="000000" w:themeColor="text1"/>
          <w:spacing w:val="-9"/>
          <w:w w:val="99"/>
          <w:sz w:val="24"/>
          <w:szCs w:val="24"/>
          <w:highlight w:val="none"/>
          <w14:textFill>
            <w14:solidFill>
              <w14:schemeClr w14:val="tx1"/>
            </w14:solidFill>
          </w14:textFill>
        </w:rPr>
        <w:t>，大量含油污水泄漏可对耕地产生影响， 其危害最大的是植物，含油物质黏附于枝叶上，就会影响植物的光合作用，可使植物枯萎死亡；含油污水喷溅到植物上或散落到土壤中，黏附于植物根系，可阻止植物吸收水分和矿物质，导致植物死亡，通过根系吸收，影响其品质，使其生产力下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5.6.6 环境风险评价结论</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通过对本次建设工程的环境风险分析可知，本工程的主要环境风险是</w:t>
      </w:r>
      <w:r>
        <w:rPr>
          <w:rFonts w:hint="eastAsia" w:ascii="Times New Roman" w:hAnsi="Times New Roman" w:cs="Times New Roman"/>
          <w:color w:val="000000" w:themeColor="text1"/>
          <w:spacing w:val="-9"/>
          <w:w w:val="99"/>
          <w:sz w:val="24"/>
          <w:szCs w:val="24"/>
          <w:highlight w:val="none"/>
          <w:lang w:eastAsia="zh-CN"/>
          <w14:textFill>
            <w14:solidFill>
              <w14:schemeClr w14:val="tx1"/>
            </w14:solidFill>
          </w14:textFill>
        </w:rPr>
        <w:t>注入管线</w:t>
      </w:r>
      <w:r>
        <w:rPr>
          <w:rFonts w:ascii="Times New Roman" w:hAnsi="Times New Roman" w:cs="Times New Roman"/>
          <w:color w:val="000000" w:themeColor="text1"/>
          <w:spacing w:val="-9"/>
          <w:w w:val="99"/>
          <w:sz w:val="24"/>
          <w:szCs w:val="24"/>
          <w:highlight w:val="none"/>
          <w14:textFill>
            <w14:solidFill>
              <w14:schemeClr w14:val="tx1"/>
            </w14:solidFill>
          </w14:textFill>
        </w:rPr>
        <w:t>泄漏、</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井场</w:t>
      </w:r>
      <w:r>
        <w:rPr>
          <w:rFonts w:ascii="Times New Roman" w:hAnsi="Times New Roman" w:cs="Times New Roman"/>
          <w:color w:val="000000" w:themeColor="text1"/>
          <w:spacing w:val="-9"/>
          <w:w w:val="99"/>
          <w:sz w:val="24"/>
          <w:szCs w:val="24"/>
          <w:highlight w:val="none"/>
          <w14:textFill>
            <w14:solidFill>
              <w14:schemeClr w14:val="tx1"/>
            </w14:solidFill>
          </w14:textFill>
        </w:rPr>
        <w:t>高架罐火灾爆炸等，对区域内的地下水环境和生态环境有潜在危害性。对区域内的地下水、生态等环境有潜在危害性。在工程采取一系列风险防范措施和应急措施，并切实落实各项环保、安全措施基础上，在可控的范围内，项目产生的环境风险环境可接受。</w:t>
      </w:r>
    </w:p>
    <w:p>
      <w:pPr>
        <w:pStyle w:val="14"/>
        <w:spacing w:line="440" w:lineRule="exact"/>
        <w:ind w:firstLine="440" w:firstLineChars="200"/>
        <w:jc w:val="both"/>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b/>
          <w:bCs/>
          <w:color w:val="000000" w:themeColor="text1"/>
          <w:spacing w:val="-9"/>
          <w:w w:val="99"/>
          <w:sz w:val="24"/>
          <w:szCs w:val="24"/>
          <w:highlight w:val="none"/>
          <w14:textFill>
            <w14:solidFill>
              <w14:schemeClr w14:val="tx1"/>
            </w14:solidFill>
          </w14:textFill>
        </w:rPr>
        <w:t>表</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5.6-4</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建设项目环境风险简单分析内容表</w:t>
      </w:r>
    </w:p>
    <w:tbl>
      <w:tblPr>
        <w:tblStyle w:val="3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1548"/>
        <w:gridCol w:w="2310"/>
        <w:gridCol w:w="1521"/>
        <w:gridCol w:w="1134"/>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建设项目名称</w:t>
            </w:r>
          </w:p>
        </w:tc>
        <w:tc>
          <w:tcPr>
            <w:tcW w:w="7724" w:type="dxa"/>
            <w:gridSpan w:val="5"/>
            <w:tcBorders>
              <w:tl2br w:val="nil"/>
              <w:tr2bl w:val="nil"/>
            </w:tcBorders>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采油七厂葡北油田三断块葡72-70井区深部调驱产能建设地面工程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建设地点</w:t>
            </w:r>
          </w:p>
        </w:tc>
        <w:tc>
          <w:tcPr>
            <w:tcW w:w="154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（黑龙江）省</w:t>
            </w:r>
          </w:p>
        </w:tc>
        <w:tc>
          <w:tcPr>
            <w:tcW w:w="2310"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（大庆）市</w:t>
            </w:r>
          </w:p>
        </w:tc>
        <w:tc>
          <w:tcPr>
            <w:tcW w:w="152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大同区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）区</w:t>
            </w:r>
          </w:p>
        </w:tc>
        <w:tc>
          <w:tcPr>
            <w:tcW w:w="113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（）县</w:t>
            </w:r>
          </w:p>
        </w:tc>
        <w:tc>
          <w:tcPr>
            <w:tcW w:w="121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地理坐标</w:t>
            </w:r>
          </w:p>
        </w:tc>
        <w:tc>
          <w:tcPr>
            <w:tcW w:w="1548"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经度</w:t>
            </w:r>
          </w:p>
        </w:tc>
        <w:tc>
          <w:tcPr>
            <w:tcW w:w="2310"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eastAsia="宋体" w:cs="Times New Roman"/>
                <w:bCs/>
                <w:color w:val="000000" w:themeColor="text1"/>
                <w:w w:val="99"/>
                <w:sz w:val="21"/>
                <w:szCs w:val="24"/>
                <w:highlight w:val="none"/>
                <w:lang w:val="en-US" w:bidi="ar-SA"/>
                <w14:textFill>
                  <w14:solidFill>
                    <w14:schemeClr w14:val="tx1"/>
                  </w14:solidFill>
                </w14:textFill>
              </w:rPr>
              <w:t>东经</w:t>
            </w:r>
            <w:r>
              <w:rPr>
                <w:rFonts w:hint="eastAsia" w:ascii="Times New Roman" w:hAnsi="Times New Roman" w:eastAsia="宋体" w:cs="Times New Roman"/>
                <w:bCs/>
                <w:color w:val="000000" w:themeColor="text1"/>
                <w:w w:val="99"/>
                <w:sz w:val="21"/>
                <w:szCs w:val="24"/>
                <w:highlight w:val="none"/>
                <w:lang w:val="en-US" w:eastAsia="zh-TW" w:bidi="ar-SA"/>
                <w14:textFill>
                  <w14:solidFill>
                    <w14:schemeClr w14:val="tx1"/>
                  </w14:solidFill>
                </w14:textFill>
              </w:rPr>
              <w:t>124</w:t>
            </w:r>
            <w:r>
              <w:rPr>
                <w:rFonts w:ascii="Times New Roman" w:hAnsi="Times New Roman" w:cs="Times New Roman"/>
                <w:bCs/>
                <w:color w:val="000000" w:themeColor="text1"/>
                <w:w w:val="99"/>
                <w:sz w:val="21"/>
                <w:szCs w:val="24"/>
                <w:highlight w:val="none"/>
                <w:lang w:val="en-US" w:bidi="ar-SA"/>
                <w14:textFill>
                  <w14:solidFill>
                    <w14:schemeClr w14:val="tx1"/>
                  </w14:solidFill>
                </w14:textFill>
              </w:rPr>
              <w:t>°</w:t>
            </w:r>
            <w:r>
              <w:rPr>
                <w:rFonts w:hint="eastAsia" w:ascii="Times New Roman" w:hAnsi="Times New Roman" w:eastAsia="宋体" w:cs="Times New Roman"/>
                <w:bCs/>
                <w:color w:val="000000" w:themeColor="text1"/>
                <w:w w:val="99"/>
                <w:sz w:val="21"/>
                <w:szCs w:val="24"/>
                <w:highlight w:val="none"/>
                <w:lang w:val="en-US" w:eastAsia="zh-TW" w:bidi="ar-SA"/>
                <w14:textFill>
                  <w14:solidFill>
                    <w14:schemeClr w14:val="tx1"/>
                  </w14:solidFill>
                </w14:textFill>
              </w:rPr>
              <w:t>41</w:t>
            </w:r>
            <w:r>
              <w:rPr>
                <w:rFonts w:ascii="Times New Roman" w:hAnsi="Times New Roman" w:cs="Times New Roman"/>
                <w:bCs/>
                <w:color w:val="000000" w:themeColor="text1"/>
                <w:w w:val="99"/>
                <w:sz w:val="21"/>
                <w:szCs w:val="24"/>
                <w:highlight w:val="none"/>
                <w:lang w:val="en-US" w:bidi="ar-SA"/>
                <w14:textFill>
                  <w14:solidFill>
                    <w14:schemeClr w14:val="tx1"/>
                  </w14:solidFill>
                </w14:textFill>
              </w:rPr>
              <w:t>′</w:t>
            </w:r>
            <w:r>
              <w:rPr>
                <w:rFonts w:hint="eastAsia" w:ascii="Times New Roman" w:hAnsi="Times New Roman" w:eastAsia="宋体" w:cs="Times New Roman"/>
                <w:bCs/>
                <w:color w:val="000000" w:themeColor="text1"/>
                <w:w w:val="99"/>
                <w:sz w:val="21"/>
                <w:szCs w:val="24"/>
                <w:highlight w:val="none"/>
                <w:lang w:val="en-US" w:eastAsia="zh-TW" w:bidi="ar-SA"/>
                <w14:textFill>
                  <w14:solidFill>
                    <w14:schemeClr w14:val="tx1"/>
                  </w14:solidFill>
                </w14:textFill>
              </w:rPr>
              <w:t>10.96″</w:t>
            </w:r>
            <w:r>
              <w:rPr>
                <w:rFonts w:hint="eastAsia" w:ascii="Times New Roman" w:hAnsi="Times New Roman" w:eastAsia="宋体" w:cs="Times New Roman"/>
                <w:bCs/>
                <w:color w:val="000000" w:themeColor="text1"/>
                <w:w w:val="99"/>
                <w:sz w:val="21"/>
                <w:szCs w:val="24"/>
                <w:highlight w:val="none"/>
                <w:lang w:val="en-US" w:eastAsia="zh-CN" w:bidi="ar-SA"/>
                <w14:textFill>
                  <w14:solidFill>
                    <w14:schemeClr w14:val="tx1"/>
                  </w14:solidFill>
                </w14:textFill>
              </w:rPr>
              <w:t>-124</w:t>
            </w:r>
            <w:r>
              <w:rPr>
                <w:rFonts w:ascii="Times New Roman" w:hAnsi="Times New Roman" w:cs="Times New Roman"/>
                <w:bCs/>
                <w:color w:val="000000" w:themeColor="text1"/>
                <w:w w:val="99"/>
                <w:sz w:val="21"/>
                <w:szCs w:val="24"/>
                <w:highlight w:val="none"/>
                <w:lang w:val="en-US" w:bidi="ar-SA"/>
                <w14:textFill>
                  <w14:solidFill>
                    <w14:schemeClr w14:val="tx1"/>
                  </w14:solidFill>
                </w14:textFill>
              </w:rPr>
              <w:t>°</w:t>
            </w:r>
            <w:r>
              <w:rPr>
                <w:rFonts w:hint="eastAsia" w:ascii="Times New Roman" w:hAnsi="Times New Roman" w:eastAsia="宋体" w:cs="Times New Roman"/>
                <w:bCs/>
                <w:color w:val="000000" w:themeColor="text1"/>
                <w:w w:val="99"/>
                <w:sz w:val="21"/>
                <w:szCs w:val="24"/>
                <w:highlight w:val="none"/>
                <w:lang w:val="en-US" w:eastAsia="zh-CN" w:bidi="ar-SA"/>
                <w14:textFill>
                  <w14:solidFill>
                    <w14:schemeClr w14:val="tx1"/>
                  </w14:solidFill>
                </w14:textFill>
              </w:rPr>
              <w:t>43</w:t>
            </w:r>
            <w:r>
              <w:rPr>
                <w:rFonts w:ascii="Times New Roman" w:hAnsi="Times New Roman" w:cs="Times New Roman"/>
                <w:bCs/>
                <w:color w:val="000000" w:themeColor="text1"/>
                <w:w w:val="99"/>
                <w:sz w:val="21"/>
                <w:szCs w:val="24"/>
                <w:highlight w:val="none"/>
                <w:lang w:val="en-US" w:bidi="ar-SA"/>
                <w14:textFill>
                  <w14:solidFill>
                    <w14:schemeClr w14:val="tx1"/>
                  </w14:solidFill>
                </w14:textFill>
              </w:rPr>
              <w:t>′</w:t>
            </w:r>
            <w:r>
              <w:rPr>
                <w:rFonts w:hint="eastAsia" w:ascii="Times New Roman" w:hAnsi="Times New Roman" w:eastAsia="宋体" w:cs="Times New Roman"/>
                <w:bCs/>
                <w:color w:val="000000" w:themeColor="text1"/>
                <w:w w:val="99"/>
                <w:sz w:val="21"/>
                <w:szCs w:val="24"/>
                <w:highlight w:val="none"/>
                <w:lang w:val="en-US" w:eastAsia="zh-CN" w:bidi="ar-SA"/>
                <w14:textFill>
                  <w14:solidFill>
                    <w14:schemeClr w14:val="tx1"/>
                  </w14:solidFill>
                </w14:textFill>
              </w:rPr>
              <w:t>10.96″</w:t>
            </w:r>
          </w:p>
        </w:tc>
        <w:tc>
          <w:tcPr>
            <w:tcW w:w="1521"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color w:val="000000" w:themeColor="text1"/>
                <w:w w:val="99"/>
                <w:sz w:val="21"/>
                <w:szCs w:val="21"/>
                <w:highlight w:val="none"/>
                <w:lang w:bidi="ar-SA"/>
                <w14:textFill>
                  <w14:solidFill>
                    <w14:schemeClr w14:val="tx1"/>
                  </w14:solidFill>
                </w14:textFill>
              </w:rPr>
              <w:t>纬度</w:t>
            </w:r>
          </w:p>
        </w:tc>
        <w:tc>
          <w:tcPr>
            <w:tcW w:w="2345" w:type="dxa"/>
            <w:gridSpan w:val="2"/>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sz w:val="21"/>
                <w:szCs w:val="21"/>
                <w:highlight w:val="none"/>
                <w:lang w:bidi="ar-SA"/>
                <w14:textFill>
                  <w14:solidFill>
                    <w14:schemeClr w14:val="tx1"/>
                  </w14:solidFill>
                </w14:textFill>
              </w:rPr>
            </w:pPr>
            <w:r>
              <w:rPr>
                <w:rFonts w:ascii="Times New Roman" w:hAnsi="Times New Roman" w:cs="Times New Roman"/>
                <w:bCs/>
                <w:color w:val="000000" w:themeColor="text1"/>
                <w:w w:val="99"/>
                <w:sz w:val="21"/>
                <w:szCs w:val="24"/>
                <w:highlight w:val="none"/>
                <w:lang w:val="en-US" w:bidi="ar-SA"/>
                <w14:textFill>
                  <w14:solidFill>
                    <w14:schemeClr w14:val="tx1"/>
                  </w14:solidFill>
                </w14:textFill>
              </w:rPr>
              <w:t>北纬</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CN" w:bidi="zh-TW"/>
                <w14:textFill>
                  <w14:solidFill>
                    <w14:schemeClr w14:val="tx1"/>
                  </w14:solidFill>
                </w14:textFill>
              </w:rPr>
              <w:t>45</w:t>
            </w:r>
            <w:r>
              <w:rPr>
                <w:rFonts w:ascii="Times New Roman" w:hAnsi="Times New Roman" w:cs="Times New Roman"/>
                <w:bCs/>
                <w:color w:val="000000" w:themeColor="text1"/>
                <w:w w:val="99"/>
                <w:sz w:val="21"/>
                <w:szCs w:val="24"/>
                <w:highlight w:val="none"/>
                <w:lang w:val="en-US" w:bidi="ar-SA"/>
                <w14:textFill>
                  <w14:solidFill>
                    <w14:schemeClr w14:val="tx1"/>
                  </w14:solidFill>
                </w14:textFill>
              </w:rPr>
              <w:t>°</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CN" w:bidi="zh-TW"/>
                <w14:textFill>
                  <w14:solidFill>
                    <w14:schemeClr w14:val="tx1"/>
                  </w14:solidFill>
                </w14:textFill>
              </w:rPr>
              <w:t>59</w:t>
            </w:r>
            <w:r>
              <w:rPr>
                <w:rFonts w:ascii="Times New Roman" w:hAnsi="Times New Roman" w:cs="Times New Roman"/>
                <w:bCs/>
                <w:color w:val="000000" w:themeColor="text1"/>
                <w:w w:val="99"/>
                <w:sz w:val="21"/>
                <w:szCs w:val="24"/>
                <w:highlight w:val="none"/>
                <w:lang w:val="en-US" w:bidi="ar-SA"/>
                <w14:textFill>
                  <w14:solidFill>
                    <w14:schemeClr w14:val="tx1"/>
                  </w14:solidFill>
                </w14:textFill>
              </w:rPr>
              <w:t>′</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CN" w:bidi="zh-TW"/>
                <w14:textFill>
                  <w14:solidFill>
                    <w14:schemeClr w14:val="tx1"/>
                  </w14:solidFill>
                </w14:textFill>
              </w:rPr>
              <w:t>45.65</w:t>
            </w:r>
            <w:r>
              <w:rPr>
                <w:rFonts w:hint="eastAsia" w:ascii="Times New Roman" w:hAnsi="Times New Roman" w:eastAsia="宋体" w:cs="Times New Roman"/>
                <w:bCs/>
                <w:color w:val="000000" w:themeColor="text1"/>
                <w:w w:val="99"/>
                <w:sz w:val="21"/>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CN" w:bidi="zh-TW"/>
                <w14:textFill>
                  <w14:solidFill>
                    <w14:schemeClr w14:val="tx1"/>
                  </w14:solidFill>
                </w14:textFill>
              </w:rPr>
              <w:t>-</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TW" w:bidi="zh-TW"/>
                <w14:textFill>
                  <w14:solidFill>
                    <w14:schemeClr w14:val="tx1"/>
                  </w14:solidFill>
                </w14:textFill>
              </w:rPr>
              <w:t>46</w:t>
            </w:r>
            <w:r>
              <w:rPr>
                <w:rFonts w:ascii="Times New Roman" w:hAnsi="Times New Roman" w:cs="Times New Roman"/>
                <w:bCs/>
                <w:color w:val="000000" w:themeColor="text1"/>
                <w:w w:val="99"/>
                <w:sz w:val="21"/>
                <w:szCs w:val="24"/>
                <w:highlight w:val="none"/>
                <w:lang w:val="en-US" w:bidi="ar-SA"/>
                <w14:textFill>
                  <w14:solidFill>
                    <w14:schemeClr w14:val="tx1"/>
                  </w14:solidFill>
                </w14:textFill>
              </w:rPr>
              <w:t>°</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TW" w:bidi="zh-TW"/>
                <w14:textFill>
                  <w14:solidFill>
                    <w14:schemeClr w14:val="tx1"/>
                  </w14:solidFill>
                </w14:textFill>
              </w:rPr>
              <w:t>0</w:t>
            </w:r>
            <w:r>
              <w:rPr>
                <w:rFonts w:ascii="Times New Roman" w:hAnsi="Times New Roman" w:cs="Times New Roman"/>
                <w:bCs/>
                <w:color w:val="000000" w:themeColor="text1"/>
                <w:w w:val="99"/>
                <w:sz w:val="21"/>
                <w:szCs w:val="24"/>
                <w:highlight w:val="none"/>
                <w:lang w:val="en-US" w:bidi="ar-SA"/>
                <w14:textFill>
                  <w14:solidFill>
                    <w14:schemeClr w14:val="tx1"/>
                  </w14:solidFill>
                </w14:textFill>
              </w:rPr>
              <w:t>′</w:t>
            </w:r>
            <w:r>
              <w:rPr>
                <w:rFonts w:hint="eastAsia" w:ascii="Times New Roman" w:hAnsi="Times New Roman" w:eastAsia="宋体" w:cs="Times New Roman"/>
                <w:b w:val="0"/>
                <w:bCs w:val="0"/>
                <w:color w:val="000000" w:themeColor="text1"/>
                <w:spacing w:val="0"/>
                <w:w w:val="99"/>
                <w:kern w:val="2"/>
                <w:position w:val="0"/>
                <w:sz w:val="24"/>
                <w:szCs w:val="24"/>
                <w:highlight w:val="none"/>
                <w:u w:val="none"/>
                <w:shd w:val="clear" w:color="auto" w:fill="auto"/>
                <w:lang w:val="en-US" w:eastAsia="zh-TW" w:bidi="zh-TW"/>
                <w14:textFill>
                  <w14:solidFill>
                    <w14:schemeClr w14:val="tx1"/>
                  </w14:solidFill>
                </w14:textFill>
              </w:rPr>
              <w:t>35.65</w:t>
            </w:r>
            <w:r>
              <w:rPr>
                <w:rFonts w:hint="eastAsia" w:ascii="Times New Roman" w:hAnsi="Times New Roman" w:eastAsia="宋体" w:cs="Times New Roman"/>
                <w:bCs/>
                <w:color w:val="000000" w:themeColor="text1"/>
                <w:w w:val="99"/>
                <w:sz w:val="21"/>
                <w:szCs w:val="24"/>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主要危险物质分布</w:t>
            </w:r>
          </w:p>
        </w:tc>
        <w:tc>
          <w:tcPr>
            <w:tcW w:w="7724" w:type="dxa"/>
            <w:gridSpan w:val="5"/>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原油、天然气；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环境影响途径及危害后果</w:t>
            </w:r>
          </w:p>
        </w:tc>
        <w:tc>
          <w:tcPr>
            <w:tcW w:w="7724" w:type="dxa"/>
            <w:gridSpan w:val="5"/>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火灾、爆炸影响空气环境，但不会对最近</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村屯</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造成危害影响。</w:t>
            </w:r>
          </w:p>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井场和</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集油</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管道泄漏影响地下水环境，但影响范围有限，及时回收后影响程度低，周围环境敏感目标产生污染影响的可能性小，环境影响可接受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风险防范措施要求</w:t>
            </w:r>
          </w:p>
        </w:tc>
        <w:tc>
          <w:tcPr>
            <w:tcW w:w="7724" w:type="dxa"/>
            <w:gridSpan w:val="5"/>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防火、防爆，油泥不落地措施，管理措施。 </w:t>
            </w:r>
          </w:p>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管道密闭输送、防腐、试压，运行期制定操作规程、巡线、检测、应急等管理措施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填表说明</w:t>
            </w:r>
          </w:p>
        </w:tc>
        <w:tc>
          <w:tcPr>
            <w:tcW w:w="7724" w:type="dxa"/>
            <w:gridSpan w:val="5"/>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根据《建设项目环境风险评价技术导则》（HJ169-2018），建设项目为简单分析。</w:t>
            </w:r>
          </w:p>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本工程的主要环境风险是油气水泄漏和火灾爆炸，对区域内的大气环境、地下水环境和土壤植被等危害性不大。在工程采取一系列风险防范措施和应急措施后，可以控制和降低工程发生事故情况下对周围环境的影响。但建设单位应加强员工的环保教育和培训，避免污染事故的发生</w:t>
            </w:r>
          </w:p>
        </w:tc>
      </w:tr>
    </w:tbl>
    <w:p>
      <w:pPr>
        <w:pStyle w:val="14"/>
        <w:spacing w:line="440" w:lineRule="exact"/>
        <w:ind w:firstLine="440" w:firstLineChars="200"/>
        <w:jc w:val="both"/>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表5.6-7</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建设项目环境风险评价自查表</w:t>
      </w:r>
    </w:p>
    <w:tbl>
      <w:tblPr>
        <w:tblStyle w:val="32"/>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243"/>
        <w:gridCol w:w="1235"/>
        <w:gridCol w:w="308"/>
        <w:gridCol w:w="461"/>
        <w:gridCol w:w="308"/>
        <w:gridCol w:w="780"/>
        <w:gridCol w:w="297"/>
        <w:gridCol w:w="328"/>
        <w:gridCol w:w="762"/>
        <w:gridCol w:w="145"/>
        <w:gridCol w:w="470"/>
        <w:gridCol w:w="462"/>
        <w:gridCol w:w="383"/>
        <w:gridCol w:w="91"/>
        <w:gridCol w:w="676"/>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工作内容</w:t>
            </w:r>
          </w:p>
        </w:tc>
        <w:tc>
          <w:tcPr>
            <w:tcW w:w="7464" w:type="dxa"/>
            <w:gridSpan w:val="1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风险调查</w:t>
            </w:r>
          </w:p>
        </w:tc>
        <w:tc>
          <w:tcPr>
            <w:tcW w:w="1243" w:type="dxa"/>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危险物质</w:t>
            </w:r>
          </w:p>
        </w:tc>
        <w:tc>
          <w:tcPr>
            <w:tcW w:w="1235"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名称</w:t>
            </w:r>
          </w:p>
        </w:tc>
        <w:tc>
          <w:tcPr>
            <w:tcW w:w="1077"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石油</w:t>
            </w:r>
          </w:p>
        </w:tc>
        <w:tc>
          <w:tcPr>
            <w:tcW w:w="1077"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天然气</w:t>
            </w:r>
          </w:p>
        </w:tc>
        <w:tc>
          <w:tcPr>
            <w:tcW w:w="1235"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315"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767"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758"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35"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存在量t</w:t>
            </w:r>
          </w:p>
        </w:tc>
        <w:tc>
          <w:tcPr>
            <w:tcW w:w="1077" w:type="dxa"/>
            <w:gridSpan w:val="3"/>
            <w:tcBorders>
              <w:tl2br w:val="nil"/>
              <w:tr2bl w:val="nil"/>
            </w:tcBorders>
            <w:vAlign w:val="center"/>
          </w:tcPr>
          <w:p>
            <w:pPr>
              <w:autoSpaceDE/>
              <w:autoSpaceDN/>
              <w:spacing w:line="240" w:lineRule="exact"/>
              <w:jc w:val="center"/>
              <w:rPr>
                <w:rFonts w:hint="eastAsia" w:ascii="Times New Roman" w:hAnsi="Times New Roman" w:eastAsia="宋体" w:cs="Times New Roman"/>
                <w:color w:val="000000" w:themeColor="text1"/>
                <w:w w:val="99"/>
                <w:kern w:val="2"/>
                <w:sz w:val="20"/>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0"/>
                <w:szCs w:val="20"/>
                <w:highlight w:val="none"/>
                <w:lang w:val="en-US" w:eastAsia="zh-CN" w:bidi="ar-SA"/>
                <w14:textFill>
                  <w14:solidFill>
                    <w14:schemeClr w14:val="tx1"/>
                  </w14:solidFill>
                </w14:textFill>
              </w:rPr>
              <w:t>43.596</w:t>
            </w:r>
          </w:p>
        </w:tc>
        <w:tc>
          <w:tcPr>
            <w:tcW w:w="1077" w:type="dxa"/>
            <w:gridSpan w:val="2"/>
            <w:tcBorders>
              <w:tl2br w:val="nil"/>
              <w:tr2bl w:val="nil"/>
            </w:tcBorders>
            <w:vAlign w:val="center"/>
          </w:tcPr>
          <w:p>
            <w:pPr>
              <w:autoSpaceDE/>
              <w:autoSpaceDN/>
              <w:spacing w:line="240" w:lineRule="exact"/>
              <w:jc w:val="center"/>
              <w:rPr>
                <w:rFonts w:hint="eastAsia" w:ascii="Times New Roman" w:hAnsi="Times New Roman" w:eastAsia="宋体" w:cs="Times New Roman"/>
                <w:color w:val="000000" w:themeColor="text1"/>
                <w:w w:val="99"/>
                <w:kern w:val="2"/>
                <w:sz w:val="20"/>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0"/>
                <w:szCs w:val="20"/>
                <w:highlight w:val="none"/>
                <w:lang w:val="en-US" w:eastAsia="zh-CN" w:bidi="ar-SA"/>
                <w14:textFill>
                  <w14:solidFill>
                    <w14:schemeClr w14:val="tx1"/>
                  </w14:solidFill>
                </w14:textFill>
              </w:rPr>
              <w:t>1.4074</w:t>
            </w:r>
          </w:p>
        </w:tc>
        <w:tc>
          <w:tcPr>
            <w:tcW w:w="1235"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315"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767"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758"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环境敏感性</w:t>
            </w:r>
          </w:p>
        </w:tc>
        <w:tc>
          <w:tcPr>
            <w:tcW w:w="1235" w:type="dxa"/>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大气</w:t>
            </w:r>
          </w:p>
        </w:tc>
        <w:tc>
          <w:tcPr>
            <w:tcW w:w="3389" w:type="dxa"/>
            <w:gridSpan w:val="8"/>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 xml:space="preserve">500m范围内人口数 </w:t>
            </w:r>
            <w:r>
              <w:rPr>
                <w:rFonts w:ascii="Times New Roman" w:hAnsi="Times New Roman" w:cs="Times New Roman"/>
                <w:color w:val="000000" w:themeColor="text1"/>
                <w:w w:val="99"/>
                <w:kern w:val="2"/>
                <w:sz w:val="20"/>
                <w:szCs w:val="20"/>
                <w:highlight w:val="none"/>
                <w:u w:val="single"/>
                <w:lang w:val="en-US" w:bidi="ar-SA"/>
                <w14:textFill>
                  <w14:solidFill>
                    <w14:schemeClr w14:val="tx1"/>
                  </w14:solidFill>
                </w14:textFill>
              </w:rPr>
              <w:t xml:space="preserve"> 1930 </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人</w:t>
            </w:r>
          </w:p>
        </w:tc>
        <w:tc>
          <w:tcPr>
            <w:tcW w:w="2840" w:type="dxa"/>
            <w:gridSpan w:val="6"/>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5km范围内人口数</w:t>
            </w:r>
            <w:r>
              <w:rPr>
                <w:rFonts w:hint="eastAsia" w:ascii="Times New Roman" w:hAnsi="Times New Roman" w:cs="Times New Roman"/>
                <w:color w:val="000000" w:themeColor="text1"/>
                <w:w w:val="99"/>
                <w:kern w:val="2"/>
                <w:sz w:val="20"/>
                <w:szCs w:val="20"/>
                <w:highlight w:val="none"/>
                <w:lang w:val="en-US" w:bidi="ar-SA"/>
                <w14:textFill>
                  <w14:solidFill>
                    <w14:schemeClr w14:val="tx1"/>
                  </w14:solidFill>
                </w14:textFill>
              </w:rPr>
              <w:t xml:space="preserve">  </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35"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4795" w:type="dxa"/>
            <w:gridSpan w:val="1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每公里管段周边200m范围内人口数（最大）</w:t>
            </w:r>
          </w:p>
        </w:tc>
        <w:tc>
          <w:tcPr>
            <w:tcW w:w="1434"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35" w:type="dxa"/>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地表水</w:t>
            </w:r>
          </w:p>
        </w:tc>
        <w:tc>
          <w:tcPr>
            <w:tcW w:w="1857"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地表水功能敏感性</w:t>
            </w:r>
          </w:p>
        </w:tc>
        <w:tc>
          <w:tcPr>
            <w:tcW w:w="1387"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F1</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551"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F2</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434"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F3</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35"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857"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环境敏感目标分级</w:t>
            </w:r>
          </w:p>
        </w:tc>
        <w:tc>
          <w:tcPr>
            <w:tcW w:w="1387"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S1</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551"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S2</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434"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S3</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35" w:type="dxa"/>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地下水</w:t>
            </w:r>
          </w:p>
        </w:tc>
        <w:tc>
          <w:tcPr>
            <w:tcW w:w="1857"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地下水功能敏感性</w:t>
            </w:r>
          </w:p>
        </w:tc>
        <w:tc>
          <w:tcPr>
            <w:tcW w:w="1387"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G1</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551"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G2</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434"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G3</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35"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857"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包气带防污性能</w:t>
            </w:r>
          </w:p>
        </w:tc>
        <w:tc>
          <w:tcPr>
            <w:tcW w:w="1387"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D1</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551"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D2</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434"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D3</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物质及工艺系数危险性</w:t>
            </w:r>
          </w:p>
        </w:tc>
        <w:tc>
          <w:tcPr>
            <w:tcW w:w="1235"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Q值</w:t>
            </w:r>
          </w:p>
        </w:tc>
        <w:tc>
          <w:tcPr>
            <w:tcW w:w="1857"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Q＜1</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FE"/>
            </w:r>
          </w:p>
        </w:tc>
        <w:tc>
          <w:tcPr>
            <w:tcW w:w="1387"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1≤Q＜10</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551"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10≤Q＜100</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434"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Q＞100</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35"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M值</w:t>
            </w:r>
          </w:p>
        </w:tc>
        <w:tc>
          <w:tcPr>
            <w:tcW w:w="1857"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M1</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387"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M2</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551"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M3</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434"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M4</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35"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P值</w:t>
            </w:r>
          </w:p>
        </w:tc>
        <w:tc>
          <w:tcPr>
            <w:tcW w:w="1857"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P1</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387"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P2</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551"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P3</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434"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P4</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环境风险潜势</w:t>
            </w:r>
          </w:p>
        </w:tc>
        <w:tc>
          <w:tcPr>
            <w:tcW w:w="1543"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Ⅳ+</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549"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Ⅳ</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387"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Ⅲ</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551"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Ⅱ</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434"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Ⅰ</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评价等级</w:t>
            </w:r>
          </w:p>
        </w:tc>
        <w:tc>
          <w:tcPr>
            <w:tcW w:w="3092"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一级</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387"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二级</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551"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三级</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434"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简单分析</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风险识别</w:t>
            </w:r>
          </w:p>
        </w:tc>
        <w:tc>
          <w:tcPr>
            <w:tcW w:w="1243"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物质危险性</w:t>
            </w:r>
          </w:p>
        </w:tc>
        <w:tc>
          <w:tcPr>
            <w:tcW w:w="3717" w:type="dxa"/>
            <w:gridSpan w:val="7"/>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有毒有害</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FE"/>
            </w:r>
          </w:p>
        </w:tc>
        <w:tc>
          <w:tcPr>
            <w:tcW w:w="3747" w:type="dxa"/>
            <w:gridSpan w:val="8"/>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易燃易爆</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环境风险类型</w:t>
            </w:r>
          </w:p>
        </w:tc>
        <w:tc>
          <w:tcPr>
            <w:tcW w:w="3717" w:type="dxa"/>
            <w:gridSpan w:val="7"/>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泄漏</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FE"/>
            </w:r>
          </w:p>
        </w:tc>
        <w:tc>
          <w:tcPr>
            <w:tcW w:w="3747" w:type="dxa"/>
            <w:gridSpan w:val="8"/>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火灾、爆炸引发伴生/次生污染物排放</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影响途径</w:t>
            </w:r>
          </w:p>
        </w:tc>
        <w:tc>
          <w:tcPr>
            <w:tcW w:w="2312"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大气</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FE"/>
            </w:r>
          </w:p>
        </w:tc>
        <w:tc>
          <w:tcPr>
            <w:tcW w:w="2782" w:type="dxa"/>
            <w:gridSpan w:val="6"/>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地表水</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2370" w:type="dxa"/>
            <w:gridSpan w:val="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地下水</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事故情形分析</w:t>
            </w:r>
          </w:p>
        </w:tc>
        <w:tc>
          <w:tcPr>
            <w:tcW w:w="2004"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源强设定方法</w:t>
            </w:r>
          </w:p>
        </w:tc>
        <w:tc>
          <w:tcPr>
            <w:tcW w:w="1713"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计算法</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839"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经验估算法</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908"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其他估算法</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风险预测与评价</w:t>
            </w:r>
          </w:p>
        </w:tc>
        <w:tc>
          <w:tcPr>
            <w:tcW w:w="1243" w:type="dxa"/>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大气</w:t>
            </w:r>
          </w:p>
        </w:tc>
        <w:tc>
          <w:tcPr>
            <w:tcW w:w="2004" w:type="dxa"/>
            <w:gridSpan w:val="3"/>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预测模型</w:t>
            </w:r>
          </w:p>
        </w:tc>
        <w:tc>
          <w:tcPr>
            <w:tcW w:w="1713"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SLAB</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839"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AFTOX</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c>
          <w:tcPr>
            <w:tcW w:w="1908" w:type="dxa"/>
            <w:gridSpan w:val="4"/>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其他</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2004" w:type="dxa"/>
            <w:gridSpan w:val="3"/>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预测结果</w:t>
            </w:r>
          </w:p>
        </w:tc>
        <w:tc>
          <w:tcPr>
            <w:tcW w:w="5460" w:type="dxa"/>
            <w:gridSpan w:val="1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大气毒性终点浓度-1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2004" w:type="dxa"/>
            <w:gridSpan w:val="3"/>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5460" w:type="dxa"/>
            <w:gridSpan w:val="1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大气毒性终点浓度-2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地表水</w:t>
            </w:r>
          </w:p>
        </w:tc>
        <w:tc>
          <w:tcPr>
            <w:tcW w:w="7464" w:type="dxa"/>
            <w:gridSpan w:val="1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最近敏感目标，到达时间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restart"/>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地下水</w:t>
            </w:r>
          </w:p>
        </w:tc>
        <w:tc>
          <w:tcPr>
            <w:tcW w:w="7464" w:type="dxa"/>
            <w:gridSpan w:val="1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下游厂区边界到达时间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0"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1243" w:type="dxa"/>
            <w:vMerge w:val="continue"/>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p>
        </w:tc>
        <w:tc>
          <w:tcPr>
            <w:tcW w:w="7464" w:type="dxa"/>
            <w:gridSpan w:val="15"/>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最近环境敏感目标，到达时间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重点风险防范措施</w:t>
            </w:r>
          </w:p>
        </w:tc>
        <w:tc>
          <w:tcPr>
            <w:tcW w:w="7464" w:type="dxa"/>
            <w:gridSpan w:val="15"/>
            <w:tcBorders>
              <w:tl2br w:val="nil"/>
              <w:tr2bl w:val="nil"/>
            </w:tcBorders>
            <w:vAlign w:val="center"/>
          </w:tcPr>
          <w:p>
            <w:pPr>
              <w:autoSpaceDE/>
              <w:autoSpaceDN/>
              <w:spacing w:line="240" w:lineRule="exact"/>
              <w:jc w:val="both"/>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0"/>
                <w:szCs w:val="20"/>
                <w:highlight w:val="none"/>
                <w:lang w:val="en-US" w:bidi="ar-SA"/>
                <w14:textFill>
                  <w14:solidFill>
                    <w14:schemeClr w14:val="tx1"/>
                  </w14:solidFill>
                </w14:textFill>
              </w:rPr>
              <w:t>管道密闭输送、</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防腐、试压等，运行期制定操作规程、巡线、</w:t>
            </w:r>
            <w:r>
              <w:rPr>
                <w:rFonts w:hint="eastAsia" w:ascii="Times New Roman" w:hAnsi="Times New Roman" w:cs="Times New Roman"/>
                <w:color w:val="000000" w:themeColor="text1"/>
                <w:w w:val="99"/>
                <w:kern w:val="2"/>
                <w:sz w:val="20"/>
                <w:szCs w:val="20"/>
                <w:highlight w:val="none"/>
                <w:lang w:val="en-US" w:bidi="ar-SA"/>
                <w14:textFill>
                  <w14:solidFill>
                    <w14:schemeClr w14:val="tx1"/>
                  </w14:solidFill>
                </w14:textFill>
              </w:rPr>
              <w:t>检测、</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应急等管理措施。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23" w:type="dxa"/>
            <w:gridSpan w:val="2"/>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评价结论与建议</w:t>
            </w:r>
          </w:p>
        </w:tc>
        <w:tc>
          <w:tcPr>
            <w:tcW w:w="7464" w:type="dxa"/>
            <w:gridSpan w:val="15"/>
            <w:tcBorders>
              <w:tl2br w:val="nil"/>
              <w:tr2bl w:val="nil"/>
            </w:tcBorders>
            <w:vAlign w:val="center"/>
          </w:tcPr>
          <w:p>
            <w:pPr>
              <w:autoSpaceDE/>
              <w:autoSpaceDN/>
              <w:spacing w:line="240" w:lineRule="exact"/>
              <w:jc w:val="both"/>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18"/>
                <w:szCs w:val="18"/>
                <w:highlight w:val="none"/>
                <w:lang w:val="en-US" w:bidi="ar-SA"/>
                <w14:textFill>
                  <w14:solidFill>
                    <w14:schemeClr w14:val="tx1"/>
                  </w14:solidFill>
                </w14:textFill>
              </w:rPr>
              <w:t>本工程的主要环境风险是</w:t>
            </w:r>
            <w:r>
              <w:rPr>
                <w:rFonts w:hint="eastAsia" w:ascii="Times New Roman" w:hAnsi="Times New Roman" w:cs="Times New Roman"/>
                <w:color w:val="000000" w:themeColor="text1"/>
                <w:w w:val="99"/>
                <w:kern w:val="2"/>
                <w:sz w:val="18"/>
                <w:szCs w:val="18"/>
                <w:highlight w:val="none"/>
                <w:lang w:val="en-US" w:eastAsia="zh-CN" w:bidi="ar-SA"/>
                <w14:textFill>
                  <w14:solidFill>
                    <w14:schemeClr w14:val="tx1"/>
                  </w14:solidFill>
                </w14:textFill>
              </w:rPr>
              <w:t>注入管线</w:t>
            </w:r>
            <w:r>
              <w:rPr>
                <w:rFonts w:ascii="Times New Roman" w:hAnsi="Times New Roman" w:cs="Times New Roman"/>
                <w:color w:val="000000" w:themeColor="text1"/>
                <w:w w:val="99"/>
                <w:kern w:val="2"/>
                <w:sz w:val="18"/>
                <w:szCs w:val="18"/>
                <w:highlight w:val="none"/>
                <w:lang w:val="en-US" w:bidi="ar-SA"/>
                <w14:textFill>
                  <w14:solidFill>
                    <w14:schemeClr w14:val="tx1"/>
                  </w14:solidFill>
                </w14:textFill>
              </w:rPr>
              <w:t>泄漏、火灾爆炸等，对区域内的地下水环境和生态环境有潜在危害性。在工程采取一系列风险防范措施和应急措施后，可以控制和降低工程发生事故情况下对周围环境的影响。但建设单位应加强员工的环保教育和培训，完善项目的事故应急预案，并定期演练，避免重大污染事故的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87" w:type="dxa"/>
            <w:gridSpan w:val="17"/>
            <w:tcBorders>
              <w:tl2br w:val="nil"/>
              <w:tr2bl w:val="nil"/>
            </w:tcBorders>
            <w:vAlign w:val="center"/>
          </w:tcPr>
          <w:p>
            <w:pPr>
              <w:autoSpaceDE/>
              <w:autoSpaceDN/>
              <w:spacing w:line="240" w:lineRule="exact"/>
              <w:jc w:val="cente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注：“</w:t>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sym w:font="Wingdings" w:char="00A8"/>
            </w:r>
            <w:r>
              <w:rPr>
                <w:rFonts w:ascii="Times New Roman" w:hAnsi="Times New Roman" w:cs="Times New Roman"/>
                <w:color w:val="000000" w:themeColor="text1"/>
                <w:w w:val="99"/>
                <w:kern w:val="2"/>
                <w:sz w:val="20"/>
                <w:szCs w:val="20"/>
                <w:highlight w:val="none"/>
                <w:lang w:val="en-US" w:bidi="ar-SA"/>
                <w14:textFill>
                  <w14:solidFill>
                    <w14:schemeClr w14:val="tx1"/>
                  </w14:solidFill>
                </w14:textFill>
              </w:rPr>
              <w:t>”为勾选项， “    ”为内容填写项</w:t>
            </w:r>
          </w:p>
        </w:tc>
      </w:tr>
    </w:tbl>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78" w:name="_Toc19663"/>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5.7 土壤环境影响评价</w:t>
      </w:r>
      <w:bookmarkEnd w:id="178"/>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5.7.1 施工期土壤环境影响评价</w:t>
      </w:r>
    </w:p>
    <w:p>
      <w:pPr>
        <w:autoSpaceDE/>
        <w:autoSpaceDN/>
        <w:spacing w:line="440" w:lineRule="exact"/>
        <w:ind w:firstLine="474" w:firstLineChars="200"/>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本项目对土壤的影响主要来自管道</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敷设</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对土地的占用，对植被的碾压、挖掘等活动，会引起土壤理化性质的改变、肥力的降低。</w:t>
      </w:r>
    </w:p>
    <w:p>
      <w:pPr>
        <w:autoSpaceDE/>
        <w:autoSpaceDN/>
        <w:spacing w:line="440" w:lineRule="exact"/>
        <w:ind w:firstLine="474" w:firstLineChars="200"/>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（1）管道开挖对土壤的影响</w:t>
      </w:r>
    </w:p>
    <w:p>
      <w:pPr>
        <w:autoSpaceDE/>
        <w:autoSpaceDN/>
        <w:spacing w:line="440" w:lineRule="exact"/>
        <w:ind w:firstLine="474" w:firstLineChars="200"/>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32"/>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土壤结构的形成需要漫长的时间，管道在开挖和填埋时，必将破坏土壤结构，干扰了团粒结构的自然形成过程。作为土壤质量重要指标的团粒结构一旦遭到破坏，需要经过较长的时间才能恢复。</w:t>
      </w:r>
    </w:p>
    <w:p>
      <w:pPr>
        <w:autoSpaceDE/>
        <w:autoSpaceDN/>
        <w:spacing w:line="440" w:lineRule="exact"/>
        <w:ind w:firstLine="474" w:firstLineChars="200"/>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32"/>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土壤表层质地与底层的质地截然不同，管道的开挖与回填，会混合原有的土壤层次，降低土壤的蓄水保肥能力，易受风蚀，从而影响土壤的发育、植被的恢复。</w:t>
      </w:r>
    </w:p>
    <w:p>
      <w:pPr>
        <w:autoSpaceDE/>
        <w:autoSpaceDN/>
        <w:spacing w:line="440" w:lineRule="exact"/>
        <w:ind w:firstLine="474" w:firstLineChars="200"/>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32"/>
          <w:highlight w:val="none"/>
          <w:lang w:val="en-US"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不同土层的特征及理化性质差异较大，就养分状况而言，表土层（腐殖质层、耕作层）远较心土层好，其有机质、全氮、全磷均较其他层次高。施工作业对原有的土体构型产生扰动，使土壤性质发生变化，土壤养分流失，从而影响植物的生长。</w:t>
      </w:r>
    </w:p>
    <w:p>
      <w:pPr>
        <w:autoSpaceDE/>
        <w:autoSpaceDN/>
        <w:spacing w:line="440" w:lineRule="exact"/>
        <w:ind w:firstLine="474" w:firstLineChars="200"/>
        <w:rPr>
          <w:rFonts w:ascii="Times New Roman" w:hAnsi="Times New Roman" w:eastAsia="宋体"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4"/>
          <w:szCs w:val="32"/>
          <w:highlight w:val="none"/>
          <w:lang w:val="en-US" w:bidi="ar-SA"/>
          <w14:textFill>
            <w14:solidFill>
              <w14:schemeClr w14:val="tx1"/>
            </w14:solidFill>
          </w14:textFill>
        </w:rPr>
        <w:t>（2）道路建设对土壤的影响</w:t>
      </w:r>
    </w:p>
    <w:p>
      <w:pPr>
        <w:autoSpaceDE/>
        <w:autoSpaceDN/>
        <w:spacing w:line="440" w:lineRule="exact"/>
        <w:ind w:firstLine="474" w:firstLineChars="200"/>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sz w:val="24"/>
          <w:szCs w:val="32"/>
          <w:highlight w:val="none"/>
          <w:lang w:val="en-US" w:bidi="ar-SA"/>
          <w14:textFill>
            <w14:solidFill>
              <w14:schemeClr w14:val="tx1"/>
            </w14:solidFill>
          </w14:textFill>
        </w:rPr>
        <w:t>本工程</w:t>
      </w:r>
      <w:r>
        <w:rPr>
          <w:rFonts w:hint="eastAsia"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新建配注站进站路0.1km砂石路</w:t>
      </w:r>
      <w:r>
        <w:rPr>
          <w:rFonts w:ascii="Times New Roman" w:hAnsi="Times New Roman" w:eastAsia="宋体" w:cs="Times New Roman"/>
          <w:color w:val="000000" w:themeColor="text1"/>
          <w:w w:val="99"/>
          <w:kern w:val="2"/>
          <w:sz w:val="24"/>
          <w:szCs w:val="32"/>
          <w:highlight w:val="none"/>
          <w:lang w:val="en-US" w:bidi="ar-SA"/>
          <w14:textFill>
            <w14:solidFill>
              <w14:schemeClr w14:val="tx1"/>
            </w14:solidFill>
          </w14:textFill>
        </w:rPr>
        <w:t>，</w:t>
      </w:r>
      <w:r>
        <w:rPr>
          <w:rFonts w:hint="eastAsia"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建设方式为直接对道路占地范围进行覆土压实，道路建设过程中施工机械和人员将会对道路两侧的植被进行碾压和践踏，对自然植被造成破坏和扰动原来相对稳定的地表，使土壤变得疏松，产生一定面积的裸露地面，造成新增土壤侵蚀。施工结束后对施工迹地地表植被进行恢复，可有效减轻道路建设过程中对土壤环境的影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5.7.2 运营期土壤环境影响评价</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5.7.2.1土壤污染途径</w:t>
      </w:r>
    </w:p>
    <w:p>
      <w:pPr>
        <w:widowControl/>
        <w:autoSpaceDE/>
        <w:autoSpaceDN/>
        <w:spacing w:line="500" w:lineRule="exact"/>
        <w:ind w:firstLine="474" w:firstLineChars="200"/>
        <w:jc w:val="both"/>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lang w:val="en-US" w:bidi="ar-SA"/>
          <w14:textFill>
            <w14:solidFill>
              <w14:schemeClr w14:val="tx1"/>
            </w14:solidFill>
          </w14:textFill>
        </w:rPr>
        <w:t>本</w:t>
      </w:r>
      <w:r>
        <w:rPr>
          <w:rFonts w:ascii="Times New Roman" w:hAnsi="Times New Roman" w:cs="Times New Roman"/>
          <w:color w:val="000000" w:themeColor="text1"/>
          <w:w w:val="99"/>
          <w:sz w:val="24"/>
          <w:szCs w:val="24"/>
          <w:highlight w:val="none"/>
          <w:lang w:val="en-US" w:bidi="ar-SA"/>
          <w14:textFill>
            <w14:solidFill>
              <w14:schemeClr w14:val="tx1"/>
            </w14:solidFill>
          </w14:textFill>
        </w:rPr>
        <w:t>项目油田开发过程中对土壤环境的影响主要表现在两个方面：</w:t>
      </w:r>
      <w:r>
        <w:rPr>
          <w:rFonts w:hint="eastAsia"/>
          <w:color w:val="000000" w:themeColor="text1"/>
          <w:w w:val="99"/>
          <w:sz w:val="24"/>
          <w:szCs w:val="24"/>
          <w:highlight w:val="none"/>
          <w:lang w:val="en-US" w:bidi="ar-SA"/>
          <w14:textFill>
            <w14:solidFill>
              <w14:schemeClr w14:val="tx1"/>
            </w14:solidFill>
          </w14:textFill>
        </w:rPr>
        <w:t>①</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投产以前地面工程建设、集输管线建设时对土壤环境的影响，这种影响导致土壤结构发生改变，破坏原始植被，土壤层次、结构发生了改变，在短期内出现了局部裸地，若不及时恢复，可能导致土地沙化；</w:t>
      </w:r>
      <w:r>
        <w:rPr>
          <w:rFonts w:hint="eastAsia"/>
          <w:color w:val="000000" w:themeColor="text1"/>
          <w:w w:val="99"/>
          <w:sz w:val="24"/>
          <w:szCs w:val="24"/>
          <w:highlight w:val="none"/>
          <w:lang w:val="en-US" w:bidi="ar-SA"/>
          <w14:textFill>
            <w14:solidFill>
              <w14:schemeClr w14:val="tx1"/>
            </w14:solidFill>
          </w14:textFill>
        </w:rPr>
        <w:t>②</w:t>
      </w:r>
      <w:r>
        <w:rPr>
          <w:rFonts w:ascii="Times New Roman" w:hAnsi="Times New Roman" w:cs="Times New Roman"/>
          <w:color w:val="000000" w:themeColor="text1"/>
          <w:w w:val="99"/>
          <w:sz w:val="24"/>
          <w:szCs w:val="24"/>
          <w:highlight w:val="none"/>
          <w:lang w:val="en-US" w:bidi="ar-SA"/>
          <w14:textFill>
            <w14:solidFill>
              <w14:schemeClr w14:val="tx1"/>
            </w14:solidFill>
          </w14:textFill>
        </w:rPr>
        <w:t>油田运行期产生的落地油、含油污水等污染物在风险事故状况下可能对土壤环境的污染，可对土壤的化学、生物性质等方面造成影响。</w:t>
      </w:r>
    </w:p>
    <w:p>
      <w:pPr>
        <w:widowControl/>
        <w:autoSpaceDE/>
        <w:autoSpaceDN/>
        <w:spacing w:line="500" w:lineRule="exact"/>
        <w:ind w:firstLine="474" w:firstLineChars="200"/>
        <w:jc w:val="both"/>
        <w:rPr>
          <w:rFonts w:ascii="Times New Roman" w:hAnsi="Times New Roman" w:cs="Times New Roman"/>
          <w:color w:val="000000" w:themeColor="text1"/>
          <w:w w:val="99"/>
          <w:sz w:val="24"/>
          <w:szCs w:val="24"/>
          <w:highlight w:val="none"/>
          <w:lang w:val="en-US" w:bidi="ar-SA"/>
          <w14:textFill>
            <w14:solidFill>
              <w14:schemeClr w14:val="tx1"/>
            </w14:solidFill>
          </w14:textFill>
        </w:rPr>
      </w:pPr>
      <w:r>
        <w:rPr>
          <w:rFonts w:ascii="Times New Roman" w:hAnsi="Times New Roman" w:cs="Times New Roman"/>
          <w:color w:val="000000" w:themeColor="text1"/>
          <w:w w:val="99"/>
          <w:sz w:val="24"/>
          <w:szCs w:val="24"/>
          <w:highlight w:val="none"/>
          <w:lang w:val="en-US" w:bidi="ar-SA"/>
          <w14:textFill>
            <w14:solidFill>
              <w14:schemeClr w14:val="tx1"/>
            </w14:solidFill>
          </w14:textFill>
        </w:rPr>
        <w:t>建设项目土壤环境影响类型与影响途径见下表5.7-1。</w:t>
      </w:r>
    </w:p>
    <w:p>
      <w:pPr>
        <w:pStyle w:val="14"/>
        <w:spacing w:line="440" w:lineRule="exact"/>
        <w:ind w:firstLine="440" w:firstLineChars="200"/>
        <w:jc w:val="both"/>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表5.7-1</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 xml:space="preserve">  </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建设项目土壤环境影响类型与影响途径表</w:t>
      </w:r>
    </w:p>
    <w:tbl>
      <w:tblPr>
        <w:tblStyle w:val="32"/>
        <w:tblW w:w="928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88"/>
        <w:gridCol w:w="1839"/>
        <w:gridCol w:w="1984"/>
        <w:gridCol w:w="1985"/>
        <w:gridCol w:w="209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388" w:type="dxa"/>
            <w:vMerge w:val="restart"/>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不同时段</w:t>
            </w:r>
          </w:p>
        </w:tc>
        <w:tc>
          <w:tcPr>
            <w:tcW w:w="7900" w:type="dxa"/>
            <w:gridSpan w:val="4"/>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污染影响型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388" w:type="dxa"/>
            <w:vMerge w:val="continue"/>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c>
          <w:tcPr>
            <w:tcW w:w="1839"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大气沉降</w:t>
            </w:r>
          </w:p>
        </w:tc>
        <w:tc>
          <w:tcPr>
            <w:tcW w:w="1984"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地面漫流</w:t>
            </w:r>
          </w:p>
        </w:tc>
        <w:tc>
          <w:tcPr>
            <w:tcW w:w="1985"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垂直入渗</w:t>
            </w:r>
          </w:p>
        </w:tc>
        <w:tc>
          <w:tcPr>
            <w:tcW w:w="2092"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388"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建设期</w:t>
            </w:r>
          </w:p>
        </w:tc>
        <w:tc>
          <w:tcPr>
            <w:tcW w:w="1839"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p>
        </w:tc>
        <w:tc>
          <w:tcPr>
            <w:tcW w:w="1984"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p>
        </w:tc>
        <w:tc>
          <w:tcPr>
            <w:tcW w:w="1985"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p>
        </w:tc>
        <w:tc>
          <w:tcPr>
            <w:tcW w:w="2092"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388"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运营期</w:t>
            </w:r>
          </w:p>
        </w:tc>
        <w:tc>
          <w:tcPr>
            <w:tcW w:w="1839"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p>
        </w:tc>
        <w:tc>
          <w:tcPr>
            <w:tcW w:w="1984"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p>
        </w:tc>
        <w:tc>
          <w:tcPr>
            <w:tcW w:w="1985"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p>
        </w:tc>
        <w:tc>
          <w:tcPr>
            <w:tcW w:w="2092" w:type="dxa"/>
            <w:vAlign w:val="center"/>
          </w:tcPr>
          <w:p>
            <w:pPr>
              <w:adjustRightInd w:val="0"/>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w:t>
            </w:r>
          </w:p>
        </w:tc>
      </w:tr>
    </w:tbl>
    <w:p>
      <w:pPr>
        <w:autoSpaceDE/>
        <w:autoSpaceDN/>
        <w:spacing w:line="440" w:lineRule="exact"/>
        <w:ind w:firstLine="474" w:firstLineChars="200"/>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油田生产过程中，石油类进入土壤的途径主要通过油井作业和事故时产生的落地油。由于油井作业时采用污油污水回收装置回收污油污水，同时将作业范围严格控制在井场占地范围内，因此可有效减少石油类进入土壤，</w:t>
      </w:r>
      <w:r>
        <w:rPr>
          <w:rFonts w:ascii="Times New Roman" w:hAnsi="Times New Roman" w:cs="Times New Roman"/>
          <w:color w:val="000000" w:themeColor="text1"/>
          <w:w w:val="99"/>
          <w:kern w:val="2"/>
          <w:sz w:val="24"/>
          <w:szCs w:val="32"/>
          <w:highlight w:val="none"/>
          <w:lang w:val="en-US"/>
          <w14:textFill>
            <w14:solidFill>
              <w14:schemeClr w14:val="tx1"/>
            </w14:solidFill>
          </w14:textFill>
        </w:rPr>
        <w:t>根据本次评价中现有井场土壤监测结果可知，采油井井场永久占地内土壤中检出石油烃，但监测值小</w:t>
      </w:r>
      <w:r>
        <w:rPr>
          <w:rFonts w:hint="eastAsia" w:ascii="Times New Roman" w:hAnsi="Times New Roman" w:cs="Times New Roman"/>
          <w:color w:val="000000" w:themeColor="text1"/>
          <w:w w:val="99"/>
          <w:kern w:val="2"/>
          <w:sz w:val="24"/>
          <w:szCs w:val="32"/>
          <w:highlight w:val="none"/>
          <w:lang w:val="en-US"/>
          <w14:textFill>
            <w14:solidFill>
              <w14:schemeClr w14:val="tx1"/>
            </w14:solidFill>
          </w14:textFill>
        </w:rPr>
        <w:t>，</w:t>
      </w:r>
      <w:r>
        <w:rPr>
          <w:rFonts w:ascii="Times New Roman" w:hAnsi="Times New Roman" w:cs="Times New Roman"/>
          <w:color w:val="000000" w:themeColor="text1"/>
          <w:w w:val="99"/>
          <w:kern w:val="2"/>
          <w:sz w:val="24"/>
          <w:szCs w:val="32"/>
          <w:highlight w:val="none"/>
          <w:lang w:val="en-US"/>
          <w14:textFill>
            <w14:solidFill>
              <w14:schemeClr w14:val="tx1"/>
            </w14:solidFill>
          </w14:textFill>
        </w:rPr>
        <w:t>污染测程度小。从平面上看，石油烃集中在井场永久占地范围内，永久占地范围外土壤中石油烃含量迅速降低，在距离井场 100m 处已经接近背景值。在垂直方向上，土壤中石油烃主要集中在 0</w:t>
      </w:r>
      <w:r>
        <w:rPr>
          <w:rFonts w:ascii="Times New Roman" w:hAnsi="Times New Roman" w:cs="Times New Roman"/>
          <w:b/>
          <w:bCs/>
          <w:color w:val="000000" w:themeColor="text1"/>
          <w:w w:val="99"/>
          <w:kern w:val="2"/>
          <w:sz w:val="24"/>
          <w:szCs w:val="32"/>
          <w:highlight w:val="none"/>
          <w:lang w:val="en-US"/>
          <w14:textFill>
            <w14:solidFill>
              <w14:schemeClr w14:val="tx1"/>
            </w14:solidFill>
          </w14:textFill>
        </w:rPr>
        <w:t>~</w:t>
      </w:r>
      <w:r>
        <w:rPr>
          <w:rFonts w:ascii="Times New Roman" w:hAnsi="Times New Roman" w:cs="Times New Roman"/>
          <w:color w:val="000000" w:themeColor="text1"/>
          <w:w w:val="99"/>
          <w:kern w:val="2"/>
          <w:sz w:val="24"/>
          <w:szCs w:val="32"/>
          <w:highlight w:val="none"/>
          <w:lang w:val="en-US"/>
          <w14:textFill>
            <w14:solidFill>
              <w14:schemeClr w14:val="tx1"/>
            </w14:solidFill>
          </w14:textFill>
        </w:rPr>
        <w:t>20cm的表层土壤中。由于土壤本身具有的吸附和生物降解等自净作用，石油烃在土中的迁移深度较浅。</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 </w:t>
      </w:r>
    </w:p>
    <w:p>
      <w:pPr>
        <w:autoSpaceDE/>
        <w:autoSpaceDN/>
        <w:spacing w:line="440" w:lineRule="exact"/>
        <w:ind w:firstLine="474" w:firstLineChars="200"/>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因此</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本项目</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土壤环境污染的分布为：污染主要集中在井场</w:t>
      </w:r>
      <w:r>
        <w:rPr>
          <w:rFonts w:hint="eastAsia" w:ascii="Times New Roman" w:hAnsi="Times New Roman" w:cs="Times New Roman"/>
          <w:color w:val="000000" w:themeColor="text1"/>
          <w:w w:val="99"/>
          <w:kern w:val="2"/>
          <w:sz w:val="24"/>
          <w:szCs w:val="32"/>
          <w:highlight w:val="none"/>
          <w:lang w:val="en-US" w:bidi="ar-SA"/>
          <w14:textFill>
            <w14:solidFill>
              <w14:schemeClr w14:val="tx1"/>
            </w14:solidFill>
          </w14:textFill>
        </w:rPr>
        <w:t>永久占地内</w:t>
      </w: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 xml:space="preserve">，各种污染物尤其是石油类污染物主要集中在土壤上层，迁移深度较浅。 </w:t>
      </w:r>
    </w:p>
    <w:p>
      <w:pPr>
        <w:pStyle w:val="14"/>
        <w:spacing w:line="440" w:lineRule="exact"/>
        <w:ind w:firstLine="474"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w w:val="99"/>
          <w:kern w:val="2"/>
          <w:sz w:val="24"/>
          <w:szCs w:val="32"/>
          <w:highlight w:val="none"/>
          <w:lang w:val="en-US" w:bidi="ar-SA"/>
          <w14:textFill>
            <w14:solidFill>
              <w14:schemeClr w14:val="tx1"/>
            </w14:solidFill>
          </w14:textFill>
        </w:rPr>
        <w:t>事故时排放的落地油量大且集中，其危害主要表现为降低土壤透气、透水性，改变土壤微生物种群结构，消耗土壤氮素，使植物生长受阻，体内残留量增加，恶化土壤——植物及土壤—食物链系统的环境质量。因此，油田生产中，一定要严防原油跑、冒事故的发生，一旦发生事故，应立即采取事故应急措施，及时对落地油进行回收，最大限度地恢复地表原貌，从而为利用土壤的自净作用创造条件，在尽可能短的时间使土壤环境得到恢复。</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5.7.2.2  土壤环境影响类比分析</w:t>
      </w:r>
    </w:p>
    <w:p>
      <w:pPr>
        <w:snapToGrid w:val="0"/>
        <w:spacing w:line="440" w:lineRule="exact"/>
        <w:ind w:firstLine="474"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本次</w:t>
      </w: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工程</w:t>
      </w: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为</w:t>
      </w:r>
      <w:r>
        <w:rPr>
          <w:rFonts w:hint="eastAsia" w:ascii="Times New Roman" w:hAnsi="Times New Roman" w:cs="Times New Roman"/>
          <w:snapToGrid w:val="0"/>
          <w:color w:val="000000" w:themeColor="text1"/>
          <w:w w:val="99"/>
          <w:kern w:val="2"/>
          <w:sz w:val="24"/>
          <w:szCs w:val="24"/>
          <w:highlight w:val="none"/>
          <w:lang w:val="en-US" w:eastAsia="zh-CN" w:bidi="ar-SA"/>
          <w14:textFill>
            <w14:solidFill>
              <w14:schemeClr w14:val="tx1"/>
            </w14:solidFill>
          </w14:textFill>
        </w:rPr>
        <w:t>利用</w:t>
      </w: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委托大庆中环</w:t>
      </w: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评价</w:t>
      </w: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检测有限公司对</w:t>
      </w: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本项目</w:t>
      </w:r>
      <w:r>
        <w:rPr>
          <w:rFonts w:hint="eastAsia" w:ascii="Times New Roman" w:hAnsi="Times New Roman" w:cs="Times New Roman"/>
          <w:snapToGrid w:val="0"/>
          <w:color w:val="000000" w:themeColor="text1"/>
          <w:w w:val="99"/>
          <w:kern w:val="2"/>
          <w:sz w:val="24"/>
          <w:szCs w:val="24"/>
          <w:highlight w:val="none"/>
          <w:lang w:val="en-US" w:eastAsia="zh-CN"/>
          <w14:textFill>
            <w14:solidFill>
              <w14:schemeClr w14:val="tx1"/>
            </w14:solidFill>
          </w14:textFill>
        </w:rPr>
        <w:t>葡71-72</w:t>
      </w:r>
      <w:r>
        <w:rPr>
          <w:rFonts w:ascii="Times New Roman" w:hAnsi="Times New Roman" w:cs="Times New Roman"/>
          <w:snapToGrid w:val="0"/>
          <w:color w:val="000000" w:themeColor="text1"/>
          <w:w w:val="99"/>
          <w:kern w:val="2"/>
          <w:sz w:val="24"/>
          <w:szCs w:val="24"/>
          <w:highlight w:val="none"/>
          <w:lang w:val="en-US"/>
          <w14:textFill>
            <w14:solidFill>
              <w14:schemeClr w14:val="tx1"/>
            </w14:solidFill>
          </w14:textFill>
        </w:rPr>
        <w:t>井场内</w:t>
      </w:r>
      <w:r>
        <w:rPr>
          <w:rFonts w:hint="eastAsia" w:ascii="Times New Roman" w:hAnsi="Times New Roman" w:cs="Times New Roman"/>
          <w:snapToGrid w:val="0"/>
          <w:color w:val="000000" w:themeColor="text1"/>
          <w:w w:val="99"/>
          <w:kern w:val="2"/>
          <w:sz w:val="24"/>
          <w:szCs w:val="24"/>
          <w:highlight w:val="none"/>
          <w:lang w:val="en-US"/>
          <w14:textFill>
            <w14:solidFill>
              <w14:schemeClr w14:val="tx1"/>
            </w14:solidFill>
          </w14:textFill>
        </w:rPr>
        <w:t>、</w:t>
      </w:r>
      <w:r>
        <w:rPr>
          <w:rFonts w:hint="eastAsia"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葡69-斜692井场内、葡70-67井场内、葡72-斜682井场内、葡73-71井场内以及葡70-斜702井场内</w:t>
      </w:r>
      <w:r>
        <w:rPr>
          <w:rFonts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土壤进行现状监测，现场</w:t>
      </w:r>
      <w:r>
        <w:rPr>
          <w:rFonts w:hint="eastAsia"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分别</w:t>
      </w:r>
      <w:r>
        <w:rPr>
          <w:rFonts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采集柱状样</w:t>
      </w:r>
      <w:r>
        <w:rPr>
          <w:rFonts w:hint="eastAsia"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一组</w:t>
      </w:r>
      <w:r>
        <w:rPr>
          <w:rFonts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，检测深</w:t>
      </w:r>
      <w:r>
        <w:rPr>
          <w:rFonts w:hint="eastAsia"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度</w:t>
      </w:r>
      <w:r>
        <w:rPr>
          <w:rFonts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0-3m</w:t>
      </w:r>
      <w:r>
        <w:rPr>
          <w:rFonts w:hint="eastAsia"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w:t>
      </w:r>
      <w:r>
        <w:rPr>
          <w:rFonts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根据检测结果，</w:t>
      </w:r>
      <w:r>
        <w:rPr>
          <w:rFonts w:hint="eastAsia" w:ascii="Times New Roman" w:hAnsi="Times New Roman" w:eastAsia="宋体" w:cs="Times New Roman"/>
          <w:color w:val="000000" w:themeColor="text1"/>
          <w:w w:val="99"/>
          <w:kern w:val="2"/>
          <w:sz w:val="24"/>
          <w:szCs w:val="32"/>
          <w:highlight w:val="none"/>
          <w:lang w:val="en-US" w:eastAsia="zh-CN" w:bidi="ar-SA"/>
          <w14:textFill>
            <w14:solidFill>
              <w14:schemeClr w14:val="tx1"/>
            </w14:solidFill>
          </w14:textFill>
        </w:rPr>
        <w:t>石油烃均未检出</w:t>
      </w: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，井场永久</w:t>
      </w: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占地内特征污染物石油烃的浓度值满足《土壤环境质量</w:t>
      </w: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建设用地土壤污染风险管控标准》（GB36600-2018）筛选值中第二类用地标准要求，说明企业在项目实施之后较好的落实污染防治措施，油田开发对土壤环境影响较小。</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5.7.3 土壤环境影响分析结论</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本项目</w:t>
      </w:r>
      <w:r>
        <w:rPr>
          <w:rFonts w:hint="eastAsia" w:ascii="Times New Roman" w:hAnsi="Times New Roman" w:cs="Times New Roman"/>
          <w:color w:val="000000" w:themeColor="text1"/>
          <w:spacing w:val="-9"/>
          <w:w w:val="99"/>
          <w:sz w:val="24"/>
          <w:szCs w:val="24"/>
          <w:highlight w:val="none"/>
          <w:lang w:eastAsia="zh-CN"/>
          <w14:textFill>
            <w14:solidFill>
              <w14:schemeClr w14:val="tx1"/>
            </w14:solidFill>
          </w14:textFill>
        </w:rPr>
        <w:t>井场</w:t>
      </w:r>
      <w:r>
        <w:rPr>
          <w:rFonts w:ascii="Times New Roman" w:hAnsi="Times New Roman" w:cs="Times New Roman"/>
          <w:color w:val="000000" w:themeColor="text1"/>
          <w:spacing w:val="-9"/>
          <w:w w:val="99"/>
          <w:sz w:val="24"/>
          <w:szCs w:val="24"/>
          <w:highlight w:val="none"/>
          <w14:textFill>
            <w14:solidFill>
              <w14:schemeClr w14:val="tx1"/>
            </w14:solidFill>
          </w14:textFill>
        </w:rPr>
        <w:t>现状土地利用类型以草地为主。项目针对各类污染物均采取了对应的污染治理措施，可确保污染物的达标排放及防止渗漏发生，项目的开发建设对区域土壤环境影响较小。</w:t>
      </w:r>
    </w:p>
    <w:p>
      <w:pPr>
        <w:pStyle w:val="14"/>
        <w:spacing w:line="440" w:lineRule="exact"/>
        <w:ind w:firstLine="440" w:firstLineChars="200"/>
        <w:jc w:val="both"/>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b/>
          <w:bCs/>
          <w:color w:val="000000" w:themeColor="text1"/>
          <w:spacing w:val="-9"/>
          <w:w w:val="99"/>
          <w:sz w:val="24"/>
          <w:szCs w:val="24"/>
          <w:highlight w:val="none"/>
          <w14:textFill>
            <w14:solidFill>
              <w14:schemeClr w14:val="tx1"/>
            </w14:solidFill>
          </w14:textFill>
        </w:rPr>
        <w:t>表</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5.7-2</w:t>
      </w:r>
      <w:r>
        <w:rPr>
          <w:rFonts w:hint="eastAsia" w:ascii="Times New Roman" w:hAnsi="Times New Roman" w:cs="Times New Roman"/>
          <w:b/>
          <w:bCs/>
          <w:color w:val="000000" w:themeColor="text1"/>
          <w:spacing w:val="-9"/>
          <w:w w:val="99"/>
          <w:sz w:val="24"/>
          <w:szCs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spacing w:val="-9"/>
          <w:w w:val="99"/>
          <w:sz w:val="24"/>
          <w:szCs w:val="24"/>
          <w:highlight w:val="none"/>
          <w:lang w:val="en-US"/>
          <w14:textFill>
            <w14:solidFill>
              <w14:schemeClr w14:val="tx1"/>
            </w14:solidFill>
          </w14:textFill>
        </w:rPr>
        <w:t xml:space="preserve">    </w:t>
      </w:r>
      <w:r>
        <w:rPr>
          <w:rFonts w:ascii="Times New Roman" w:hAnsi="Times New Roman" w:cs="Times New Roman"/>
          <w:b/>
          <w:bCs/>
          <w:color w:val="000000" w:themeColor="text1"/>
          <w:spacing w:val="-9"/>
          <w:w w:val="99"/>
          <w:sz w:val="24"/>
          <w:szCs w:val="24"/>
          <w:highlight w:val="none"/>
          <w:lang w:val="en-US"/>
          <w14:textFill>
            <w14:solidFill>
              <w14:schemeClr w14:val="tx1"/>
            </w14:solidFill>
          </w14:textFill>
        </w:rPr>
        <w:t>建设项目土壤环境影响评价自查表</w:t>
      </w:r>
    </w:p>
    <w:tbl>
      <w:tblPr>
        <w:tblStyle w:val="3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705"/>
        <w:gridCol w:w="881"/>
        <w:gridCol w:w="1119"/>
        <w:gridCol w:w="141"/>
        <w:gridCol w:w="1425"/>
        <w:gridCol w:w="433"/>
        <w:gridCol w:w="2049"/>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3"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工作内容</w:t>
            </w:r>
          </w:p>
        </w:tc>
        <w:tc>
          <w:tcPr>
            <w:tcW w:w="6048" w:type="dxa"/>
            <w:gridSpan w:val="6"/>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完成情况</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restart"/>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影</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响</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识</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别</w:t>
            </w: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影响类型</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污染影响型 </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2" w:char="0052"/>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；生态影响型 □；两种兼有 □</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土地利用类型</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建设用地 </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2" w:char="0052"/>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；农用地 □；未利用地 □</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土地利用类型图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占地规模</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25</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敏感目标信息</w:t>
            </w:r>
          </w:p>
        </w:tc>
        <w:tc>
          <w:tcPr>
            <w:tcW w:w="6048" w:type="dxa"/>
            <w:gridSpan w:val="6"/>
            <w:tcBorders>
              <w:tl2br w:val="nil"/>
              <w:tr2bl w:val="nil"/>
            </w:tcBorders>
            <w:vAlign w:val="center"/>
          </w:tcPr>
          <w:p>
            <w:pPr>
              <w:widowControl/>
              <w:autoSpaceDE/>
              <w:autoSpaceDN/>
              <w:jc w:val="both"/>
              <w:rPr>
                <w:color w:val="000000" w:themeColor="text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敏感目标（ ） 、 方位（ ） 、 距离（ ）</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见表2.6-4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影响途径</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大气沉降□；地面漫流□；垂直入渗</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sym w:font="Wingdings 2" w:char="0052"/>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；地下水位□；其他□</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全部污染物</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特征因子</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石油烃</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所属土壤环境影响评价项目类别</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I类</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；II类□；III类□；IV类□</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敏感程度</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敏感</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；较敏感□；不敏感□</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3"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评价工作等级</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一级</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；二级□；三级□</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restart"/>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现</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状</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调</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查内容</w:t>
            </w: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资料收集</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a）</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；b）</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；d）</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理化特性</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75" w:type="dxa"/>
            <w:tcBorders>
              <w:tl2br w:val="nil"/>
              <w:tr2bl w:val="nil"/>
            </w:tcBorders>
            <w:vAlign w:val="center"/>
          </w:tcPr>
          <w:p>
            <w:pPr>
              <w:autoSpaceDE/>
              <w:autoSpaceDN/>
              <w:spacing w:line="340" w:lineRule="atLeast"/>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见表4.3-19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vMerge w:val="restart"/>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现状监测点位</w:t>
            </w:r>
          </w:p>
        </w:tc>
        <w:tc>
          <w:tcPr>
            <w:tcW w:w="881"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260"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占地范围内</w:t>
            </w:r>
          </w:p>
        </w:tc>
        <w:tc>
          <w:tcPr>
            <w:tcW w:w="142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占地范围外</w:t>
            </w:r>
          </w:p>
        </w:tc>
        <w:tc>
          <w:tcPr>
            <w:tcW w:w="2482"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深度</w:t>
            </w:r>
          </w:p>
        </w:tc>
        <w:tc>
          <w:tcPr>
            <w:tcW w:w="1075" w:type="dxa"/>
            <w:vMerge w:val="restart"/>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点位</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81"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表层样点数</w:t>
            </w:r>
          </w:p>
        </w:tc>
        <w:tc>
          <w:tcPr>
            <w:tcW w:w="1260"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142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w:t>
            </w:r>
          </w:p>
        </w:tc>
        <w:tc>
          <w:tcPr>
            <w:tcW w:w="2482"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0~20cm</w:t>
            </w:r>
          </w:p>
        </w:tc>
        <w:tc>
          <w:tcPr>
            <w:tcW w:w="1075"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81"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柱状样点数</w:t>
            </w:r>
          </w:p>
        </w:tc>
        <w:tc>
          <w:tcPr>
            <w:tcW w:w="1260"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w:t>
            </w:r>
          </w:p>
        </w:tc>
        <w:tc>
          <w:tcPr>
            <w:tcW w:w="142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482"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0~50cm、50cm~150cm、150cm</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300cm</w:t>
            </w:r>
          </w:p>
        </w:tc>
        <w:tc>
          <w:tcPr>
            <w:tcW w:w="1075"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现状监测因子</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47项（包括建设用地土壤基本项目45项，其他项目石油烃及pH值）及其农用地监测项目(pH、砷、镉、铬、铜、铅、汞、镍、锌、石油烃（C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10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restart"/>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现状评价</w:t>
            </w: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评价因子</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47项（包括建设用地土壤基本项目45项，其他项目石油烃及pH值）及其农用地监测项目(pH、砷、镉、铬、铜、铅、汞、镍、锌、石油烃（C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10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-C</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40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评价标准</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GB 15618</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；GB36600 </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；表D.1 □；表D.2 □；其他（）</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现状评价结论</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满足标准</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restart"/>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影</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响</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预</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测</w:t>
            </w: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预测因子</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石油烃</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预测方法</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附录E □；附录F □；其他（类比）</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预测分析内容</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影响范围（）影响程度（）</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预测结论</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达标结论：a）</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；b） □；c） □</w:t>
            </w:r>
          </w:p>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不达标结论：a） □；b） □</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restart"/>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防</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治</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措</w:t>
            </w:r>
          </w:p>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w:t>
            </w: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防控措施</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土壤环境质量现状保障□；源头控制</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；过程防控</w:t>
            </w:r>
            <w:r>
              <w:rPr>
                <w:rFonts w:ascii="Segoe UI Symbol" w:hAnsi="Segoe UI Symbol" w:cs="Segoe UI Symbol"/>
                <w:bCs/>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；其他（跟踪监测）</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vMerge w:val="restart"/>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跟踪监测</w:t>
            </w:r>
          </w:p>
        </w:tc>
        <w:tc>
          <w:tcPr>
            <w:tcW w:w="2000"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监测点数</w:t>
            </w:r>
          </w:p>
        </w:tc>
        <w:tc>
          <w:tcPr>
            <w:tcW w:w="1999" w:type="dxa"/>
            <w:gridSpan w:val="3"/>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监测指标</w:t>
            </w:r>
          </w:p>
        </w:tc>
        <w:tc>
          <w:tcPr>
            <w:tcW w:w="2049"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监测频次</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vMerge w:val="continue"/>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000"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1999" w:type="dxa"/>
            <w:gridSpan w:val="3"/>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pH、石油烃</w:t>
            </w:r>
          </w:p>
        </w:tc>
        <w:tc>
          <w:tcPr>
            <w:tcW w:w="2049"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3年一次</w:t>
            </w: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Merge w:val="continue"/>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70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信息公开指标</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3" w:type="dxa"/>
            <w:gridSpan w:val="2"/>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评价结论</w:t>
            </w:r>
          </w:p>
        </w:tc>
        <w:tc>
          <w:tcPr>
            <w:tcW w:w="6048" w:type="dxa"/>
            <w:gridSpan w:val="6"/>
            <w:tcBorders>
              <w:tl2br w:val="nil"/>
              <w:tr2bl w:val="nil"/>
            </w:tcBorders>
            <w:vAlign w:val="center"/>
          </w:tcPr>
          <w:p>
            <w:pPr>
              <w:autoSpaceDE/>
              <w:autoSpaceDN/>
              <w:spacing w:line="340" w:lineRule="atLeast"/>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75" w:type="dxa"/>
            <w:tcBorders>
              <w:tl2br w:val="nil"/>
              <w:tr2bl w:val="nil"/>
            </w:tcBorders>
            <w:vAlign w:val="center"/>
          </w:tcPr>
          <w:p>
            <w:pPr>
              <w:autoSpaceDE/>
              <w:autoSpaceDN/>
              <w:spacing w:line="340" w:lineRule="atLeas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bl>
    <w:p>
      <w:pPr>
        <w:rPr>
          <w:rFonts w:ascii="Times New Roman" w:hAnsi="Times New Roman" w:cs="Times New Roman"/>
          <w:color w:val="000000" w:themeColor="text1"/>
          <w:w w:val="99"/>
          <w:highlight w:val="none"/>
          <w14:textFill>
            <w14:solidFill>
              <w14:schemeClr w14:val="tx1"/>
            </w14:solidFill>
          </w14:textFill>
        </w:rPr>
      </w:pPr>
      <w:r>
        <w:rPr>
          <w:rFonts w:ascii="Times New Roman" w:hAnsi="Times New Roman" w:cs="Times New Roman"/>
          <w:color w:val="000000" w:themeColor="text1"/>
          <w:w w:val="99"/>
          <w:highlight w:val="none"/>
          <w14:textFill>
            <w14:solidFill>
              <w14:schemeClr w14:val="tx1"/>
            </w14:solidFill>
          </w14:textFill>
        </w:rPr>
        <w:br w:type="page"/>
      </w:r>
    </w:p>
    <w:p>
      <w:pPr>
        <w:pStyle w:val="4"/>
        <w:keepNext w:val="0"/>
        <w:keepLines w:val="0"/>
        <w:pageBreakBefore w:val="0"/>
        <w:widowControl w:val="0"/>
        <w:kinsoku/>
        <w:wordWrap/>
        <w:overflowPunct/>
        <w:topLinePunct w:val="0"/>
        <w:autoSpaceDE/>
        <w:autoSpaceDN/>
        <w:bidi w:val="0"/>
        <w:adjustRightInd/>
        <w:snapToGrid/>
        <w:spacing w:before="180" w:after="180" w:line="440" w:lineRule="exact"/>
        <w:ind w:left="0" w:firstLine="0"/>
        <w:textAlignment w:val="auto"/>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pPr>
      <w:bookmarkStart w:id="179" w:name="_Toc32644"/>
      <w:r>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t>6 环境保护措施及可行性论证</w:t>
      </w:r>
      <w:bookmarkEnd w:id="179"/>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80" w:name="_Toc30612"/>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 xml:space="preserve">6.1 </w:t>
      </w:r>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大气</w:t>
      </w:r>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污染防治措施</w:t>
      </w:r>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及</w:t>
      </w:r>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可行性论证</w:t>
      </w:r>
      <w:bookmarkEnd w:id="180"/>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6.1.1施工期大气污染防治措施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本项目地面工程的工程量较小，施工期的环境空气影响主要来源自施工活动引起的扬尘。施工过程中采取以下污染防治措施：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①为防止因交通运输量的增加而导致的扬尘污染，应在施工初期合理规划道路运输路线，尽量利用现有通井路</w:t>
      </w:r>
      <w:r>
        <w:rPr>
          <w:rFonts w:ascii="Times New Roman" w:hAnsi="Times New Roman" w:eastAsia="宋体" w:cs="Times New Roman"/>
          <w:color w:val="000000" w:themeColor="text1"/>
          <w:w w:val="99"/>
          <w:sz w:val="24"/>
          <w:szCs w:val="24"/>
          <w:highlight w:val="none"/>
          <w14:textFill>
            <w14:solidFill>
              <w14:schemeClr w14:val="tx1"/>
            </w14:solidFill>
          </w14:textFill>
        </w:rPr>
        <w:t>及井排</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路。</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②运输道路、施工场地应定时洒水抑尘，定期清扫散落在施工场地的泥土，应实行湿法吸扫，严禁干扫和吹扫，以减少扬尘对周边土壤和植被的影响。</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③运料车辆在运输时，车辆应当采取</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苫布遮盖</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措施，严禁敞开式、半敞开式运输，不得装载过满，以防洒落在地，形成二次扬尘。</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④土方开挖应采取遮盖、围挡、洒水等防尘措施。临时弃土集中堆放在背风侧，临时堆放土堆应采取覆盖、洒水等防尘措施；缩短土方裸露时间，且不宜堆积过久、过高，堆放过程中应在顶部加盖篷布；对易产生扬尘污染的建筑材料堆应覆盖到位。</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⑤管线尽可能沿道路走向设计，以避免施工活动对土地和地表植被的扰动；最大限度控制施工作业带宽度，避免因施工开挖加剧土地沙漠化和水土流失，同时在施工过程中定期洒水抑尘，防止施工扬尘量大对环境造成污染。</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⑥合理规划施工进度，及时开挖，及时回填，防止弃土风化失水而起沙起尘；遇大风天气应停止土方工程施工作业。</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⑦施工结束后，应及时进行施工场地的清理，清除积土、堆物。</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施工期采取的上述技术方案是施工过程中常见的扬尘和大气污染防治措施，采取以上大气污染防治措施后，能够确保施工场界颗粒物浓度满足《大气污染物综合排放标准》（GB16297-1996）中表2无组织排放监控浓度限值要求，不会对大气环境产生较大影响，施工期大气污染防治措施可行。</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6.1.2 运行期大气污染防治措施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本工程运行期的大气污染主要来自产液</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开采</w:t>
      </w:r>
      <w:r>
        <w:rPr>
          <w:rFonts w:ascii="Times New Roman" w:hAnsi="Times New Roman" w:eastAsia="宋体" w:cs="Times New Roman"/>
          <w:color w:val="000000" w:themeColor="text1"/>
          <w:w w:val="99"/>
          <w:sz w:val="24"/>
          <w:szCs w:val="24"/>
          <w:highlight w:val="none"/>
          <w14:textFill>
            <w14:solidFill>
              <w14:schemeClr w14:val="tx1"/>
            </w14:solidFill>
          </w14:textFill>
        </w:rPr>
        <w:t>和集输处理过程无组织挥发的烃类气体、</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依托场站</w:t>
      </w:r>
      <w:r>
        <w:rPr>
          <w:rFonts w:ascii="Times New Roman" w:hAnsi="Times New Roman" w:eastAsia="宋体" w:cs="Times New Roman"/>
          <w:color w:val="000000" w:themeColor="text1"/>
          <w:w w:val="99"/>
          <w:sz w:val="24"/>
          <w:szCs w:val="24"/>
          <w:highlight w:val="none"/>
          <w14:textFill>
            <w14:solidFill>
              <w14:schemeClr w14:val="tx1"/>
            </w14:solidFill>
          </w14:textFill>
        </w:rPr>
        <w:t>加热装置燃烧烟气。</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）采用合理工艺，选用优质材料，管道及设备在设计时充分考虑抗震，保证正常生产无泄露；</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油气集输采用密闭流程，</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井口安装密封垫，</w:t>
      </w:r>
      <w:r>
        <w:rPr>
          <w:rFonts w:ascii="Times New Roman" w:hAnsi="Times New Roman" w:eastAsia="宋体" w:cs="Times New Roman"/>
          <w:color w:val="000000" w:themeColor="text1"/>
          <w:w w:val="99"/>
          <w:sz w:val="24"/>
          <w:szCs w:val="24"/>
          <w:highlight w:val="none"/>
          <w14:textFill>
            <w14:solidFill>
              <w14:schemeClr w14:val="tx1"/>
            </w14:solidFill>
          </w14:textFill>
        </w:rPr>
        <w:t>集输管线</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采用</w:t>
      </w:r>
      <w:r>
        <w:rPr>
          <w:rFonts w:ascii="Times New Roman" w:hAnsi="Times New Roman" w:eastAsia="宋体" w:cs="Times New Roman"/>
          <w:color w:val="000000" w:themeColor="text1"/>
          <w:w w:val="99"/>
          <w:sz w:val="24"/>
          <w:szCs w:val="24"/>
          <w:highlight w:val="none"/>
          <w14:textFill>
            <w14:solidFill>
              <w14:schemeClr w14:val="tx1"/>
            </w14:solidFill>
          </w14:textFill>
        </w:rPr>
        <w:t>密闭管道</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 xml:space="preserve">最大限度降低烃类气体的挥发； </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3</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加强转油站运行管理，提高油气分离效率，减少油罐呼吸口的轻烃挥发；</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4</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加强井下作业管理，提高落地油回收率，减少烃类气体挥发；</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5</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）精细化管理，减少“跑、冒、滴、漏”现象，加强设备设施的日常管理，严格执行操作规程。</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6</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加强对设备和管道的检查和维护，控制烃类气体的无组织挥发。集输管线连接处的密封点每周进行检查，检查其密封处是否出现泄漏现象。巡检后应进行记录，形成台账，记录巡检时间、巡检人员、巡检过程有无异常状况，是否正常运行等信息；</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7</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）建立“泄漏检测与修复”管理制度，定期开展泄漏检测与修复，对易泄漏环节制定针对性改进措施，通过源头控制减少挥发性有机物泄漏排放。</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（8）</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本项目</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依托的转油站加热装置</w:t>
      </w:r>
      <w:r>
        <w:rPr>
          <w:rFonts w:ascii="Times New Roman" w:hAnsi="Times New Roman" w:eastAsia="宋体" w:cs="Times New Roman"/>
          <w:color w:val="000000" w:themeColor="text1"/>
          <w:w w:val="99"/>
          <w:sz w:val="24"/>
          <w:szCs w:val="24"/>
          <w:highlight w:val="none"/>
          <w14:textFill>
            <w14:solidFill>
              <w14:schemeClr w14:val="tx1"/>
            </w14:solidFill>
          </w14:textFill>
        </w:rPr>
        <w:t>燃料</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均</w:t>
      </w:r>
      <w:r>
        <w:rPr>
          <w:rFonts w:ascii="Times New Roman" w:hAnsi="Times New Roman" w:eastAsia="宋体" w:cs="Times New Roman"/>
          <w:color w:val="000000" w:themeColor="text1"/>
          <w:w w:val="99"/>
          <w:sz w:val="24"/>
          <w:szCs w:val="24"/>
          <w:highlight w:val="none"/>
          <w14:textFill>
            <w14:solidFill>
              <w14:schemeClr w14:val="tx1"/>
            </w14:solidFill>
          </w14:textFill>
        </w:rPr>
        <w:t>采用清洁能源（天然气），</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产生的烟气经高于</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8</w:t>
      </w:r>
      <w:r>
        <w:rPr>
          <w:rFonts w:ascii="Times New Roman" w:hAnsi="Times New Roman" w:eastAsia="宋体" w:cs="Times New Roman"/>
          <w:color w:val="000000" w:themeColor="text1"/>
          <w:w w:val="99"/>
          <w:sz w:val="24"/>
          <w:szCs w:val="24"/>
          <w:highlight w:val="none"/>
          <w14:textFill>
            <w14:solidFill>
              <w14:schemeClr w14:val="tx1"/>
            </w14:solidFill>
          </w14:textFill>
        </w:rPr>
        <w:t>m</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的烟囱排放，</w:t>
      </w:r>
      <w:r>
        <w:rPr>
          <w:rFonts w:ascii="Times New Roman" w:hAnsi="Times New Roman" w:eastAsia="宋体" w:cs="Times New Roman"/>
          <w:color w:val="000000" w:themeColor="text1"/>
          <w:w w:val="99"/>
          <w:sz w:val="24"/>
          <w:szCs w:val="24"/>
          <w:highlight w:val="none"/>
          <w14:textFill>
            <w14:solidFill>
              <w14:schemeClr w14:val="tx1"/>
            </w14:solidFill>
          </w14:textFill>
        </w:rPr>
        <w:t>能够达到《锅炉大气污染物排放标准》（GB13271-2014）表1</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在用</w:t>
      </w:r>
      <w:r>
        <w:rPr>
          <w:rFonts w:ascii="Times New Roman" w:hAnsi="Times New Roman" w:eastAsia="宋体" w:cs="Times New Roman"/>
          <w:color w:val="000000" w:themeColor="text1"/>
          <w:w w:val="99"/>
          <w:sz w:val="24"/>
          <w:szCs w:val="24"/>
          <w:highlight w:val="none"/>
          <w14:textFill>
            <w14:solidFill>
              <w14:schemeClr w14:val="tx1"/>
            </w14:solidFill>
          </w14:textFill>
        </w:rPr>
        <w:t>锅炉大气污染物排放浓度限值中燃气锅炉标准限值要求</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（颗粒物≤</w:t>
      </w:r>
      <w:r>
        <w:rPr>
          <w:rFonts w:ascii="Times New Roman" w:hAnsi="Times New Roman" w:eastAsia="宋体" w:cs="Times New Roman"/>
          <w:color w:val="000000" w:themeColor="text1"/>
          <w:w w:val="99"/>
          <w:sz w:val="24"/>
          <w:szCs w:val="24"/>
          <w:highlight w:val="none"/>
          <w14:textFill>
            <w14:solidFill>
              <w14:schemeClr w14:val="tx1"/>
            </w14:solidFill>
          </w14:textFill>
        </w:rPr>
        <w:t>30</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mg/m</w:t>
      </w:r>
      <w:r>
        <w:rPr>
          <w:rFonts w:hint="eastAsia" w:ascii="Times New Roman" w:hAnsi="Times New Roman" w:eastAsia="宋体" w:cs="Times New Roman"/>
          <w:color w:val="000000" w:themeColor="text1"/>
          <w:w w:val="99"/>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、N</w:t>
      </w:r>
      <w:r>
        <w:rPr>
          <w:rFonts w:ascii="Times New Roman" w:hAnsi="Times New Roman" w:eastAsia="宋体" w:cs="Times New Roman"/>
          <w:color w:val="000000" w:themeColor="text1"/>
          <w:w w:val="99"/>
          <w:sz w:val="24"/>
          <w:szCs w:val="24"/>
          <w:highlight w:val="none"/>
          <w14:textFill>
            <w14:solidFill>
              <w14:schemeClr w14:val="tx1"/>
            </w14:solidFill>
          </w14:textFill>
        </w:rPr>
        <w:t>O</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x≤</w:t>
      </w:r>
      <w:r>
        <w:rPr>
          <w:rFonts w:ascii="Times New Roman" w:hAnsi="Times New Roman" w:eastAsia="宋体" w:cs="Times New Roman"/>
          <w:color w:val="000000" w:themeColor="text1"/>
          <w:w w:val="99"/>
          <w:sz w:val="24"/>
          <w:szCs w:val="24"/>
          <w:highlight w:val="none"/>
          <w14:textFill>
            <w14:solidFill>
              <w14:schemeClr w14:val="tx1"/>
            </w14:solidFill>
          </w14:textFill>
        </w:rPr>
        <w:t>400</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mg/m</w:t>
      </w:r>
      <w:r>
        <w:rPr>
          <w:rFonts w:hint="eastAsia" w:ascii="Times New Roman" w:hAnsi="Times New Roman" w:eastAsia="宋体" w:cs="Times New Roman"/>
          <w:color w:val="000000" w:themeColor="text1"/>
          <w:w w:val="99"/>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、S</w:t>
      </w:r>
      <w:r>
        <w:rPr>
          <w:rFonts w:ascii="Times New Roman" w:hAnsi="Times New Roman" w:eastAsia="宋体" w:cs="Times New Roman"/>
          <w:color w:val="000000" w:themeColor="text1"/>
          <w:w w:val="99"/>
          <w:sz w:val="24"/>
          <w:szCs w:val="24"/>
          <w:highlight w:val="none"/>
          <w14:textFill>
            <w14:solidFill>
              <w14:schemeClr w14:val="tx1"/>
            </w14:solidFill>
          </w14:textFill>
        </w:rPr>
        <w:t>O</w:t>
      </w:r>
      <w:r>
        <w:rPr>
          <w:rFonts w:ascii="Times New Roman" w:hAnsi="Times New Roman" w:eastAsia="宋体" w:cs="Times New Roman"/>
          <w:color w:val="000000" w:themeColor="text1"/>
          <w:w w:val="99"/>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100</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mg/m</w:t>
      </w:r>
      <w:r>
        <w:rPr>
          <w:rFonts w:hint="eastAsia" w:ascii="Times New Roman" w:hAnsi="Times New Roman" w:eastAsia="宋体" w:cs="Times New Roman"/>
          <w:color w:val="000000" w:themeColor="text1"/>
          <w:w w:val="99"/>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，烟气黑度≤1）。</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本项目</w:t>
      </w:r>
      <w:r>
        <w:rPr>
          <w:rFonts w:ascii="Times New Roman" w:hAnsi="Times New Roman" w:eastAsia="宋体" w:cs="Times New Roman"/>
          <w:color w:val="000000" w:themeColor="text1"/>
          <w:w w:val="99"/>
          <w:sz w:val="24"/>
          <w:szCs w:val="24"/>
          <w:highlight w:val="none"/>
          <w14:textFill>
            <w14:solidFill>
              <w14:schemeClr w14:val="tx1"/>
            </w14:solidFill>
          </w14:textFill>
        </w:rPr>
        <w:t>采取</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以上措施可从源头降低废气产生，</w:t>
      </w:r>
      <w:r>
        <w:rPr>
          <w:rFonts w:ascii="Times New Roman" w:hAnsi="Times New Roman" w:eastAsia="宋体" w:cs="Times New Roman"/>
          <w:color w:val="000000" w:themeColor="text1"/>
          <w:w w:val="99"/>
          <w:sz w:val="24"/>
          <w:szCs w:val="24"/>
          <w:highlight w:val="none"/>
          <w14:textFill>
            <w14:solidFill>
              <w14:schemeClr w14:val="tx1"/>
            </w14:solidFill>
          </w14:textFill>
        </w:rPr>
        <w:t>技术可行，通过采取以上措施可以将项目建设</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对大气环境的影响减小到最小程度，</w:t>
      </w:r>
      <w:r>
        <w:rPr>
          <w:rFonts w:ascii="Times New Roman" w:hAnsi="Times New Roman" w:eastAsia="宋体" w:cs="Times New Roman"/>
          <w:color w:val="000000" w:themeColor="text1"/>
          <w:w w:val="99"/>
          <w:sz w:val="24"/>
          <w:szCs w:val="24"/>
          <w:highlight w:val="none"/>
          <w14:textFill>
            <w14:solidFill>
              <w14:schemeClr w14:val="tx1"/>
            </w14:solidFill>
          </w14:textFill>
        </w:rPr>
        <w:t>使其对周围大气环境的影响大大降低</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保持在环境</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可接受的范围之内。</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81" w:name="_Toc25929"/>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6.2</w:t>
      </w:r>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 xml:space="preserve"> </w:t>
      </w:r>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水污染</w:t>
      </w:r>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防治措施</w:t>
      </w:r>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及</w:t>
      </w:r>
      <w:r>
        <w:rPr>
          <w:rFonts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可行性论证</w:t>
      </w:r>
      <w:bookmarkEnd w:id="181"/>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6.2.1 施工期废水处理措施及其可行性论证</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bookmarkStart w:id="182" w:name="_Hlk69494246"/>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施工人员产生的生活污水</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排入</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本项目</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井场附近依托</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阀组间内已建防渗旱厕</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，定期进行清掏堆肥</w:t>
      </w:r>
      <w:r>
        <w:rPr>
          <w:rFonts w:ascii="Times New Roman" w:hAnsi="Times New Roman" w:eastAsia="宋体" w:cs="Times New Roman"/>
          <w:color w:val="000000" w:themeColor="text1"/>
          <w:w w:val="99"/>
          <w:sz w:val="24"/>
          <w:szCs w:val="24"/>
          <w:highlight w:val="none"/>
          <w14:textFill>
            <w14:solidFill>
              <w14:schemeClr w14:val="tx1"/>
            </w14:solidFill>
          </w14:textFill>
        </w:rPr>
        <w:t>；</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ascii="Times New Roman" w:hAnsi="Times New Roman" w:eastAsia="宋体" w:cs="Times New Roman"/>
          <w:color w:val="000000" w:themeColor="text1"/>
          <w:w w:val="99"/>
          <w:sz w:val="24"/>
          <w:szCs w:val="24"/>
          <w:highlight w:val="none"/>
          <w14:textFill>
            <w14:solidFill>
              <w14:schemeClr w14:val="tx1"/>
            </w14:solidFill>
          </w14:textFill>
        </w:rPr>
        <w:t>）施工车辆和设备坚持日常检查制度，控制跑、冒、滴、漏现象的发生，以杜绝环境污染事件；</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3</w:t>
      </w:r>
      <w:r>
        <w:rPr>
          <w:rFonts w:ascii="Times New Roman" w:hAnsi="Times New Roman" w:eastAsia="宋体" w:cs="Times New Roman"/>
          <w:color w:val="000000" w:themeColor="text1"/>
          <w:w w:val="99"/>
          <w:sz w:val="24"/>
          <w:szCs w:val="24"/>
          <w:highlight w:val="none"/>
          <w14:textFill>
            <w14:solidFill>
              <w14:schemeClr w14:val="tx1"/>
            </w14:solidFill>
          </w14:textFill>
        </w:rPr>
        <w:t>）敷设管道时产生的试压废水</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由罐车</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拉运至葡二联含油污水处理站处理</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处理</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后满足《大庆油田地面工程建设设计规定》（Q/SYDQ0639-2015）限值要求“含油量≤</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10</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mg/L、悬浮固体含量≤</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5</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mg/L、粒径中值≤</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2μm</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”后回注油层</w:t>
      </w:r>
      <w:bookmarkEnd w:id="182"/>
      <w:r>
        <w:rPr>
          <w:rFonts w:ascii="Times New Roman" w:hAnsi="Times New Roman" w:eastAsia="宋体" w:cs="Times New Roman"/>
          <w:color w:val="000000" w:themeColor="text1"/>
          <w:w w:val="99"/>
          <w:sz w:val="24"/>
          <w:szCs w:val="24"/>
          <w:highlight w:val="none"/>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6.2.2 运行期废水处理措施及其可行性论证</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ascii="Times New Roman" w:hAnsi="Times New Roman" w:eastAsia="宋体" w:cs="Times New Roman"/>
          <w:color w:val="000000" w:themeColor="text1"/>
          <w:w w:val="99"/>
          <w:sz w:val="24"/>
          <w:szCs w:val="24"/>
          <w:highlight w:val="none"/>
          <w14:textFill>
            <w14:solidFill>
              <w14:schemeClr w14:val="tx1"/>
            </w14:solidFill>
          </w14:textFill>
        </w:rPr>
        <w:t>）</w:t>
      </w:r>
      <w:bookmarkStart w:id="183" w:name="_Hlk69494363"/>
      <w:r>
        <w:rPr>
          <w:rFonts w:hint="eastAsia" w:ascii="Times New Roman" w:hAnsi="Times New Roman" w:eastAsia="宋体" w:cs="Times New Roman"/>
          <w:color w:val="000000" w:themeColor="text1"/>
          <w:w w:val="99"/>
          <w:sz w:val="24"/>
          <w:szCs w:val="24"/>
          <w:highlight w:val="none"/>
          <w14:textFill>
            <w14:solidFill>
              <w14:schemeClr w14:val="tx1"/>
            </w14:solidFill>
          </w14:textFill>
        </w:rPr>
        <w:t>运营期</w:t>
      </w:r>
      <w:r>
        <w:rPr>
          <w:rFonts w:ascii="Times New Roman" w:hAnsi="Times New Roman" w:eastAsia="宋体" w:cs="Times New Roman"/>
          <w:color w:val="000000" w:themeColor="text1"/>
          <w:w w:val="99"/>
          <w:sz w:val="24"/>
          <w:szCs w:val="24"/>
          <w:highlight w:val="none"/>
          <w14:textFill>
            <w14:solidFill>
              <w14:schemeClr w14:val="tx1"/>
            </w14:solidFill>
          </w14:textFill>
        </w:rPr>
        <w:t>废水处理措施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fldChar w:fldCharType="begin"/>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instrText xml:space="preserve"> </w:instrTex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instrText xml:space="preserve">eq \o\ac(○,</w:instrText>
      </w:r>
      <w:r>
        <w:rPr>
          <w:rFonts w:hint="eastAsia" w:ascii="Times New Roman" w:hAnsi="Times New Roman" w:eastAsia="宋体" w:cs="Times New Roman"/>
          <w:color w:val="000000" w:themeColor="text1"/>
          <w:w w:val="99"/>
          <w:position w:val="3"/>
          <w:sz w:val="16"/>
          <w:szCs w:val="24"/>
          <w:highlight w:val="none"/>
          <w:lang w:val="en-US"/>
          <w14:textFill>
            <w14:solidFill>
              <w14:schemeClr w14:val="tx1"/>
            </w14:solidFill>
          </w14:textFill>
        </w:rPr>
        <w:instrText xml:space="preserve">1</w:instrTex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instrText xml:space="preserve">)</w:instrTex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fldChar w:fldCharType="end"/>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运营期采出液分离含油污水经</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管线</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分别</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输送至</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葡二联含油污水处理站</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，处理达标</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后回注油层。</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fldChar w:fldCharType="begin"/>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instrText xml:space="preserve"> </w:instrTex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instrText xml:space="preserve">eq \o\ac(○,</w:instrText>
      </w:r>
      <w:r>
        <w:rPr>
          <w:rFonts w:hint="eastAsia" w:ascii="Times New Roman" w:hAnsi="Times New Roman" w:eastAsia="宋体" w:cs="Times New Roman"/>
          <w:color w:val="000000" w:themeColor="text1"/>
          <w:w w:val="99"/>
          <w:position w:val="3"/>
          <w:sz w:val="16"/>
          <w:szCs w:val="24"/>
          <w:highlight w:val="none"/>
          <w:lang w:val="en-US"/>
          <w14:textFill>
            <w14:solidFill>
              <w14:schemeClr w14:val="tx1"/>
            </w14:solidFill>
          </w14:textFill>
        </w:rPr>
        <w:instrText xml:space="preserve">2</w:instrTex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instrText xml:space="preserve">)</w:instrTex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fldChar w:fldCharType="end"/>
      </w:r>
      <w:r>
        <w:rPr>
          <w:rFonts w:ascii="Times New Roman" w:hAnsi="Times New Roman" w:eastAsia="宋体" w:cs="Times New Roman"/>
          <w:color w:val="000000" w:themeColor="text1"/>
          <w:w w:val="99"/>
          <w:sz w:val="24"/>
          <w:szCs w:val="24"/>
          <w:highlight w:val="none"/>
          <w14:textFill>
            <w14:solidFill>
              <w14:schemeClr w14:val="tx1"/>
            </w14:solidFill>
          </w14:textFill>
        </w:rPr>
        <w:t>运营期油井</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清防蜡</w:t>
      </w:r>
      <w:r>
        <w:rPr>
          <w:rFonts w:ascii="Times New Roman" w:hAnsi="Times New Roman" w:eastAsia="宋体" w:cs="Times New Roman"/>
          <w:color w:val="000000" w:themeColor="text1"/>
          <w:w w:val="99"/>
          <w:sz w:val="24"/>
          <w:szCs w:val="24"/>
          <w:highlight w:val="none"/>
          <w14:textFill>
            <w14:solidFill>
              <w14:schemeClr w14:val="tx1"/>
            </w14:solidFill>
          </w14:textFill>
        </w:rPr>
        <w:t>废水进入集</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输</w:t>
      </w:r>
      <w:r>
        <w:rPr>
          <w:rFonts w:ascii="Times New Roman" w:hAnsi="Times New Roman" w:eastAsia="宋体" w:cs="Times New Roman"/>
          <w:color w:val="000000" w:themeColor="text1"/>
          <w:w w:val="99"/>
          <w:sz w:val="24"/>
          <w:szCs w:val="24"/>
          <w:highlight w:val="none"/>
          <w14:textFill>
            <w14:solidFill>
              <w14:schemeClr w14:val="tx1"/>
            </w14:solidFill>
          </w14:textFill>
        </w:rPr>
        <w:t>系统</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后，经</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管线</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分别</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输送至</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葡二联含油污水处理站</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，处理达标</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后回注油层</w:t>
      </w:r>
      <w:r>
        <w:rPr>
          <w:rFonts w:ascii="Times New Roman" w:hAnsi="Times New Roman" w:eastAsia="宋体" w:cs="Times New Roman"/>
          <w:color w:val="000000" w:themeColor="text1"/>
          <w:w w:val="99"/>
          <w:sz w:val="24"/>
          <w:szCs w:val="24"/>
          <w:highlight w:val="none"/>
          <w14:textFill>
            <w14:solidFill>
              <w14:schemeClr w14:val="tx1"/>
            </w14:solidFill>
          </w14:textFill>
        </w:rPr>
        <w:t>；</w:t>
      </w:r>
      <w:bookmarkStart w:id="184" w:name="_Hlk69494404"/>
      <w:r>
        <w:rPr>
          <w:rFonts w:ascii="Times New Roman" w:hAnsi="Times New Roman" w:eastAsia="宋体" w:cs="Times New Roman"/>
          <w:color w:val="000000" w:themeColor="text1"/>
          <w:w w:val="99"/>
          <w:sz w:val="24"/>
          <w:szCs w:val="24"/>
          <w:highlight w:val="none"/>
          <w14:textFill>
            <w14:solidFill>
              <w14:schemeClr w14:val="tx1"/>
            </w14:solidFill>
          </w14:textFill>
        </w:rPr>
        <w:t>油井作业污水经罐车拉运</w:t>
      </w:r>
      <w:bookmarkEnd w:id="184"/>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至</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葡二联含油污水处理站</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，处理达标</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后回注油层。</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fldChar w:fldCharType="begin"/>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instrText xml:space="preserve"> </w:instrTex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instrText xml:space="preserve">eq \o\ac(○,</w:instrText>
      </w:r>
      <w:r>
        <w:rPr>
          <w:rFonts w:hint="eastAsia" w:ascii="Times New Roman" w:hAnsi="Times New Roman" w:eastAsia="宋体" w:cs="Times New Roman"/>
          <w:color w:val="000000" w:themeColor="text1"/>
          <w:w w:val="99"/>
          <w:position w:val="3"/>
          <w:sz w:val="16"/>
          <w:szCs w:val="24"/>
          <w:highlight w:val="none"/>
          <w:lang w:val="en-US"/>
          <w14:textFill>
            <w14:solidFill>
              <w14:schemeClr w14:val="tx1"/>
            </w14:solidFill>
          </w14:textFill>
        </w:rPr>
        <w:instrText xml:space="preserve">3</w:instrTex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instrText xml:space="preserve">)</w:instrTex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fldChar w:fldCharType="end"/>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运营期</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依托场站无新增劳动定员，不新增生活污水。</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（2）处理工艺</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可行性分析</w:t>
      </w:r>
    </w:p>
    <w:p>
      <w:pPr>
        <w:pStyle w:val="14"/>
        <w:spacing w:line="440" w:lineRule="exact"/>
        <w:ind w:firstLine="474" w:firstLineChars="200"/>
        <w:jc w:val="both"/>
        <w:rPr>
          <w:rFonts w:ascii="Times New Roman" w:hAnsi="Times New Roman" w:cs="Times New Roman"/>
          <w:color w:val="000000" w:themeColor="text1"/>
          <w:w w:val="99"/>
          <w:sz w:val="24"/>
          <w:szCs w:val="20"/>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葡二联含油污水处理站采用“二级沉降石英砂过滤+二段压力式过滤”处理工艺，</w:t>
      </w:r>
      <w:r>
        <w:rPr>
          <w:rFonts w:ascii="Times New Roman" w:hAnsi="Times New Roman" w:cs="Times New Roman"/>
          <w:color w:val="000000" w:themeColor="text1"/>
          <w:w w:val="99"/>
          <w:sz w:val="24"/>
          <w:szCs w:val="20"/>
          <w:highlight w:val="none"/>
          <w:lang w:val="en-US"/>
          <w14:textFill>
            <w14:solidFill>
              <w14:schemeClr w14:val="tx1"/>
            </w14:solidFill>
          </w14:textFill>
        </w:rPr>
        <w:t>污水首先进入自然沉降除油罐，沉降处理后浮于上层的污油由收油泵回收，下层的污水进入混凝除油罐进行二次除油处理，加入混凝剂充分混合后，上层污油由收油泵回收，下层污水进入两级压力过滤罐进行深度压滤处理。</w:t>
      </w:r>
      <w:r>
        <w:rPr>
          <w:rFonts w:hint="eastAsia" w:ascii="Times New Roman" w:hAnsi="Times New Roman" w:cs="Times New Roman"/>
          <w:color w:val="000000" w:themeColor="text1"/>
          <w:w w:val="99"/>
          <w:sz w:val="24"/>
          <w:szCs w:val="20"/>
          <w:highlight w:val="none"/>
          <w:lang w:val="en-US"/>
          <w14:textFill>
            <w14:solidFill>
              <w14:schemeClr w14:val="tx1"/>
            </w14:solidFill>
          </w14:textFill>
        </w:rPr>
        <w:t>污水站</w:t>
      </w:r>
      <w:r>
        <w:rPr>
          <w:rFonts w:ascii="Times New Roman" w:hAnsi="Times New Roman" w:cs="Times New Roman"/>
          <w:color w:val="000000" w:themeColor="text1"/>
          <w:w w:val="99"/>
          <w:sz w:val="24"/>
          <w:szCs w:val="20"/>
          <w:highlight w:val="none"/>
          <w:lang w:val="en-US"/>
          <w14:textFill>
            <w14:solidFill>
              <w14:schemeClr w14:val="tx1"/>
            </w14:solidFill>
          </w14:textFill>
        </w:rPr>
        <w:t>环保手续齐全</w:t>
      </w:r>
      <w:r>
        <w:rPr>
          <w:rFonts w:hint="eastAsia" w:ascii="Times New Roman" w:hAnsi="Times New Roman" w:cs="Times New Roman"/>
          <w:color w:val="000000" w:themeColor="text1"/>
          <w:w w:val="99"/>
          <w:sz w:val="24"/>
          <w:szCs w:val="20"/>
          <w:highlight w:val="none"/>
          <w:lang w:val="en-US" w:bidi="ar-SA"/>
          <w14:textFill>
            <w14:solidFill>
              <w14:schemeClr w14:val="tx1"/>
            </w14:solidFill>
          </w14:textFill>
        </w:rPr>
        <w:t>。</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（3）工艺达标</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可行性分析</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葡二联含油污水处理站</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设计</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出水指标均为</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《大庆油田地面工程建设设计规定》（Q/SYDQ0639-2015）限值要求“含油量≤</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10</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mg/L、悬浮固体含量≤</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5</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mg/L、粒径中值≤</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2μm</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w:t>
      </w:r>
    </w:p>
    <w:p>
      <w:pPr>
        <w:pStyle w:val="14"/>
        <w:spacing w:line="440" w:lineRule="exact"/>
        <w:ind w:firstLine="474" w:firstLineChars="200"/>
        <w:jc w:val="both"/>
        <w:rPr>
          <w:rFonts w:ascii="Times New Roman" w:hAnsi="Times New Roman" w:cs="Times New Roman"/>
          <w:bCs/>
          <w:color w:val="000000" w:themeColor="text1"/>
          <w:w w:val="99"/>
          <w:sz w:val="24"/>
          <w:szCs w:val="20"/>
          <w:highlight w:val="none"/>
          <w:lang w:val="en-US"/>
          <w14:textFill>
            <w14:solidFill>
              <w14:schemeClr w14:val="tx1"/>
            </w14:solidFill>
          </w14:textFill>
        </w:rPr>
      </w:pP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根据《葡南油田九、十、十一断块加密及葡552区块产能建设地面工程竣工环境保护验收调查报告》中对葡二联污水处理站出水水质进行监测，处理后水质的含油量2.89~3.90mg/L，悬浮物固体为2~3mg/L，满足</w:t>
      </w:r>
      <w:r>
        <w:rPr>
          <w:rFonts w:ascii="Times New Roman" w:hAnsi="Times New Roman" w:cs="Times New Roman"/>
          <w:bCs/>
          <w:color w:val="000000" w:themeColor="text1"/>
          <w:w w:val="99"/>
          <w:sz w:val="24"/>
          <w:szCs w:val="20"/>
          <w:highlight w:val="none"/>
          <w:lang w:val="en-US"/>
          <w14:textFill>
            <w14:solidFill>
              <w14:schemeClr w14:val="tx1"/>
            </w14:solidFill>
          </w14:textFill>
        </w:rPr>
        <w:t>《大庆油田地面工程建设设计规定》（Q/SYDQ0639-2015）</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限值要求“含油量≤</w:t>
      </w:r>
      <w:r>
        <w:rPr>
          <w:rFonts w:ascii="Times New Roman" w:hAnsi="Times New Roman" w:cs="Times New Roman"/>
          <w:bCs/>
          <w:color w:val="000000" w:themeColor="text1"/>
          <w:w w:val="99"/>
          <w:sz w:val="24"/>
          <w:szCs w:val="20"/>
          <w:highlight w:val="none"/>
          <w:lang w:val="en-US"/>
          <w14:textFill>
            <w14:solidFill>
              <w14:schemeClr w14:val="tx1"/>
            </w14:solidFill>
          </w14:textFill>
        </w:rPr>
        <w:t>10</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mg/L、悬浮固体含量≤</w:t>
      </w:r>
      <w:r>
        <w:rPr>
          <w:rFonts w:ascii="Times New Roman" w:hAnsi="Times New Roman" w:cs="Times New Roman"/>
          <w:bCs/>
          <w:color w:val="000000" w:themeColor="text1"/>
          <w:w w:val="99"/>
          <w:sz w:val="24"/>
          <w:szCs w:val="20"/>
          <w:highlight w:val="none"/>
          <w:lang w:val="en-US"/>
          <w14:textFill>
            <w14:solidFill>
              <w14:schemeClr w14:val="tx1"/>
            </w14:solidFill>
          </w14:textFill>
        </w:rPr>
        <w:t>5</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mg/L、粒径中值≤</w:t>
      </w:r>
      <w:r>
        <w:rPr>
          <w:rFonts w:ascii="Times New Roman" w:hAnsi="Times New Roman" w:cs="Times New Roman"/>
          <w:bCs/>
          <w:color w:val="000000" w:themeColor="text1"/>
          <w:w w:val="99"/>
          <w:sz w:val="24"/>
          <w:szCs w:val="20"/>
          <w:highlight w:val="none"/>
          <w:lang w:val="en-US"/>
          <w14:textFill>
            <w14:solidFill>
              <w14:schemeClr w14:val="tx1"/>
            </w14:solidFill>
          </w14:textFill>
        </w:rPr>
        <w:t>2μm</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”后回注油层，工艺可行。</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（4）处理规模</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可行性分析</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根据</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依托工程中对污水站运行现状负荷及接入本工程后新增负荷分析</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可知</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葡二联含油污水处理站</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剩余</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处理能力满足本项目需求，</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从规模</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分析本项目依托可行。</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6.2.3 地表水污染防治措施</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6.2.3.1 施工期</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合理规划：施工单位严格按照有关规定安排施工作业；合理进行施工组织和场地布置；对施工运输合理规划、布局，利用既有道路，运输车辆按指定路线运行；施工运输车辆加盖棚布，防止运输材料洒落，产生扬尘，影响区域内环境。</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（2）施工期间各类固体废物应及时清运，施工期间严禁将生活污水直接排放。</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（3）宣传教育：施工单位应加强对施工人员爱护环境防止地表水体破坏的宣传教育活动，在施工过程中，应做到井然有序的实施组织设计，做到文明施工。</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通过采取以上措施，施工期能够有效防止各类污染物进入附近地表水体造成污染事故，减少对周边水环境的影响。</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6.2.3.2 运营期</w:t>
      </w:r>
    </w:p>
    <w:bookmarkEnd w:id="183"/>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井场</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运营期油</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注入井</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作业时期，</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位于</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康家围子泡</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边缘</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的</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葡70-70</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井可能</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对周边地表水环境产生影响，要求建设单位在对</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油井</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作业时</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除作业场地</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铺垫</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防渗布</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外，在作业场地周边</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应</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建设0.3m高</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临时</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围堰，作业现场所有废物全部</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收集</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清运</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，避免</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废物随</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雨水</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径流进入</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康家围子泡</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w:t>
      </w:r>
    </w:p>
    <w:p>
      <w:pPr>
        <w:pStyle w:val="2"/>
        <w:spacing w:beforeLines="0"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ascii="Times New Roman" w:hAnsi="Times New Roman" w:eastAsia="宋体" w:cs="Times New Roman"/>
          <w:color w:val="000000" w:themeColor="text1"/>
          <w:w w:val="99"/>
          <w:sz w:val="24"/>
          <w:szCs w:val="24"/>
          <w:highlight w:val="none"/>
          <w14:textFill>
            <w14:solidFill>
              <w14:schemeClr w14:val="tx1"/>
            </w14:solidFill>
          </w14:textFill>
        </w:rPr>
        <w:t>油井作业范围限制在油井永久占地范围内，同时作业过程中设置临时围堰，围堰为粘土夯筑，避免作业污油污水进</w:t>
      </w: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t>注入井</w:t>
      </w:r>
      <w:r>
        <w:rPr>
          <w:rFonts w:ascii="Times New Roman" w:hAnsi="Times New Roman" w:eastAsia="宋体" w:cs="Times New Roman"/>
          <w:color w:val="000000" w:themeColor="text1"/>
          <w:w w:val="99"/>
          <w:sz w:val="24"/>
          <w:szCs w:val="24"/>
          <w:highlight w:val="none"/>
          <w14:textFill>
            <w14:solidFill>
              <w14:schemeClr w14:val="tx1"/>
            </w14:solidFill>
          </w14:textFill>
        </w:rPr>
        <w:t>场永久占地范围以外的环境</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在进行井下作业时严格按照要求使用污油污水回收装置、并且使用罐车对作业污水进行回收，防止作业时产生的污油污水进入周围环境，完工后，将井场平整清理干净，不得遗留油污；</w:t>
      </w:r>
    </w:p>
    <w:p>
      <w:pPr>
        <w:autoSpaceDE/>
        <w:autoSpaceDN/>
        <w:adjustRightInd w:val="0"/>
        <w:spacing w:line="50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为避免油田开发过程中污染物随地表径流污染周围环境，油田在生产过程中必须严格管理，杜绝含油污水及污油的随意排放；生产过程中的修井及其它井下作业通过安装防喷器、卸油器、作业污水回收装置、井口溢流控制器等井口及井下装置，防止井喷、泄漏等事故的发生，减少含油污泥的产生量，一旦发生原油落地，必须及时回收；</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4</w:t>
      </w:r>
      <w:r>
        <w:rPr>
          <w:rFonts w:ascii="Times New Roman" w:hAnsi="Times New Roman" w:eastAsia="宋体" w:cs="Times New Roman"/>
          <w:color w:val="000000" w:themeColor="text1"/>
          <w:w w:val="99"/>
          <w:sz w:val="24"/>
          <w:szCs w:val="24"/>
          <w:highlight w:val="none"/>
          <w14:textFill>
            <w14:solidFill>
              <w14:schemeClr w14:val="tx1"/>
            </w14:solidFill>
          </w14:textFill>
        </w:rPr>
        <w:t>）强化生产运行管理，杜绝含油污水及污油的随意排放，落地原油要及时回收，提高落地油回收率，并及时处理被落地油污染的土壤，消除对地下水的污染隐患；</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5</w:t>
      </w:r>
      <w:r>
        <w:rPr>
          <w:rFonts w:ascii="Times New Roman" w:hAnsi="Times New Roman" w:eastAsia="宋体" w:cs="Times New Roman"/>
          <w:color w:val="000000" w:themeColor="text1"/>
          <w:w w:val="99"/>
          <w:sz w:val="24"/>
          <w:szCs w:val="24"/>
          <w:highlight w:val="none"/>
          <w14:textFill>
            <w14:solidFill>
              <w14:schemeClr w14:val="tx1"/>
            </w14:solidFill>
          </w14:textFill>
        </w:rPr>
        <w:t>）确保应急工具和设备齐备完好，以便在发生泄漏事故时对产生的污油污水进行及时回收和处理，避免对周围地表水环境产生污染；</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6</w:t>
      </w:r>
      <w:r>
        <w:rPr>
          <w:rFonts w:ascii="Times New Roman" w:hAnsi="Times New Roman" w:eastAsia="宋体" w:cs="Times New Roman"/>
          <w:color w:val="000000" w:themeColor="text1"/>
          <w:w w:val="99"/>
          <w:sz w:val="24"/>
          <w:szCs w:val="24"/>
          <w:highlight w:val="none"/>
          <w14:textFill>
            <w14:solidFill>
              <w14:schemeClr w14:val="tx1"/>
            </w14:solidFill>
          </w14:textFill>
        </w:rPr>
        <w:t>）定期检查维修管线、阀门及收油装置，确保设备的使用性能良好；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7</w:t>
      </w:r>
      <w:r>
        <w:rPr>
          <w:rFonts w:ascii="Times New Roman" w:hAnsi="Times New Roman" w:eastAsia="宋体" w:cs="Times New Roman"/>
          <w:color w:val="000000" w:themeColor="text1"/>
          <w:w w:val="99"/>
          <w:sz w:val="24"/>
          <w:szCs w:val="24"/>
          <w:highlight w:val="none"/>
          <w14:textFill>
            <w14:solidFill>
              <w14:schemeClr w14:val="tx1"/>
            </w14:solidFill>
          </w14:textFill>
        </w:rPr>
        <w:t>）在井场作业现场管理中，严格落实作业前后环保交接制度，作业队伍必须严格遵守相应的无污染作业准则，确保无污染作业率达到100%；</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8</w:t>
      </w:r>
      <w:r>
        <w:rPr>
          <w:rFonts w:ascii="Times New Roman" w:hAnsi="Times New Roman" w:eastAsia="宋体" w:cs="Times New Roman"/>
          <w:color w:val="000000" w:themeColor="text1"/>
          <w:w w:val="99"/>
          <w:sz w:val="24"/>
          <w:szCs w:val="24"/>
          <w:highlight w:val="none"/>
          <w14:textFill>
            <w14:solidFill>
              <w14:schemeClr w14:val="tx1"/>
            </w14:solidFill>
          </w14:textFill>
        </w:rPr>
        <w:t>）泄漏事故具有隐蔽性和灾难性，要加强监控，对集输管线防腐及腐蚀情况定期检测，及时维修或更新；对油井的套损情况也要定期检测，防止套管破裂上返油水污染地下水；</w:t>
      </w:r>
    </w:p>
    <w:p>
      <w:pPr>
        <w:autoSpaceDE/>
        <w:autoSpaceDN/>
        <w:spacing w:line="500" w:lineRule="exact"/>
        <w:ind w:firstLine="482"/>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9</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定期巡检（巡检次数为 1 次/d），</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各负责小队</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设有专职人员对油井、管线及阀门进行检查，确保各部分的使用性能，防止原油泄漏对</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井场</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较近的</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康家围子泡</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造成污染。</w:t>
      </w:r>
    </w:p>
    <w:p>
      <w:pPr>
        <w:autoSpaceDE/>
        <w:autoSpaceDN/>
        <w:spacing w:line="50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10</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）应</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确保</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采油七厂矿级别和管辖</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小队物资库的围油栏、铁锹等应急工具和设备齐备完好，以便在发生泄漏事故时对产生的污油污水进行及时回收和处理，避免对周围环境产生污染。</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在正常生产情况下，项目开发建设采取较为完善的环境保护措施，措施技术可行，对周围环境不会产生不良影响。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6.2.4 地下水污染防治措施</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6.2.4.1源头控制措施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（1）定期对油井套管情况进行检测，发现异常情况及时处理，防止污染地下水；</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（2）油田生产过程中严格管理，坚决杜绝含油污水及污油的随意排放，井下作业产生的原油等污染物及时回收，不遗落地面，一旦发生原油落地事故，及时回收并确保回收率达到 100%。</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6.2.4.2分区防渗措施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油田的正常开发建设对地下水造成污染的可能性较小。但原油、含油污水的跑、冒、滴、漏，如处理不及时则可能对地下水造成污染，因此对工程实施污染分区防治措施：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①</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简单</w:t>
      </w:r>
      <w:r>
        <w:rPr>
          <w:rFonts w:ascii="Times New Roman" w:hAnsi="Times New Roman" w:eastAsia="宋体" w:cs="Times New Roman"/>
          <w:color w:val="000000" w:themeColor="text1"/>
          <w:w w:val="99"/>
          <w:sz w:val="24"/>
          <w:szCs w:val="24"/>
          <w:highlight w:val="none"/>
          <w14:textFill>
            <w14:solidFill>
              <w14:schemeClr w14:val="tx1"/>
            </w14:solidFill>
          </w14:textFill>
        </w:rPr>
        <w:t>防渗区防渗措施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本项目井场属于</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简单</w:t>
      </w:r>
      <w:r>
        <w:rPr>
          <w:rFonts w:ascii="Times New Roman" w:hAnsi="Times New Roman" w:eastAsia="宋体" w:cs="Times New Roman"/>
          <w:color w:val="000000" w:themeColor="text1"/>
          <w:w w:val="99"/>
          <w:sz w:val="24"/>
          <w:szCs w:val="24"/>
          <w:highlight w:val="none"/>
          <w14:textFill>
            <w14:solidFill>
              <w14:schemeClr w14:val="tx1"/>
            </w14:solidFill>
          </w14:textFill>
        </w:rPr>
        <w:t>防渗区，</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施工结束后应立即对井场进行平整夯实，防渗等级满足《环境影响评价技术导则 地下水环境》（HJ610-2016）中关于</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简单防渗区一般硬化</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的技术要求。</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②</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重点防渗区防渗措施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地下集油</w:t>
      </w: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t>、注水</w:t>
      </w:r>
      <w:r>
        <w:rPr>
          <w:rFonts w:ascii="Times New Roman" w:hAnsi="Times New Roman" w:eastAsia="宋体" w:cs="Times New Roman"/>
          <w:color w:val="000000" w:themeColor="text1"/>
          <w:w w:val="99"/>
          <w:sz w:val="24"/>
          <w:szCs w:val="24"/>
          <w:highlight w:val="none"/>
          <w14:textFill>
            <w14:solidFill>
              <w14:schemeClr w14:val="tx1"/>
            </w14:solidFill>
          </w14:textFill>
        </w:rPr>
        <w:t>管道属于重点防渗区</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管线材质为内缠胶带硬质聚氨酯泡沫黄夹克管，</w:t>
      </w:r>
      <w:r>
        <w:rPr>
          <w:rFonts w:ascii="Times New Roman" w:hAnsi="Times New Roman" w:eastAsia="宋体" w:cs="Times New Roman"/>
          <w:color w:val="000000" w:themeColor="text1"/>
          <w:w w:val="99"/>
          <w:sz w:val="24"/>
          <w:szCs w:val="24"/>
          <w:highlight w:val="none"/>
          <w14:textFill>
            <w14:solidFill>
              <w14:schemeClr w14:val="tx1"/>
            </w14:solidFill>
          </w14:textFill>
        </w:rPr>
        <w:t>管道的外防腐等级应采用特加强级；管道的连接方式应采用焊接；定期对管道腐蚀情况及壁厚进行检测，发现问题及时处理，防止泄漏事故的发生；提高自动化水平，对管道及井口的压力进行实时监控，当发生泄漏事故时可通过压力变化及时发现，然后采取维抢修及回收落地油和被污染的土壤等措施控制事故对周围环境造成的影响，进一步防止污染地下水。</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6.2.4.3地下水环境跟踪监测措施</w:t>
      </w:r>
    </w:p>
    <w:p>
      <w:pPr>
        <w:tabs>
          <w:tab w:val="left" w:pos="1158"/>
        </w:tabs>
        <w:autoSpaceDE/>
        <w:autoSpaceDN/>
        <w:spacing w:line="440" w:lineRule="exact"/>
        <w:ind w:firstLine="474" w:firstLineChars="200"/>
        <w:jc w:val="both"/>
        <w:rPr>
          <w:rFonts w:ascii="Times New Roman" w:hAnsi="Times New Roman" w:cs="Times New Roman"/>
          <w:color w:val="000000" w:themeColor="text1"/>
          <w:w w:val="99"/>
          <w:kern w:val="2"/>
          <w:sz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highlight w:val="none"/>
          <w:lang w:val="en-US" w:bidi="ar-SA"/>
          <w14:textFill>
            <w14:solidFill>
              <w14:schemeClr w14:val="tx1"/>
            </w14:solidFill>
          </w14:textFill>
        </w:rPr>
        <w:t>定期对地下水环境进行监测，监测委托具有资质的单位进行，建设单位存档监测报告以及建设项目所在地及其影响区地下水环境跟踪监测数据，同时对监测结果定期进行信息公开。根据地下水影响预测结果，工程对环境敏感点产生影响的可能性小，所以根据地下水流向，</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结合开发区块内油</w:t>
      </w:r>
      <w:r>
        <w:rPr>
          <w:rFonts w:hint="eastAsia" w:ascii="Times New Roman" w:hAnsi="Times New Roman" w:cs="Times New Roman"/>
          <w:color w:val="000000" w:themeColor="text1"/>
          <w:w w:val="99"/>
          <w:kern w:val="2"/>
          <w:sz w:val="24"/>
          <w:highlight w:val="none"/>
          <w:lang w:val="en-US" w:eastAsia="zh-CN" w:bidi="ar-SA"/>
          <w14:textFill>
            <w14:solidFill>
              <w14:schemeClr w14:val="tx1"/>
            </w14:solidFill>
          </w14:textFill>
        </w:rPr>
        <w:t>注入井</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分布情况，</w:t>
      </w:r>
      <w:r>
        <w:rPr>
          <w:rFonts w:ascii="Times New Roman" w:hAnsi="Times New Roman" w:cs="Times New Roman"/>
          <w:color w:val="000000" w:themeColor="text1"/>
          <w:w w:val="99"/>
          <w:kern w:val="2"/>
          <w:sz w:val="24"/>
          <w:highlight w:val="none"/>
          <w:lang w:val="en-US" w:bidi="ar-SA"/>
          <w14:textFill>
            <w14:solidFill>
              <w14:schemeClr w14:val="tx1"/>
            </w14:solidFill>
          </w14:textFill>
        </w:rPr>
        <w:t>在建设项目区域上游设1个潜水背景监测点，在建设项目区域下游设</w:t>
      </w:r>
      <w:r>
        <w:rPr>
          <w:rFonts w:hint="eastAsia" w:ascii="Times New Roman" w:hAnsi="Times New Roman" w:cs="Times New Roman"/>
          <w:color w:val="000000" w:themeColor="text1"/>
          <w:w w:val="99"/>
          <w:kern w:val="2"/>
          <w:sz w:val="24"/>
          <w:highlight w:val="none"/>
          <w:lang w:val="en-US" w:eastAsia="zh-CN" w:bidi="ar-SA"/>
          <w14:textFill>
            <w14:solidFill>
              <w14:schemeClr w14:val="tx1"/>
            </w14:solidFill>
          </w14:textFill>
        </w:rPr>
        <w:t>2</w:t>
      </w:r>
      <w:r>
        <w:rPr>
          <w:rFonts w:ascii="Times New Roman" w:hAnsi="Times New Roman" w:cs="Times New Roman"/>
          <w:color w:val="000000" w:themeColor="text1"/>
          <w:w w:val="99"/>
          <w:kern w:val="2"/>
          <w:sz w:val="24"/>
          <w:highlight w:val="none"/>
          <w:lang w:val="en-US" w:bidi="ar-SA"/>
          <w14:textFill>
            <w14:solidFill>
              <w14:schemeClr w14:val="tx1"/>
            </w14:solidFill>
          </w14:textFill>
        </w:rPr>
        <w:t>个潜水跟踪监测点。跟踪监测</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井位置</w:t>
      </w:r>
      <w:r>
        <w:rPr>
          <w:rFonts w:ascii="Times New Roman" w:hAnsi="Times New Roman" w:cs="Times New Roman"/>
          <w:color w:val="000000" w:themeColor="text1"/>
          <w:w w:val="99"/>
          <w:kern w:val="2"/>
          <w:sz w:val="24"/>
          <w:highlight w:val="none"/>
          <w:lang w:val="en-US" w:bidi="ar-SA"/>
          <w14:textFill>
            <w14:solidFill>
              <w14:schemeClr w14:val="tx1"/>
            </w14:solidFill>
          </w14:textFill>
        </w:rPr>
        <w:t>图见附图8</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highlight w:val="none"/>
          <w:lang w:val="en-US" w:bidi="ar-SA"/>
          <w14:textFill>
            <w14:solidFill>
              <w14:schemeClr w14:val="tx1"/>
            </w14:solidFill>
          </w14:textFill>
        </w:rPr>
        <w:t>附图</w:t>
      </w:r>
      <w:r>
        <w:rPr>
          <w:rFonts w:hint="eastAsia" w:ascii="Times New Roman" w:hAnsi="Times New Roman" w:cs="Times New Roman"/>
          <w:color w:val="000000" w:themeColor="text1"/>
          <w:w w:val="99"/>
          <w:kern w:val="2"/>
          <w:sz w:val="24"/>
          <w:highlight w:val="none"/>
          <w:lang w:val="en-US" w:bidi="ar-SA"/>
          <w14:textFill>
            <w14:solidFill>
              <w14:schemeClr w14:val="tx1"/>
            </w14:solidFill>
          </w14:textFill>
        </w:rPr>
        <w:t>13</w:t>
      </w:r>
      <w:r>
        <w:rPr>
          <w:rFonts w:ascii="Times New Roman" w:hAnsi="Times New Roman" w:cs="Times New Roman"/>
          <w:color w:val="000000" w:themeColor="text1"/>
          <w:w w:val="99"/>
          <w:kern w:val="2"/>
          <w:sz w:val="24"/>
          <w:highlight w:val="none"/>
          <w:lang w:val="en-US" w:bidi="ar-SA"/>
          <w14:textFill>
            <w14:solidFill>
              <w14:schemeClr w14:val="tx1"/>
            </w14:solidFill>
          </w14:textFill>
        </w:rPr>
        <w:t>，跟踪监测计划见表5.2-7。</w:t>
      </w:r>
    </w:p>
    <w:p>
      <w:pPr>
        <w:tabs>
          <w:tab w:val="left" w:pos="1158"/>
        </w:tabs>
        <w:autoSpaceDE/>
        <w:autoSpaceDN/>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表5.2-7</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sz w:val="24"/>
          <w:szCs w:val="24"/>
          <w:highlight w:val="none"/>
          <w14:textFill>
            <w14:solidFill>
              <w14:schemeClr w14:val="tx1"/>
            </w14:solidFill>
          </w14:textFill>
        </w:rPr>
        <w:t>地下水</w:t>
      </w:r>
      <w:r>
        <w:rPr>
          <w:rFonts w:hint="eastAsia" w:ascii="Times New Roman" w:hAnsi="Times New Roman" w:cs="Times New Roman"/>
          <w:b/>
          <w:bCs/>
          <w:color w:val="000000" w:themeColor="text1"/>
          <w:w w:val="99"/>
          <w:sz w:val="24"/>
          <w:szCs w:val="24"/>
          <w:highlight w:val="none"/>
          <w14:textFill>
            <w14:solidFill>
              <w14:schemeClr w14:val="tx1"/>
            </w14:solidFill>
          </w14:textFill>
        </w:rPr>
        <w:t>环境</w:t>
      </w:r>
      <w:r>
        <w:rPr>
          <w:rFonts w:ascii="Times New Roman" w:hAnsi="Times New Roman" w:cs="Times New Roman"/>
          <w:b/>
          <w:bCs/>
          <w:color w:val="000000" w:themeColor="text1"/>
          <w:w w:val="99"/>
          <w:sz w:val="24"/>
          <w:szCs w:val="24"/>
          <w:highlight w:val="none"/>
          <w14:textFill>
            <w14:solidFill>
              <w14:schemeClr w14:val="tx1"/>
            </w14:solidFill>
          </w14:textFill>
        </w:rPr>
        <w:t>跟踪监测计划表</w:t>
      </w:r>
    </w:p>
    <w:tbl>
      <w:tblPr>
        <w:tblStyle w:val="32"/>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417"/>
        <w:gridCol w:w="2127"/>
        <w:gridCol w:w="992"/>
        <w:gridCol w:w="1134"/>
        <w:gridCol w:w="1134"/>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点位</w:t>
            </w:r>
          </w:p>
        </w:tc>
        <w:tc>
          <w:tcPr>
            <w:tcW w:w="1417"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坐标</w:t>
            </w:r>
          </w:p>
        </w:tc>
        <w:tc>
          <w:tcPr>
            <w:tcW w:w="2127"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位置</w:t>
            </w:r>
          </w:p>
        </w:tc>
        <w:tc>
          <w:tcPr>
            <w:tcW w:w="992"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功能</w:t>
            </w:r>
          </w:p>
        </w:tc>
        <w:tc>
          <w:tcPr>
            <w:tcW w:w="1134"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监测因子</w:t>
            </w:r>
          </w:p>
        </w:tc>
        <w:tc>
          <w:tcPr>
            <w:tcW w:w="1134"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监测层位</w:t>
            </w:r>
          </w:p>
        </w:tc>
        <w:tc>
          <w:tcPr>
            <w:tcW w:w="1068"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钱家屯注入井</w:t>
            </w:r>
          </w:p>
        </w:tc>
        <w:tc>
          <w:tcPr>
            <w:tcW w:w="1417" w:type="dxa"/>
            <w:tcBorders>
              <w:tl2br w:val="nil"/>
              <w:tr2bl w:val="nil"/>
            </w:tcBorders>
            <w:vAlign w:val="center"/>
          </w:tcPr>
          <w:p>
            <w:pPr>
              <w:autoSpaceDE/>
              <w:autoSpaceDN/>
              <w:spacing w:line="320" w:lineRule="exact"/>
              <w:ind w:firstLine="4"/>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124.70511,46.00807</w:t>
            </w:r>
          </w:p>
        </w:tc>
        <w:tc>
          <w:tcPr>
            <w:tcW w:w="2127" w:type="dxa"/>
            <w:tcBorders>
              <w:tl2br w:val="nil"/>
              <w:tr2bl w:val="nil"/>
            </w:tcBorders>
            <w:vAlign w:val="center"/>
          </w:tcPr>
          <w:p>
            <w:pPr>
              <w:autoSpaceDE/>
              <w:autoSpaceDN/>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葡71-72井场北50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w:t>
            </w:r>
          </w:p>
        </w:tc>
        <w:tc>
          <w:tcPr>
            <w:tcW w:w="992"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背景值</w:t>
            </w:r>
          </w:p>
        </w:tc>
        <w:tc>
          <w:tcPr>
            <w:tcW w:w="1134" w:type="dxa"/>
            <w:vMerge w:val="restart"/>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1134" w:type="dxa"/>
            <w:tcBorders>
              <w:tl2br w:val="nil"/>
              <w:tr2bl w:val="nil"/>
            </w:tcBorders>
            <w:vAlign w:val="center"/>
          </w:tcPr>
          <w:p>
            <w:pPr>
              <w:autoSpaceDE/>
              <w:autoSpaceDN/>
              <w:spacing w:line="32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潜水</w:t>
            </w:r>
          </w:p>
        </w:tc>
        <w:tc>
          <w:tcPr>
            <w:tcW w:w="1068" w:type="dxa"/>
            <w:vMerge w:val="restart"/>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散户王家注入井</w:t>
            </w:r>
          </w:p>
        </w:tc>
        <w:tc>
          <w:tcPr>
            <w:tcW w:w="1417"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124.68011,45.99007</w:t>
            </w:r>
          </w:p>
        </w:tc>
        <w:tc>
          <w:tcPr>
            <w:tcW w:w="2127"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葡70-672、葡70-斜682平台井场西南</w:t>
            </w:r>
            <w:r>
              <w:rPr>
                <w:rFonts w:hint="eastAsia" w:ascii="Times New Roman" w:hAnsi="Times New Roman" w:cs="Times New Roman"/>
                <w:color w:val="000000" w:themeColor="text1"/>
                <w:w w:val="99"/>
                <w:sz w:val="21"/>
                <w:szCs w:val="21"/>
                <w:highlight w:val="none"/>
                <w:lang w:val="en-US" w:eastAsia="zh-CN" w:bidi="ar-SA"/>
                <w14:textFill>
                  <w14:solidFill>
                    <w14:schemeClr w14:val="tx1"/>
                  </w14:solidFill>
                </w14:textFill>
              </w:rPr>
              <w:t>1.61</w:t>
            </w: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km</w:t>
            </w:r>
          </w:p>
        </w:tc>
        <w:tc>
          <w:tcPr>
            <w:tcW w:w="992" w:type="dxa"/>
            <w:vMerge w:val="restart"/>
            <w:tcBorders>
              <w:tl2br w:val="nil"/>
              <w:tr2bl w:val="nil"/>
            </w:tcBorders>
            <w:vAlign w:val="center"/>
          </w:tcPr>
          <w:p>
            <w:pPr>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跟踪监测点</w:t>
            </w:r>
          </w:p>
        </w:tc>
        <w:tc>
          <w:tcPr>
            <w:tcW w:w="1134" w:type="dxa"/>
            <w:vMerge w:val="continue"/>
            <w:tcBorders>
              <w:tl2br w:val="nil"/>
              <w:tr2bl w:val="nil"/>
            </w:tcBorders>
            <w:vAlign w:val="center"/>
          </w:tcPr>
          <w:p>
            <w:pPr>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134" w:type="dxa"/>
            <w:tcBorders>
              <w:tl2br w:val="nil"/>
              <w:tr2bl w:val="nil"/>
            </w:tcBorders>
            <w:vAlign w:val="center"/>
          </w:tcPr>
          <w:p>
            <w:pPr>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潜水</w:t>
            </w:r>
          </w:p>
        </w:tc>
        <w:tc>
          <w:tcPr>
            <w:tcW w:w="1068" w:type="dxa"/>
            <w:vMerge w:val="continue"/>
            <w:tcBorders>
              <w:tl2br w:val="nil"/>
              <w:tr2bl w:val="nil"/>
            </w:tcBorders>
            <w:vAlign w:val="center"/>
          </w:tcPr>
          <w:p>
            <w:pPr>
              <w:spacing w:line="320" w:lineRule="exact"/>
              <w:jc w:val="center"/>
              <w:rPr>
                <w:rFonts w:ascii="Times New Roman" w:hAnsi="Times New Roman" w:eastAsia="Times New Roman" w:cs="Times New Roman"/>
                <w:color w:val="000000" w:themeColor="text1"/>
                <w:w w:val="99"/>
                <w:kern w:val="2"/>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tcBorders>
              <w:tl2br w:val="nil"/>
              <w:tr2bl w:val="nil"/>
            </w:tcBorders>
            <w:vAlign w:val="center"/>
          </w:tcPr>
          <w:p>
            <w:pPr>
              <w:autoSpaceDE/>
              <w:autoSpaceDN/>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唐花马屯注入井</w:t>
            </w:r>
          </w:p>
        </w:tc>
        <w:tc>
          <w:tcPr>
            <w:tcW w:w="1417" w:type="dxa"/>
            <w:tcBorders>
              <w:tl2br w:val="nil"/>
              <w:tr2bl w:val="nil"/>
            </w:tcBorders>
            <w:vAlign w:val="center"/>
          </w:tcPr>
          <w:p>
            <w:pPr>
              <w:autoSpaceDE/>
              <w:autoSpaceDN/>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124.67111,45.98407</w:t>
            </w:r>
          </w:p>
        </w:tc>
        <w:tc>
          <w:tcPr>
            <w:tcW w:w="2127" w:type="dxa"/>
            <w:tcBorders>
              <w:tl2br w:val="nil"/>
              <w:tr2bl w:val="nil"/>
            </w:tcBorders>
            <w:vAlign w:val="center"/>
          </w:tcPr>
          <w:p>
            <w:pPr>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葡70-672、葡70-斜682平台井场西南2.45km</w:t>
            </w:r>
          </w:p>
        </w:tc>
        <w:tc>
          <w:tcPr>
            <w:tcW w:w="992" w:type="dxa"/>
            <w:vMerge w:val="continue"/>
            <w:tcBorders>
              <w:tl2br w:val="nil"/>
              <w:tr2bl w:val="nil"/>
            </w:tcBorders>
            <w:vAlign w:val="center"/>
          </w:tcPr>
          <w:p>
            <w:pPr>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134" w:type="dxa"/>
            <w:vMerge w:val="continue"/>
            <w:tcBorders>
              <w:tl2br w:val="nil"/>
              <w:tr2bl w:val="nil"/>
            </w:tcBorders>
            <w:vAlign w:val="center"/>
          </w:tcPr>
          <w:p>
            <w:pPr>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134" w:type="dxa"/>
            <w:tcBorders>
              <w:tl2br w:val="nil"/>
              <w:tr2bl w:val="nil"/>
            </w:tcBorders>
            <w:vAlign w:val="center"/>
          </w:tcPr>
          <w:p>
            <w:pPr>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潜水</w:t>
            </w:r>
          </w:p>
        </w:tc>
        <w:tc>
          <w:tcPr>
            <w:tcW w:w="1068" w:type="dxa"/>
            <w:vMerge w:val="continue"/>
            <w:tcBorders>
              <w:tl2br w:val="nil"/>
              <w:tr2bl w:val="nil"/>
            </w:tcBorders>
            <w:vAlign w:val="center"/>
          </w:tcPr>
          <w:p>
            <w:pPr>
              <w:spacing w:line="320" w:lineRule="exact"/>
              <w:jc w:val="center"/>
              <w:rPr>
                <w:rFonts w:ascii="Times New Roman" w:hAnsi="Times New Roman" w:eastAsia="Times New Roman" w:cs="Times New Roman"/>
                <w:color w:val="000000" w:themeColor="text1"/>
                <w:w w:val="99"/>
                <w:kern w:val="2"/>
                <w:sz w:val="21"/>
                <w:highlight w:val="none"/>
                <w14:textFill>
                  <w14:solidFill>
                    <w14:schemeClr w14:val="tx1"/>
                  </w14:solidFill>
                </w14:textFill>
              </w:rPr>
            </w:pPr>
          </w:p>
        </w:tc>
      </w:tr>
    </w:tbl>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85" w:name="_Toc18223"/>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6.3 噪声污染控制措施及可行性分析</w:t>
      </w:r>
      <w:bookmarkEnd w:id="185"/>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6.3.1 施工期噪声污染防治措施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ascii="Times New Roman" w:hAnsi="Times New Roman" w:eastAsia="宋体" w:cs="Times New Roman"/>
          <w:color w:val="000000" w:themeColor="text1"/>
          <w:w w:val="99"/>
          <w:sz w:val="24"/>
          <w:szCs w:val="24"/>
          <w:highlight w:val="none"/>
          <w14:textFill>
            <w14:solidFill>
              <w14:schemeClr w14:val="tx1"/>
            </w14:solidFill>
          </w14:textFill>
        </w:rPr>
        <w:t>）</w:t>
      </w:r>
      <w:bookmarkStart w:id="186" w:name="_Hlk69494957"/>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施工中加强管理，文明施工，合理安排施工进度</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和</w:t>
      </w:r>
      <w:r>
        <w:rPr>
          <w:rFonts w:ascii="Times New Roman" w:hAnsi="Times New Roman" w:eastAsia="宋体" w:cs="Times New Roman"/>
          <w:color w:val="000000" w:themeColor="text1"/>
          <w:w w:val="99"/>
          <w:sz w:val="24"/>
          <w:szCs w:val="24"/>
          <w:highlight w:val="none"/>
          <w14:textFill>
            <w14:solidFill>
              <w14:schemeClr w14:val="tx1"/>
            </w14:solidFill>
          </w14:textFill>
        </w:rPr>
        <w:t>施工时间。尽量避免大量高噪声设备同时施工</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 xml:space="preserve"> </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施工前对周边</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村屯</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进行通知公告，</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应</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取得村民谅解方可进行施工，</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制定</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施工</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方案</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对</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施工场地进行合理布局，高噪声设备尽量远离靠近</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保护目标</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方向并分散布置，避免噪声叠加造成对周围声环境的影响；</w:t>
      </w:r>
      <w:r>
        <w:rPr>
          <w:rFonts w:ascii="Times New Roman" w:hAnsi="Times New Roman" w:eastAsia="宋体" w:cs="Times New Roman"/>
          <w:color w:val="000000" w:themeColor="text1"/>
          <w:w w:val="99"/>
          <w:sz w:val="24"/>
          <w:szCs w:val="24"/>
          <w:highlight w:val="none"/>
          <w14:textFill>
            <w14:solidFill>
              <w14:schemeClr w14:val="tx1"/>
            </w14:solidFill>
          </w14:textFill>
        </w:rPr>
        <w:t>合理布置施工现场，尽量将高噪声机械布置远离环境敏感点一侧，同时，避免在同一地点安排较多的动力机械。</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3</w:t>
      </w: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严格禁止夜间10时至次日6时进行施工，调整同时作业的施工机械数量，选用噪音低的设备</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降低对周围环境的影响</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尽可能选用声功率小的低噪声的施工设备；</w:t>
      </w:r>
      <w:r>
        <w:rPr>
          <w:rFonts w:ascii="Times New Roman" w:hAnsi="Times New Roman" w:eastAsia="宋体" w:cs="Times New Roman"/>
          <w:color w:val="000000" w:themeColor="text1"/>
          <w:w w:val="99"/>
          <w:sz w:val="24"/>
          <w:szCs w:val="24"/>
          <w:highlight w:val="none"/>
          <w14:textFill>
            <w14:solidFill>
              <w14:schemeClr w14:val="tx1"/>
            </w14:solidFill>
          </w14:textFill>
        </w:rPr>
        <w:t>。</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4</w:t>
      </w:r>
      <w:r>
        <w:rPr>
          <w:rFonts w:ascii="Times New Roman" w:hAnsi="Times New Roman" w:eastAsia="宋体" w:cs="Times New Roman"/>
          <w:color w:val="000000" w:themeColor="text1"/>
          <w:w w:val="99"/>
          <w:sz w:val="24"/>
          <w:szCs w:val="24"/>
          <w:highlight w:val="none"/>
          <w14:textFill>
            <w14:solidFill>
              <w14:schemeClr w14:val="tx1"/>
            </w14:solidFill>
          </w14:textFill>
        </w:rPr>
        <w:t>）运输车辆选择避开</w:t>
      </w: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t>钱家屯</w:t>
      </w:r>
      <w:r>
        <w:rPr>
          <w:rFonts w:ascii="Times New Roman" w:hAnsi="Times New Roman" w:eastAsia="宋体" w:cs="Times New Roman"/>
          <w:color w:val="000000" w:themeColor="text1"/>
          <w:w w:val="99"/>
          <w:sz w:val="24"/>
          <w:szCs w:val="24"/>
          <w:highlight w:val="none"/>
          <w14:textFill>
            <w14:solidFill>
              <w14:schemeClr w14:val="tx1"/>
            </w14:solidFill>
          </w14:textFill>
        </w:rPr>
        <w:t>等</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村屯</w:t>
      </w:r>
      <w:r>
        <w:rPr>
          <w:rFonts w:ascii="Times New Roman" w:hAnsi="Times New Roman" w:eastAsia="宋体" w:cs="Times New Roman"/>
          <w:color w:val="000000" w:themeColor="text1"/>
          <w:w w:val="99"/>
          <w:sz w:val="24"/>
          <w:szCs w:val="24"/>
          <w:highlight w:val="none"/>
          <w14:textFill>
            <w14:solidFill>
              <w14:schemeClr w14:val="tx1"/>
            </w14:solidFill>
          </w14:textFill>
        </w:rPr>
        <w:t>路线，尽量不鸣笛。</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5</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）加强对施工人员的培训及责任教育，做好施工机械和运输车辆的调度和交通疏导工作，运输车辆选择避开居民区的路线，限制车速，禁止鸣笛，降低交通噪声；</w:t>
      </w:r>
    </w:p>
    <w:bookmarkEnd w:id="186"/>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本项目</w:t>
      </w:r>
      <w:r>
        <w:rPr>
          <w:rFonts w:ascii="Times New Roman" w:hAnsi="Times New Roman" w:eastAsia="宋体" w:cs="Times New Roman"/>
          <w:color w:val="000000" w:themeColor="text1"/>
          <w:w w:val="99"/>
          <w:sz w:val="24"/>
          <w:szCs w:val="24"/>
          <w:highlight w:val="none"/>
          <w14:textFill>
            <w14:solidFill>
              <w14:schemeClr w14:val="tx1"/>
            </w14:solidFill>
          </w14:textFill>
        </w:rPr>
        <w:t>井场施工期</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主要是</w:t>
      </w:r>
      <w:r>
        <w:rPr>
          <w:rFonts w:ascii="Times New Roman" w:hAnsi="Times New Roman" w:eastAsia="宋体" w:cs="Times New Roman"/>
          <w:color w:val="000000" w:themeColor="text1"/>
          <w:w w:val="99"/>
          <w:sz w:val="24"/>
          <w:szCs w:val="24"/>
          <w:highlight w:val="none"/>
          <w14:textFill>
            <w14:solidFill>
              <w14:schemeClr w14:val="tx1"/>
            </w14:solidFill>
          </w14:textFill>
        </w:rPr>
        <w:t>开井作业和设备更换</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施工时间较短，</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噪声源强</w:t>
      </w:r>
      <w:r>
        <w:rPr>
          <w:rFonts w:ascii="Times New Roman" w:hAnsi="Times New Roman" w:eastAsia="宋体" w:cs="Times New Roman"/>
          <w:color w:val="000000" w:themeColor="text1"/>
          <w:w w:val="99"/>
          <w:sz w:val="24"/>
          <w:szCs w:val="24"/>
          <w:highlight w:val="none"/>
          <w14:textFill>
            <w14:solidFill>
              <w14:schemeClr w14:val="tx1"/>
            </w14:solidFill>
          </w14:textFill>
        </w:rPr>
        <w:t>不大</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通过采取以上措施，本工程施工场界噪声满足《建筑施工场界环境噪声排放标准》（GB12523-2011）要求，施工期噪声治理措施可行。</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6.3.2 运行期噪声污染防治措施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本项目噪声主要从两方面进行防治：从噪声源上控制降低噪声；从传播途径上控制降低噪声，具体分析如下：</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从噪声源上控制降低噪声。</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选用低噪声源生产设备：</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作业</w:t>
      </w:r>
      <w:r>
        <w:rPr>
          <w:rFonts w:ascii="Times New Roman" w:hAnsi="Times New Roman" w:eastAsia="宋体" w:cs="Times New Roman"/>
          <w:color w:val="000000" w:themeColor="text1"/>
          <w:w w:val="99"/>
          <w:sz w:val="24"/>
          <w:szCs w:val="24"/>
          <w:highlight w:val="none"/>
          <w14:textFill>
            <w14:solidFill>
              <w14:schemeClr w14:val="tx1"/>
            </w14:solidFill>
          </w14:textFill>
        </w:rPr>
        <w:t>机</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泵</w:t>
      </w:r>
      <w:r>
        <w:rPr>
          <w:rFonts w:ascii="Times New Roman" w:hAnsi="Times New Roman" w:eastAsia="宋体" w:cs="Times New Roman"/>
          <w:color w:val="000000" w:themeColor="text1"/>
          <w:w w:val="99"/>
          <w:sz w:val="24"/>
          <w:szCs w:val="24"/>
          <w:highlight w:val="none"/>
          <w14:textFill>
            <w14:solidFill>
              <w14:schemeClr w14:val="tx1"/>
            </w14:solidFill>
          </w14:textFill>
        </w:rPr>
        <w:t>等生产设备的选型应当选用低噪声、低能耗的生产设备</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，同时在各类机泵下方安装减震基础等措施，</w:t>
      </w:r>
      <w:r>
        <w:rPr>
          <w:rFonts w:ascii="Times New Roman" w:hAnsi="Times New Roman" w:eastAsia="宋体" w:cs="Times New Roman"/>
          <w:color w:val="000000" w:themeColor="text1"/>
          <w:w w:val="99"/>
          <w:sz w:val="24"/>
          <w:szCs w:val="24"/>
          <w:highlight w:val="none"/>
          <w14:textFill>
            <w14:solidFill>
              <w14:schemeClr w14:val="tx1"/>
            </w14:solidFill>
          </w14:textFill>
        </w:rPr>
        <w:t>减少设备的振动，以减少设备噪声源强。</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从传播途径上控制降低噪声</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fldChar w:fldCharType="begin"/>
      </w:r>
      <w:r>
        <w:rPr>
          <w:rFonts w:ascii="Times New Roman" w:hAnsi="Times New Roman" w:eastAsia="宋体" w:cs="Times New Roman"/>
          <w:color w:val="000000" w:themeColor="text1"/>
          <w:w w:val="99"/>
          <w:sz w:val="24"/>
          <w:szCs w:val="24"/>
          <w:highlight w:val="none"/>
          <w14:textFill>
            <w14:solidFill>
              <w14:schemeClr w14:val="tx1"/>
            </w14:solidFill>
          </w14:textFill>
        </w:rPr>
        <w:instrText xml:space="preserve"> </w:instrTex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instrText xml:space="preserve">eq \o\ac(○,</w:instrText>
      </w:r>
      <w:r>
        <w:rPr>
          <w:rFonts w:hint="eastAsia" w:ascii="Times New Roman" w:hAnsi="Times New Roman" w:eastAsia="宋体" w:cs="Times New Roman"/>
          <w:color w:val="000000" w:themeColor="text1"/>
          <w:w w:val="99"/>
          <w:position w:val="3"/>
          <w:sz w:val="16"/>
          <w:szCs w:val="24"/>
          <w:highlight w:val="none"/>
          <w14:textFill>
            <w14:solidFill>
              <w14:schemeClr w14:val="tx1"/>
            </w14:solidFill>
          </w14:textFill>
        </w:rPr>
        <w:instrText xml:space="preserve">1</w:instrTex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instrText xml:space="preserve">)</w:instrText>
      </w:r>
      <w:r>
        <w:rPr>
          <w:rFonts w:ascii="Times New Roman" w:hAnsi="Times New Roman" w:eastAsia="宋体" w:cs="Times New Roman"/>
          <w:color w:val="000000" w:themeColor="text1"/>
          <w:w w:val="99"/>
          <w:sz w:val="24"/>
          <w:szCs w:val="24"/>
          <w:highlight w:val="none"/>
          <w14:textFill>
            <w14:solidFill>
              <w14:schemeClr w14:val="tx1"/>
            </w14:solidFill>
          </w14:textFill>
        </w:rPr>
        <w:fldChar w:fldCharType="end"/>
      </w:r>
      <w:r>
        <w:rPr>
          <w:rFonts w:ascii="Times New Roman" w:hAnsi="Times New Roman" w:eastAsia="宋体" w:cs="Times New Roman"/>
          <w:color w:val="000000" w:themeColor="text1"/>
          <w:w w:val="99"/>
          <w:sz w:val="24"/>
          <w:szCs w:val="24"/>
          <w:highlight w:val="none"/>
          <w14:textFill>
            <w14:solidFill>
              <w14:schemeClr w14:val="tx1"/>
            </w14:solidFill>
          </w14:textFill>
        </w:rPr>
        <w:t>项目主要生产设备在布置时应当相对远离敏感目标；</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fldChar w:fldCharType="begin"/>
      </w:r>
      <w:r>
        <w:rPr>
          <w:rFonts w:ascii="Times New Roman" w:hAnsi="Times New Roman" w:eastAsia="宋体" w:cs="Times New Roman"/>
          <w:color w:val="000000" w:themeColor="text1"/>
          <w:w w:val="99"/>
          <w:sz w:val="24"/>
          <w:szCs w:val="24"/>
          <w:highlight w:val="none"/>
          <w14:textFill>
            <w14:solidFill>
              <w14:schemeClr w14:val="tx1"/>
            </w14:solidFill>
          </w14:textFill>
        </w:rPr>
        <w:instrText xml:space="preserve"> </w:instrTex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instrText xml:space="preserve">eq \o\ac(○,</w:instrText>
      </w:r>
      <w:r>
        <w:rPr>
          <w:rFonts w:hint="eastAsia" w:ascii="Times New Roman" w:hAnsi="Times New Roman" w:eastAsia="宋体" w:cs="Times New Roman"/>
          <w:color w:val="000000" w:themeColor="text1"/>
          <w:w w:val="99"/>
          <w:position w:val="3"/>
          <w:sz w:val="16"/>
          <w:szCs w:val="24"/>
          <w:highlight w:val="none"/>
          <w14:textFill>
            <w14:solidFill>
              <w14:schemeClr w14:val="tx1"/>
            </w14:solidFill>
          </w14:textFill>
        </w:rPr>
        <w:instrText xml:space="preserve">2</w:instrTex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instrText xml:space="preserve">)</w:instrText>
      </w:r>
      <w:r>
        <w:rPr>
          <w:rFonts w:ascii="Times New Roman" w:hAnsi="Times New Roman" w:eastAsia="宋体" w:cs="Times New Roman"/>
          <w:color w:val="000000" w:themeColor="text1"/>
          <w:w w:val="99"/>
          <w:sz w:val="24"/>
          <w:szCs w:val="24"/>
          <w:highlight w:val="none"/>
          <w14:textFill>
            <w14:solidFill>
              <w14:schemeClr w14:val="tx1"/>
            </w14:solidFill>
          </w14:textFill>
        </w:rPr>
        <w:fldChar w:fldCharType="end"/>
      </w:r>
      <w:r>
        <w:rPr>
          <w:rFonts w:ascii="Times New Roman" w:hAnsi="Times New Roman" w:eastAsia="宋体" w:cs="Times New Roman"/>
          <w:color w:val="000000" w:themeColor="text1"/>
          <w:w w:val="99"/>
          <w:sz w:val="24"/>
          <w:szCs w:val="24"/>
          <w:highlight w:val="none"/>
          <w14:textFill>
            <w14:solidFill>
              <w14:schemeClr w14:val="tx1"/>
            </w14:solidFill>
          </w14:textFill>
        </w:rPr>
        <w:t>生产时应维持设备处于良好的运转状态，避免因设备运转不正常而引起噪声的增高；</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fldChar w:fldCharType="begin"/>
      </w:r>
      <w:r>
        <w:rPr>
          <w:rFonts w:ascii="Times New Roman" w:hAnsi="Times New Roman" w:eastAsia="宋体" w:cs="Times New Roman"/>
          <w:color w:val="000000" w:themeColor="text1"/>
          <w:w w:val="99"/>
          <w:sz w:val="24"/>
          <w:szCs w:val="24"/>
          <w:highlight w:val="none"/>
          <w14:textFill>
            <w14:solidFill>
              <w14:schemeClr w14:val="tx1"/>
            </w14:solidFill>
          </w14:textFill>
        </w:rPr>
        <w:instrText xml:space="preserve"> </w:instrTex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instrText xml:space="preserve">eq \o\ac(○,</w:instrText>
      </w:r>
      <w:r>
        <w:rPr>
          <w:rFonts w:hint="eastAsia" w:ascii="Times New Roman" w:hAnsi="Times New Roman" w:eastAsia="宋体" w:cs="Times New Roman"/>
          <w:color w:val="000000" w:themeColor="text1"/>
          <w:w w:val="99"/>
          <w:position w:val="3"/>
          <w:sz w:val="16"/>
          <w:szCs w:val="24"/>
          <w:highlight w:val="none"/>
          <w14:textFill>
            <w14:solidFill>
              <w14:schemeClr w14:val="tx1"/>
            </w14:solidFill>
          </w14:textFill>
        </w:rPr>
        <w:instrText xml:space="preserve">3</w:instrTex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instrText xml:space="preserve">)</w:instrText>
      </w:r>
      <w:r>
        <w:rPr>
          <w:rFonts w:ascii="Times New Roman" w:hAnsi="Times New Roman" w:eastAsia="宋体" w:cs="Times New Roman"/>
          <w:color w:val="000000" w:themeColor="text1"/>
          <w:w w:val="99"/>
          <w:sz w:val="24"/>
          <w:szCs w:val="24"/>
          <w:highlight w:val="none"/>
          <w14:textFill>
            <w14:solidFill>
              <w14:schemeClr w14:val="tx1"/>
            </w14:solidFill>
          </w14:textFill>
        </w:rPr>
        <w:fldChar w:fldCharType="end"/>
      </w:r>
      <w:r>
        <w:rPr>
          <w:rFonts w:ascii="Times New Roman" w:hAnsi="Times New Roman" w:eastAsia="宋体" w:cs="Times New Roman"/>
          <w:color w:val="000000" w:themeColor="text1"/>
          <w:w w:val="99"/>
          <w:sz w:val="24"/>
          <w:szCs w:val="24"/>
          <w:highlight w:val="none"/>
          <w14:textFill>
            <w14:solidFill>
              <w14:schemeClr w14:val="tx1"/>
            </w14:solidFill>
          </w14:textFill>
        </w:rPr>
        <w:t>运营期对机泵等设备安装减振装置，同时注意对</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井场抽油机</w:t>
      </w:r>
      <w:r>
        <w:rPr>
          <w:rFonts w:ascii="Times New Roman" w:hAnsi="Times New Roman" w:eastAsia="宋体" w:cs="Times New Roman"/>
          <w:color w:val="000000" w:themeColor="text1"/>
          <w:w w:val="99"/>
          <w:sz w:val="24"/>
          <w:szCs w:val="24"/>
          <w:highlight w:val="none"/>
          <w14:textFill>
            <w14:solidFill>
              <w14:schemeClr w14:val="tx1"/>
            </w14:solidFill>
          </w14:textFill>
        </w:rPr>
        <w:t>设备的维护和保养，保证设备保持在最佳状态，降低噪声源强度；</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通过采取以上措施，运营期噪声排放满足《工业企业厂界环境噪声排放标准》（GB12348-2008）2类标准，对周围声环境产生影响</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较小</w:t>
      </w:r>
      <w:r>
        <w:rPr>
          <w:rFonts w:ascii="Times New Roman" w:hAnsi="Times New Roman" w:eastAsia="宋体" w:cs="Times New Roman"/>
          <w:color w:val="000000" w:themeColor="text1"/>
          <w:w w:val="99"/>
          <w:sz w:val="24"/>
          <w:szCs w:val="24"/>
          <w:highlight w:val="none"/>
          <w14:textFill>
            <w14:solidFill>
              <w14:schemeClr w14:val="tx1"/>
            </w14:solidFill>
          </w14:textFill>
        </w:rPr>
        <w:t>，运行期噪声治理措施可行。</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87" w:name="_Toc23131"/>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6.4 固体废物污染防治措施及其可行性分析</w:t>
      </w:r>
      <w:bookmarkEnd w:id="187"/>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6.4.1 施工期固体废物污染防治措施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管道铺设施工过程中产生的聚氨酯等施工废料回收后送至第七采油厂工业固废填埋场。</w:t>
      </w:r>
      <w:bookmarkStart w:id="188" w:name="_Hlk69495262"/>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ascii="Times New Roman" w:hAnsi="Times New Roman" w:eastAsia="宋体" w:cs="Times New Roman"/>
          <w:color w:val="000000" w:themeColor="text1"/>
          <w:w w:val="99"/>
          <w:sz w:val="24"/>
          <w:szCs w:val="24"/>
          <w:highlight w:val="none"/>
          <w14:textFill>
            <w14:solidFill>
              <w14:schemeClr w14:val="tx1"/>
            </w14:solidFill>
          </w14:textFill>
        </w:rPr>
        <w:t>）施工产生的生活垃圾执行《城市生活垃圾管理办法》（中华人民共和国建设部令第157号令）</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，应</w:t>
      </w:r>
      <w:r>
        <w:rPr>
          <w:rFonts w:ascii="Times New Roman" w:hAnsi="Times New Roman" w:eastAsia="宋体" w:cs="Times New Roman"/>
          <w:color w:val="000000" w:themeColor="text1"/>
          <w:w w:val="99"/>
          <w:sz w:val="24"/>
          <w:szCs w:val="24"/>
          <w:highlight w:val="none"/>
          <w14:textFill>
            <w14:solidFill>
              <w14:schemeClr w14:val="tx1"/>
            </w14:solidFill>
          </w14:textFill>
        </w:rPr>
        <w:t>集中存放，防止因暴雨、大风等冲入外环境，</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由</w:t>
      </w:r>
      <w:r>
        <w:rPr>
          <w:rFonts w:ascii="Times New Roman" w:hAnsi="Times New Roman" w:eastAsia="宋体" w:cs="Times New Roman"/>
          <w:color w:val="000000" w:themeColor="text1"/>
          <w:w w:val="99"/>
          <w:sz w:val="24"/>
          <w:szCs w:val="24"/>
          <w:highlight w:val="none"/>
          <w14:textFill>
            <w14:solidFill>
              <w14:schemeClr w14:val="tx1"/>
            </w14:solidFill>
          </w14:textFill>
        </w:rPr>
        <w:t>施工单位集中收集</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拉运至</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大庆市生活垃圾综合处理厂进行处</w:t>
      </w:r>
      <w:r>
        <w:rPr>
          <w:rFonts w:hint="eastAsia" w:ascii="Times New Roman" w:hAnsi="Times New Roman" w:cs="Times New Roman"/>
          <w:bCs/>
          <w:color w:val="000000" w:themeColor="text1"/>
          <w:w w:val="99"/>
          <w:sz w:val="24"/>
          <w:szCs w:val="20"/>
          <w:highlight w:val="none"/>
          <w:lang w:val="en-US"/>
          <w14:textFill>
            <w14:solidFill>
              <w14:schemeClr w14:val="tx1"/>
            </w14:solidFill>
          </w14:textFill>
        </w:rPr>
        <w:t>理</w:t>
      </w:r>
      <w:bookmarkEnd w:id="188"/>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6.4.2 运营期固体废物污染防治措施</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6.4.2.1收集、贮存及处置措施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含油污泥、落地油</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本项目运营期产生的含油污泥</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和落地油属于危险废物，危险废物编号为HW08废矿物油与含矿物油废物071-001-08石油开采和炼制产生的油泥和油脚，</w:t>
      </w:r>
      <w:bookmarkStart w:id="189" w:name="_Hlk69495366"/>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由罐车拉运至葡萄花含油污泥处理站进行处理，满足</w:t>
      </w: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油田含油污泥综合利用污染控制标准</w:t>
      </w: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（D</w:t>
      </w:r>
      <w:r>
        <w:rPr>
          <w:rFonts w:ascii="Times New Roman" w:hAnsi="Times New Roman" w:eastAsia="宋体" w:cs="Times New Roman"/>
          <w:color w:val="000000" w:themeColor="text1"/>
          <w:w w:val="99"/>
          <w:sz w:val="24"/>
          <w:szCs w:val="24"/>
          <w:highlight w:val="none"/>
          <w14:textFill>
            <w14:solidFill>
              <w14:schemeClr w14:val="tx1"/>
            </w14:solidFill>
          </w14:textFill>
        </w:rPr>
        <w:t>B23/T1413-2010</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）中垫井场</w:t>
      </w:r>
      <w:r>
        <w:rPr>
          <w:rFonts w:ascii="Times New Roman" w:hAnsi="Times New Roman" w:eastAsia="宋体" w:cs="Times New Roman"/>
          <w:color w:val="000000" w:themeColor="text1"/>
          <w:w w:val="99"/>
          <w:sz w:val="24"/>
          <w:szCs w:val="24"/>
          <w:highlight w:val="none"/>
          <w14:textFill>
            <w14:solidFill>
              <w14:schemeClr w14:val="tx1"/>
            </w14:solidFill>
          </w14:textFill>
        </w:rPr>
        <w:t>标准后</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，用于垫井场和通井路。</w:t>
      </w:r>
      <w:bookmarkEnd w:id="189"/>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本项目产生的含油污泥及落地油依托葡萄花含油污泥处理站处理，站内采用</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调质-离心处理技术工艺，设计规模为5m</w:t>
      </w:r>
      <w:r>
        <w:rPr>
          <w:rFonts w:ascii="Times New Roman" w:hAnsi="Times New Roman" w:eastAsia="宋体" w:cs="Times New Roman"/>
          <w:color w:val="000000" w:themeColor="text1"/>
          <w:w w:val="99"/>
          <w:sz w:val="24"/>
          <w:szCs w:val="24"/>
          <w:highlight w:val="none"/>
          <w:vertAlign w:val="superscript"/>
          <w:lang w:val="en-US"/>
          <w14:textFill>
            <w14:solidFill>
              <w14:schemeClr w14:val="tx1"/>
            </w14:solidFill>
          </w14:textFill>
        </w:rPr>
        <w:t>3</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/h（年运行150天，每天24小时，年最大处理量18000m</w:t>
      </w:r>
      <w:r>
        <w:rPr>
          <w:rFonts w:ascii="Times New Roman" w:hAnsi="Times New Roman" w:eastAsia="宋体" w:cs="Times New Roman"/>
          <w:color w:val="000000" w:themeColor="text1"/>
          <w:w w:val="99"/>
          <w:sz w:val="24"/>
          <w:szCs w:val="24"/>
          <w:highlight w:val="none"/>
          <w:vertAlign w:val="superscript"/>
          <w:lang w:val="en-US"/>
          <w14:textFill>
            <w14:solidFill>
              <w14:schemeClr w14:val="tx1"/>
            </w14:solidFill>
          </w14:textFill>
        </w:rPr>
        <w:t>3</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），目前实际处理量为12600m</w:t>
      </w:r>
      <w:r>
        <w:rPr>
          <w:rFonts w:ascii="Times New Roman" w:hAnsi="Times New Roman" w:eastAsia="宋体" w:cs="Times New Roman"/>
          <w:color w:val="000000" w:themeColor="text1"/>
          <w:w w:val="99"/>
          <w:sz w:val="24"/>
          <w:szCs w:val="24"/>
          <w:highlight w:val="none"/>
          <w:vertAlign w:val="superscript"/>
          <w:lang w:val="en-US"/>
          <w14:textFill>
            <w14:solidFill>
              <w14:schemeClr w14:val="tx1"/>
            </w14:solidFill>
          </w14:textFill>
        </w:rPr>
        <w:t>3</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/a，剩余处理量为5400m</w:t>
      </w:r>
      <w:r>
        <w:rPr>
          <w:rFonts w:ascii="Times New Roman" w:hAnsi="Times New Roman" w:eastAsia="宋体" w:cs="Times New Roman"/>
          <w:color w:val="000000" w:themeColor="text1"/>
          <w:w w:val="99"/>
          <w:sz w:val="24"/>
          <w:szCs w:val="24"/>
          <w:highlight w:val="none"/>
          <w:vertAlign w:val="superscript"/>
          <w:lang w:val="en-US"/>
          <w14:textFill>
            <w14:solidFill>
              <w14:schemeClr w14:val="tx1"/>
            </w14:solidFill>
          </w14:textFill>
        </w:rPr>
        <w:t>3</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/a，本工程新增污泥处理量为</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1.213t/a</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污泥站</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剩余处理能力</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能够满足本项目含油污泥处理需求。</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根据采油七厂对葡萄花含油污泥处理站进行的例行监测报告可知（检测时间</w:t>
      </w:r>
      <w:r>
        <w:rPr>
          <w:rFonts w:ascii="Times New Roman" w:hAnsi="Times New Roman" w:eastAsia="宋体" w:cs="Times New Roman"/>
          <w:color w:val="000000" w:themeColor="text1"/>
          <w:w w:val="99"/>
          <w:sz w:val="24"/>
          <w:szCs w:val="24"/>
          <w:highlight w:val="none"/>
          <w14:textFill>
            <w14:solidFill>
              <w14:schemeClr w14:val="tx1"/>
            </w14:solidFill>
          </w14:textFill>
        </w:rPr>
        <w:t>2020年9月14日-28日），葡萄花含油污泥处理站含油污泥处理后泥质</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中</w:t>
      </w:r>
      <w:r>
        <w:rPr>
          <w:rFonts w:ascii="Times New Roman" w:hAnsi="Times New Roman" w:eastAsia="宋体" w:cs="Times New Roman"/>
          <w:color w:val="000000" w:themeColor="text1"/>
          <w:w w:val="99"/>
          <w:sz w:val="24"/>
          <w:szCs w:val="24"/>
          <w:highlight w:val="none"/>
          <w14:textFill>
            <w14:solidFill>
              <w14:schemeClr w14:val="tx1"/>
            </w14:solidFill>
          </w14:textFill>
        </w:rPr>
        <w:t>pH值为8.20、含水率为39.1%、石油类为15400mg/kg，处理后污泥满足《油田含油污泥综合利用污染控制标准》（DB23/T1413-2010）标准，用于铺垫采油七厂井排路和通井路。</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）含油废弃防渗布</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油井作业时产生的含油废弃防渗布属于危险废物，危废编号为HW</w:t>
      </w:r>
      <w:r>
        <w:rPr>
          <w:rFonts w:ascii="Times New Roman" w:hAnsi="Times New Roman" w:eastAsia="宋体" w:cs="Times New Roman"/>
          <w:color w:val="000000" w:themeColor="text1"/>
          <w:w w:val="99"/>
          <w:sz w:val="24"/>
          <w:szCs w:val="24"/>
          <w:highlight w:val="none"/>
          <w14:textFill>
            <w14:solidFill>
              <w14:schemeClr w14:val="tx1"/>
            </w14:solidFill>
          </w14:textFill>
        </w:rPr>
        <w:t>49</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其他废物900-</w:t>
      </w:r>
      <w:r>
        <w:rPr>
          <w:rFonts w:ascii="Times New Roman" w:hAnsi="Times New Roman" w:eastAsia="宋体" w:cs="Times New Roman"/>
          <w:color w:val="000000" w:themeColor="text1"/>
          <w:w w:val="99"/>
          <w:sz w:val="24"/>
          <w:szCs w:val="24"/>
          <w:highlight w:val="none"/>
          <w14:textFill>
            <w14:solidFill>
              <w14:schemeClr w14:val="tx1"/>
            </w14:solidFill>
          </w14:textFill>
        </w:rPr>
        <w:t>041</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49含有或沾染毒性、感染性危险废物的废弃包装物、容器、过滤吸附介质</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，产生的含油废弃防渗布</w:t>
      </w:r>
      <w:bookmarkStart w:id="190" w:name="_Hlk69495420"/>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委托资质单位定期拉运处置</w:t>
      </w:r>
      <w:bookmarkEnd w:id="190"/>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 xml:space="preserve"> </w:t>
      </w:r>
    </w:p>
    <w:p>
      <w:pPr>
        <w:spacing w:line="44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rFonts w:hint="eastAsia" w:ascii="Times New Roman" w:hAnsi="Times New Roman" w:cs="Times New Roman"/>
          <w:color w:val="000000" w:themeColor="text1"/>
          <w:w w:val="99"/>
          <w:sz w:val="24"/>
          <w:szCs w:val="24"/>
          <w:highlight w:val="none"/>
          <w14:textFill>
            <w14:solidFill>
              <w14:schemeClr w14:val="tx1"/>
            </w14:solidFill>
          </w14:textFill>
        </w:rPr>
        <w:t xml:space="preserve"> 本项目</w:t>
      </w:r>
      <w:r>
        <w:rPr>
          <w:rFonts w:ascii="Times New Roman" w:hAnsi="Times New Roman" w:cs="Times New Roman"/>
          <w:color w:val="000000" w:themeColor="text1"/>
          <w:w w:val="99"/>
          <w:sz w:val="24"/>
          <w:szCs w:val="24"/>
          <w:highlight w:val="none"/>
          <w14:textFill>
            <w14:solidFill>
              <w14:schemeClr w14:val="tx1"/>
            </w14:solidFill>
          </w14:textFill>
        </w:rPr>
        <w:t>井场运营期产生的含油污泥防渗布暂存在葡萄花含油污泥处理站</w:t>
      </w:r>
      <w:r>
        <w:rPr>
          <w:rFonts w:hint="eastAsia" w:ascii="Times New Roman" w:hAnsi="Times New Roman" w:cs="Times New Roman"/>
          <w:color w:val="000000" w:themeColor="text1"/>
          <w:w w:val="99"/>
          <w:sz w:val="24"/>
          <w:szCs w:val="24"/>
          <w:highlight w:val="none"/>
          <w14:textFill>
            <w14:solidFill>
              <w14:schemeClr w14:val="tx1"/>
            </w14:solidFill>
          </w14:textFill>
        </w:rPr>
        <w:t>专用</w:t>
      </w:r>
      <w:r>
        <w:rPr>
          <w:rFonts w:ascii="Times New Roman" w:hAnsi="Times New Roman" w:cs="Times New Roman"/>
          <w:color w:val="000000" w:themeColor="text1"/>
          <w:w w:val="99"/>
          <w:sz w:val="24"/>
          <w:szCs w:val="24"/>
          <w:highlight w:val="none"/>
          <w14:textFill>
            <w14:solidFill>
              <w14:schemeClr w14:val="tx1"/>
            </w14:solidFill>
          </w14:textFill>
        </w:rPr>
        <w:t>储存池内</w:t>
      </w:r>
      <w:r>
        <w:rPr>
          <w:rFonts w:hint="eastAsia" w:ascii="Times New Roman" w:hAnsi="Times New Roman" w:cs="Times New Roman"/>
          <w:color w:val="000000" w:themeColor="text1"/>
          <w:w w:val="99"/>
          <w:sz w:val="24"/>
          <w:szCs w:val="24"/>
          <w:highlight w:val="none"/>
          <w14:textFill>
            <w14:solidFill>
              <w14:schemeClr w14:val="tx1"/>
            </w14:solidFill>
          </w14:textFill>
        </w:rPr>
        <w:t>，大庆油田有限责任公司</w:t>
      </w:r>
      <w:r>
        <w:rPr>
          <w:rFonts w:ascii="Times New Roman" w:hAnsi="Times New Roman" w:cs="Times New Roman"/>
          <w:color w:val="000000" w:themeColor="text1"/>
          <w:w w:val="99"/>
          <w:sz w:val="24"/>
          <w:szCs w:val="24"/>
          <w:highlight w:val="none"/>
          <w14:textFill>
            <w14:solidFill>
              <w14:schemeClr w14:val="tx1"/>
            </w14:solidFill>
          </w14:textFill>
        </w:rPr>
        <w:t>第七采油厂</w:t>
      </w:r>
      <w:r>
        <w:rPr>
          <w:rFonts w:hint="eastAsia" w:ascii="Times New Roman" w:hAnsi="Times New Roman" w:cs="Times New Roman"/>
          <w:color w:val="000000" w:themeColor="text1"/>
          <w:w w:val="99"/>
          <w:sz w:val="24"/>
          <w:szCs w:val="24"/>
          <w:highlight w:val="none"/>
          <w14:textFill>
            <w14:solidFill>
              <w14:schemeClr w14:val="tx1"/>
            </w14:solidFill>
          </w14:textFill>
        </w:rPr>
        <w:t>已经与</w:t>
      </w:r>
      <w:r>
        <w:rPr>
          <w:rFonts w:ascii="Times New Roman" w:hAnsi="Times New Roman" w:cs="Times New Roman"/>
          <w:color w:val="000000" w:themeColor="text1"/>
          <w:w w:val="99"/>
          <w:sz w:val="24"/>
          <w:szCs w:val="24"/>
          <w:highlight w:val="none"/>
          <w14:textFill>
            <w14:solidFill>
              <w14:schemeClr w14:val="tx1"/>
            </w14:solidFill>
          </w14:textFill>
        </w:rPr>
        <w:t>大庆优嘉环保科技有限公司签订了</w:t>
      </w:r>
      <w:r>
        <w:rPr>
          <w:rFonts w:hint="eastAsia" w:ascii="Times New Roman" w:hAnsi="Times New Roman" w:cs="Times New Roman"/>
          <w:color w:val="000000" w:themeColor="text1"/>
          <w:w w:val="99"/>
          <w:sz w:val="24"/>
          <w:szCs w:val="24"/>
          <w:highlight w:val="none"/>
          <w14:textFill>
            <w14:solidFill>
              <w14:schemeClr w14:val="tx1"/>
            </w14:solidFill>
          </w14:textFill>
        </w:rPr>
        <w:t>含油防渗布</w:t>
      </w:r>
      <w:r>
        <w:rPr>
          <w:rFonts w:ascii="Times New Roman" w:hAnsi="Times New Roman" w:cs="Times New Roman"/>
          <w:color w:val="000000" w:themeColor="text1"/>
          <w:w w:val="99"/>
          <w:sz w:val="24"/>
          <w:szCs w:val="24"/>
          <w:highlight w:val="none"/>
          <w14:textFill>
            <w14:solidFill>
              <w14:schemeClr w14:val="tx1"/>
            </w14:solidFill>
          </w14:textFill>
        </w:rPr>
        <w:t>委托处置合同</w:t>
      </w:r>
      <w:r>
        <w:rPr>
          <w:rFonts w:hint="eastAsia" w:ascii="Times New Roman" w:hAnsi="Times New Roman" w:cs="Times New Roman"/>
          <w:color w:val="000000" w:themeColor="text1"/>
          <w:w w:val="99"/>
          <w:sz w:val="24"/>
          <w:szCs w:val="24"/>
          <w:highlight w:val="none"/>
          <w14:textFill>
            <w14:solidFill>
              <w14:schemeClr w14:val="tx1"/>
            </w14:solidFill>
          </w14:textFill>
        </w:rPr>
        <w:t>（见</w:t>
      </w:r>
      <w:r>
        <w:rPr>
          <w:rFonts w:ascii="Times New Roman" w:hAnsi="Times New Roman" w:cs="Times New Roman"/>
          <w:color w:val="000000" w:themeColor="text1"/>
          <w:w w:val="99"/>
          <w:sz w:val="24"/>
          <w:szCs w:val="24"/>
          <w:highlight w:val="none"/>
          <w14:textFill>
            <w14:solidFill>
              <w14:schemeClr w14:val="tx1"/>
            </w14:solidFill>
          </w14:textFill>
        </w:rPr>
        <w:t>附件</w:t>
      </w:r>
      <w:r>
        <w:rPr>
          <w:rFonts w:hint="eastAsia" w:ascii="Times New Roman" w:hAnsi="Times New Roman" w:cs="Times New Roman"/>
          <w:color w:val="000000" w:themeColor="text1"/>
          <w:w w:val="99"/>
          <w:sz w:val="24"/>
          <w:szCs w:val="24"/>
          <w:highlight w:val="none"/>
          <w14:textFill>
            <w14:solidFill>
              <w14:schemeClr w14:val="tx1"/>
            </w14:solidFill>
          </w14:textFill>
        </w:rPr>
        <w:t>7）</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含油防渗布由</w:t>
      </w:r>
      <w:r>
        <w:rPr>
          <w:rFonts w:ascii="Times New Roman" w:hAnsi="Times New Roman" w:cs="Times New Roman"/>
          <w:color w:val="000000" w:themeColor="text1"/>
          <w:w w:val="99"/>
          <w:sz w:val="24"/>
          <w:szCs w:val="24"/>
          <w:highlight w:val="none"/>
          <w14:textFill>
            <w14:solidFill>
              <w14:schemeClr w14:val="tx1"/>
            </w14:solidFill>
          </w14:textFill>
        </w:rPr>
        <w:t>该单位</w:t>
      </w:r>
      <w:r>
        <w:rPr>
          <w:rFonts w:hint="eastAsia" w:ascii="Times New Roman" w:hAnsi="Times New Roman" w:cs="Times New Roman"/>
          <w:color w:val="000000" w:themeColor="text1"/>
          <w:w w:val="99"/>
          <w:sz w:val="24"/>
          <w:szCs w:val="24"/>
          <w:highlight w:val="none"/>
          <w14:textFill>
            <w14:solidFill>
              <w14:schemeClr w14:val="tx1"/>
            </w14:solidFill>
          </w14:textFill>
        </w:rPr>
        <w:t>按</w:t>
      </w:r>
      <w:r>
        <w:rPr>
          <w:rFonts w:ascii="Times New Roman" w:hAnsi="Times New Roman" w:cs="Times New Roman"/>
          <w:color w:val="000000" w:themeColor="text1"/>
          <w:w w:val="99"/>
          <w:sz w:val="24"/>
          <w:szCs w:val="24"/>
          <w:highlight w:val="none"/>
          <w14:textFill>
            <w14:solidFill>
              <w14:schemeClr w14:val="tx1"/>
            </w14:solidFill>
          </w14:textFill>
        </w:rPr>
        <w:t>危险废物管理的相关要求进行转移、</w:t>
      </w:r>
      <w:r>
        <w:rPr>
          <w:rFonts w:hint="eastAsia" w:ascii="Times New Roman" w:hAnsi="Times New Roman" w:cs="Times New Roman"/>
          <w:color w:val="000000" w:themeColor="text1"/>
          <w:w w:val="99"/>
          <w:sz w:val="24"/>
          <w:szCs w:val="24"/>
          <w:highlight w:val="none"/>
          <w14:textFill>
            <w14:solidFill>
              <w14:schemeClr w14:val="tx1"/>
            </w14:solidFill>
          </w14:textFill>
        </w:rPr>
        <w:t>利用</w:t>
      </w:r>
      <w:r>
        <w:rPr>
          <w:rFonts w:ascii="Times New Roman" w:hAnsi="Times New Roman" w:cs="Times New Roman"/>
          <w:color w:val="000000" w:themeColor="text1"/>
          <w:w w:val="99"/>
          <w:sz w:val="24"/>
          <w:szCs w:val="24"/>
          <w:highlight w:val="none"/>
          <w14:textFill>
            <w14:solidFill>
              <w14:schemeClr w14:val="tx1"/>
            </w14:solidFill>
          </w14:textFill>
        </w:rPr>
        <w:t>及处置</w:t>
      </w:r>
      <w:r>
        <w:rPr>
          <w:rFonts w:hint="eastAsia" w:ascii="Times New Roman" w:hAnsi="Times New Roman" w:cs="Times New Roman"/>
          <w:color w:val="000000" w:themeColor="text1"/>
          <w:w w:val="99"/>
          <w:sz w:val="24"/>
          <w:szCs w:val="24"/>
          <w:highlight w:val="none"/>
          <w14:textFill>
            <w14:solidFill>
              <w14:schemeClr w14:val="tx1"/>
            </w14:solidFill>
          </w14:textFill>
        </w:rPr>
        <w:t>。</w:t>
      </w:r>
      <w:bookmarkStart w:id="191" w:name="_Hlk69495429"/>
      <w:r>
        <w:rPr>
          <w:rFonts w:hint="eastAsia" w:ascii="Times New Roman" w:hAnsi="Times New Roman" w:cs="Times New Roman"/>
          <w:color w:val="000000" w:themeColor="text1"/>
          <w:w w:val="99"/>
          <w:sz w:val="24"/>
          <w:szCs w:val="24"/>
          <w:highlight w:val="none"/>
          <w14:textFill>
            <w14:solidFill>
              <w14:schemeClr w14:val="tx1"/>
            </w14:solidFill>
          </w14:textFill>
        </w:rPr>
        <w:t>含油物质运输、转移应满足《危险废物贮存污染控制标准》（GB18597-2001）及其修改单要求，执行危废转移联单制度。</w:t>
      </w:r>
      <w:bookmarkEnd w:id="191"/>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6.4.2.2运输措施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（1）在井场作业现场管理中，严格落实作业前后环保交接制度，作业队伍必须严格遵守相应的无污染作业准则，确保无污染作业率达到100%；</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（2）本项目危险废物的运输按照《危险废物收集 贮存 运输技术规范》（HJ2025-2012）要求进行运输管理，危废的转移过程应按照《危险废物转移联单管理办法》（总局令 第5号）执行。</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（3）运输路线的选择过程中尽量避开环境敏感点</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综上所述，本项目产生的固体废生均可得到妥善处理，不外排，本项目固体废弃物处置措施可行。</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92" w:name="_Toc2154"/>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6.5 生态保护措施</w:t>
      </w:r>
      <w:bookmarkEnd w:id="192"/>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6.5.1 施工期生态保护措施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1、一般性生态保护措施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ascii="Times New Roman" w:hAnsi="Times New Roman" w:eastAsia="宋体" w:cs="Times New Roman"/>
          <w:color w:val="000000" w:themeColor="text1"/>
          <w:w w:val="99"/>
          <w:sz w:val="24"/>
          <w:szCs w:val="24"/>
          <w:highlight w:val="none"/>
          <w14:textFill>
            <w14:solidFill>
              <w14:schemeClr w14:val="tx1"/>
            </w14:solidFill>
          </w14:textFill>
        </w:rPr>
        <w:t>）加强井场管理及设备养护，防止原油、含油污水以及各种废液的跑冒滴漏，如发生跑冒滴漏，及时处理；</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ascii="Times New Roman" w:hAnsi="Times New Roman" w:eastAsia="宋体" w:cs="Times New Roman"/>
          <w:color w:val="000000" w:themeColor="text1"/>
          <w:w w:val="99"/>
          <w:sz w:val="24"/>
          <w:szCs w:val="24"/>
          <w:highlight w:val="none"/>
          <w14:textFill>
            <w14:solidFill>
              <w14:schemeClr w14:val="tx1"/>
            </w14:solidFill>
          </w14:textFill>
        </w:rPr>
        <w:t>）</w:t>
      </w:r>
      <w:bookmarkStart w:id="193" w:name="_Hlk69495690"/>
      <w:r>
        <w:rPr>
          <w:rFonts w:ascii="Times New Roman" w:hAnsi="Times New Roman" w:eastAsia="宋体" w:cs="Times New Roman"/>
          <w:color w:val="000000" w:themeColor="text1"/>
          <w:w w:val="99"/>
          <w:sz w:val="24"/>
          <w:szCs w:val="24"/>
          <w:highlight w:val="none"/>
          <w14:textFill>
            <w14:solidFill>
              <w14:schemeClr w14:val="tx1"/>
            </w14:solidFill>
          </w14:textFill>
        </w:rPr>
        <w:t>埋设</w:t>
      </w: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t>注水管线</w:t>
      </w:r>
      <w:r>
        <w:rPr>
          <w:rFonts w:ascii="Times New Roman" w:hAnsi="Times New Roman" w:eastAsia="宋体" w:cs="Times New Roman"/>
          <w:color w:val="000000" w:themeColor="text1"/>
          <w:w w:val="99"/>
          <w:sz w:val="24"/>
          <w:szCs w:val="24"/>
          <w:highlight w:val="none"/>
          <w14:textFill>
            <w14:solidFill>
              <w14:schemeClr w14:val="tx1"/>
            </w14:solidFill>
          </w14:textFill>
        </w:rPr>
        <w:t>时，根据管径的大小做到尽量窄控，采取平埋方式（不起土坝）进行</w:t>
      </w:r>
      <w:bookmarkEnd w:id="193"/>
      <w:r>
        <w:rPr>
          <w:rFonts w:ascii="Times New Roman" w:hAnsi="Times New Roman" w:eastAsia="宋体" w:cs="Times New Roman"/>
          <w:color w:val="000000" w:themeColor="text1"/>
          <w:w w:val="99"/>
          <w:sz w:val="24"/>
          <w:szCs w:val="24"/>
          <w:highlight w:val="none"/>
          <w14:textFill>
            <w14:solidFill>
              <w14:schemeClr w14:val="tx1"/>
            </w14:solidFill>
          </w14:textFill>
        </w:rPr>
        <w:t>，以便尽快恢复植被；</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3</w:t>
      </w:r>
      <w:r>
        <w:rPr>
          <w:rFonts w:ascii="Times New Roman" w:hAnsi="Times New Roman" w:eastAsia="宋体" w:cs="Times New Roman"/>
          <w:color w:val="000000" w:themeColor="text1"/>
          <w:w w:val="99"/>
          <w:sz w:val="24"/>
          <w:szCs w:val="24"/>
          <w:highlight w:val="none"/>
          <w14:textFill>
            <w14:solidFill>
              <w14:schemeClr w14:val="tx1"/>
            </w14:solidFill>
          </w14:textFill>
        </w:rPr>
        <w:t>）恢复土地生产能力。</w:t>
      </w:r>
      <w:bookmarkStart w:id="194" w:name="_Hlk69495704"/>
      <w:r>
        <w:rPr>
          <w:rFonts w:ascii="Times New Roman" w:hAnsi="Times New Roman" w:eastAsia="宋体" w:cs="Times New Roman"/>
          <w:color w:val="000000" w:themeColor="text1"/>
          <w:w w:val="99"/>
          <w:sz w:val="24"/>
          <w:szCs w:val="24"/>
          <w:highlight w:val="none"/>
          <w14:textFill>
            <w14:solidFill>
              <w14:schemeClr w14:val="tx1"/>
            </w14:solidFill>
          </w14:textFill>
        </w:rPr>
        <w:t>施工过程中尽量保护土地资源，不打乱土层，先挖表土层（20cm左右）单独堆放；然后挖心、底土层另外堆放。复原时先填心、底土，后平覆表土，以便尽快恢复土地原貌</w:t>
      </w:r>
      <w:bookmarkEnd w:id="194"/>
      <w:r>
        <w:rPr>
          <w:rFonts w:ascii="Times New Roman" w:hAnsi="Times New Roman" w:eastAsia="宋体" w:cs="Times New Roman"/>
          <w:color w:val="000000" w:themeColor="text1"/>
          <w:w w:val="99"/>
          <w:sz w:val="24"/>
          <w:szCs w:val="24"/>
          <w:highlight w:val="none"/>
          <w14:textFill>
            <w14:solidFill>
              <w14:schemeClr w14:val="tx1"/>
            </w14:solidFill>
          </w14:textFill>
        </w:rPr>
        <w:t>；</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4</w:t>
      </w:r>
      <w:r>
        <w:rPr>
          <w:rFonts w:ascii="Times New Roman" w:hAnsi="Times New Roman" w:eastAsia="宋体" w:cs="Times New Roman"/>
          <w:color w:val="000000" w:themeColor="text1"/>
          <w:w w:val="99"/>
          <w:sz w:val="24"/>
          <w:szCs w:val="24"/>
          <w:highlight w:val="none"/>
          <w14:textFill>
            <w14:solidFill>
              <w14:schemeClr w14:val="tx1"/>
            </w14:solidFill>
          </w14:textFill>
        </w:rPr>
        <w:t>）</w:t>
      </w:r>
      <w:bookmarkStart w:id="195" w:name="_Hlk69495716"/>
      <w:r>
        <w:rPr>
          <w:rFonts w:ascii="Times New Roman" w:hAnsi="Times New Roman" w:eastAsia="宋体" w:cs="Times New Roman"/>
          <w:color w:val="000000" w:themeColor="text1"/>
          <w:w w:val="99"/>
          <w:sz w:val="24"/>
          <w:szCs w:val="24"/>
          <w:highlight w:val="none"/>
          <w14:textFill>
            <w14:solidFill>
              <w14:schemeClr w14:val="tx1"/>
            </w14:solidFill>
          </w14:textFill>
        </w:rPr>
        <w:t>加强管理，规范施工人员行为，严禁随意践踏、碾压施工区范围之外的植被；</w:t>
      </w:r>
      <w:bookmarkEnd w:id="195"/>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5</w:t>
      </w:r>
      <w:r>
        <w:rPr>
          <w:rFonts w:ascii="Times New Roman" w:hAnsi="Times New Roman" w:eastAsia="宋体" w:cs="Times New Roman"/>
          <w:color w:val="000000" w:themeColor="text1"/>
          <w:w w:val="99"/>
          <w:sz w:val="24"/>
          <w:szCs w:val="24"/>
          <w:highlight w:val="none"/>
          <w14:textFill>
            <w14:solidFill>
              <w14:schemeClr w14:val="tx1"/>
            </w14:solidFill>
          </w14:textFill>
        </w:rPr>
        <w:t>）</w:t>
      </w:r>
      <w:bookmarkStart w:id="196" w:name="_Hlk69495734"/>
      <w:r>
        <w:rPr>
          <w:rFonts w:ascii="Times New Roman" w:hAnsi="Times New Roman" w:eastAsia="宋体" w:cs="Times New Roman"/>
          <w:color w:val="000000" w:themeColor="text1"/>
          <w:w w:val="99"/>
          <w:sz w:val="24"/>
          <w:szCs w:val="24"/>
          <w:highlight w:val="none"/>
          <w14:textFill>
            <w14:solidFill>
              <w14:schemeClr w14:val="tx1"/>
            </w14:solidFill>
          </w14:textFill>
        </w:rPr>
        <w:t>施工结束后，及时恢复被破坏的地表形态。对临时占用</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草地</w:t>
      </w:r>
      <w:r>
        <w:rPr>
          <w:rFonts w:ascii="Times New Roman" w:hAnsi="Times New Roman" w:eastAsia="宋体" w:cs="Times New Roman"/>
          <w:color w:val="000000" w:themeColor="text1"/>
          <w:w w:val="99"/>
          <w:sz w:val="24"/>
          <w:szCs w:val="24"/>
          <w:highlight w:val="none"/>
          <w14:textFill>
            <w14:solidFill>
              <w14:schemeClr w14:val="tx1"/>
            </w14:solidFill>
          </w14:textFill>
        </w:rPr>
        <w:t>进行表土留存，分层回填，</w:t>
      </w:r>
      <w:bookmarkEnd w:id="196"/>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及时恢复</w:t>
      </w:r>
      <w:r>
        <w:rPr>
          <w:rFonts w:ascii="Times New Roman" w:hAnsi="Times New Roman" w:eastAsia="宋体" w:cs="Times New Roman"/>
          <w:color w:val="000000" w:themeColor="text1"/>
          <w:w w:val="99"/>
          <w:sz w:val="24"/>
          <w:szCs w:val="24"/>
          <w:highlight w:val="none"/>
          <w14:textFill>
            <w14:solidFill>
              <w14:schemeClr w14:val="tx1"/>
            </w14:solidFill>
          </w14:textFill>
        </w:rPr>
        <w:t>地表植被</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2、针对性保护措施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）对于临时占地，</w:t>
      </w:r>
      <w:r>
        <w:rPr>
          <w:rFonts w:ascii="Times New Roman" w:hAnsi="Times New Roman" w:eastAsia="宋体" w:cs="Times New Roman"/>
          <w:color w:val="000000" w:themeColor="text1"/>
          <w:w w:val="99"/>
          <w:sz w:val="24"/>
          <w:szCs w:val="24"/>
          <w:highlight w:val="none"/>
          <w14:textFill>
            <w14:solidFill>
              <w14:schemeClr w14:val="tx1"/>
            </w14:solidFill>
          </w14:textFill>
        </w:rPr>
        <w:t>施工结束后，及时恢复被破坏的地表形态。</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对于临时占用的草地，施工期应严格控制临时占地范围，尽量减小对植被破坏，施工结束后进行</w:t>
      </w:r>
      <w:r>
        <w:rPr>
          <w:rFonts w:ascii="Times New Roman" w:hAnsi="Times New Roman" w:eastAsia="宋体" w:cs="Times New Roman"/>
          <w:color w:val="000000" w:themeColor="text1"/>
          <w:w w:val="99"/>
          <w:sz w:val="24"/>
          <w:szCs w:val="24"/>
          <w:highlight w:val="none"/>
          <w14:textFill>
            <w14:solidFill>
              <w14:schemeClr w14:val="tx1"/>
            </w14:solidFill>
          </w14:textFill>
        </w:rPr>
        <w:t>植被恢复</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恢复过程</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应</w:t>
      </w:r>
      <w:r>
        <w:rPr>
          <w:rFonts w:ascii="Times New Roman" w:hAnsi="Times New Roman" w:eastAsia="宋体" w:cs="Times New Roman"/>
          <w:color w:val="000000" w:themeColor="text1"/>
          <w:w w:val="99"/>
          <w:sz w:val="24"/>
          <w:szCs w:val="24"/>
          <w:highlight w:val="none"/>
          <w14:textFill>
            <w14:solidFill>
              <w14:schemeClr w14:val="tx1"/>
            </w14:solidFill>
          </w14:textFill>
        </w:rPr>
        <w:t>由环境监理全程监督，以确保生态恢复效果</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；本项目</w:t>
      </w:r>
      <w:r>
        <w:rPr>
          <w:rFonts w:ascii="Times New Roman" w:hAnsi="Times New Roman" w:eastAsia="宋体" w:cs="Times New Roman"/>
          <w:color w:val="000000" w:themeColor="text1"/>
          <w:w w:val="99"/>
          <w:sz w:val="24"/>
          <w:szCs w:val="24"/>
          <w:highlight w:val="none"/>
          <w14:textFill>
            <w14:solidFill>
              <w14:schemeClr w14:val="tx1"/>
            </w14:solidFill>
          </w14:textFill>
        </w:rPr>
        <w:t>施工结束后进行植被恢复，</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典型</w:t>
      </w:r>
      <w:r>
        <w:rPr>
          <w:rFonts w:ascii="Times New Roman" w:hAnsi="Times New Roman" w:eastAsia="宋体" w:cs="Times New Roman"/>
          <w:color w:val="000000" w:themeColor="text1"/>
          <w:w w:val="99"/>
          <w:sz w:val="24"/>
          <w:szCs w:val="24"/>
          <w:highlight w:val="none"/>
          <w14:textFill>
            <w14:solidFill>
              <w14:schemeClr w14:val="tx1"/>
            </w14:solidFill>
          </w14:textFill>
        </w:rPr>
        <w:t>生态保护措施</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布置</w:t>
      </w:r>
      <w:r>
        <w:rPr>
          <w:rFonts w:ascii="Times New Roman" w:hAnsi="Times New Roman" w:eastAsia="宋体" w:cs="Times New Roman"/>
          <w:color w:val="000000" w:themeColor="text1"/>
          <w:w w:val="99"/>
          <w:sz w:val="24"/>
          <w:szCs w:val="24"/>
          <w:highlight w:val="none"/>
          <w14:textFill>
            <w14:solidFill>
              <w14:schemeClr w14:val="tx1"/>
            </w14:solidFill>
          </w14:textFill>
        </w:rPr>
        <w:t>示意图见</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附图</w:t>
      </w:r>
      <w:r>
        <w:rPr>
          <w:rFonts w:ascii="Times New Roman" w:hAnsi="Times New Roman" w:eastAsia="宋体" w:cs="Times New Roman"/>
          <w:color w:val="000000" w:themeColor="text1"/>
          <w:w w:val="99"/>
          <w:sz w:val="24"/>
          <w:szCs w:val="24"/>
          <w:highlight w:val="none"/>
          <w14:textFill>
            <w14:solidFill>
              <w14:schemeClr w14:val="tx1"/>
            </w14:solidFill>
          </w14:textFill>
        </w:rPr>
        <w:t>31</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附图</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32。</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6.5.2 运营期生态保护措施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本工程正常生产情况下，油井产液均为密闭集输，基本无污染物排放到周围环境中，对周围的生态环境基本无影响，不会导致土壤沙化现象。</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（1）</w:t>
      </w:r>
      <w:bookmarkStart w:id="197" w:name="_Hlk69495969"/>
      <w:r>
        <w:rPr>
          <w:rFonts w:hint="eastAsia" w:ascii="Times New Roman" w:hAnsi="Times New Roman" w:eastAsia="宋体" w:cs="Times New Roman"/>
          <w:color w:val="000000" w:themeColor="text1"/>
          <w:w w:val="99"/>
          <w:sz w:val="24"/>
          <w:szCs w:val="24"/>
          <w:highlight w:val="none"/>
          <w14:textFill>
            <w14:solidFill>
              <w14:schemeClr w14:val="tx1"/>
            </w14:solidFill>
          </w14:textFill>
        </w:rPr>
        <w:t>运行期</w:t>
      </w:r>
      <w:r>
        <w:rPr>
          <w:rFonts w:ascii="Times New Roman" w:hAnsi="Times New Roman" w:eastAsia="宋体" w:cs="Times New Roman"/>
          <w:color w:val="000000" w:themeColor="text1"/>
          <w:w w:val="99"/>
          <w:sz w:val="24"/>
          <w:szCs w:val="24"/>
          <w:highlight w:val="none"/>
          <w14:textFill>
            <w14:solidFill>
              <w14:schemeClr w14:val="tx1"/>
            </w14:solidFill>
          </w14:textFill>
        </w:rPr>
        <w:t>严格控制油井作业施工的占地，普通井下作业</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（修井）及洗井工作</w:t>
      </w:r>
      <w:r>
        <w:rPr>
          <w:rFonts w:ascii="Times New Roman" w:hAnsi="Times New Roman" w:eastAsia="宋体" w:cs="Times New Roman"/>
          <w:color w:val="000000" w:themeColor="text1"/>
          <w:w w:val="99"/>
          <w:sz w:val="24"/>
          <w:szCs w:val="24"/>
          <w:highlight w:val="none"/>
          <w14:textFill>
            <w14:solidFill>
              <w14:schemeClr w14:val="tx1"/>
            </w14:solidFill>
          </w14:textFill>
        </w:rPr>
        <w:t>不新征临时占地，大修占地不超过50×50m；</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（2）施工中缩小影响范围，提高工程施工效率</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，尽量缩短施工时间</w:t>
      </w:r>
      <w:r>
        <w:rPr>
          <w:rFonts w:ascii="Times New Roman" w:hAnsi="Times New Roman" w:eastAsia="宋体" w:cs="Times New Roman"/>
          <w:color w:val="000000" w:themeColor="text1"/>
          <w:w w:val="99"/>
          <w:sz w:val="24"/>
          <w:szCs w:val="24"/>
          <w:highlight w:val="none"/>
          <w14:textFill>
            <w14:solidFill>
              <w14:schemeClr w14:val="tx1"/>
            </w14:solidFill>
          </w14:textFill>
        </w:rPr>
        <w:t>，减少工程在空间上、时间上对生态环境的影响；</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（3）油井作业时严格执行环保措施，控制污染物的外排量，保证“工完料净场地清”，作业后无落地油遗留井场；</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（4）井场夯实，回收落地油时，减少土壤的剥离量；</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（5）油井作业时应在井场周围堆筑临时围堰，防止作业时产生的油水进入周围环境；</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（6）加强管理，减少落地油在清理和运输过程跑冒滴漏的量，</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污泥回收后不随意堆弃，送葡萄花含油污泥处理站进行无害化处理。</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（7）运行期油井作业禁止碾压和破坏道路及井场</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永久占地外的湿地</w:t>
      </w:r>
      <w:r>
        <w:rPr>
          <w:rFonts w:ascii="Times New Roman" w:hAnsi="Times New Roman" w:eastAsia="宋体" w:cs="Times New Roman"/>
          <w:color w:val="000000" w:themeColor="text1"/>
          <w:w w:val="99"/>
          <w:sz w:val="24"/>
          <w:szCs w:val="24"/>
          <w:highlight w:val="none"/>
          <w14:textFill>
            <w14:solidFill>
              <w14:schemeClr w14:val="tx1"/>
            </w14:solidFill>
          </w14:textFill>
        </w:rPr>
        <w:t>。</w:t>
      </w:r>
    </w:p>
    <w:bookmarkEnd w:id="197"/>
    <w:p>
      <w:pPr>
        <w:autoSpaceDE/>
        <w:autoSpaceDN/>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本工程通过采取上述生态保护措施，能够确保本工程对区域生态环境的破坏得到有效控制，不会对区域生态环境产生较大影响，生态保护措施可行。</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6.5.3 水土流失防治措施</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14:textFill>
            <w14:solidFill>
              <w14:schemeClr w14:val="tx1"/>
            </w14:solidFill>
          </w14:textFill>
        </w:rPr>
        <w:t>根据《大庆市水土保持规划（2015~2030）》的</w:t>
      </w:r>
      <w:r>
        <w:rPr>
          <w:rFonts w:ascii="Times New Roman" w:hAnsi="Times New Roman" w:cs="Times New Roman"/>
          <w:color w:val="000000" w:themeColor="text1"/>
          <w:spacing w:val="-9"/>
          <w:w w:val="99"/>
          <w:sz w:val="24"/>
          <w:szCs w:val="24"/>
          <w:highlight w:val="none"/>
          <w14:textFill>
            <w14:solidFill>
              <w14:schemeClr w14:val="tx1"/>
            </w14:solidFill>
          </w14:textFill>
        </w:rPr>
        <w:t>相关要求，</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提出工程</w:t>
      </w:r>
      <w:r>
        <w:rPr>
          <w:rFonts w:ascii="Times New Roman" w:hAnsi="Times New Roman" w:cs="Times New Roman"/>
          <w:color w:val="000000" w:themeColor="text1"/>
          <w:spacing w:val="-9"/>
          <w:w w:val="99"/>
          <w:sz w:val="24"/>
          <w:szCs w:val="24"/>
          <w:highlight w:val="none"/>
          <w14:textFill>
            <w14:solidFill>
              <w14:schemeClr w14:val="tx1"/>
            </w14:solidFill>
          </w14:textFill>
        </w:rPr>
        <w:t>防治措施和管理措施：</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（1）工程防治措施</w:t>
      </w:r>
    </w:p>
    <w:p>
      <w:pPr>
        <w:pStyle w:val="14"/>
        <w:spacing w:line="440" w:lineRule="exact"/>
        <w:ind w:firstLine="438" w:firstLineChars="200"/>
        <w:jc w:val="both"/>
        <w:rPr>
          <w:rFonts w:hint="eastAsia" w:ascii="Times New Roman" w:hAnsi="Times New Roman" w:eastAsia="宋体"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9"/>
          <w:w w:val="99"/>
          <w:sz w:val="24"/>
          <w:szCs w:val="24"/>
          <w:highlight w:val="none"/>
          <w14:textFill>
            <w14:solidFill>
              <w14:schemeClr w14:val="tx1"/>
            </w14:solidFill>
          </w14:textFill>
        </w:rPr>
        <w:fldChar w:fldCharType="begin"/>
      </w:r>
      <w:r>
        <w:rPr>
          <w:rFonts w:hint="eastAsia" w:ascii="Times New Roman" w:hAnsi="Times New Roman" w:eastAsia="宋体" w:cs="Times New Roman"/>
          <w:color w:val="000000" w:themeColor="text1"/>
          <w:spacing w:val="-9"/>
          <w:w w:val="99"/>
          <w:sz w:val="24"/>
          <w:szCs w:val="24"/>
          <w:highlight w:val="none"/>
          <w14:textFill>
            <w14:solidFill>
              <w14:schemeClr w14:val="tx1"/>
            </w14:solidFill>
          </w14:textFill>
        </w:rPr>
        <w:instrText xml:space="preserve"> eq \o\ac(○,1)</w:instrText>
      </w:r>
      <w:r>
        <w:rPr>
          <w:rFonts w:hint="eastAsia" w:ascii="Times New Roman" w:hAnsi="Times New Roman" w:eastAsia="宋体" w:cs="Times New Roman"/>
          <w:color w:val="000000" w:themeColor="text1"/>
          <w:spacing w:val="-9"/>
          <w:w w:val="99"/>
          <w:sz w:val="24"/>
          <w:szCs w:val="24"/>
          <w:highlight w:val="none"/>
          <w14:textFill>
            <w14:solidFill>
              <w14:schemeClr w14:val="tx1"/>
            </w14:solidFill>
          </w14:textFill>
        </w:rPr>
        <w:fldChar w:fldCharType="end"/>
      </w:r>
      <w:r>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t xml:space="preserve">井场 </w:t>
      </w:r>
    </w:p>
    <w:p>
      <w:pPr>
        <w:pStyle w:val="14"/>
        <w:spacing w:line="440" w:lineRule="exact"/>
        <w:ind w:firstLine="438" w:firstLineChars="200"/>
        <w:jc w:val="both"/>
        <w:rPr>
          <w:rFonts w:hint="eastAsia" w:ascii="Times New Roman" w:hAnsi="Times New Roman" w:eastAsia="宋体"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t>井场予以平整、压实，以免发生水土流失。对于建设开挖、回填产生的弃土石方要合 理填埋、堆放、利用，并采取适当的压实平整措施。地面建设产生的弃方不得随处堆放， 应合理利用。</w:t>
      </w:r>
    </w:p>
    <w:p>
      <w:pPr>
        <w:pStyle w:val="14"/>
        <w:spacing w:line="440" w:lineRule="exact"/>
        <w:ind w:firstLine="438" w:firstLineChars="200"/>
        <w:jc w:val="both"/>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instrText xml:space="preserve"> eq \o\ac(○,2)</w:instrText>
      </w:r>
      <w:r>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t>道路</w:t>
      </w:r>
    </w:p>
    <w:p>
      <w:pPr>
        <w:pStyle w:val="14"/>
        <w:spacing w:line="440" w:lineRule="exact"/>
        <w:ind w:firstLine="438" w:firstLineChars="200"/>
        <w:jc w:val="both"/>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t>严格控制施工车辆、机械及施工人员活动范围，尽可能减少原有植被和土壤的破坏，制定好施工车辆、运输车辆等工作方案，避免对道路占地以外的植被进行碾压破坏。</w:t>
      </w:r>
    </w:p>
    <w:p>
      <w:pPr>
        <w:pStyle w:val="14"/>
        <w:spacing w:line="440" w:lineRule="exact"/>
        <w:ind w:firstLine="438" w:firstLineChars="200"/>
        <w:jc w:val="both"/>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9"/>
          <w:w w:val="99"/>
          <w:sz w:val="24"/>
          <w:szCs w:val="24"/>
          <w:highlight w:val="none"/>
          <w:lang w:val="en-US" w:eastAsia="zh-CN"/>
          <w14:textFill>
            <w14:solidFill>
              <w14:schemeClr w14:val="tx1"/>
            </w14:solidFill>
          </w14:textFill>
        </w:rPr>
        <w:t>利用现有公路和已有便道行车，不新建道路，避免造成新的裸露地表；执行“无捷径”原则，规范车辆行驶路线，不在道路、井场以外的地方行驶和作业，禁止碾压和破坏地表植被。在油田道路地势较低，容易汇水形成径流冲刷的路段，设置钢筋砼板涵，以保证道 路两侧洪沟的畅通。生产期及时作好道路泄洪桥涵洞的疏通、维修工作，保证各类设施的泄洪能力</w:t>
      </w:r>
    </w:p>
    <w:p>
      <w:pPr>
        <w:pStyle w:val="14"/>
        <w:keepNext w:val="0"/>
        <w:keepLines w:val="0"/>
        <w:pageBreakBefore w:val="0"/>
        <w:kinsoku/>
        <w:wordWrap/>
        <w:overflowPunct/>
        <w:topLinePunct w:val="0"/>
        <w:autoSpaceDE w:val="0"/>
        <w:autoSpaceDN w:val="0"/>
        <w:bidi w:val="0"/>
        <w:adjustRightInd/>
        <w:snapToGrid/>
        <w:spacing w:line="440" w:lineRule="exact"/>
        <w:ind w:firstLine="438" w:firstLineChars="200"/>
        <w:jc w:val="both"/>
        <w:textAlignment w:val="auto"/>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fldChar w:fldCharType="begin"/>
      </w:r>
      <w:r>
        <w:rPr>
          <w:rFonts w:ascii="Times New Roman" w:hAnsi="Times New Roman" w:cs="Times New Roman"/>
          <w:color w:val="000000" w:themeColor="text1"/>
          <w:spacing w:val="-9"/>
          <w:w w:val="99"/>
          <w:sz w:val="24"/>
          <w:szCs w:val="24"/>
          <w:highlight w:val="none"/>
          <w14:textFill>
            <w14:solidFill>
              <w14:schemeClr w14:val="tx1"/>
            </w14:solidFill>
          </w14:textFill>
        </w:rPr>
        <w:instrText xml:space="preserve"> </w:instrTex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instrText xml:space="preserve">eq \o\ac(○,</w:instrText>
      </w:r>
      <w:r>
        <w:rPr>
          <w:rFonts w:hint="eastAsia" w:ascii="Times New Roman" w:hAnsi="Times New Roman" w:cs="Times New Roman"/>
          <w:color w:val="000000" w:themeColor="text1"/>
          <w:w w:val="99"/>
          <w:position w:val="3"/>
          <w:sz w:val="16"/>
          <w:szCs w:val="24"/>
          <w:highlight w:val="none"/>
          <w14:textFill>
            <w14:solidFill>
              <w14:schemeClr w14:val="tx1"/>
            </w14:solidFill>
          </w14:textFill>
        </w:rPr>
        <w:instrText xml:space="preserve">2</w:instrTex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instrText xml:space="preserve">)</w:instrText>
      </w:r>
      <w:r>
        <w:rPr>
          <w:rFonts w:ascii="Times New Roman" w:hAnsi="Times New Roman" w:cs="Times New Roman"/>
          <w:color w:val="000000" w:themeColor="text1"/>
          <w:spacing w:val="-9"/>
          <w:w w:val="99"/>
          <w:sz w:val="24"/>
          <w:szCs w:val="24"/>
          <w:highlight w:val="none"/>
          <w14:textFill>
            <w14:solidFill>
              <w14:schemeClr w14:val="tx1"/>
            </w14:solidFill>
          </w14:textFill>
        </w:rPr>
        <w:fldChar w:fldCharType="end"/>
      </w:r>
      <w:r>
        <w:rPr>
          <w:rFonts w:ascii="Times New Roman" w:hAnsi="Times New Roman" w:cs="Times New Roman"/>
          <w:color w:val="000000" w:themeColor="text1"/>
          <w:spacing w:val="-9"/>
          <w:w w:val="99"/>
          <w:sz w:val="24"/>
          <w:szCs w:val="24"/>
          <w:highlight w:val="none"/>
          <w14:textFill>
            <w14:solidFill>
              <w14:schemeClr w14:val="tx1"/>
            </w14:solidFill>
          </w14:textFill>
        </w:rPr>
        <w:t>管线</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438" w:firstLineChars="200"/>
        <w:jc w:val="both"/>
        <w:textAlignment w:val="auto"/>
        <w:rPr>
          <w:rFonts w:ascii="Times New Roman" w:hAnsi="Times New Roman" w:eastAsia="宋体" w:cs="Times New Roman"/>
          <w:color w:val="000000" w:themeColor="text1"/>
          <w:spacing w:val="-9"/>
          <w:w w:val="99"/>
          <w:sz w:val="24"/>
          <w:szCs w:val="24"/>
          <w:highlight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9"/>
          <w:w w:val="99"/>
          <w:sz w:val="24"/>
          <w:szCs w:val="24"/>
          <w:highlight w:val="none"/>
          <w:lang w:val="en-US" w:eastAsia="zh-CN" w:bidi="zh-CN"/>
          <w14:textFill>
            <w14:solidFill>
              <w14:schemeClr w14:val="tx1"/>
            </w14:solidFill>
          </w14:textFill>
        </w:rPr>
        <w:t>管道工程施工时，要特别注意保护原始地表与天然植被，应划定施工活动范围，严格 控制和管理车辆及重型机械的运行范围，所有车辆采用</w:t>
      </w:r>
      <w:r>
        <w:rPr>
          <w:rFonts w:hint="default" w:ascii="Times New Roman" w:hAnsi="Times New Roman" w:eastAsia="宋体" w:cs="Times New Roman"/>
          <w:color w:val="000000" w:themeColor="text1"/>
          <w:spacing w:val="-9"/>
          <w:w w:val="99"/>
          <w:sz w:val="24"/>
          <w:szCs w:val="24"/>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spacing w:val="-9"/>
          <w:w w:val="99"/>
          <w:sz w:val="24"/>
          <w:szCs w:val="24"/>
          <w:highlight w:val="none"/>
          <w:lang w:val="en-US" w:eastAsia="zh-CN" w:bidi="zh-CN"/>
          <w14:textFill>
            <w14:solidFill>
              <w14:schemeClr w14:val="tx1"/>
            </w14:solidFill>
          </w14:textFill>
        </w:rPr>
        <w:t>一</w:t>
      </w:r>
      <w:r>
        <w:rPr>
          <w:rFonts w:hint="default" w:ascii="Times New Roman" w:hAnsi="Times New Roman" w:eastAsia="宋体" w:cs="Times New Roman"/>
          <w:color w:val="000000" w:themeColor="text1"/>
          <w:spacing w:val="-9"/>
          <w:w w:val="99"/>
          <w:sz w:val="24"/>
          <w:szCs w:val="24"/>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spacing w:val="-9"/>
          <w:w w:val="99"/>
          <w:sz w:val="24"/>
          <w:szCs w:val="24"/>
          <w:highlight w:val="none"/>
          <w:lang w:val="en-US" w:eastAsia="zh-CN" w:bidi="zh-CN"/>
          <w14:textFill>
            <w14:solidFill>
              <w14:schemeClr w14:val="tx1"/>
            </w14:solidFill>
          </w14:textFill>
        </w:rPr>
        <w:t xml:space="preserve">字型作业法，走同一车辙，避 免加行开辟新路。管沟挖、填方作业应尽量做到互补平衡，以免造成弃土方堆积和过多借 土，增加新的水土流失。管沟回填应按层回填，以利于施工带土壤和植被的尽早恢复。回 填后应予以平整、压实，以免发生水土流失。对高出地面部分做出水土保持要求，要求高 出地面部分回填土按梯形堆放于管线上部，堆放后人工进行修整、拍实。项目区低洼地段， </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jc w:val="both"/>
        <w:textAlignment w:val="auto"/>
        <w:rPr>
          <w:rFonts w:ascii="Times New Roman" w:hAnsi="Times New Roman" w:eastAsia="宋体" w:cs="Times New Roman"/>
          <w:color w:val="000000" w:themeColor="text1"/>
          <w:spacing w:val="-9"/>
          <w:w w:val="99"/>
          <w:sz w:val="24"/>
          <w:szCs w:val="24"/>
          <w:highlight w:val="none"/>
          <w:lang w:val="zh-CN" w:eastAsia="zh-CN" w:bidi="zh-CN"/>
          <w14:textFill>
            <w14:solidFill>
              <w14:schemeClr w14:val="tx1"/>
            </w14:solidFill>
          </w14:textFill>
        </w:rPr>
      </w:pPr>
      <w:r>
        <w:rPr>
          <w:rFonts w:hint="eastAsia" w:ascii="Times New Roman" w:hAnsi="Times New Roman" w:eastAsia="宋体" w:cs="Times New Roman"/>
          <w:color w:val="000000" w:themeColor="text1"/>
          <w:spacing w:val="-9"/>
          <w:w w:val="99"/>
          <w:sz w:val="24"/>
          <w:szCs w:val="24"/>
          <w:highlight w:val="none"/>
          <w:lang w:val="en-US" w:eastAsia="zh-CN" w:bidi="zh-CN"/>
          <w14:textFill>
            <w14:solidFill>
              <w14:schemeClr w14:val="tx1"/>
            </w14:solidFill>
          </w14:textFill>
        </w:rPr>
        <w:t>降雨季节施工的应先建好防洪、导流和泄洪设施后开工，以防洪水冲毁工程、机械，造成 不必要的损失。</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9"/>
          <w:w w:val="99"/>
          <w:sz w:val="24"/>
          <w:szCs w:val="24"/>
          <w:highlight w:val="none"/>
          <w14:textFill>
            <w14:solidFill>
              <w14:schemeClr w14:val="tx1"/>
            </w14:solidFill>
          </w14:textFill>
        </w:rPr>
        <w:t>③</w:t>
      </w:r>
      <w:r>
        <w:rPr>
          <w:rFonts w:ascii="Times New Roman" w:hAnsi="Times New Roman" w:eastAsia="宋体" w:cs="Times New Roman"/>
          <w:color w:val="000000" w:themeColor="text1"/>
          <w:spacing w:val="-9"/>
          <w:w w:val="99"/>
          <w:sz w:val="24"/>
          <w:szCs w:val="24"/>
          <w:highlight w:val="none"/>
          <w14:textFill>
            <w14:solidFill>
              <w14:schemeClr w14:val="tx1"/>
            </w14:solidFill>
          </w14:textFill>
        </w:rPr>
        <w:t>生</w:t>
      </w:r>
      <w:r>
        <w:rPr>
          <w:rFonts w:ascii="Times New Roman" w:hAnsi="Times New Roman" w:cs="Times New Roman"/>
          <w:color w:val="000000" w:themeColor="text1"/>
          <w:spacing w:val="-9"/>
          <w:w w:val="99"/>
          <w:sz w:val="24"/>
          <w:szCs w:val="24"/>
          <w:highlight w:val="none"/>
          <w14:textFill>
            <w14:solidFill>
              <w14:schemeClr w14:val="tx1"/>
            </w14:solidFill>
          </w14:textFill>
        </w:rPr>
        <w:t>物防治措施</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本项目水土保持生物措施主要根据油田地面植被情况，做好原有植被恢复工作和人工绿化工作，最大程度的降低因本项目施工建设和生产运行而新增的水土流失量，保护当地出现退化现象的草原生态系统，降低人为因素导致当地土壤盐碱化的趋势，尽量改善当地的生态环境。</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（2）管理措施</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因地制宜选择施工季节，尽量避开植被生长季节，减少损失，同时避开大风及强降水季节。施工期间应划定施工活动范围，严格控制和管理运输车辆、重型机械设备作业范围，以及施工人员的活动范围，由专人负责管理，减少施工作业对周围土壤和植被的破坏范围和程度。</w:t>
      </w:r>
    </w:p>
    <w:p>
      <w:pPr>
        <w:spacing w:line="500" w:lineRule="exact"/>
        <w:ind w:firstLine="438" w:firstLineChars="200"/>
        <w:rPr>
          <w:rFonts w:ascii="Times New Roman" w:hAnsi="Times New Roman"/>
          <w:color w:val="000000" w:themeColor="text1"/>
          <w:w w:val="99"/>
          <w:kern w:val="2"/>
          <w:sz w:val="24"/>
          <w:szCs w:val="24"/>
          <w:highlight w:val="none"/>
          <w14:textFill>
            <w14:solidFill>
              <w14:schemeClr w14:val="tx1"/>
            </w14:solidFill>
          </w14:textFill>
        </w:rPr>
      </w:pPr>
      <w:r>
        <w:rPr>
          <w:rFonts w:ascii="Times New Roman" w:hAnsi="Times New Roman" w:cs="Times New Roman"/>
          <w:color w:val="000000" w:themeColor="text1"/>
          <w:spacing w:val="-9"/>
          <w:w w:val="99"/>
          <w:sz w:val="24"/>
          <w:szCs w:val="24"/>
          <w:highlight w:val="none"/>
          <w14:textFill>
            <w14:solidFill>
              <w14:schemeClr w14:val="tx1"/>
            </w14:solidFill>
          </w14:textFill>
        </w:rPr>
        <w:t>严禁在大风天气下运输及装卸施工散料等，</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临时</w:t>
      </w:r>
      <w:r>
        <w:rPr>
          <w:rFonts w:ascii="Times New Roman" w:hAnsi="Times New Roman" w:cs="Times New Roman"/>
          <w:color w:val="000000" w:themeColor="text1"/>
          <w:spacing w:val="-9"/>
          <w:w w:val="99"/>
          <w:sz w:val="24"/>
          <w:szCs w:val="24"/>
          <w:highlight w:val="none"/>
          <w14:textFill>
            <w14:solidFill>
              <w14:schemeClr w14:val="tx1"/>
            </w14:solidFill>
          </w14:textFill>
        </w:rPr>
        <w:t>占地边界做明显标识，以提醒施工作业人员，减少人员随意践踏造成的水土流失。严禁开发建设施工材料乱堆乱放，划定适宜的堆料场，以防对植物破坏范围的扩大，增加裸地面积而新增的水土流失。</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6.5.4 防沙治沙措施</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14:textFill>
            <w14:solidFill>
              <w14:schemeClr w14:val="tx1"/>
            </w14:solidFill>
          </w14:textFill>
        </w:rPr>
        <w:t>本项目位于大同区</w:t>
      </w:r>
      <w:r>
        <w:rPr>
          <w:rFonts w:hint="eastAsia" w:ascii="Times New Roman" w:hAnsi="Times New Roman" w:cs="Times New Roman"/>
          <w:color w:val="000000" w:themeColor="text1"/>
          <w:spacing w:val="-9"/>
          <w:w w:val="99"/>
          <w:sz w:val="24"/>
          <w:szCs w:val="24"/>
          <w:highlight w:val="none"/>
          <w:lang w:eastAsia="zh-CN"/>
          <w14:textFill>
            <w14:solidFill>
              <w14:schemeClr w14:val="tx1"/>
            </w14:solidFill>
          </w14:textFill>
        </w:rPr>
        <w:t>八井子乡</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境内。根据《黑龙江省防沙治沙条例》第三十一条，</w:t>
      </w:r>
      <w:r>
        <w:rPr>
          <w:rFonts w:hint="eastAsia" w:ascii="Times New Roman" w:hAnsi="Times New Roman" w:cs="Times New Roman"/>
          <w:color w:val="000000" w:themeColor="text1"/>
          <w:spacing w:val="-9"/>
          <w:w w:val="99"/>
          <w:sz w:val="24"/>
          <w:szCs w:val="24"/>
          <w:highlight w:val="none"/>
          <w:lang w:eastAsia="zh-CN"/>
          <w14:textFill>
            <w14:solidFill>
              <w14:schemeClr w14:val="tx1"/>
            </w14:solidFill>
          </w14:textFill>
        </w:rPr>
        <w:t>该</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地区为</w:t>
      </w:r>
      <w:r>
        <w:rPr>
          <w:rFonts w:ascii="Times New Roman" w:hAnsi="Times New Roman" w:cs="Times New Roman"/>
          <w:color w:val="000000" w:themeColor="text1"/>
          <w:spacing w:val="-9"/>
          <w:w w:val="99"/>
          <w:sz w:val="24"/>
          <w:szCs w:val="24"/>
          <w:highlight w:val="none"/>
          <w14:textFill>
            <w14:solidFill>
              <w14:schemeClr w14:val="tx1"/>
            </w14:solidFill>
          </w14:textFill>
        </w:rPr>
        <w:t>防沙治沙重点治理区</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，重点治理流动、半流动沙地的风沙危害。本工程占地为草地，临时占地</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4.72</w:t>
      </w:r>
      <w:r>
        <w:rPr>
          <w:rFonts w:ascii="Times New Roman" w:hAnsi="Times New Roman" w:cs="Times New Roman"/>
          <w:color w:val="000000" w:themeColor="text1"/>
          <w:spacing w:val="-9"/>
          <w:w w:val="99"/>
          <w:sz w:val="24"/>
          <w:szCs w:val="24"/>
          <w:highlight w:val="none"/>
          <w14:textFill>
            <w14:solidFill>
              <w14:schemeClr w14:val="tx1"/>
            </w14:solidFill>
          </w14:textFill>
        </w:rPr>
        <w:t>hm</w:t>
      </w:r>
      <w:r>
        <w:rPr>
          <w:rFonts w:ascii="Times New Roman" w:hAnsi="Times New Roman" w:cs="Times New Roman"/>
          <w:color w:val="000000" w:themeColor="text1"/>
          <w:spacing w:val="-9"/>
          <w:w w:val="99"/>
          <w:sz w:val="24"/>
          <w:szCs w:val="24"/>
          <w:highlight w:val="none"/>
          <w:vertAlign w:val="superscript"/>
          <w14:textFill>
            <w14:solidFill>
              <w14:schemeClr w14:val="tx1"/>
            </w14:solidFill>
          </w14:textFill>
        </w:rPr>
        <w:t>2</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，永久占地</w:t>
      </w:r>
      <w:r>
        <w:rPr>
          <w:rFonts w:ascii="Times New Roman" w:hAnsi="Times New Roman" w:cs="Times New Roman"/>
          <w:color w:val="000000" w:themeColor="text1"/>
          <w:spacing w:val="-9"/>
          <w:w w:val="99"/>
          <w:sz w:val="24"/>
          <w:szCs w:val="24"/>
          <w:highlight w:val="none"/>
          <w14:textFill>
            <w14:solidFill>
              <w14:schemeClr w14:val="tx1"/>
            </w14:solidFill>
          </w14:textFill>
        </w:rPr>
        <w:t>0.</w:t>
      </w:r>
      <w:r>
        <w:rPr>
          <w:rFonts w:hint="eastAsia" w:ascii="Times New Roman" w:hAnsi="Times New Roman" w:cs="Times New Roman"/>
          <w:color w:val="000000" w:themeColor="text1"/>
          <w:spacing w:val="-9"/>
          <w:w w:val="99"/>
          <w:sz w:val="24"/>
          <w:szCs w:val="24"/>
          <w:highlight w:val="none"/>
          <w:lang w:val="en-US" w:eastAsia="zh-CN"/>
          <w14:textFill>
            <w14:solidFill>
              <w14:schemeClr w14:val="tx1"/>
            </w14:solidFill>
          </w14:textFill>
        </w:rPr>
        <w:t>2</w:t>
      </w:r>
      <w:r>
        <w:rPr>
          <w:rFonts w:ascii="Times New Roman" w:hAnsi="Times New Roman" w:cs="Times New Roman"/>
          <w:color w:val="000000" w:themeColor="text1"/>
          <w:spacing w:val="-9"/>
          <w:w w:val="99"/>
          <w:sz w:val="24"/>
          <w:szCs w:val="24"/>
          <w:highlight w:val="none"/>
          <w14:textFill>
            <w14:solidFill>
              <w14:schemeClr w14:val="tx1"/>
            </w14:solidFill>
          </w14:textFill>
        </w:rPr>
        <w:t>5hm</w:t>
      </w:r>
      <w:r>
        <w:rPr>
          <w:rFonts w:ascii="Times New Roman" w:hAnsi="Times New Roman" w:cs="Times New Roman"/>
          <w:color w:val="000000" w:themeColor="text1"/>
          <w:spacing w:val="-9"/>
          <w:w w:val="99"/>
          <w:sz w:val="24"/>
          <w:szCs w:val="24"/>
          <w:highlight w:val="none"/>
          <w:vertAlign w:val="superscript"/>
          <w14:textFill>
            <w14:solidFill>
              <w14:schemeClr w14:val="tx1"/>
            </w14:solidFill>
          </w14:textFill>
        </w:rPr>
        <w:t>2</w:t>
      </w:r>
      <w:r>
        <w:rPr>
          <w:rFonts w:hint="eastAsia" w:ascii="Times New Roman" w:hAnsi="Times New Roman" w:cs="Times New Roman"/>
          <w:color w:val="000000" w:themeColor="text1"/>
          <w:spacing w:val="-9"/>
          <w:w w:val="99"/>
          <w:sz w:val="24"/>
          <w:szCs w:val="24"/>
          <w:highlight w:val="none"/>
          <w14:textFill>
            <w14:solidFill>
              <w14:schemeClr w14:val="tx1"/>
            </w14:solidFill>
          </w14:textFill>
        </w:rPr>
        <w:t>。项目占地区域未出现土壤沙化现象，为保护区域生态环境，针对本工程的具体特点，施工期内采取以下防沙治沙措施：</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14:textFill>
            <w14:solidFill>
              <w14:schemeClr w14:val="tx1"/>
            </w14:solidFill>
          </w14:textFill>
        </w:rPr>
        <w:t>（1）施工时要特别注意保护原始地表与天然植被，划定施工活动范围，严格控制和管理车辆及重型机械的运行范围，所有车辆采用“一”字型作业法，避免并行开辟新路，以减少风蚀沙化活动的范围。</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14:textFill>
            <w14:solidFill>
              <w14:schemeClr w14:val="tx1"/>
            </w14:solidFill>
          </w14:textFill>
        </w:rPr>
        <w:t>（2）施工作业避免在大风天施工。</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14:textFill>
            <w14:solidFill>
              <w14:schemeClr w14:val="tx1"/>
            </w14:solidFill>
          </w14:textFill>
        </w:rPr>
        <w:t>（3）路基边坡采取种草措施护坡固土，维护路基稳定和道路安全运行。</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14:textFill>
            <w14:solidFill>
              <w14:schemeClr w14:val="tx1"/>
            </w14:solidFill>
          </w14:textFill>
        </w:rPr>
        <w:t>（4）根据当地际情况、环境特征及原生植被特点和生存种类，建立乔、灌、草结合，网、带、片结合的沙地植被防护体系。裸露沙地，以种植草本和灌木植物为主。</w:t>
      </w:r>
    </w:p>
    <w:p>
      <w:pPr>
        <w:pStyle w:val="14"/>
        <w:spacing w:line="440" w:lineRule="exact"/>
        <w:ind w:firstLine="438"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hint="eastAsia" w:ascii="Times New Roman" w:hAnsi="Times New Roman" w:cs="Times New Roman"/>
          <w:color w:val="000000" w:themeColor="text1"/>
          <w:spacing w:val="-9"/>
          <w:w w:val="99"/>
          <w:sz w:val="24"/>
          <w:szCs w:val="24"/>
          <w:highlight w:val="none"/>
          <w14:textFill>
            <w14:solidFill>
              <w14:schemeClr w14:val="tx1"/>
            </w14:solidFill>
          </w14:textFill>
        </w:rPr>
        <w:t>（5）施工结束后及时有效地对占地区域土地进行平整，并压实，利于植被自然恢复。</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98" w:name="_Toc20723"/>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6.6 土壤防治措施及其可行性分析</w:t>
      </w:r>
      <w:bookmarkEnd w:id="198"/>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6.6.1 污染防治基本要求</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针对项目可能发生的土壤污染，按照源头控制、末端防治、污染监控、应急响应相结合的原则，从污染物的产生、入渗、扩散、应急响应等全阶段进行控制。</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（1）源头控制措施</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主要包括在施工工艺、设备、污水储存及处理构筑物采取相应措施，防止和降低污染物跑、冒、滴、漏，将污染物泄漏的环境风险事故降到最低程度。</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（2）末端控制措施</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主要包括井场污染区地面的防渗措施和泄漏、渗漏污染物收集措施，即在污染区地面进行防渗处理，防止洒落地面的污染物渗入地下，并把滞留在地面的污染物收集起来集中处理；末端控制采取分区防渗原则。</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（3）污染监控体系</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为了及时了解项目场区及周边土壤环境质量状况和土壤中污染物的动态变化，根据《环境影响评价技术导则土壤环境（试行）》（HJ964-2018）、《排污单位自行监测技术指南总则》（HJ819-2017）的相关要求，本项目拟制定土壤环境跟踪监测措施，包括制定跟踪监测计划，科学、合理地设置土壤监测点位，建立完善的跟踪监测制度，配备必要的取样设备，以便及时发现并有效控制。</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（4）应急响应措施</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包括一旦发现土壤污染事故，立即采取应急措施控制土壤、地下水污染，并使污染得到治理。</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6.6.2 建设项目环境保护措施</w:t>
      </w:r>
    </w:p>
    <w:p>
      <w:pPr>
        <w:widowControl/>
        <w:autoSpaceDE/>
        <w:autoSpaceDN/>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（1）</w:t>
      </w:r>
      <w:r>
        <w:rPr>
          <w:rFonts w:ascii="Times New Roman" w:hAnsi="Times New Roman" w:cs="Times New Roman"/>
          <w:color w:val="000000" w:themeColor="text1"/>
          <w:w w:val="99"/>
          <w:sz w:val="24"/>
          <w:szCs w:val="24"/>
          <w:highlight w:val="none"/>
          <w14:textFill>
            <w14:solidFill>
              <w14:schemeClr w14:val="tx1"/>
            </w14:solidFill>
          </w14:textFill>
        </w:rPr>
        <w:t>加强施工中的环境管理，控制和消除土壤污染源。严禁随意倾倒污水、随意堆放固体废物，防止因“三废”处理不合理或处置措施不当对土壤造成污染。</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（2）</w:t>
      </w:r>
      <w:r>
        <w:rPr>
          <w:rFonts w:ascii="Times New Roman" w:hAnsi="Times New Roman" w:cs="Times New Roman"/>
          <w:color w:val="000000" w:themeColor="text1"/>
          <w:w w:val="99"/>
          <w:kern w:val="21"/>
          <w:sz w:val="24"/>
          <w:szCs w:val="24"/>
          <w:highlight w:val="none"/>
          <w:lang w:val="en-US"/>
          <w14:textFill>
            <w14:solidFill>
              <w14:schemeClr w14:val="tx1"/>
            </w14:solidFill>
          </w14:textFill>
        </w:rPr>
        <w:t>对于临时占地，在对土壤进行开挖施工时要采取措施降低土壤风蚀，减少水土流失：对土壤要分层开挖、分别堆放，按原土层回填（先填心土，后覆盖表土）平埋方式（不起土坝）进行，</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以便尽快恢复土地原貌；</w:t>
      </w:r>
    </w:p>
    <w:p>
      <w:pPr>
        <w:widowControl/>
        <w:autoSpaceDE/>
        <w:autoSpaceDN/>
        <w:spacing w:line="440" w:lineRule="exact"/>
        <w:ind w:firstLine="474" w:firstLineChars="200"/>
        <w:jc w:val="both"/>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（3）</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充分利用现有道路，尽量不再开辟新的临时通道</w:t>
      </w: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w:t>
      </w:r>
    </w:p>
    <w:p>
      <w:pPr>
        <w:tabs>
          <w:tab w:val="left" w:pos="1300"/>
        </w:tabs>
        <w:spacing w:line="440" w:lineRule="exact"/>
        <w:ind w:firstLine="474" w:firstLineChars="200"/>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1"/>
          <w:sz w:val="24"/>
          <w:szCs w:val="24"/>
          <w:highlight w:val="none"/>
          <w:lang w:val="en-US" w:bidi="ar-SA"/>
          <w14:textFill>
            <w14:solidFill>
              <w14:schemeClr w14:val="tx1"/>
            </w14:solidFill>
          </w14:textFill>
        </w:rPr>
        <w:t>（4）在井场作业过程中必须在井场铺设防渗布或者采取其他防治土壤污染的措施，从源头控制土壤污染</w:t>
      </w:r>
      <w:r>
        <w:rPr>
          <w:rFonts w:hint="eastAsia" w:ascii="Times New Roman" w:hAnsi="Times New Roman" w:cs="Times New Roman"/>
          <w:color w:val="000000" w:themeColor="text1"/>
          <w:w w:val="99"/>
          <w:kern w:val="21"/>
          <w:sz w:val="24"/>
          <w:szCs w:val="24"/>
          <w:highlight w:val="none"/>
          <w:lang w:val="en-US" w:bidi="ar-SA"/>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6.6.3 跟踪监测</w:t>
      </w:r>
    </w:p>
    <w:p>
      <w:pPr>
        <w:snapToGrid w:val="0"/>
        <w:spacing w:line="440" w:lineRule="exact"/>
        <w:ind w:firstLine="474" w:firstLineChars="200"/>
        <w:jc w:val="both"/>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定期对重点影响区及土壤环境敏感点附近土壤环境进行监测，监测委托具有资质的单位进行，监测报告应存档，同时对监测结果进行信息公开。</w:t>
      </w:r>
    </w:p>
    <w:p>
      <w:pPr>
        <w:snapToGrid w:val="0"/>
        <w:spacing w:line="440" w:lineRule="exact"/>
        <w:ind w:firstLine="474" w:firstLineChars="200"/>
        <w:jc w:val="both"/>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根据土壤环境影响分析，本工程对土壤环境敏感点产生影响的可能性小，根据项目分布情况设置土壤监测点位</w:t>
      </w: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 xml:space="preserve"> 3个，具体布点见表5.7-2及附图18</w:t>
      </w: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附图</w:t>
      </w: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19</w:t>
      </w: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w:t>
      </w:r>
    </w:p>
    <w:p>
      <w:pPr>
        <w:snapToGrid w:val="0"/>
        <w:spacing w:line="440" w:lineRule="exact"/>
        <w:ind w:firstLine="474" w:firstLineChars="200"/>
        <w:jc w:val="both"/>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表5.7-2</w:t>
      </w:r>
      <w:r>
        <w:rPr>
          <w:rFonts w:hint="eastAsia"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snapToGrid w:val="0"/>
          <w:color w:val="000000" w:themeColor="text1"/>
          <w:w w:val="99"/>
          <w:kern w:val="2"/>
          <w:sz w:val="24"/>
          <w:szCs w:val="24"/>
          <w:highlight w:val="none"/>
          <w:lang w:val="en-US" w:bidi="ar-SA"/>
          <w14:textFill>
            <w14:solidFill>
              <w14:schemeClr w14:val="tx1"/>
            </w14:solidFill>
          </w14:textFill>
        </w:rPr>
        <w:t>土壤环境跟踪监测计划</w:t>
      </w:r>
    </w:p>
    <w:tbl>
      <w:tblPr>
        <w:tblStyle w:val="3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08"/>
        <w:gridCol w:w="1134"/>
        <w:gridCol w:w="1992"/>
        <w:gridCol w:w="1890"/>
        <w:gridCol w:w="1363"/>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点名称</w:t>
            </w:r>
          </w:p>
        </w:tc>
        <w:tc>
          <w:tcPr>
            <w:tcW w:w="708"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序号</w:t>
            </w:r>
          </w:p>
        </w:tc>
        <w:tc>
          <w:tcPr>
            <w:tcW w:w="1134"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跟踪监测</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点</w:t>
            </w:r>
          </w:p>
        </w:tc>
        <w:tc>
          <w:tcPr>
            <w:tcW w:w="1992"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坐标</w:t>
            </w:r>
          </w:p>
        </w:tc>
        <w:tc>
          <w:tcPr>
            <w:tcW w:w="1890"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取样要求</w:t>
            </w:r>
          </w:p>
        </w:tc>
        <w:tc>
          <w:tcPr>
            <w:tcW w:w="136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监测项目</w:t>
            </w:r>
          </w:p>
        </w:tc>
        <w:tc>
          <w:tcPr>
            <w:tcW w:w="1211"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耕地</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井场</w:t>
            </w:r>
          </w:p>
        </w:tc>
        <w:tc>
          <w:tcPr>
            <w:tcW w:w="708"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1</w:t>
            </w:r>
          </w:p>
        </w:tc>
        <w:tc>
          <w:tcPr>
            <w:tcW w:w="1134"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葡69-斜692</w:t>
            </w: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、葡69-斜682</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井场</w:t>
            </w:r>
          </w:p>
        </w:tc>
        <w:tc>
          <w:tcPr>
            <w:tcW w:w="1992" w:type="dxa"/>
            <w:tcBorders>
              <w:tl2br w:val="nil"/>
              <w:tr2bl w:val="nil"/>
            </w:tcBorders>
            <w:vAlign w:val="center"/>
          </w:tcPr>
          <w:p>
            <w:pPr>
              <w:autoSpaceDE/>
              <w:autoSpaceDN/>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124.692281,46.010186</w:t>
            </w:r>
          </w:p>
        </w:tc>
        <w:tc>
          <w:tcPr>
            <w:tcW w:w="1890"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表层样0～20cm</w:t>
            </w:r>
          </w:p>
        </w:tc>
        <w:tc>
          <w:tcPr>
            <w:tcW w:w="136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pH、石油烃</w:t>
            </w:r>
          </w:p>
        </w:tc>
        <w:tc>
          <w:tcPr>
            <w:tcW w:w="1211" w:type="dxa"/>
            <w:vMerge w:val="restart"/>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 xml:space="preserve">1次/3年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草地</w:t>
            </w: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井场</w:t>
            </w:r>
          </w:p>
        </w:tc>
        <w:tc>
          <w:tcPr>
            <w:tcW w:w="708"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2</w:t>
            </w:r>
          </w:p>
        </w:tc>
        <w:tc>
          <w:tcPr>
            <w:tcW w:w="1134"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葡72-69</w:t>
            </w: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井场</w:t>
            </w:r>
          </w:p>
        </w:tc>
        <w:tc>
          <w:tcPr>
            <w:tcW w:w="1992" w:type="dxa"/>
            <w:tcBorders>
              <w:tl2br w:val="nil"/>
              <w:tr2bl w:val="nil"/>
            </w:tcBorders>
            <w:vAlign w:val="center"/>
          </w:tcPr>
          <w:p>
            <w:pPr>
              <w:autoSpaceDE/>
              <w:autoSpaceDN/>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124.69981,46.00086</w:t>
            </w:r>
          </w:p>
        </w:tc>
        <w:tc>
          <w:tcPr>
            <w:tcW w:w="1890"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表层样0～20cm</w:t>
            </w:r>
          </w:p>
        </w:tc>
        <w:tc>
          <w:tcPr>
            <w:tcW w:w="136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pH、石油烃</w:t>
            </w:r>
          </w:p>
        </w:tc>
        <w:tc>
          <w:tcPr>
            <w:tcW w:w="1211" w:type="dxa"/>
            <w:vMerge w:val="continue"/>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bidi="ar-SA"/>
                <w14:textFill>
                  <w14:solidFill>
                    <w14:schemeClr w14:val="tx1"/>
                  </w14:solidFill>
                </w14:textFill>
              </w:rPr>
              <w:t>村屯</w:t>
            </w:r>
          </w:p>
        </w:tc>
        <w:tc>
          <w:tcPr>
            <w:tcW w:w="708"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3</w:t>
            </w:r>
          </w:p>
        </w:tc>
        <w:tc>
          <w:tcPr>
            <w:tcW w:w="1134" w:type="dxa"/>
            <w:tcBorders>
              <w:tl2br w:val="nil"/>
              <w:tr2bl w:val="nil"/>
            </w:tcBorders>
            <w:vAlign w:val="center"/>
          </w:tcPr>
          <w:p>
            <w:pPr>
              <w:autoSpaceDE/>
              <w:autoSpaceDN/>
              <w:spacing w:line="360" w:lineRule="exact"/>
              <w:jc w:val="center"/>
              <w:rPr>
                <w:rFonts w:hint="eastAsia" w:ascii="Times New Roman" w:hAnsi="Times New Roman" w:eastAsia="宋体" w:cs="Times New Roman"/>
                <w:snapToGrid w:val="0"/>
                <w:color w:val="000000" w:themeColor="text1"/>
                <w:w w:val="99"/>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sz w:val="21"/>
                <w:szCs w:val="21"/>
                <w:highlight w:val="none"/>
                <w:lang w:val="en-US" w:eastAsia="zh-CN" w:bidi="ar-SA"/>
                <w14:textFill>
                  <w14:solidFill>
                    <w14:schemeClr w14:val="tx1"/>
                  </w14:solidFill>
                </w14:textFill>
              </w:rPr>
              <w:t>钱家屯</w:t>
            </w:r>
          </w:p>
        </w:tc>
        <w:tc>
          <w:tcPr>
            <w:tcW w:w="1992" w:type="dxa"/>
            <w:tcBorders>
              <w:tl2br w:val="nil"/>
              <w:tr2bl w:val="nil"/>
            </w:tcBorders>
            <w:vAlign w:val="center"/>
          </w:tcPr>
          <w:p>
            <w:pPr>
              <w:autoSpaceDE/>
              <w:autoSpaceDN/>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124.70511,46.00807</w:t>
            </w:r>
          </w:p>
        </w:tc>
        <w:tc>
          <w:tcPr>
            <w:tcW w:w="1890"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表层样0～20cm</w:t>
            </w:r>
          </w:p>
        </w:tc>
        <w:tc>
          <w:tcPr>
            <w:tcW w:w="1363" w:type="dxa"/>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t>pH、石油烃</w:t>
            </w:r>
          </w:p>
        </w:tc>
        <w:tc>
          <w:tcPr>
            <w:tcW w:w="1211" w:type="dxa"/>
            <w:vMerge w:val="continue"/>
            <w:tcBorders>
              <w:tl2br w:val="nil"/>
              <w:tr2bl w:val="nil"/>
            </w:tcBorders>
            <w:vAlign w:val="center"/>
          </w:tcPr>
          <w:p>
            <w:pPr>
              <w:autoSpaceDE/>
              <w:autoSpaceDN/>
              <w:spacing w:line="360" w:lineRule="exact"/>
              <w:jc w:val="center"/>
              <w:rPr>
                <w:rFonts w:ascii="Times New Roman" w:hAnsi="Times New Roman" w:cs="Times New Roman"/>
                <w:snapToGrid w:val="0"/>
                <w:color w:val="000000" w:themeColor="text1"/>
                <w:w w:val="99"/>
                <w:sz w:val="21"/>
                <w:szCs w:val="21"/>
                <w:highlight w:val="none"/>
                <w:lang w:val="en-US" w:bidi="ar-SA"/>
                <w14:textFill>
                  <w14:solidFill>
                    <w14:schemeClr w14:val="tx1"/>
                  </w14:solidFill>
                </w14:textFill>
              </w:rPr>
            </w:pPr>
          </w:p>
        </w:tc>
      </w:tr>
    </w:tbl>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199" w:name="_Toc8938"/>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6.7 环境风险防范措施</w:t>
      </w:r>
      <w:bookmarkEnd w:id="199"/>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6.7.1火灾、爆炸事故风险防范措施</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（1）本工程新建</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注入管线</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与周边建构筑物防火间距符合规范要求。</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（2）油气生产系统采用密闭集输工艺，防止油蒸气、伴生气蒸气泄漏，防止有毒气体聚集。</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（3）阀组间易燃易爆场所设有组织的自然通风。</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场站</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内加药间等易燃易爆场所设机械通风。</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（4）爆炸危险区域井场内所用的设备、电气均采用防爆型，并符合相应的防爆等级。</w:t>
      </w:r>
    </w:p>
    <w:p>
      <w:pPr>
        <w:widowControl/>
        <w:autoSpaceDE/>
        <w:autoSpaceDN/>
        <w:adjustRightIn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（5）压力容器按照规范要求选材，压力容器安装有安全阀、压力表等安全附件。</w:t>
      </w:r>
    </w:p>
    <w:p>
      <w:pPr>
        <w:widowControl/>
        <w:autoSpaceDE/>
        <w:autoSpaceDN/>
        <w:adjustRightIn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（6）火灾爆炸危险场所内按照规范设置可燃气体检测报警装置。变电所设火灾报警系统。</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（7）矿机关及其他已建工艺站场设通信光传输系统、调度语音通信系统、工业电视监控系统、SCADA数据传输系统及光缆线路系统。</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（8）设备、管道做防腐保温。</w:t>
      </w:r>
    </w:p>
    <w:p>
      <w:pPr>
        <w:pStyle w:val="14"/>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（9）严格执行各项安全生产制度，在油气泄露场所严禁静电和携带火种。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6.7.2 井下作业事故风险防范措施</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（1）为预防作业时井喷，对于地层压力较高的油水作业，在作业前应先调节注采比，降低井底压力后再进行作业。</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注入井</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施工要提前3天关井降压；</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（2）施工准备过程要在管、杆桥下设污油收集设施；拆卸井口采油树后，要安装简易控制器，并将井口溢流油水控制器、作业废水进站装置与井口连接，完好后，通电调试；</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作业前要打开生产阀门、套管放空阀门，观察溢流量大小。如果溢流量较大，采取清水或泥浆进行压井；起下抽油杆、管柱过程要注意井口变化，井口溢流较小时，将污水排入污水回收装置，溢流较大时，立即停止操作，迅速关闭封井器；采取清水或泥浆压井；</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（4）打开套管闸门，启动作业废水进站装置和油水收集器，使废水废液由套管排出经作业废水进站装置回站；</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（5）在压井、冲沙、刮蜡、验串、套铣施工有溢流时，必须下单流阀，套管出口接到作业废水进站装置；</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6）压井、冲沙、刮蜡、验串、套铣前，必须认真检查水龙带有无破皮、断丝、油壬丝扣完好状态，水泥车井口管线试打压4.0Mpa检验密封性；作业时随时注意进出口排量压力，防止井喷，观察拉力计悬重变化，防止沙堵蹩泵。遇阻憋压时，要立即将管柱上提，防止管线爆裂；</w:t>
      </w:r>
    </w:p>
    <w:p>
      <w:pPr>
        <w:pStyle w:val="14"/>
        <w:spacing w:line="440" w:lineRule="exact"/>
        <w:ind w:firstLine="474"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（7）</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位于</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康家围子泡</w:t>
      </w:r>
      <w:r>
        <w:rPr>
          <w:rFonts w:hint="eastAsia" w:ascii="Times New Roman" w:hAnsi="Times New Roman" w:cs="Times New Roman"/>
          <w:color w:val="000000" w:themeColor="text1"/>
          <w:w w:val="99"/>
          <w:kern w:val="2"/>
          <w:sz w:val="24"/>
          <w:szCs w:val="24"/>
          <w:highlight w:val="none"/>
          <w:lang w:val="en-US" w:eastAsia="zh-CN"/>
          <w14:textFill>
            <w14:solidFill>
              <w14:schemeClr w14:val="tx1"/>
            </w14:solidFill>
          </w14:textFill>
        </w:rPr>
        <w:t>东侧边缘的水泡井井场</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设置</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混凝土预制板</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护坡，护坡高度应高出水泡最高水位 50~80cm，将事故产生的污油污水截留在井场内，防止对地表水体产生污染影响。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6.7.3 管线泄漏的主要预防和处理措施</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（1）对油田设施采用新技术，提高油田设施的抗蚀防腐能力，配注管道采用熔结环氧粉末内防腐钢管，从而减少由于设施因素引发油水泄漏事故的几率；</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（2）当发生泄漏时应及时修筑围堤，控制油水的扩散范围，保护周围生态环境；同时明确泄漏可能导致的后果，泄漏危急周围环境的可能性，隔离泄漏区，周围设警告标志；</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（3）对被泄漏原油污染的土壤清理干净后送含油污泥处理站进行处理；</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（4）当发生油田伴生气泄漏应划出警戒线，告知围观群众危险性，劝之不要动用火源，防止火灾及爆炸事故发生；同时根据泄漏情况有组织性的疏散周围相关人员；</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（5）加强场站管理，建立并严格执行安全生产责任制度，科学监控设备运行，消除故障隐患；</w:t>
      </w:r>
    </w:p>
    <w:p>
      <w:pPr>
        <w:autoSpaceDE/>
        <w:autoSpaceDN/>
        <w:adjustRightInd w:val="0"/>
        <w:snapToGrid w:val="0"/>
        <w:spacing w:line="440" w:lineRule="exact"/>
        <w:ind w:firstLine="474" w:firstLineChars="200"/>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6</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集油管道</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泄漏事故具有隐蔽性和灾难性，要加强监控，</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定期</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委托有资质单位对集输管线腐蚀情况</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进行超声波检测</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掌握</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管线腐蚀程度，及时维修或更新；</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14:textFill>
            <w14:solidFill>
              <w14:schemeClr w14:val="tx1"/>
            </w14:solidFill>
          </w14:textFill>
        </w:rPr>
        <w:t>7</w:t>
      </w:r>
      <w:r>
        <w:rPr>
          <w:rFonts w:hint="eastAsia" w:ascii="Times New Roman" w:hAnsi="Times New Roman" w:cs="Times New Roman"/>
          <w:color w:val="000000" w:themeColor="text1"/>
          <w:w w:val="99"/>
          <w:kern w:val="2"/>
          <w:sz w:val="24"/>
          <w:szCs w:val="24"/>
          <w:highlight w:val="none"/>
          <w:lang w:val="en-US"/>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制定定期巡查制度，发现异常及时处理和报告；</w:t>
      </w:r>
    </w:p>
    <w:p>
      <w:pPr>
        <w:pStyle w:val="14"/>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（8）建立应急响应机构，配备快捷的交通通讯工具，以便对泄漏事故及时作出反应和处理。</w:t>
      </w:r>
    </w:p>
    <w:p>
      <w:pPr>
        <w:pStyle w:val="14"/>
        <w:spacing w:line="440" w:lineRule="exact"/>
        <w:ind w:firstLine="474" w:firstLineChars="200"/>
        <w:rPr>
          <w:rFonts w:ascii="Times New Roman" w:hAnsi="Times New Roman" w:cs="Times New Roman"/>
          <w:color w:val="000000" w:themeColor="text1"/>
          <w:spacing w:val="-9"/>
          <w:w w:val="99"/>
          <w:sz w:val="24"/>
          <w:szCs w:val="24"/>
          <w:highlight w:val="none"/>
          <w:lang w:val="en-US"/>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（9）</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确保本项目</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井场</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矿级别和管辖</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小队物资库</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已按应急预案</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和风险评估要求</w:t>
      </w:r>
      <w:r>
        <w:rPr>
          <w:rFonts w:hint="eastAsia" w:ascii="Times New Roman" w:hAnsi="Times New Roman" w:cs="Times New Roman"/>
          <w:color w:val="000000" w:themeColor="text1"/>
          <w:spacing w:val="-9"/>
          <w:w w:val="99"/>
          <w:sz w:val="24"/>
          <w:szCs w:val="24"/>
          <w:highlight w:val="none"/>
          <w:lang w:val="en-US"/>
          <w14:textFill>
            <w14:solidFill>
              <w14:schemeClr w14:val="tx1"/>
            </w14:solidFill>
          </w14:textFill>
        </w:rPr>
        <w:t>备</w:t>
      </w:r>
      <w:r>
        <w:rPr>
          <w:rFonts w:ascii="Times New Roman" w:hAnsi="Times New Roman" w:cs="Times New Roman"/>
          <w:color w:val="000000" w:themeColor="text1"/>
          <w:spacing w:val="-9"/>
          <w:w w:val="99"/>
          <w:sz w:val="24"/>
          <w:szCs w:val="24"/>
          <w:highlight w:val="none"/>
          <w:lang w:val="en-US"/>
          <w14:textFill>
            <w14:solidFill>
              <w14:schemeClr w14:val="tx1"/>
            </w14:solidFill>
          </w14:textFill>
        </w:rPr>
        <w:t>齐围油栏、铁锹等应急工具和设备，以便在发生泄漏事故时对产生的污油污水进行及时回收和处理，避免对周围环境产生污染。</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6.7.4 危险废物收集、贮存、运输过程风险防范措施</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根据《建设项目危险废物环境影响评价指南》</w: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t>，</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本项目涉及的危险物质必须按照《危险废物收集贮存运输技术规范》（HJ 2025-2012）的要求处理处置。</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从事危险废物收集贮存运输的单位在进行生产活动时应按照有关规定建立相应的规章制度和污染防治措施，包括危险废物分析管理制度、安全管理制度、污染防治措施等。并建立健全规章制度及操作流程，确保改过程安全可靠。</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（2）危险废物转移过程中应按《危险废物转移联单管理办法》执行，单位应编制应急预案。</w:t>
      </w:r>
    </w:p>
    <w:p>
      <w:pPr>
        <w:widowControl/>
        <w:autoSpaceDE/>
        <w:autoSpaceDN/>
        <w:adjustRightIn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（3）运输的车辆必须是专用车或经有关部门批准使用符合安全规定的运载工具，并符合相关要求；运输车辆、储罐及管道进行定期的维护和检查，防患于未然，保持槽车和良好的工作状态，保证接地正常。</w:t>
      </w:r>
    </w:p>
    <w:p>
      <w:pPr>
        <w:widowControl/>
        <w:autoSpaceDE/>
        <w:autoSpaceDN/>
        <w:adjustRightIn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4）担任储运人员必须经过上岗培训，经定期考核通过后方能持证上岗。工作人员应熟悉事故应急设备的使用和维护，了解应急手册应急处理流程，一旦发生意外，在采取应急处理的同时，迅速报告公安、交通部门和环保等有关部门，必要是疏散群众，防止事态进一步步扩大和恶化。</w:t>
      </w:r>
    </w:p>
    <w:p>
      <w:pPr>
        <w:pStyle w:val="14"/>
        <w:spacing w:line="440" w:lineRule="exact"/>
        <w:ind w:firstLine="474" w:firstLineChars="200"/>
        <w:jc w:val="both"/>
        <w:rPr>
          <w:rFonts w:ascii="Times New Roman" w:hAnsi="Times New Roman" w:cs="Times New Roman"/>
          <w:color w:val="000000" w:themeColor="text1"/>
          <w:spacing w:val="-9"/>
          <w:w w:val="99"/>
          <w:sz w:val="24"/>
          <w:szCs w:val="24"/>
          <w:highlight w:val="none"/>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（5）运输、储存原料、溶剂、产品危险化学品所用的槽车、容器、储罐必须符合《压力容器安全技术监察规程》的安全管理规定，企业对压力容器管理执行国家有关压力容器的规定。</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6.7.5 环境应急预案</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6.7.5.1应急预案</w:t>
      </w:r>
    </w:p>
    <w:p>
      <w:pPr>
        <w:tabs>
          <w:tab w:val="left" w:pos="3840"/>
        </w:tabs>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工程建设单位已经针对可能发生的风险事故，结合所处区域的自然条件、环境状况、地理位置等特点，制定了较完善的事故风险应急预案，本工程为改扩建工程，发生风险事故时按已建立的事故风险应急预案执行。</w:t>
      </w:r>
    </w:p>
    <w:p>
      <w:pPr>
        <w:tabs>
          <w:tab w:val="left" w:pos="3840"/>
        </w:tabs>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（1）应急组织机构</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大庆油田有限责任公司第七采油厂</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设立了事故应急领导小组、应急抢修组和消防组等，明确了各自的职责、权限和分工。组成和分工见表6.7-1。</w:t>
      </w:r>
    </w:p>
    <w:p>
      <w:pPr>
        <w:autoSpaceDE/>
        <w:autoSpaceDN/>
        <w:adjustRightInd w:val="0"/>
        <w:snapToGrid w:val="0"/>
        <w:spacing w:line="440" w:lineRule="exact"/>
        <w:ind w:firstLine="476" w:firstLineChars="200"/>
        <w:jc w:val="both"/>
        <w:rPr>
          <w:rFonts w:ascii="Times New Roman" w:hAnsi="Times New Roman" w:cs="Times New Roman"/>
          <w:b/>
          <w:bCs w:val="0"/>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val="0"/>
          <w:color w:val="000000" w:themeColor="text1"/>
          <w:w w:val="99"/>
          <w:kern w:val="2"/>
          <w:sz w:val="24"/>
          <w:szCs w:val="24"/>
          <w:highlight w:val="none"/>
          <w:lang w:val="en-US" w:bidi="ar-SA"/>
          <w14:textFill>
            <w14:solidFill>
              <w14:schemeClr w14:val="tx1"/>
            </w14:solidFill>
          </w14:textFill>
        </w:rPr>
        <w:t>表6.7-1</w:t>
      </w:r>
      <w:r>
        <w:rPr>
          <w:rFonts w:hint="eastAsia" w:ascii="Times New Roman" w:hAnsi="Times New Roman" w:cs="Times New Roman"/>
          <w:b/>
          <w:bCs w:val="0"/>
          <w:color w:val="000000" w:themeColor="text1"/>
          <w:w w:val="99"/>
          <w:kern w:val="2"/>
          <w:sz w:val="24"/>
          <w:szCs w:val="24"/>
          <w:highlight w:val="none"/>
          <w:lang w:val="en-US" w:eastAsia="zh-CN" w:bidi="ar-SA"/>
          <w14:textFill>
            <w14:solidFill>
              <w14:schemeClr w14:val="tx1"/>
            </w14:solidFill>
          </w14:textFill>
        </w:rPr>
        <w:t xml:space="preserve">     </w:t>
      </w:r>
      <w:r>
        <w:rPr>
          <w:rFonts w:ascii="Times New Roman" w:hAnsi="Times New Roman" w:cs="Times New Roman"/>
          <w:b/>
          <w:bCs w:val="0"/>
          <w:color w:val="000000" w:themeColor="text1"/>
          <w:w w:val="99"/>
          <w:kern w:val="2"/>
          <w:sz w:val="24"/>
          <w:szCs w:val="24"/>
          <w:highlight w:val="none"/>
          <w:lang w:val="en-US" w:bidi="ar-SA"/>
          <w14:textFill>
            <w14:solidFill>
              <w14:schemeClr w14:val="tx1"/>
            </w14:solidFill>
          </w14:textFill>
        </w:rPr>
        <w:t xml:space="preserve">   应急组织、职责分工表</w:t>
      </w:r>
    </w:p>
    <w:tbl>
      <w:tblPr>
        <w:tblStyle w:val="3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组成</w:t>
            </w:r>
          </w:p>
        </w:tc>
        <w:tc>
          <w:tcPr>
            <w:tcW w:w="742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应急领导小组</w:t>
            </w:r>
          </w:p>
        </w:tc>
        <w:tc>
          <w:tcPr>
            <w:tcW w:w="742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负责本单位应急预案的制定、修订；组建应急救援专业队伍，并组织实施和演练；检查督促做好重大事故的预防措施和应急救援的各项准备工作；发生事故时，由指挥部发布和解除应急救援命令、信号；组织指挥救援队伍实施救援行动；向上级汇报和向友邻单位通报事故情况，必要时向有关单位发出救援请求；组织事故调查，总结应急救援工作经验教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应急抢修组</w:t>
            </w:r>
          </w:p>
        </w:tc>
        <w:tc>
          <w:tcPr>
            <w:tcW w:w="742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负责环境污染事故时抢修和事故紧急处理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消防组</w:t>
            </w:r>
          </w:p>
        </w:tc>
        <w:tc>
          <w:tcPr>
            <w:tcW w:w="742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担负或配合专业消防队伍完成灭火、洗消和抢救伤员任务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通讯组</w:t>
            </w:r>
          </w:p>
        </w:tc>
        <w:tc>
          <w:tcPr>
            <w:tcW w:w="742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负责各专业小组的联络工作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物资供应组</w:t>
            </w:r>
          </w:p>
        </w:tc>
        <w:tc>
          <w:tcPr>
            <w:tcW w:w="742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负责抢险物资的组织、运输、分配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医疗队</w:t>
            </w:r>
          </w:p>
        </w:tc>
        <w:tc>
          <w:tcPr>
            <w:tcW w:w="742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负责伤员的救护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7"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治安队</w:t>
            </w:r>
          </w:p>
        </w:tc>
        <w:tc>
          <w:tcPr>
            <w:tcW w:w="7429"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担负或配合相关的政府部门进行现场治安，警戒，群众疏散</w:t>
            </w:r>
          </w:p>
        </w:tc>
      </w:tr>
    </w:tbl>
    <w:p>
      <w:pPr>
        <w:tabs>
          <w:tab w:val="left" w:pos="3840"/>
        </w:tabs>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（2）现有应急预案情况</w:t>
      </w:r>
    </w:p>
    <w:p>
      <w:pPr>
        <w:tabs>
          <w:tab w:val="left" w:pos="3840"/>
        </w:tabs>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Cs/>
          <w:color w:val="000000" w:themeColor="text1"/>
          <w:w w:val="99"/>
          <w:kern w:val="2"/>
          <w:sz w:val="24"/>
          <w:szCs w:val="24"/>
          <w:highlight w:val="none"/>
          <w:lang w:val="en-US"/>
          <w14:textFill>
            <w14:solidFill>
              <w14:schemeClr w14:val="tx1"/>
            </w14:solidFill>
          </w14:textFill>
        </w:rPr>
        <w:t>根据企业提供资料，大庆油田有限责任公司设有突发环境事件专项应急预案，该预案已于 2018 年 11 月 30 日在大庆市环境保护局备案，第</w:t>
      </w:r>
      <w:r>
        <w:rPr>
          <w:rFonts w:hint="eastAsia" w:ascii="Times New Roman" w:hAnsi="Times New Roman" w:cs="Times New Roman"/>
          <w:bCs/>
          <w:color w:val="000000" w:themeColor="text1"/>
          <w:w w:val="99"/>
          <w:kern w:val="2"/>
          <w:sz w:val="24"/>
          <w:szCs w:val="24"/>
          <w:highlight w:val="none"/>
          <w:lang w:val="en-US"/>
          <w14:textFill>
            <w14:solidFill>
              <w14:schemeClr w14:val="tx1"/>
            </w14:solidFill>
          </w14:textFill>
        </w:rPr>
        <w:t>七</w:t>
      </w:r>
      <w:r>
        <w:rPr>
          <w:rFonts w:ascii="Times New Roman" w:hAnsi="Times New Roman" w:cs="Times New Roman"/>
          <w:bCs/>
          <w:color w:val="000000" w:themeColor="text1"/>
          <w:w w:val="99"/>
          <w:kern w:val="2"/>
          <w:sz w:val="24"/>
          <w:szCs w:val="24"/>
          <w:highlight w:val="none"/>
          <w:lang w:val="en-US"/>
          <w14:textFill>
            <w14:solidFill>
              <w14:schemeClr w14:val="tx1"/>
            </w14:solidFill>
          </w14:textFill>
        </w:rPr>
        <w:t>采油厂现有《环境突发事件专项应急预案》等预案内容，该应急预案于 2018 年12月更新，并于 2018 年12月29日在大庆油田有限公司应急管理办公室进行备案。</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其中总体预案适用于自然灾害、事故灾难、公共卫生、社会安全四类突发事件的应对工作，主要包括应急组织机构及职责明确、风险分析与应急能力评估、预防与预警、应急响应与保障等内容，重点明确各分项预案所述事件类型及事件各级应急组织机构框架内容，起到总体掌控的作用；《环境突发事件专项预案》中不仅包含了风险分析与事件分级、应急响应等内容，而且明确了环境突发事件应急储备物资清单、应急联络单等内容；《油气集输突发事件专项应急预案》中根据自然灾害、人为破坏、人为操作失误和设备缺陷等原因，在生产、使用、贮存、运输和油气处置工艺过程中易出现原油、天然气等危化品泄漏现象确定突发事件类型，主要涵盖4类风险：</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1</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油气等生产过程中输送物料管线发生泄漏。</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2</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产品储存区等出现泄漏事故。</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3</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作业环境由于储罐、管道、阀门、法兰等容器使用、腐蚀、损伤或密封圈损坏等原因，出现泄漏。</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begin"/>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 </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eq \o\ac(○,</w:instrText>
      </w:r>
      <w:r>
        <w:rPr>
          <w:rFonts w:hint="eastAsia" w:ascii="Times New Roman" w:hAnsi="Times New Roman" w:cs="Times New Roman"/>
          <w:color w:val="000000" w:themeColor="text1"/>
          <w:w w:val="99"/>
          <w:kern w:val="2"/>
          <w:position w:val="3"/>
          <w:sz w:val="16"/>
          <w:szCs w:val="24"/>
          <w:highlight w:val="none"/>
          <w:lang w:val="en-US" w:bidi="ar-SA"/>
          <w14:textFill>
            <w14:solidFill>
              <w14:schemeClr w14:val="tx1"/>
            </w14:solidFill>
          </w14:textFill>
        </w:rPr>
        <w:instrText xml:space="preserve">4</w:instrText>
      </w:r>
      <w:r>
        <w:rPr>
          <w:rFonts w:hint="eastAsia" w:ascii="Times New Roman" w:hAnsi="Times New Roman" w:cs="Times New Roman"/>
          <w:color w:val="000000" w:themeColor="text1"/>
          <w:w w:val="99"/>
          <w:kern w:val="2"/>
          <w:sz w:val="24"/>
          <w:szCs w:val="24"/>
          <w:highlight w:val="none"/>
          <w:lang w:val="en-US" w:bidi="ar-SA"/>
          <w14:textFill>
            <w14:solidFill>
              <w14:schemeClr w14:val="tx1"/>
            </w14:solidFill>
          </w14:textFill>
        </w:rPr>
        <w:instrText xml:space="preserve">)</w:instrTex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fldChar w:fldCharType="end"/>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装卸过程中，由于泵、法兰、管道、密闭等处发生泄漏或者由于装料过满、受热膨胀等发生泄漏。针对这四种风险，该《油气集输突发事件专项应急预案》进行了组织机构及职责明确、预防与预警设置、应急响应与保障内容确定以及油气集输突发事件的联络信息公布，预案内容针对性较强，组织结构框架合理。总体上看，建设单位目前拥有的应急预案内容较为完善，已有应急预案能够满足建设项目的要求，但应加强对应急预案的定期风险应急演练及员工培训。</w:t>
      </w:r>
    </w:p>
    <w:p>
      <w:pPr>
        <w:tabs>
          <w:tab w:val="left" w:pos="3840"/>
        </w:tabs>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（3）应急预案有效性分析</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t>大庆油田有限责任公司第七采油厂</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编制了《突发环境事件专项应急预案》，该应急预案主要针对项目运营过程中可能突发的各种环境风险事故等制定了详细的安全应急救援预案。预案中包含了应急救援任务和目标、原则、组织机构、应急救援职责、突发事件信息报送及处置、应急响应和处置、应急措施以及应急救援值班电话和联络电话，充分保证了项目运营期发生的风险事故得到及时救援和处理。降低了环境风险的危害。</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应急预案制定完毕后，大庆油田有限责任公司第七采油厂各作业区平均每月开展一次应急预案的宣传教育及应急演练，保证每一个工作人员都熟悉预案的内容，熟练应急措施，检查预案的有效性和符合性，对存在的不足及时修正。</w:t>
      </w:r>
    </w:p>
    <w:p>
      <w:pPr>
        <w:pStyle w:val="67"/>
        <w:spacing w:line="440" w:lineRule="exact"/>
        <w:ind w:firstLine="0" w:firstLineChars="0"/>
        <w:jc w:val="both"/>
        <w:outlineLvl w:val="3"/>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eastAsiaTheme="minorEastAsia"/>
          <w:b/>
          <w:color w:val="000000" w:themeColor="text1"/>
          <w:w w:val="99"/>
          <w:sz w:val="24"/>
          <w:szCs w:val="24"/>
          <w:highlight w:val="none"/>
          <w:lang w:val="en-US"/>
          <w14:textFill>
            <w14:solidFill>
              <w14:schemeClr w14:val="tx1"/>
            </w14:solidFill>
          </w14:textFill>
        </w:rPr>
        <w:t>6.7.5.2应急状态地企联动</w:t>
      </w:r>
    </w:p>
    <w:p>
      <w:pPr>
        <w:widowControl/>
        <w:autoSpaceDE/>
        <w:autoSpaceDN/>
        <w:adjustRightInd w:val="0"/>
        <w:snapToGrid w:val="0"/>
        <w:spacing w:line="440" w:lineRule="exact"/>
        <w:ind w:firstLine="474" w:firstLineChars="200"/>
        <w:jc w:val="both"/>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大庆油田公司突发事件应急管理归口部门为公司生产运行部门，为及时应对突发事件，快速调动应急资源，以消防支队为依托，组建了国家级专业应急救援队伍1支，以及作业井喷应急救援队伍、原油泄漏应急救援队伍、天然气泄漏应急救援队伍、电力系统故障应急救援队伍、水上溢油应急救援队伍、医疗卫生救援队伍7个油田公司级应急救援队伍，在各二级单位建设综合应急救援队伍，基本形成了覆盖油田生产各专业的应急救援队伍体系。</w:t>
      </w:r>
    </w:p>
    <w:p>
      <w:pPr>
        <w:widowControl/>
        <w:autoSpaceDE/>
        <w:autoSpaceDN/>
        <w:adjustRightInd w:val="0"/>
        <w:snapToGrid w:val="0"/>
        <w:spacing w:line="440" w:lineRule="exact"/>
        <w:ind w:firstLine="474" w:firstLineChars="200"/>
        <w:jc w:val="both"/>
        <w:rPr>
          <w:rFonts w:ascii="Times New Roman" w:hAnsi="Times New Roman" w:cs="Times New Roman"/>
          <w:bCs/>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bCs/>
          <w:color w:val="000000" w:themeColor="text1"/>
          <w:w w:val="99"/>
          <w:kern w:val="2"/>
          <w:sz w:val="24"/>
          <w:szCs w:val="24"/>
          <w:highlight w:val="none"/>
          <w:lang w:val="en-US" w:bidi="ar-SA"/>
          <w14:textFill>
            <w14:solidFill>
              <w14:schemeClr w14:val="tx1"/>
            </w14:solidFill>
          </w14:textFill>
        </w:rPr>
        <w:t>根据突发环境事件级别确定上报部门及应急队伍响应级别。从发现环境事件后要上报突发环境事件初报，初判发生Ⅲ级突发环境事件时，由三级单位负责应对工作，具体为现场人员、三级单位应急救援队伍或区域消防队进行应对；初判发Ⅱ级突发环境事件时，由二级单位负责应对工作，具体为二级单位综合应急救援队伍和区域消防队进行应对，必要时向油田公司求援，调集油田公司级应急救援队伍；初判发生I级突发环境事件时，30分钟内向突发环境事件应急办公室初报，启动油田公司突发事件应急响应程序，启动油田公司级专业工作组、综合工作组、专业应急救援队伍。</w:t>
      </w:r>
    </w:p>
    <w:p>
      <w:pPr>
        <w:widowControl/>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同时，企业环保部门与地方社会力量保持应急状态联动，事故发生后，消防部门、医疗部门、环保部门及公安部门启动相应紧急预案，保障事故控制及事故救援得到有效迅捷地处理，详见下表。</w:t>
      </w:r>
    </w:p>
    <w:p>
      <w:pPr>
        <w:adjustRightInd w:val="0"/>
        <w:snapToGrid w:val="0"/>
        <w:spacing w:line="440" w:lineRule="exact"/>
        <w:ind w:firstLine="476" w:firstLineChars="200"/>
        <w:jc w:val="both"/>
        <w:rPr>
          <w:rFonts w:ascii="Times New Roman" w:hAnsi="Times New Roman" w:cs="Times New Roman"/>
          <w:b/>
          <w:bCs/>
          <w:color w:val="000000" w:themeColor="text1"/>
          <w:w w:val="99"/>
          <w:kern w:val="2"/>
          <w:sz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highlight w:val="none"/>
          <w:lang w:val="en-US" w:bidi="ar-SA"/>
          <w14:textFill>
            <w14:solidFill>
              <w14:schemeClr w14:val="tx1"/>
            </w14:solidFill>
          </w14:textFill>
        </w:rPr>
        <w:t>表6.7-2</w:t>
      </w:r>
      <w:r>
        <w:rPr>
          <w:rFonts w:hint="eastAsia" w:ascii="Times New Roman" w:hAnsi="Times New Roman" w:cs="Times New Roman"/>
          <w:b/>
          <w:bCs/>
          <w:color w:val="000000" w:themeColor="text1"/>
          <w:w w:val="99"/>
          <w:kern w:val="2"/>
          <w:sz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highlight w:val="none"/>
          <w:lang w:val="en-US" w:bidi="ar-SA"/>
          <w14:textFill>
            <w14:solidFill>
              <w14:schemeClr w14:val="tx1"/>
            </w14:solidFill>
          </w14:textFill>
        </w:rPr>
        <w:t>地企联动各部门联系方式</w:t>
      </w:r>
    </w:p>
    <w:tbl>
      <w:tblPr>
        <w:tblStyle w:val="3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527"/>
        <w:gridCol w:w="45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名称</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联系电话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火警</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119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医疗急救</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大庆市人民政府</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0459-4609222/6373055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大庆市生态环境局</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0459-4623818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大庆市大同区环境保护局</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0459-6170900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大庆市应急管理局</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0459-6377119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大庆市安全生产委员会办公室</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0459-4600048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大庆油田总医院</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0459-5886408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大庆市气象站</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0459-8151030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27"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大庆油田有限责任公司第七采油厂环保部</w:t>
            </w:r>
          </w:p>
        </w:tc>
        <w:tc>
          <w:tcPr>
            <w:tcW w:w="4528" w:type="dxa"/>
            <w:vAlign w:val="center"/>
          </w:tcPr>
          <w:p>
            <w:pPr>
              <w:spacing w:line="360" w:lineRule="exact"/>
              <w:jc w:val="cente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0"/>
                <w:highlight w:val="none"/>
                <w:lang w:val="en-US" w:bidi="ar-SA"/>
                <w14:textFill>
                  <w14:solidFill>
                    <w14:schemeClr w14:val="tx1"/>
                  </w14:solidFill>
                </w14:textFill>
              </w:rPr>
              <w:t>0459-4494385</w:t>
            </w:r>
          </w:p>
        </w:tc>
      </w:tr>
    </w:tbl>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lang w:val="zh-CN" w:bidi="zh-CN"/>
          <w14:textFill>
            <w14:solidFill>
              <w14:schemeClr w14:val="tx1"/>
            </w14:solidFill>
          </w14:textFill>
        </w:rPr>
      </w:pPr>
    </w:p>
    <w:p>
      <w:pPr>
        <w:pStyle w:val="2"/>
        <w:rPr>
          <w:color w:val="000000" w:themeColor="text1"/>
          <w:highlight w:val="none"/>
          <w:lang w:val="zh-CN" w:bidi="zh-CN"/>
          <w14:textFill>
            <w14:solidFill>
              <w14:schemeClr w14:val="tx1"/>
            </w14:solidFill>
          </w14:textFill>
        </w:rPr>
      </w:pPr>
    </w:p>
    <w:p>
      <w:pPr>
        <w:rPr>
          <w:color w:val="000000" w:themeColor="text1"/>
          <w:highlight w:val="none"/>
          <w:lang w:val="zh-CN" w:bidi="zh-CN"/>
          <w14:textFill>
            <w14:solidFill>
              <w14:schemeClr w14:val="tx1"/>
            </w14:solidFill>
          </w14:textFill>
        </w:rPr>
      </w:pPr>
    </w:p>
    <w:p>
      <w:pPr>
        <w:pStyle w:val="2"/>
        <w:rPr>
          <w:color w:val="000000" w:themeColor="text1"/>
          <w:highlight w:val="none"/>
          <w:lang w:val="zh-CN" w:bidi="zh-CN"/>
          <w14:textFill>
            <w14:solidFill>
              <w14:schemeClr w14:val="tx1"/>
            </w14:solidFill>
          </w14:textFill>
        </w:rPr>
      </w:pPr>
    </w:p>
    <w:p>
      <w:pPr>
        <w:rPr>
          <w:color w:val="000000" w:themeColor="text1"/>
          <w:highlight w:val="none"/>
          <w:lang w:val="zh-CN" w:bidi="zh-CN"/>
          <w14:textFill>
            <w14:solidFill>
              <w14:schemeClr w14:val="tx1"/>
            </w14:solidFill>
          </w14:textFill>
        </w:rPr>
      </w:pPr>
    </w:p>
    <w:p>
      <w:pPr>
        <w:pStyle w:val="2"/>
        <w:rPr>
          <w:color w:val="000000" w:themeColor="text1"/>
          <w:highlight w:val="none"/>
          <w:lang w:val="zh-CN" w:bidi="zh-CN"/>
          <w14:textFill>
            <w14:solidFill>
              <w14:schemeClr w14:val="tx1"/>
            </w14:solidFill>
          </w14:textFill>
        </w:rPr>
      </w:pPr>
    </w:p>
    <w:p>
      <w:pPr>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before="180" w:after="180" w:line="440" w:lineRule="exact"/>
        <w:ind w:left="0" w:firstLine="0"/>
        <w:textAlignment w:val="auto"/>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pPr>
      <w:bookmarkStart w:id="200" w:name="_Toc32578"/>
      <w:r>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t>7 环境影响经济损益分析</w:t>
      </w:r>
      <w:bookmarkEnd w:id="200"/>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油田产能项目的开发建设，除对所在区域的经济发展起着促进作用外，也在一定程度上影响着项目拟建地区环境的变化。本评价将通过对拟建项目的经济和环境效益分析，对项目建设的合理性进行分析。</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01" w:name="_Toc13487"/>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7.1 环境损失费估算</w:t>
      </w:r>
      <w:bookmarkEnd w:id="201"/>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474" w:firstLineChars="200"/>
        <w:jc w:val="both"/>
        <w:textAlignment w:val="auto"/>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本油田开发过程中，由于管道铺设、道路建设等，需要占用一定面积土地，而且由此产生的污染物对周围环境也会造成一定污染，因此引起的环境损失费往往很难直接用经济价值来计算，因此，我们仅用植被损失费和资源损失费来估算。 </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本项目损失主要为耕地及草地的损失，本工程永久占用草地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0.</w:t>
      </w:r>
      <w:r>
        <w:rPr>
          <w:rFonts w:hint="eastAsia" w:ascii="Times New Roman" w:hAnsi="Times New Roman" w:cs="Times New Roman"/>
          <w:color w:val="000000" w:themeColor="text1"/>
          <w:w w:val="99"/>
          <w:sz w:val="24"/>
          <w:szCs w:val="24"/>
          <w:highlight w:val="none"/>
          <w:lang w:val="en-US" w:eastAsia="zh-CN" w:bidi="zh-CN"/>
          <w14:textFill>
            <w14:solidFill>
              <w14:schemeClr w14:val="tx1"/>
            </w14:solidFill>
          </w14:textFill>
        </w:rPr>
        <w:t>25</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hm</w:t>
      </w:r>
      <w:r>
        <w:rPr>
          <w:rFonts w:hint="default" w:ascii="Times New Roman" w:hAnsi="Times New Roman" w:eastAsia="宋体" w:cs="Times New Roman"/>
          <w:color w:val="000000" w:themeColor="text1"/>
          <w:w w:val="99"/>
          <w:sz w:val="24"/>
          <w:szCs w:val="24"/>
          <w:highlight w:val="none"/>
          <w:vertAlign w:val="superscript"/>
          <w:lang w:val="en-US" w:eastAsia="zh-CN" w:bidi="zh-CN"/>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；临时占用草地 </w:t>
      </w:r>
      <w:r>
        <w:rPr>
          <w:rFonts w:hint="eastAsia" w:ascii="Times New Roman" w:hAnsi="Times New Roman" w:cs="Times New Roman"/>
          <w:color w:val="000000" w:themeColor="text1"/>
          <w:w w:val="99"/>
          <w:sz w:val="24"/>
          <w:szCs w:val="24"/>
          <w:highlight w:val="none"/>
          <w:lang w:val="en-US" w:eastAsia="zh-CN" w:bidi="zh-CN"/>
          <w14:textFill>
            <w14:solidFill>
              <w14:schemeClr w14:val="tx1"/>
            </w14:solidFill>
          </w14:textFill>
        </w:rPr>
        <w:t>4.72</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hm</w:t>
      </w:r>
      <w:r>
        <w:rPr>
          <w:rFonts w:hint="default" w:ascii="Times New Roman" w:hAnsi="Times New Roman" w:eastAsia="宋体" w:cs="Times New Roman"/>
          <w:color w:val="000000" w:themeColor="text1"/>
          <w:w w:val="99"/>
          <w:sz w:val="24"/>
          <w:szCs w:val="24"/>
          <w:highlight w:val="none"/>
          <w:vertAlign w:val="superscript"/>
          <w:lang w:val="en-US" w:eastAsia="zh-CN" w:bidi="zh-CN"/>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。草地主要为天然草。 </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474" w:firstLineChars="200"/>
        <w:jc w:val="both"/>
        <w:textAlignment w:val="auto"/>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根据《大庆市人民政府关于印发大庆市征地青苗补偿费标准的通知》（庆政规〔</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2021</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1 </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号），天然草的补偿标准为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0.37 </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元</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/m</w:t>
      </w:r>
      <w:r>
        <w:rPr>
          <w:rFonts w:hint="default" w:ascii="Times New Roman" w:hAnsi="Times New Roman" w:eastAsia="宋体" w:cs="Times New Roman"/>
          <w:color w:val="000000" w:themeColor="text1"/>
          <w:w w:val="99"/>
          <w:sz w:val="24"/>
          <w:szCs w:val="24"/>
          <w:highlight w:val="none"/>
          <w:vertAlign w:val="superscript"/>
          <w:lang w:val="en-US" w:eastAsia="zh-CN" w:bidi="zh-CN"/>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。永久占地损失按照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10 </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年计算，施工期结束后对临时占地进行复垦，复垦地由于土壤自然结构的破坏造成的土壤板结、透气性差、肥力下降，可能对农作物的生产产生影响，这种影响预计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3a </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可逐渐减弱，并且随着时间的推移最终使农作物恢复到原来的产量，农田在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2</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3 </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年可恢复生产力，本项目临时占地损失按照按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3 </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年计算，临时占地环境损失费为</w:t>
      </w:r>
      <w:r>
        <w:rPr>
          <w:rFonts w:hint="eastAsia" w:ascii="Times New Roman" w:hAnsi="Times New Roman" w:cs="Times New Roman"/>
          <w:color w:val="000000" w:themeColor="text1"/>
          <w:w w:val="99"/>
          <w:sz w:val="24"/>
          <w:szCs w:val="24"/>
          <w:highlight w:val="none"/>
          <w:lang w:val="en-US" w:eastAsia="zh-CN" w:bidi="zh-CN"/>
          <w14:textFill>
            <w14:solidFill>
              <w14:schemeClr w14:val="tx1"/>
            </w14:solidFill>
          </w14:textFill>
        </w:rPr>
        <w:t>5.239</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元，本项目永久占地环境损失费为</w:t>
      </w:r>
      <w:r>
        <w:rPr>
          <w:rFonts w:hint="eastAsia" w:ascii="Times New Roman" w:hAnsi="Times New Roman" w:cs="Times New Roman"/>
          <w:color w:val="000000" w:themeColor="text1"/>
          <w:w w:val="99"/>
          <w:sz w:val="24"/>
          <w:szCs w:val="24"/>
          <w:highlight w:val="none"/>
          <w:lang w:val="en-US" w:eastAsia="zh-CN" w:bidi="zh-CN"/>
          <w14:textFill>
            <w14:solidFill>
              <w14:schemeClr w14:val="tx1"/>
            </w14:solidFill>
          </w14:textFill>
        </w:rPr>
        <w:t>0.925</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万元，投产十年间供给环境损失 </w:t>
      </w:r>
      <w:r>
        <w:rPr>
          <w:rFonts w:hint="eastAsia" w:ascii="Times New Roman" w:hAnsi="Times New Roman" w:cs="Times New Roman"/>
          <w:color w:val="000000" w:themeColor="text1"/>
          <w:w w:val="99"/>
          <w:sz w:val="24"/>
          <w:szCs w:val="24"/>
          <w:highlight w:val="none"/>
          <w:lang w:val="en-US" w:eastAsia="zh-CN" w:bidi="zh-CN"/>
          <w14:textFill>
            <w14:solidFill>
              <w14:schemeClr w14:val="tx1"/>
            </w14:solidFill>
          </w14:textFill>
        </w:rPr>
        <w:t>6.164</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万元。</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02" w:name="_Toc12668"/>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7.2 环保投资估算及环境效益分析</w:t>
      </w:r>
      <w:bookmarkEnd w:id="202"/>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7.2.1 环保措施投资估算</w:t>
      </w:r>
    </w:p>
    <w:p>
      <w:pPr>
        <w:autoSpaceDE/>
        <w:autoSpaceDN/>
        <w:adjustRightInd w:val="0"/>
        <w:snapToGrid w:val="0"/>
        <w:spacing w:line="440" w:lineRule="exact"/>
        <w:ind w:firstLine="474" w:firstLineChars="200"/>
        <w:jc w:val="both"/>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本项目总投资</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558.3</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万元，环保投资约</w:t>
      </w:r>
      <w:bookmarkStart w:id="203" w:name="_Hlk69493277"/>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13.667</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万元</w:t>
      </w:r>
      <w:bookmarkEnd w:id="203"/>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，占总投资比例为</w:t>
      </w:r>
      <w:r>
        <w:rPr>
          <w:rFonts w:hint="eastAsia" w:ascii="Times New Roman" w:hAnsi="Times New Roman" w:cs="Times New Roman"/>
          <w:color w:val="000000" w:themeColor="text1"/>
          <w:w w:val="99"/>
          <w:kern w:val="2"/>
          <w:sz w:val="24"/>
          <w:szCs w:val="24"/>
          <w:highlight w:val="none"/>
          <w:lang w:val="en-US" w:eastAsia="zh-CN" w:bidi="ar-SA"/>
          <w14:textFill>
            <w14:solidFill>
              <w14:schemeClr w14:val="tx1"/>
            </w14:solidFill>
          </w14:textFill>
        </w:rPr>
        <w:t>2.45</w:t>
      </w:r>
      <w:r>
        <w:rPr>
          <w:rFonts w:ascii="Times New Roman" w:hAnsi="Times New Roman" w:cs="Times New Roman"/>
          <w:color w:val="000000" w:themeColor="text1"/>
          <w:w w:val="99"/>
          <w:kern w:val="2"/>
          <w:sz w:val="24"/>
          <w:szCs w:val="24"/>
          <w:highlight w:val="none"/>
          <w:lang w:val="en-US" w:bidi="ar-SA"/>
          <w14:textFill>
            <w14:solidFill>
              <w14:schemeClr w14:val="tx1"/>
            </w14:solidFill>
          </w14:textFill>
        </w:rPr>
        <w:t>%；具体环保投资见表7.2-1。</w:t>
      </w:r>
    </w:p>
    <w:p>
      <w:pPr>
        <w:autoSpaceDE/>
        <w:autoSpaceDN/>
        <w:adjustRightInd w:val="0"/>
        <w:snapToGrid w:val="0"/>
        <w:spacing w:line="440" w:lineRule="exact"/>
        <w:ind w:firstLine="476" w:firstLineChars="200"/>
        <w:jc w:val="both"/>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pP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表7.2-1</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环保投资估算</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w w:val="99"/>
          <w:kern w:val="2"/>
          <w:sz w:val="24"/>
          <w:szCs w:val="24"/>
          <w:highlight w:val="none"/>
          <w:lang w:val="en-US" w:bidi="ar-SA"/>
          <w14:textFill>
            <w14:solidFill>
              <w14:schemeClr w14:val="tx1"/>
            </w14:solidFill>
          </w14:textFill>
        </w:rPr>
        <w:t xml:space="preserve">   </w:t>
      </w:r>
      <w:r>
        <w:rPr>
          <w:rFonts w:ascii="Times New Roman" w:hAnsi="Times New Roman" w:cs="Times New Roman"/>
          <w:b/>
          <w:bCs/>
          <w:color w:val="000000" w:themeColor="text1"/>
          <w:w w:val="99"/>
          <w:kern w:val="2"/>
          <w:sz w:val="24"/>
          <w:szCs w:val="24"/>
          <w:highlight w:val="none"/>
          <w:lang w:val="en-US" w:bidi="ar-SA"/>
          <w14:textFill>
            <w14:solidFill>
              <w14:schemeClr w14:val="tx1"/>
            </w14:solidFill>
          </w14:textFill>
        </w:rPr>
        <w:t>单位：万元</w:t>
      </w:r>
    </w:p>
    <w:tbl>
      <w:tblPr>
        <w:tblStyle w:val="32"/>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33"/>
        <w:gridCol w:w="4813"/>
        <w:gridCol w:w="884"/>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51"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序号</w:t>
            </w:r>
          </w:p>
        </w:tc>
        <w:tc>
          <w:tcPr>
            <w:tcW w:w="1133"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项目</w:t>
            </w:r>
          </w:p>
        </w:tc>
        <w:tc>
          <w:tcPr>
            <w:tcW w:w="4813"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设施</w:t>
            </w:r>
          </w:p>
        </w:tc>
        <w:tc>
          <w:tcPr>
            <w:tcW w:w="884"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金额</w:t>
            </w:r>
          </w:p>
        </w:tc>
        <w:tc>
          <w:tcPr>
            <w:tcW w:w="1997" w:type="dxa"/>
            <w:tcBorders>
              <w:tl2br w:val="nil"/>
              <w:tr2bl w:val="nil"/>
            </w:tcBorders>
            <w:noWrap w:val="0"/>
            <w:vAlign w:val="center"/>
          </w:tcPr>
          <w:p>
            <w:pPr>
              <w:widowControl/>
              <w:jc w:val="center"/>
              <w:rPr>
                <w:rFonts w:hint="eastAsia" w:ascii="Times New Roman" w:hAnsi="Times New Roman" w:eastAsia="宋体" w:cs="Times New Roman"/>
                <w:color w:val="000000" w:themeColor="text1"/>
                <w:w w:val="99"/>
                <w:szCs w:val="21"/>
                <w:highlight w:val="none"/>
                <w:lang w:eastAsia="zh-CN"/>
                <w14:textFill>
                  <w14:solidFill>
                    <w14:schemeClr w14:val="tx1"/>
                  </w14:solidFill>
                </w14:textFill>
              </w:rPr>
            </w:pPr>
            <w:r>
              <w:rPr>
                <w:rFonts w:hint="eastAsia" w:ascii="Times New Roman" w:hAnsi="Times New Roman" w:cs="Times New Roman"/>
                <w:color w:val="000000" w:themeColor="text1"/>
                <w:w w:val="99"/>
                <w:szCs w:val="21"/>
                <w:highlight w:val="no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51"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1</w:t>
            </w:r>
          </w:p>
        </w:tc>
        <w:tc>
          <w:tcPr>
            <w:tcW w:w="1133"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废气治理</w:t>
            </w:r>
          </w:p>
        </w:tc>
        <w:tc>
          <w:tcPr>
            <w:tcW w:w="4813"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洒水设备，遮盖苫布</w:t>
            </w:r>
          </w:p>
        </w:tc>
        <w:tc>
          <w:tcPr>
            <w:tcW w:w="884" w:type="dxa"/>
            <w:tcBorders>
              <w:tl2br w:val="nil"/>
              <w:tr2bl w:val="nil"/>
            </w:tcBorders>
            <w:noWrap w:val="0"/>
            <w:vAlign w:val="center"/>
          </w:tcPr>
          <w:p>
            <w:pPr>
              <w:widowControl/>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0.</w:t>
            </w: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45</w:t>
            </w:r>
          </w:p>
        </w:tc>
        <w:tc>
          <w:tcPr>
            <w:tcW w:w="1997"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按</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05</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万元/井场</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，共</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9</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座</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注入井涉及改造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51"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2</w:t>
            </w:r>
          </w:p>
        </w:tc>
        <w:tc>
          <w:tcPr>
            <w:tcW w:w="1133"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废水治理</w:t>
            </w:r>
          </w:p>
        </w:tc>
        <w:tc>
          <w:tcPr>
            <w:tcW w:w="4813"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新建管线试压废水罐车拉运至污水站处理</w:t>
            </w:r>
          </w:p>
        </w:tc>
        <w:tc>
          <w:tcPr>
            <w:tcW w:w="884" w:type="dxa"/>
            <w:tcBorders>
              <w:tl2br w:val="nil"/>
              <w:tr2bl w:val="nil"/>
            </w:tcBorders>
            <w:noWrap w:val="0"/>
            <w:vAlign w:val="center"/>
          </w:tcPr>
          <w:p>
            <w:pPr>
              <w:widowControl/>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0.45</w:t>
            </w:r>
          </w:p>
        </w:tc>
        <w:tc>
          <w:tcPr>
            <w:tcW w:w="1997"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0.01 万元/m</w:t>
            </w:r>
            <w:r>
              <w:rPr>
                <w:rFonts w:hint="default"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，试压废水共45.03m</w:t>
            </w:r>
            <w:r>
              <w:rPr>
                <w:rFonts w:hint="default" w:ascii="Times New Roman" w:hAnsi="Times New Roman" w:cs="Times New Roman"/>
                <w:color w:val="000000" w:themeColor="text1"/>
                <w:w w:val="99"/>
                <w:kern w:val="2"/>
                <w:sz w:val="21"/>
                <w:szCs w:val="21"/>
                <w:highlight w:val="none"/>
                <w:vertAlign w:val="superscript"/>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51"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3</w:t>
            </w:r>
          </w:p>
        </w:tc>
        <w:tc>
          <w:tcPr>
            <w:tcW w:w="1133" w:type="dxa"/>
            <w:tcBorders>
              <w:tl2br w:val="nil"/>
              <w:tr2bl w:val="nil"/>
            </w:tcBorders>
            <w:noWrap w:val="0"/>
            <w:vAlign w:val="center"/>
          </w:tcPr>
          <w:p>
            <w:pPr>
              <w:widowControl/>
              <w:jc w:val="center"/>
              <w:rPr>
                <w:rFonts w:hint="default" w:ascii="Times New Roman" w:hAnsi="Times New Roman" w:eastAsia="宋体" w:cs="Times New Roman"/>
                <w:color w:val="000000" w:themeColor="text1"/>
                <w:w w:val="99"/>
                <w:sz w:val="22"/>
                <w:szCs w:val="21"/>
                <w:highlight w:val="none"/>
                <w:lang w:val="zh-CN" w:eastAsia="zh-CN" w:bidi="zh-CN"/>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固废处理</w:t>
            </w:r>
          </w:p>
        </w:tc>
        <w:tc>
          <w:tcPr>
            <w:tcW w:w="4813" w:type="dxa"/>
            <w:tcBorders>
              <w:tl2br w:val="nil"/>
              <w:tr2bl w:val="nil"/>
            </w:tcBorders>
            <w:noWrap w:val="0"/>
            <w:vAlign w:val="center"/>
          </w:tcPr>
          <w:p>
            <w:pPr>
              <w:autoSpaceDE/>
              <w:autoSpaceDN/>
              <w:adjustRightInd w:val="0"/>
              <w:snapToGrid w:val="0"/>
              <w:spacing w:line="320" w:lineRule="exact"/>
              <w:jc w:val="center"/>
              <w:rPr>
                <w:rFonts w:hint="default" w:ascii="Times New Roman" w:hAnsi="Times New Roman" w:eastAsia="宋体" w:cs="Times New Roman"/>
                <w:color w:val="000000" w:themeColor="text1"/>
                <w:w w:val="99"/>
                <w:sz w:val="22"/>
                <w:szCs w:val="21"/>
                <w:highlight w:val="none"/>
                <w:lang w:val="zh-CN" w:eastAsia="zh-CN" w:bidi="zh-CN"/>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bidi="ar-SA"/>
                <w14:textFill>
                  <w14:solidFill>
                    <w14:schemeClr w14:val="tx1"/>
                  </w14:solidFill>
                </w14:textFill>
              </w:rPr>
              <w:t>落地油</w:t>
            </w:r>
            <w:r>
              <w:rPr>
                <w:rFonts w:ascii="Times New Roman" w:hAnsi="Times New Roman" w:cs="Times New Roman"/>
                <w:color w:val="000000" w:themeColor="text1"/>
                <w:w w:val="99"/>
                <w:sz w:val="21"/>
                <w:szCs w:val="21"/>
                <w:highlight w:val="none"/>
                <w:lang w:val="en-US" w:bidi="ar-SA"/>
                <w14:textFill>
                  <w14:solidFill>
                    <w14:schemeClr w14:val="tx1"/>
                  </w14:solidFill>
                </w14:textFill>
              </w:rPr>
              <w:t>及油泥拉运至葡萄花含油污泥处理站</w:t>
            </w:r>
          </w:p>
        </w:tc>
        <w:tc>
          <w:tcPr>
            <w:tcW w:w="884" w:type="dxa"/>
            <w:tcBorders>
              <w:tl2br w:val="nil"/>
              <w:tr2bl w:val="nil"/>
            </w:tcBorders>
            <w:noWrap w:val="0"/>
            <w:vAlign w:val="center"/>
          </w:tcPr>
          <w:p>
            <w:pPr>
              <w:widowControl/>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0.603</w:t>
            </w:r>
          </w:p>
        </w:tc>
        <w:tc>
          <w:tcPr>
            <w:tcW w:w="1997"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lang w:val="en-US"/>
                <w14:textFill>
                  <w14:solidFill>
                    <w14:schemeClr w14:val="tx1"/>
                  </w14:solidFill>
                </w14:textFill>
              </w:rPr>
            </w:pPr>
            <w:r>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 xml:space="preserve"> </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0.5</w:t>
            </w:r>
            <w:r>
              <w:rPr>
                <w:rFonts w:hint="default"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万元/</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t，共计1.213t/a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51" w:type="dxa"/>
            <w:vMerge w:val="restart"/>
            <w:tcBorders>
              <w:tl2br w:val="nil"/>
              <w:tr2bl w:val="nil"/>
            </w:tcBorders>
            <w:noWrap w:val="0"/>
            <w:vAlign w:val="center"/>
          </w:tcPr>
          <w:p>
            <w:pPr>
              <w:widowControl/>
              <w:jc w:val="center"/>
              <w:rPr>
                <w:rFonts w:hint="eastAsia"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4</w:t>
            </w:r>
          </w:p>
        </w:tc>
        <w:tc>
          <w:tcPr>
            <w:tcW w:w="1133" w:type="dxa"/>
            <w:vMerge w:val="restart"/>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生态恢复</w:t>
            </w:r>
          </w:p>
        </w:tc>
        <w:tc>
          <w:tcPr>
            <w:tcW w:w="481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临时占地面积共计4</w:t>
            </w: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.72</w:t>
            </w:r>
            <w:r>
              <w:rPr>
                <w:rFonts w:hint="default" w:ascii="Times New Roman" w:hAnsi="Times New Roman" w:cs="Times New Roman"/>
                <w:color w:val="000000" w:themeColor="text1"/>
                <w:w w:val="99"/>
                <w:szCs w:val="21"/>
                <w:highlight w:val="none"/>
                <w14:textFill>
                  <w14:solidFill>
                    <w14:schemeClr w14:val="tx1"/>
                  </w14:solidFill>
                </w14:textFill>
              </w:rPr>
              <w:t>hm</w:t>
            </w:r>
            <w:r>
              <w:rPr>
                <w:rFonts w:hint="default" w:ascii="Times New Roman" w:hAnsi="Times New Roman" w:cs="Times New Roman"/>
                <w:color w:val="000000" w:themeColor="text1"/>
                <w:w w:val="99"/>
                <w:szCs w:val="21"/>
                <w:highlight w:val="none"/>
                <w:vertAlign w:val="superscript"/>
                <w14:textFill>
                  <w14:solidFill>
                    <w14:schemeClr w14:val="tx1"/>
                  </w14:solidFill>
                </w14:textFill>
              </w:rPr>
              <w:t>2</w:t>
            </w:r>
            <w:r>
              <w:rPr>
                <w:rFonts w:hint="default" w:ascii="Times New Roman" w:hAnsi="Times New Roman" w:cs="Times New Roman"/>
                <w:color w:val="000000" w:themeColor="text1"/>
                <w:w w:val="99"/>
                <w:szCs w:val="21"/>
                <w:highlight w:val="none"/>
                <w14:textFill>
                  <w14:solidFill>
                    <w14:schemeClr w14:val="tx1"/>
                  </w14:solidFill>
                </w14:textFill>
              </w:rPr>
              <w:t>，施工结束后临时占地进行平整、恢复，草地恢复原有地貌</w:t>
            </w: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w:t>
            </w:r>
            <w:r>
              <w:rPr>
                <w:rFonts w:hint="eastAsia" w:ascii="Times New Roman" w:hAnsi="Times New Roman" w:cs="Times New Roman"/>
                <w:color w:val="000000" w:themeColor="text1"/>
                <w:w w:val="99"/>
                <w:szCs w:val="21"/>
                <w:highlight w:val="none"/>
                <w:lang w:eastAsia="zh-CN"/>
                <w14:textFill>
                  <w14:solidFill>
                    <w14:schemeClr w14:val="tx1"/>
                  </w14:solidFill>
                </w14:textFill>
              </w:rPr>
              <w:t>补偿</w:t>
            </w: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3年</w:t>
            </w:r>
          </w:p>
        </w:tc>
        <w:tc>
          <w:tcPr>
            <w:tcW w:w="884" w:type="dxa"/>
            <w:tcBorders>
              <w:tl2br w:val="nil"/>
              <w:tr2bl w:val="nil"/>
            </w:tcBorders>
            <w:noWrap w:val="0"/>
            <w:vAlign w:val="center"/>
          </w:tcPr>
          <w:p>
            <w:pPr>
              <w:widowControl/>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5.239</w:t>
            </w:r>
          </w:p>
        </w:tc>
        <w:tc>
          <w:tcPr>
            <w:tcW w:w="1997" w:type="dxa"/>
            <w:vMerge w:val="restart"/>
            <w:tcBorders>
              <w:tl2br w:val="nil"/>
              <w:tr2bl w:val="nil"/>
            </w:tcBorders>
            <w:noWrap w:val="0"/>
            <w:vAlign w:val="center"/>
          </w:tcPr>
          <w:p>
            <w:pPr>
              <w:widowControl/>
              <w:jc w:val="center"/>
              <w:rPr>
                <w:rFonts w:hint="eastAsia" w:ascii="Times New Roman" w:hAnsi="Times New Roman" w:cs="Times New Roman"/>
                <w:color w:val="000000" w:themeColor="text1"/>
                <w:w w:val="99"/>
                <w:szCs w:val="21"/>
                <w:highlight w:val="none"/>
                <w:lang w:val="en-US" w:eastAsia="zh-CN"/>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根据临时占地补偿标准，生态恢复费用按</w:t>
            </w: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0.37</w:t>
            </w:r>
            <w:r>
              <w:rPr>
                <w:rFonts w:hint="default" w:ascii="Times New Roman" w:hAnsi="Times New Roman" w:cs="Times New Roman"/>
                <w:color w:val="000000" w:themeColor="text1"/>
                <w:w w:val="99"/>
                <w:szCs w:val="21"/>
                <w:highlight w:val="none"/>
                <w14:textFill>
                  <w14:solidFill>
                    <w14:schemeClr w14:val="tx1"/>
                  </w14:solidFill>
                </w14:textFill>
              </w:rPr>
              <w:t>元/m</w:t>
            </w:r>
            <w:r>
              <w:rPr>
                <w:rFonts w:hint="default" w:ascii="Times New Roman" w:hAnsi="Times New Roman" w:cs="Times New Roman"/>
                <w:color w:val="000000" w:themeColor="text1"/>
                <w:w w:val="99"/>
                <w:szCs w:val="21"/>
                <w:highlight w:val="none"/>
                <w:vertAlign w:val="superscript"/>
                <w14:textFill>
                  <w14:solidFill>
                    <w14:schemeClr w14:val="tx1"/>
                  </w14:solidFill>
                </w14:textFill>
              </w:rPr>
              <w:t>2</w:t>
            </w:r>
            <w:r>
              <w:rPr>
                <w:rFonts w:hint="default" w:ascii="Times New Roman" w:hAnsi="Times New Roman" w:cs="Times New Roman"/>
                <w:color w:val="000000" w:themeColor="text1"/>
                <w:w w:val="99"/>
                <w:szCs w:val="21"/>
                <w:highlight w:val="none"/>
                <w14:textFill>
                  <w14:solidFill>
                    <w14:schemeClr w14:val="tx1"/>
                  </w14:solidFill>
                </w14:textFill>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51" w:type="dxa"/>
            <w:vMerge w:val="continue"/>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p>
        </w:tc>
        <w:tc>
          <w:tcPr>
            <w:tcW w:w="1133" w:type="dxa"/>
            <w:vMerge w:val="continue"/>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p>
        </w:tc>
        <w:tc>
          <w:tcPr>
            <w:tcW w:w="4813"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永久占地面积为0.</w:t>
            </w: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25</w:t>
            </w:r>
            <w:r>
              <w:rPr>
                <w:rFonts w:hint="default" w:ascii="Times New Roman" w:hAnsi="Times New Roman" w:cs="Times New Roman"/>
                <w:color w:val="000000" w:themeColor="text1"/>
                <w:w w:val="99"/>
                <w:szCs w:val="21"/>
                <w:highlight w:val="none"/>
                <w14:textFill>
                  <w14:solidFill>
                    <w14:schemeClr w14:val="tx1"/>
                  </w14:solidFill>
                </w14:textFill>
              </w:rPr>
              <w:t>hm</w:t>
            </w:r>
            <w:r>
              <w:rPr>
                <w:rFonts w:hint="default" w:ascii="Times New Roman" w:hAnsi="Times New Roman" w:cs="Times New Roman"/>
                <w:color w:val="000000" w:themeColor="text1"/>
                <w:w w:val="99"/>
                <w:szCs w:val="21"/>
                <w:highlight w:val="none"/>
                <w:vertAlign w:val="superscript"/>
                <w14:textFill>
                  <w14:solidFill>
                    <w14:schemeClr w14:val="tx1"/>
                  </w14:solidFill>
                </w14:textFill>
              </w:rPr>
              <w:t>2</w:t>
            </w:r>
            <w:r>
              <w:rPr>
                <w:rFonts w:hint="default" w:ascii="Times New Roman" w:hAnsi="Times New Roman" w:cs="Times New Roman"/>
                <w:color w:val="000000" w:themeColor="text1"/>
                <w:w w:val="99"/>
                <w:szCs w:val="21"/>
                <w:highlight w:val="none"/>
                <w14:textFill>
                  <w14:solidFill>
                    <w14:schemeClr w14:val="tx1"/>
                  </w14:solidFill>
                </w14:textFill>
              </w:rPr>
              <w:t>，对永久占用草地进行补偿</w:t>
            </w: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w:t>
            </w:r>
            <w:r>
              <w:rPr>
                <w:rFonts w:hint="eastAsia" w:ascii="Times New Roman" w:hAnsi="Times New Roman" w:cs="Times New Roman"/>
                <w:color w:val="000000" w:themeColor="text1"/>
                <w:w w:val="99"/>
                <w:szCs w:val="21"/>
                <w:highlight w:val="none"/>
                <w:lang w:eastAsia="zh-CN"/>
                <w14:textFill>
                  <w14:solidFill>
                    <w14:schemeClr w14:val="tx1"/>
                  </w14:solidFill>
                </w14:textFill>
              </w:rPr>
              <w:t>补偿</w:t>
            </w: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10年</w:t>
            </w:r>
          </w:p>
        </w:tc>
        <w:tc>
          <w:tcPr>
            <w:tcW w:w="884" w:type="dxa"/>
            <w:tcBorders>
              <w:tl2br w:val="nil"/>
              <w:tr2bl w:val="nil"/>
            </w:tcBorders>
            <w:noWrap w:val="0"/>
            <w:vAlign w:val="center"/>
          </w:tcPr>
          <w:p>
            <w:pPr>
              <w:widowControl/>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0.925</w:t>
            </w:r>
          </w:p>
        </w:tc>
        <w:tc>
          <w:tcPr>
            <w:tcW w:w="1997" w:type="dxa"/>
            <w:vMerge w:val="continue"/>
            <w:tcBorders>
              <w:tl2br w:val="nil"/>
              <w:tr2bl w:val="nil"/>
            </w:tcBorders>
            <w:noWrap w:val="0"/>
            <w:vAlign w:val="center"/>
          </w:tcPr>
          <w:p>
            <w:pPr>
              <w:widowControl/>
              <w:jc w:val="center"/>
              <w:rPr>
                <w:rFonts w:hint="eastAsia" w:ascii="Times New Roman" w:hAnsi="Times New Roman" w:cs="Times New Roman"/>
                <w:color w:val="000000" w:themeColor="text1"/>
                <w:w w:val="99"/>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51" w:type="dxa"/>
            <w:tcBorders>
              <w:tl2br w:val="nil"/>
              <w:tr2bl w:val="nil"/>
            </w:tcBorders>
            <w:noWrap w:val="0"/>
            <w:vAlign w:val="center"/>
          </w:tcPr>
          <w:p>
            <w:pPr>
              <w:widowControl/>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5</w:t>
            </w:r>
          </w:p>
        </w:tc>
        <w:tc>
          <w:tcPr>
            <w:tcW w:w="1133"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风险防控</w:t>
            </w:r>
          </w:p>
        </w:tc>
        <w:tc>
          <w:tcPr>
            <w:tcW w:w="4813" w:type="dxa"/>
            <w:tcBorders>
              <w:tl2br w:val="nil"/>
              <w:tr2bl w:val="nil"/>
            </w:tcBorders>
            <w:noWrap w:val="0"/>
            <w:vAlign w:val="center"/>
          </w:tcPr>
          <w:p>
            <w:pPr>
              <w:autoSpaceDE w:val="0"/>
              <w:autoSpaceDN w:val="0"/>
              <w:adjustRightInd w:val="0"/>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配备围油栏、</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吸油毡、消油剂等应急物资，定期</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进行应急演练等风险防范措施及应急措施</w:t>
            </w:r>
          </w:p>
        </w:tc>
        <w:tc>
          <w:tcPr>
            <w:tcW w:w="884" w:type="dxa"/>
            <w:tcBorders>
              <w:tl2br w:val="nil"/>
              <w:tr2bl w:val="nil"/>
            </w:tcBorders>
            <w:noWrap w:val="0"/>
            <w:vAlign w:val="center"/>
          </w:tcPr>
          <w:p>
            <w:pPr>
              <w:widowControl/>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6.0</w:t>
            </w:r>
          </w:p>
        </w:tc>
        <w:tc>
          <w:tcPr>
            <w:tcW w:w="1997" w:type="dxa"/>
            <w:tcBorders>
              <w:tl2br w:val="nil"/>
              <w:tr2bl w:val="nil"/>
            </w:tcBorders>
            <w:noWrap w:val="0"/>
            <w:vAlign w:val="center"/>
          </w:tcPr>
          <w:p>
            <w:pPr>
              <w:widowControl/>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eastAsia" w:ascii="Times New Roman" w:hAnsi="Times New Roman" w:cs="Times New Roman"/>
                <w:color w:val="000000" w:themeColor="text1"/>
                <w:w w:val="99"/>
                <w:szCs w:val="21"/>
                <w:highlight w:val="none"/>
                <w:lang w:val="en-US" w:eastAsia="zh-CN"/>
                <w14:textFill>
                  <w14:solidFill>
                    <w14:schemeClr w14:val="tx1"/>
                  </w14:solidFill>
                </w14:textFill>
              </w:rPr>
              <w:t>0.2万元/井场，共30座井场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597" w:type="dxa"/>
            <w:gridSpan w:val="3"/>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14:textFill>
                  <w14:solidFill>
                    <w14:schemeClr w14:val="tx1"/>
                  </w14:solidFill>
                </w14:textFill>
              </w:rPr>
            </w:pPr>
            <w:r>
              <w:rPr>
                <w:rFonts w:hint="default" w:ascii="Times New Roman" w:hAnsi="Times New Roman" w:cs="Times New Roman"/>
                <w:color w:val="000000" w:themeColor="text1"/>
                <w:w w:val="99"/>
                <w:szCs w:val="21"/>
                <w:highlight w:val="none"/>
                <w14:textFill>
                  <w14:solidFill>
                    <w14:schemeClr w14:val="tx1"/>
                  </w14:solidFill>
                </w14:textFill>
              </w:rPr>
              <w:t>总计</w:t>
            </w:r>
          </w:p>
        </w:tc>
        <w:tc>
          <w:tcPr>
            <w:tcW w:w="884" w:type="dxa"/>
            <w:tcBorders>
              <w:tl2br w:val="nil"/>
              <w:tr2bl w:val="nil"/>
            </w:tcBorders>
            <w:noWrap w:val="0"/>
            <w:vAlign w:val="center"/>
          </w:tcPr>
          <w:p>
            <w:pPr>
              <w:widowControl/>
              <w:jc w:val="center"/>
              <w:rPr>
                <w:rFonts w:hint="default" w:ascii="Times New Roman" w:hAnsi="Times New Roman" w:eastAsia="宋体" w:cs="Times New Roman"/>
                <w:color w:val="000000" w:themeColor="text1"/>
                <w:w w:val="99"/>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w w:val="99"/>
                <w:szCs w:val="21"/>
                <w:highlight w:val="none"/>
                <w:lang w:val="en-US" w:eastAsia="zh-CN"/>
                <w14:textFill>
                  <w14:solidFill>
                    <w14:schemeClr w14:val="tx1"/>
                  </w14:solidFill>
                </w14:textFill>
              </w:rPr>
              <w:t>13.667</w:t>
            </w:r>
          </w:p>
        </w:tc>
        <w:tc>
          <w:tcPr>
            <w:tcW w:w="1997" w:type="dxa"/>
            <w:tcBorders>
              <w:tl2br w:val="nil"/>
              <w:tr2bl w:val="nil"/>
            </w:tcBorders>
            <w:noWrap w:val="0"/>
            <w:vAlign w:val="center"/>
          </w:tcPr>
          <w:p>
            <w:pPr>
              <w:widowControl/>
              <w:jc w:val="center"/>
              <w:rPr>
                <w:rFonts w:hint="default" w:ascii="Times New Roman" w:hAnsi="Times New Roman" w:cs="Times New Roman"/>
                <w:color w:val="000000" w:themeColor="text1"/>
                <w:w w:val="99"/>
                <w:szCs w:val="21"/>
                <w:highlight w:val="none"/>
                <w:lang w:val="en-US" w:eastAsia="zh-CN"/>
                <w14:textFill>
                  <w14:solidFill>
                    <w14:schemeClr w14:val="tx1"/>
                  </w14:solidFill>
                </w14:textFill>
              </w:rPr>
            </w:pPr>
          </w:p>
        </w:tc>
      </w:tr>
    </w:tbl>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7.2.2 环境效益简要分析</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本工程原油集输采用密闭流程，可减少油气损失。项目建设运营中排放的污染物采取了一系列治理措施，大大降低了排入环境中污染物的数量，将取得一定的环境效益。</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04" w:name="_Toc11915"/>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7.3 环境经济损益分析结论</w:t>
      </w:r>
      <w:bookmarkEnd w:id="204"/>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p>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14:textFill>
            <w14:solidFill>
              <w14:schemeClr w14:val="tx1"/>
            </w14:solidFill>
          </w14:textFill>
        </w:rPr>
      </w:pPr>
    </w:p>
    <w:p>
      <w:pPr>
        <w:pStyle w:val="40"/>
        <w:rPr>
          <w:color w:val="000000" w:themeColor="text1"/>
          <w:highlight w:val="none"/>
          <w:lang w:val="zh-CN" w:bidi="zh-CN"/>
          <w14:textFill>
            <w14:solidFill>
              <w14:schemeClr w14:val="tx1"/>
            </w14:solidFill>
          </w14:textFill>
        </w:rPr>
      </w:pPr>
    </w:p>
    <w:p>
      <w:pPr>
        <w:rPr>
          <w:color w:val="000000" w:themeColor="text1"/>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before="180" w:after="180" w:line="440" w:lineRule="exact"/>
        <w:ind w:left="0" w:firstLine="0"/>
        <w:textAlignment w:val="auto"/>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pPr>
      <w:bookmarkStart w:id="205" w:name="_Toc15594"/>
      <w:r>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t>8 环境管理与监测计划</w:t>
      </w:r>
      <w:bookmarkEnd w:id="205"/>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06" w:name="_Toc8542"/>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8.1 HSE 管理体系的建立和运行</w:t>
      </w:r>
      <w:bookmarkEnd w:id="206"/>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本项目依据《石油天然气工业健康、安全与环境管理体系》（SY/T6276-2014）的要求，在项目的建设期、运营期和退役期等3个阶段建立和实施HSE管理体系。建设期、运营期和退役期的HSE管理分别包括以下内容：</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ascii="Times New Roman" w:hAnsi="Times New Roman" w:eastAsia="宋体" w:cs="Times New Roman"/>
          <w:color w:val="000000" w:themeColor="text1"/>
          <w:w w:val="99"/>
          <w:sz w:val="24"/>
          <w:szCs w:val="24"/>
          <w:highlight w:val="none"/>
          <w14:textFill>
            <w14:solidFill>
              <w14:schemeClr w14:val="tx1"/>
            </w14:solidFill>
          </w14:textFill>
        </w:rPr>
        <w:t>）建设期HSE管理主要包括良好的工程（高产、节水、节能）设计、安全、健康与环境保护设施的同时设计、同时施工和同时投入使用，安全、绿色施工等；</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ascii="Times New Roman" w:hAnsi="Times New Roman" w:eastAsia="宋体" w:cs="Times New Roman"/>
          <w:color w:val="000000" w:themeColor="text1"/>
          <w:w w:val="99"/>
          <w:sz w:val="24"/>
          <w:szCs w:val="24"/>
          <w:highlight w:val="none"/>
          <w14:textFill>
            <w14:solidFill>
              <w14:schemeClr w14:val="tx1"/>
            </w14:solidFill>
          </w14:textFill>
        </w:rPr>
        <w:t>）运营期HSE管理主要包括：HSE组织机构的建立及职责的确定、文件的编写、风险的识别和管理、应急措施的建立、人员的培训、HSE管理体系的运行及保持、清洁生产等；</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3</w:t>
      </w:r>
      <w:r>
        <w:rPr>
          <w:rFonts w:ascii="Times New Roman" w:hAnsi="Times New Roman" w:eastAsia="宋体" w:cs="Times New Roman"/>
          <w:color w:val="000000" w:themeColor="text1"/>
          <w:w w:val="99"/>
          <w:sz w:val="24"/>
          <w:szCs w:val="24"/>
          <w:highlight w:val="none"/>
          <w14:textFill>
            <w14:solidFill>
              <w14:schemeClr w14:val="tx1"/>
            </w14:solidFill>
          </w14:textFill>
        </w:rPr>
        <w:t>）退役期HSE管理主要考虑油区退役的安全与环境影响。</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油田开发建设及其相关辅助性设施对环境主要影响是建设期的各种施工作业活动和运行期的风险事故。为最大限度地减轻油田生产对区域内空气环境、水环境及生态环境的影响，减少事故的发生，以确保油田安全运行，必须建立科学有效的环境管理体制，制定详细周密的环境保护管理计划。</w:t>
      </w:r>
    </w:p>
    <w:p>
      <w:pPr>
        <w:pStyle w:val="2"/>
        <w:spacing w:before="60" w:beforeLines="0" w:after="60" w:line="440" w:lineRule="exact"/>
        <w:jc w:val="both"/>
        <w:outlineLvl w:val="2"/>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lang w:val="en-US"/>
          <w14:textFill>
            <w14:solidFill>
              <w14:schemeClr w14:val="tx1"/>
            </w14:solidFill>
          </w14:textFill>
        </w:rPr>
        <w:t>8.1.1 组织机构</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本项目严格实施 HSE 环境管理体系，本项目环境管理归大庆油田第</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七</w:t>
      </w:r>
      <w:r>
        <w:rPr>
          <w:rFonts w:ascii="Times New Roman" w:hAnsi="Times New Roman" w:eastAsia="宋体" w:cs="Times New Roman"/>
          <w:color w:val="000000" w:themeColor="text1"/>
          <w:w w:val="99"/>
          <w:sz w:val="24"/>
          <w:szCs w:val="24"/>
          <w:highlight w:val="none"/>
          <w14:textFill>
            <w14:solidFill>
              <w14:schemeClr w14:val="tx1"/>
            </w14:solidFill>
          </w14:textFill>
        </w:rPr>
        <w:t>采油厂管理，逐级落实岗位责任制，各层下属单位设环保员一名，相应基层单位经理为 HSE 管理体系的第一负责人，对单位日常生产过程中的相关环境工作进行管理。</w:t>
      </w:r>
    </w:p>
    <w:p>
      <w:pPr>
        <w:pStyle w:val="2"/>
        <w:spacing w:before="60" w:beforeLines="0" w:after="60" w:line="440" w:lineRule="exact"/>
        <w:jc w:val="both"/>
        <w:outlineLvl w:val="2"/>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lang w:val="en-US"/>
          <w14:textFill>
            <w14:solidFill>
              <w14:schemeClr w14:val="tx1"/>
            </w14:solidFill>
          </w14:textFill>
        </w:rPr>
        <w:t>8.1.2 规章制度</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油田环保工作必须严格执行国家、黑龙江省的环保法律法规，同时还应制定相应的环境管理规章制度，环保法规及油田内部的各种环境管理规章制度应下发到相应人员，并组织有关人员学习和贯彻执行，以确保环境管理工作的顺利进行。相关法规和规章制度详见表</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8.1-1。</w:t>
      </w:r>
    </w:p>
    <w:p>
      <w:pPr>
        <w:pStyle w:val="2"/>
        <w:spacing w:beforeLines="0" w:line="440" w:lineRule="exact"/>
        <w:ind w:firstLine="476" w:firstLineChars="200"/>
        <w:jc w:val="both"/>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b/>
          <w:bCs/>
          <w:color w:val="000000" w:themeColor="text1"/>
          <w:w w:val="99"/>
          <w:sz w:val="24"/>
          <w:szCs w:val="24"/>
          <w:highlight w:val="none"/>
          <w14:textFill>
            <w14:solidFill>
              <w14:schemeClr w14:val="tx1"/>
            </w14:solidFill>
          </w14:textFill>
        </w:rPr>
        <w:t>表</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8.1-1</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环保法规和规章制度一览表</w:t>
      </w:r>
    </w:p>
    <w:tbl>
      <w:tblPr>
        <w:tblStyle w:val="32"/>
        <w:tblW w:w="92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2170"/>
        <w:gridCol w:w="6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74"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序号</w:t>
            </w:r>
          </w:p>
        </w:tc>
        <w:tc>
          <w:tcPr>
            <w:tcW w:w="2170"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规章名称</w:t>
            </w:r>
          </w:p>
        </w:tc>
        <w:tc>
          <w:tcPr>
            <w:tcW w:w="6445"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674"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1</w:t>
            </w:r>
          </w:p>
        </w:tc>
        <w:tc>
          <w:tcPr>
            <w:tcW w:w="2170"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国家、省市级的相关环保法律法规</w:t>
            </w:r>
          </w:p>
        </w:tc>
        <w:tc>
          <w:tcPr>
            <w:tcW w:w="6445"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国家、省市颁发的环境保护法律、法规。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674"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2</w:t>
            </w:r>
          </w:p>
        </w:tc>
        <w:tc>
          <w:tcPr>
            <w:tcW w:w="2170"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油田公司制定的相关环保法律法规</w:t>
            </w:r>
          </w:p>
        </w:tc>
        <w:tc>
          <w:tcPr>
            <w:tcW w:w="6445"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油田公司的环境管理规定及环境管理规章制度（或环境保护条例及事故预案）。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674"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3</w:t>
            </w:r>
          </w:p>
        </w:tc>
        <w:tc>
          <w:tcPr>
            <w:tcW w:w="2170"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环保技术规程及标准</w:t>
            </w:r>
          </w:p>
        </w:tc>
        <w:tc>
          <w:tcPr>
            <w:tcW w:w="6445"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各级有关环境管理的技术规程、标准，主要包括：国家及省市颁布的相关污染物排放控制标准；油田公司及厂矿等各级单位制定的生产工艺、设备的环境技术管理规程，环境保护设备的操作规程等。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jc w:val="center"/>
        </w:trPr>
        <w:tc>
          <w:tcPr>
            <w:tcW w:w="674"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4</w:t>
            </w:r>
          </w:p>
        </w:tc>
        <w:tc>
          <w:tcPr>
            <w:tcW w:w="2170"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环境保护责任制</w:t>
            </w:r>
          </w:p>
        </w:tc>
        <w:tc>
          <w:tcPr>
            <w:tcW w:w="6445"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公司各类人员环境保护工作范围，应负的责任以及相应的权力。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jc w:val="center"/>
        </w:trPr>
        <w:tc>
          <w:tcPr>
            <w:tcW w:w="674"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5</w:t>
            </w:r>
          </w:p>
        </w:tc>
        <w:tc>
          <w:tcPr>
            <w:tcW w:w="2170"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三废管理制度</w:t>
            </w:r>
          </w:p>
        </w:tc>
        <w:tc>
          <w:tcPr>
            <w:tcW w:w="6445"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包括油田开发建设期及生产运行期废水、废气、废渣及噪声等方面的管理制度：在油田投入正常生产过程后，三废管理制度主要应包括油田正常运行过程中对含油污泥、含油污水及挥发烃的治理（回收及利用）等方面的管理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18" w:hRule="atLeast"/>
          <w:jc w:val="center"/>
        </w:trPr>
        <w:tc>
          <w:tcPr>
            <w:tcW w:w="674"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6</w:t>
            </w:r>
          </w:p>
        </w:tc>
        <w:tc>
          <w:tcPr>
            <w:tcW w:w="2170"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生态保护管理制度</w:t>
            </w:r>
          </w:p>
        </w:tc>
        <w:tc>
          <w:tcPr>
            <w:tcW w:w="6445"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主要包括油田建设期井场、场站、道路和管道的建设过程对区域内生态环境产生的影响后所做出的恢复计划及生态补偿措施等；在油田进入正常生产运行期后，生态保护制度主要包括油田生产过程中所进行的油井作业过程，同时包括在生产过程中对于一些突发事故可能对周围生态环境产生的影响而制定的生态恢复计划和补偿措施等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674"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7</w:t>
            </w:r>
          </w:p>
        </w:tc>
        <w:tc>
          <w:tcPr>
            <w:tcW w:w="2170"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事故管理预案</w:t>
            </w:r>
          </w:p>
        </w:tc>
        <w:tc>
          <w:tcPr>
            <w:tcW w:w="6445" w:type="dxa"/>
            <w:tcBorders>
              <w:tl2br w:val="nil"/>
              <w:tr2bl w:val="nil"/>
            </w:tcBorders>
            <w:vAlign w:val="center"/>
          </w:tcPr>
          <w:p>
            <w:pPr>
              <w:pStyle w:val="46"/>
              <w:adjustRightInd w:val="0"/>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明确油田开发建设过程中的诸如油</w:t>
            </w:r>
            <w:r>
              <w:rPr>
                <w:rFonts w:hint="eastAsia" w:eastAsia="宋体"/>
                <w:color w:val="000000" w:themeColor="text1"/>
                <w:w w:val="99"/>
                <w:kern w:val="2"/>
                <w:sz w:val="21"/>
                <w:szCs w:val="21"/>
                <w:highlight w:val="none"/>
                <w:lang w:val="en-US" w:eastAsia="zh-CN" w:bidi="ar-SA"/>
                <w14:textFill>
                  <w14:solidFill>
                    <w14:schemeClr w14:val="tx1"/>
                  </w14:solidFill>
                </w14:textFill>
              </w:rPr>
              <w:t>注入井</w:t>
            </w:r>
            <w:r>
              <w:rPr>
                <w:rFonts w:eastAsia="宋体"/>
                <w:color w:val="000000" w:themeColor="text1"/>
                <w:w w:val="99"/>
                <w:kern w:val="2"/>
                <w:sz w:val="21"/>
                <w:szCs w:val="21"/>
                <w:highlight w:val="none"/>
                <w:lang w:val="en-US" w:bidi="ar-SA"/>
                <w14:textFill>
                  <w14:solidFill>
                    <w14:schemeClr w14:val="tx1"/>
                  </w14:solidFill>
                </w14:textFill>
              </w:rPr>
              <w:t>作业、集油管道所可能存在的突发事故的预防管理措施。</w:t>
            </w:r>
          </w:p>
        </w:tc>
      </w:tr>
    </w:tbl>
    <w:p>
      <w:pPr>
        <w:pStyle w:val="2"/>
        <w:spacing w:before="60" w:beforeLines="0" w:after="60" w:line="440" w:lineRule="exact"/>
        <w:jc w:val="both"/>
        <w:outlineLvl w:val="2"/>
        <w:rPr>
          <w:rFonts w:ascii="Times New Roman" w:hAnsi="Times New Roman" w:cs="Times New Roman"/>
          <w:b/>
          <w:bCs/>
          <w:color w:val="000000" w:themeColor="text1"/>
          <w:w w:val="99"/>
          <w:sz w:val="24"/>
          <w:szCs w:val="24"/>
          <w:highlight w:val="none"/>
          <w:lang w:val="en-US"/>
          <w14:textFill>
            <w14:solidFill>
              <w14:schemeClr w14:val="tx1"/>
            </w14:solidFill>
          </w14:textFill>
        </w:rPr>
      </w:pPr>
      <w:r>
        <w:rPr>
          <w:rFonts w:ascii="Times New Roman" w:hAnsi="Times New Roman" w:cs="Times New Roman"/>
          <w:b/>
          <w:bCs/>
          <w:color w:val="000000" w:themeColor="text1"/>
          <w:w w:val="99"/>
          <w:sz w:val="24"/>
          <w:szCs w:val="24"/>
          <w:highlight w:val="none"/>
          <w:lang w:val="en-US"/>
          <w14:textFill>
            <w14:solidFill>
              <w14:schemeClr w14:val="tx1"/>
            </w14:solidFill>
          </w14:textFill>
        </w:rPr>
        <w:t>8.1.3 管理措施</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ascii="Times New Roman" w:hAnsi="Times New Roman" w:eastAsia="宋体" w:cs="Times New Roman"/>
          <w:color w:val="000000" w:themeColor="text1"/>
          <w:w w:val="99"/>
          <w:sz w:val="24"/>
          <w:szCs w:val="24"/>
          <w:highlight w:val="none"/>
          <w14:textFill>
            <w14:solidFill>
              <w14:schemeClr w14:val="tx1"/>
            </w14:solidFill>
          </w14:textFill>
        </w:rPr>
        <w:t>）最高领导层将HSE管理放在与企业生产和经营管理同等重要的位置上；</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ascii="Times New Roman" w:hAnsi="Times New Roman" w:eastAsia="宋体" w:cs="Times New Roman"/>
          <w:color w:val="000000" w:themeColor="text1"/>
          <w:w w:val="99"/>
          <w:sz w:val="24"/>
          <w:szCs w:val="24"/>
          <w:highlight w:val="none"/>
          <w14:textFill>
            <w14:solidFill>
              <w14:schemeClr w14:val="tx1"/>
            </w14:solidFill>
          </w14:textFill>
        </w:rPr>
        <w:t>）公司员工时刻将HSE责任放在心中；</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3</w:t>
      </w:r>
      <w:r>
        <w:rPr>
          <w:rFonts w:ascii="Times New Roman" w:hAnsi="Times New Roman" w:eastAsia="宋体" w:cs="Times New Roman"/>
          <w:color w:val="000000" w:themeColor="text1"/>
          <w:w w:val="99"/>
          <w:sz w:val="24"/>
          <w:szCs w:val="24"/>
          <w:highlight w:val="none"/>
          <w14:textFill>
            <w14:solidFill>
              <w14:schemeClr w14:val="tx1"/>
            </w14:solidFill>
          </w14:textFill>
        </w:rPr>
        <w:t>）制定和落实一岗一责制；</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4</w:t>
      </w:r>
      <w:r>
        <w:rPr>
          <w:rFonts w:ascii="Times New Roman" w:hAnsi="Times New Roman" w:eastAsia="宋体" w:cs="Times New Roman"/>
          <w:color w:val="000000" w:themeColor="text1"/>
          <w:w w:val="99"/>
          <w:sz w:val="24"/>
          <w:szCs w:val="24"/>
          <w:highlight w:val="none"/>
          <w14:textFill>
            <w14:solidFill>
              <w14:schemeClr w14:val="tx1"/>
            </w14:solidFill>
          </w14:textFill>
        </w:rPr>
        <w:t>）加强生产技术及HSE教育和培训；</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5</w:t>
      </w:r>
      <w:r>
        <w:rPr>
          <w:rFonts w:ascii="Times New Roman" w:hAnsi="Times New Roman" w:eastAsia="宋体" w:cs="Times New Roman"/>
          <w:color w:val="000000" w:themeColor="text1"/>
          <w:w w:val="99"/>
          <w:sz w:val="24"/>
          <w:szCs w:val="24"/>
          <w:highlight w:val="none"/>
          <w14:textFill>
            <w14:solidFill>
              <w14:schemeClr w14:val="tx1"/>
            </w14:solidFill>
          </w14:textFill>
        </w:rPr>
        <w:t>）做好现场审核和整改；</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6</w:t>
      </w:r>
      <w:r>
        <w:rPr>
          <w:rFonts w:ascii="Times New Roman" w:hAnsi="Times New Roman" w:eastAsia="宋体" w:cs="Times New Roman"/>
          <w:color w:val="000000" w:themeColor="text1"/>
          <w:w w:val="99"/>
          <w:sz w:val="24"/>
          <w:szCs w:val="24"/>
          <w:highlight w:val="none"/>
          <w14:textFill>
            <w14:solidFill>
              <w14:schemeClr w14:val="tx1"/>
            </w14:solidFill>
          </w14:textFill>
        </w:rPr>
        <w:t>）奖优罚劣，持续改进HSE表现。</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07" w:name="_Toc9407"/>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8.2 环境监控</w:t>
      </w:r>
      <w:bookmarkEnd w:id="207"/>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8.2.1 环境监控实施计划</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由</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大庆油田有限责任公司第七采油厂</w:t>
      </w:r>
      <w:r>
        <w:rPr>
          <w:rFonts w:ascii="Times New Roman" w:hAnsi="Times New Roman" w:eastAsia="宋体" w:cs="Times New Roman"/>
          <w:color w:val="000000" w:themeColor="text1"/>
          <w:w w:val="99"/>
          <w:sz w:val="24"/>
          <w:szCs w:val="24"/>
          <w:highlight w:val="none"/>
          <w14:textFill>
            <w14:solidFill>
              <w14:schemeClr w14:val="tx1"/>
            </w14:solidFill>
          </w14:textFill>
        </w:rPr>
        <w:t>安全环保部对油田建设环境保护工作进行全过程监控，对环境保护措施强制推行，以加强设计和施工阶段的环境管理，控制施工阶段的环境污染和生态破坏；同时在日常生产管理过程中对相应的环境管理机构、人员及环境管理制度必须切实落实和执行。尤其在建设施工期，除设置油田专职环保员一名外，还应根据现场实际情况，建立健全相应的二级HSE管理网络，在油田已有HSE指挥部的基础上，分别配备数名HSE现场监督人员。分别配备协调员，实行逐级负责制。</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HSE机构在环境管理上的主要任务包括；负责制定本油田施工作业的环境管理方案，制定发生事故的应急计划，监督各项环保措施的落实及环保工程的检查和预验收，负责协调与地方环保、水利、土地等部门的关系以及负责有关环保文件、技术资料的收集建档等。</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8.2.2 环境管理工作的重点</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工程投产运行后，油田环境管理工作由</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大庆油田有限责任公司第七采油厂</w:t>
      </w:r>
      <w:r>
        <w:rPr>
          <w:rFonts w:ascii="Times New Roman" w:hAnsi="Times New Roman" w:eastAsia="宋体" w:cs="Times New Roman"/>
          <w:color w:val="000000" w:themeColor="text1"/>
          <w:w w:val="99"/>
          <w:sz w:val="24"/>
          <w:szCs w:val="24"/>
          <w:highlight w:val="none"/>
          <w14:textFill>
            <w14:solidFill>
              <w14:schemeClr w14:val="tx1"/>
            </w14:solidFill>
          </w14:textFill>
        </w:rPr>
        <w:t>安全环保部负责，在油田生产运行期，环境管理除抓好日常站场各种环保设施的运行、维护等工作外，工作重点应针对油气集输生产和管理情况及油井作业过程管理、场站事故、集输管线破裂后油水泄漏等事故的预防和处理上。为此，必须制定相应的事故预防措施、事故应急措施以及恢复补偿措施等。正常油气集输过程中的检查重点为油井及集输管道。油井主要检查现场原油泄漏情况和油井环境维护状况，如抽油机有无泄漏及油井井场是否平整干净，有无落地油等。集输管道的监控内容为管道运营是否正常，是否有穿孔等潜在危害存在，以杜绝原油泄漏。井下作业工艺过程检查应包括井下作业中的设备器材的搬迁、工前准备、井下作业施工和完工的全过程。</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8.2.3 环境管理人员的基本职责</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w:t>
      </w:r>
      <w:r>
        <w:rPr>
          <w:rFonts w:ascii="Times New Roman" w:hAnsi="Times New Roman" w:eastAsia="宋体" w:cs="Times New Roman"/>
          <w:color w:val="000000" w:themeColor="text1"/>
          <w:w w:val="99"/>
          <w:sz w:val="24"/>
          <w:szCs w:val="24"/>
          <w:highlight w:val="none"/>
          <w14:textFill>
            <w14:solidFill>
              <w14:schemeClr w14:val="tx1"/>
            </w14:solidFill>
          </w14:textFill>
        </w:rPr>
        <w:t>）协助有关环保部门进行环境保护设施的竣工验收工作；</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w:t>
      </w:r>
      <w:r>
        <w:rPr>
          <w:rFonts w:ascii="Times New Roman" w:hAnsi="Times New Roman" w:eastAsia="宋体" w:cs="Times New Roman"/>
          <w:color w:val="000000" w:themeColor="text1"/>
          <w:w w:val="99"/>
          <w:sz w:val="24"/>
          <w:szCs w:val="24"/>
          <w:highlight w:val="none"/>
          <w14:textFill>
            <w14:solidFill>
              <w14:schemeClr w14:val="tx1"/>
            </w14:solidFill>
          </w14:textFill>
        </w:rPr>
        <w:t>）定期进行环保安全检查和召开有关会议；</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3</w:t>
      </w:r>
      <w:r>
        <w:rPr>
          <w:rFonts w:ascii="Times New Roman" w:hAnsi="Times New Roman" w:eastAsia="宋体" w:cs="Times New Roman"/>
          <w:color w:val="000000" w:themeColor="text1"/>
          <w:w w:val="99"/>
          <w:sz w:val="24"/>
          <w:szCs w:val="24"/>
          <w:highlight w:val="none"/>
          <w14:textFill>
            <w14:solidFill>
              <w14:schemeClr w14:val="tx1"/>
            </w14:solidFill>
          </w14:textFill>
        </w:rPr>
        <w:t>）对领导和职工特别是兼职环保人员进行环保安全方面的培训；</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4</w:t>
      </w:r>
      <w:r>
        <w:rPr>
          <w:rFonts w:ascii="Times New Roman" w:hAnsi="Times New Roman" w:eastAsia="宋体" w:cs="Times New Roman"/>
          <w:color w:val="000000" w:themeColor="text1"/>
          <w:w w:val="99"/>
          <w:sz w:val="24"/>
          <w:szCs w:val="24"/>
          <w:highlight w:val="none"/>
          <w14:textFill>
            <w14:solidFill>
              <w14:schemeClr w14:val="tx1"/>
            </w14:solidFill>
          </w14:textFill>
        </w:rPr>
        <w:t>）制定各种可能发生事故的应急计划，定期进行演练；配备各种必要的维护、抢修器材和设备，保证在发生事故时能及时到位；</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5</w:t>
      </w:r>
      <w:r>
        <w:rPr>
          <w:rFonts w:ascii="Times New Roman" w:hAnsi="Times New Roman" w:eastAsia="宋体" w:cs="Times New Roman"/>
          <w:color w:val="000000" w:themeColor="text1"/>
          <w:w w:val="99"/>
          <w:sz w:val="24"/>
          <w:szCs w:val="24"/>
          <w:highlight w:val="none"/>
          <w14:textFill>
            <w14:solidFill>
              <w14:schemeClr w14:val="tx1"/>
            </w14:solidFill>
          </w14:textFill>
        </w:rPr>
        <w:t>）主管环保的人员应参加生产调度和管理工作会议，针对生产运行中存在的环境问题，向公司领导和生产部门提出建议和技术处理措施</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8.2.4 环境监控基本内容</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为了油田开发区域内环境的持续改进，对油田开发建设的各项活动进行全过程、全方位的监控。包括井场、场站建设及相应配套设施建设，以及油田正常生产情况下的相应作业施工建设等过程。油田运营期的环境监控主要是采油、井下作业和原油集输过程中的环境保护措施执行情况。日常监控主要由本站的环保员组织定期进行，由上级部门核查。核查采用检查现场、检查记录、与员工座谈等形式进行；检查和核查应形成记录。</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08" w:name="_Toc10773"/>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8.3 本工程污染源排放清单</w:t>
      </w:r>
      <w:bookmarkEnd w:id="208"/>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本项目施工期污染物排放清单见表</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8.3-1。</w:t>
      </w:r>
    </w:p>
    <w:p>
      <w:pPr>
        <w:pStyle w:val="2"/>
        <w:spacing w:beforeLines="0" w:line="440" w:lineRule="exact"/>
        <w:ind w:firstLine="476" w:firstLineChars="200"/>
        <w:jc w:val="both"/>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b/>
          <w:bCs/>
          <w:color w:val="000000" w:themeColor="text1"/>
          <w:w w:val="99"/>
          <w:sz w:val="24"/>
          <w:szCs w:val="24"/>
          <w:highlight w:val="none"/>
          <w14:textFill>
            <w14:solidFill>
              <w14:schemeClr w14:val="tx1"/>
            </w14:solidFill>
          </w14:textFill>
        </w:rPr>
        <w:t>表</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8.3-1</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施工期污染物排放清单</w:t>
      </w:r>
    </w:p>
    <w:tbl>
      <w:tblPr>
        <w:tblStyle w:val="32"/>
        <w:tblW w:w="90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
        <w:gridCol w:w="887"/>
        <w:gridCol w:w="1054"/>
        <w:gridCol w:w="1216"/>
        <w:gridCol w:w="1245"/>
        <w:gridCol w:w="1783"/>
        <w:gridCol w:w="24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445"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序号</w:t>
            </w:r>
          </w:p>
        </w:tc>
        <w:tc>
          <w:tcPr>
            <w:tcW w:w="887"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污染物种类</w:t>
            </w: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污染物名称</w:t>
            </w:r>
          </w:p>
        </w:tc>
        <w:tc>
          <w:tcPr>
            <w:tcW w:w="1216"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主要污染因子</w:t>
            </w:r>
          </w:p>
        </w:tc>
        <w:tc>
          <w:tcPr>
            <w:tcW w:w="1245"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排放量</w:t>
            </w:r>
          </w:p>
        </w:tc>
        <w:tc>
          <w:tcPr>
            <w:tcW w:w="178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控制措施及去向</w:t>
            </w:r>
          </w:p>
        </w:tc>
        <w:tc>
          <w:tcPr>
            <w:tcW w:w="24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排放管理要求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445"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1</w:t>
            </w:r>
          </w:p>
        </w:tc>
        <w:tc>
          <w:tcPr>
            <w:tcW w:w="887"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废气</w:t>
            </w: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扬尘</w:t>
            </w:r>
          </w:p>
        </w:tc>
        <w:tc>
          <w:tcPr>
            <w:tcW w:w="1216"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颗粒物</w:t>
            </w:r>
          </w:p>
        </w:tc>
        <w:tc>
          <w:tcPr>
            <w:tcW w:w="1245"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w:t>
            </w:r>
          </w:p>
        </w:tc>
        <w:tc>
          <w:tcPr>
            <w:tcW w:w="178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排入大气</w:t>
            </w:r>
          </w:p>
        </w:tc>
        <w:tc>
          <w:tcPr>
            <w:tcW w:w="24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符合《大气污染物综合排放标准》（GB16297-1996）要求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jc w:val="center"/>
        </w:trPr>
        <w:tc>
          <w:tcPr>
            <w:tcW w:w="445"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2</w:t>
            </w:r>
          </w:p>
        </w:tc>
        <w:tc>
          <w:tcPr>
            <w:tcW w:w="887"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废水</w:t>
            </w: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生活污水</w:t>
            </w:r>
          </w:p>
        </w:tc>
        <w:tc>
          <w:tcPr>
            <w:tcW w:w="1216" w:type="dxa"/>
            <w:tcBorders>
              <w:tl2br w:val="nil"/>
              <w:tr2bl w:val="nil"/>
            </w:tcBorders>
            <w:vAlign w:val="center"/>
          </w:tcPr>
          <w:p>
            <w:pPr>
              <w:adjustRightInd w:val="0"/>
              <w:snapToGrid w:val="0"/>
              <w:spacing w:line="360" w:lineRule="exact"/>
              <w:jc w:val="center"/>
              <w:rPr>
                <w:rFonts w:ascii="Times New Roman" w:hAnsi="Times New Roman" w:eastAsia="Times New Roman" w:cs="Times New Roman"/>
                <w:color w:val="000000" w:themeColor="text1"/>
                <w:w w:val="99"/>
                <w:sz w:val="21"/>
                <w:szCs w:val="21"/>
                <w:highlight w:val="none"/>
                <w:lang w:val="en-US"/>
                <w14:textFill>
                  <w14:solidFill>
                    <w14:schemeClr w14:val="tx1"/>
                  </w14:solidFill>
                </w14:textFill>
              </w:rPr>
            </w:pPr>
            <w:r>
              <w:rPr>
                <w:rFonts w:ascii="Times New Roman" w:hAnsi="Times New Roman" w:eastAsia="Times New Roman" w:cs="Times New Roman"/>
                <w:color w:val="000000" w:themeColor="text1"/>
                <w:w w:val="99"/>
                <w:sz w:val="21"/>
                <w:szCs w:val="21"/>
                <w:highlight w:val="none"/>
                <w14:textFill>
                  <w14:solidFill>
                    <w14:schemeClr w14:val="tx1"/>
                  </w14:solidFill>
                </w14:textFill>
              </w:rPr>
              <w:t>COD</w:t>
            </w:r>
          </w:p>
          <w:p>
            <w:pPr>
              <w:adjustRightInd w:val="0"/>
              <w:snapToGrid w:val="0"/>
              <w:spacing w:line="360" w:lineRule="exact"/>
              <w:jc w:val="center"/>
              <w:rPr>
                <w:rFonts w:ascii="Times New Roman" w:hAnsi="Times New Roman" w:eastAsia="Times New Roman" w:cs="Times New Roman"/>
                <w:color w:val="000000" w:themeColor="text1"/>
                <w:w w:val="99"/>
                <w:sz w:val="21"/>
                <w:szCs w:val="21"/>
                <w:highlight w:val="none"/>
                <w:lang w:val="en-US"/>
                <w14:textFill>
                  <w14:solidFill>
                    <w14:schemeClr w14:val="tx1"/>
                  </w14:solidFill>
                </w14:textFill>
              </w:rPr>
            </w:pPr>
            <w:r>
              <w:rPr>
                <w:rFonts w:ascii="Times New Roman" w:hAnsi="Times New Roman" w:eastAsia="Times New Roman" w:cs="Times New Roman"/>
                <w:color w:val="000000" w:themeColor="text1"/>
                <w:w w:val="99"/>
                <w:sz w:val="21"/>
                <w:szCs w:val="21"/>
                <w:highlight w:val="none"/>
                <w14:textFill>
                  <w14:solidFill>
                    <w14:schemeClr w14:val="tx1"/>
                  </w14:solidFill>
                </w14:textFill>
              </w:rPr>
              <w:t>NH</w:t>
            </w:r>
            <w:r>
              <w:rPr>
                <w:rFonts w:ascii="Times New Roman" w:hAnsi="Times New Roman" w:eastAsia="Times New Roman" w:cs="Times New Roman"/>
                <w:color w:val="000000" w:themeColor="text1"/>
                <w:w w:val="99"/>
                <w:sz w:val="21"/>
                <w:szCs w:val="21"/>
                <w:highlight w:val="none"/>
                <w:vertAlign w:val="subscript"/>
                <w14:textFill>
                  <w14:solidFill>
                    <w14:schemeClr w14:val="tx1"/>
                  </w14:solidFill>
                </w14:textFill>
              </w:rPr>
              <w:t>3</w:t>
            </w:r>
            <w:r>
              <w:rPr>
                <w:rFonts w:ascii="Times New Roman" w:hAnsi="Times New Roman" w:eastAsia="Times New Roman" w:cs="Times New Roman"/>
                <w:color w:val="000000" w:themeColor="text1"/>
                <w:w w:val="99"/>
                <w:sz w:val="21"/>
                <w:szCs w:val="21"/>
                <w:highlight w:val="none"/>
                <w14:textFill>
                  <w14:solidFill>
                    <w14:schemeClr w14:val="tx1"/>
                  </w14:solidFill>
                </w14:textFill>
              </w:rPr>
              <w:t>-N</w:t>
            </w:r>
          </w:p>
        </w:tc>
        <w:tc>
          <w:tcPr>
            <w:tcW w:w="1245" w:type="dxa"/>
            <w:tcBorders>
              <w:tl2br w:val="nil"/>
              <w:tr2bl w:val="nil"/>
            </w:tcBorders>
            <w:vAlign w:val="center"/>
          </w:tcPr>
          <w:p>
            <w:pPr>
              <w:adjustRightInd w:val="0"/>
              <w:snapToGrid w:val="0"/>
              <w:spacing w:line="360" w:lineRule="exact"/>
              <w:jc w:val="center"/>
              <w:rPr>
                <w:rFonts w:ascii="Times New Roman" w:hAnsi="Times New Roman" w:cs="Times New Roman" w:eastAsiaTheme="minorEastAsia"/>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eastAsiaTheme="minorEastAsia"/>
                <w:color w:val="000000" w:themeColor="text1"/>
                <w:w w:val="99"/>
                <w:sz w:val="21"/>
                <w:szCs w:val="21"/>
                <w:highlight w:val="none"/>
                <w:lang w:val="en-US"/>
                <w14:textFill>
                  <w14:solidFill>
                    <w14:schemeClr w14:val="tx1"/>
                  </w14:solidFill>
                </w14:textFill>
              </w:rPr>
              <w:t>76.8</w:t>
            </w:r>
            <w:r>
              <w:rPr>
                <w:rFonts w:ascii="Times New Roman" w:hAnsi="Times New Roman" w:cs="Times New Roman" w:eastAsiaTheme="minorEastAsia"/>
                <w:color w:val="000000" w:themeColor="text1"/>
                <w:w w:val="99"/>
                <w:sz w:val="21"/>
                <w:szCs w:val="21"/>
                <w:highlight w:val="none"/>
                <w:lang w:val="en-US"/>
                <w14:textFill>
                  <w14:solidFill>
                    <w14:schemeClr w14:val="tx1"/>
                  </w14:solidFill>
                </w14:textFill>
              </w:rPr>
              <w:t>t</w:t>
            </w:r>
          </w:p>
        </w:tc>
        <w:tc>
          <w:tcPr>
            <w:tcW w:w="178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施工人员产生的</w:t>
            </w:r>
            <w:bookmarkStart w:id="209" w:name="_Hlk69493051"/>
            <w:r>
              <w:rPr>
                <w:rFonts w:eastAsia="宋体"/>
                <w:color w:val="000000" w:themeColor="text1"/>
                <w:w w:val="99"/>
                <w:kern w:val="2"/>
                <w:sz w:val="21"/>
                <w:szCs w:val="21"/>
                <w:highlight w:val="none"/>
                <w:lang w:val="en-US" w:bidi="ar-SA"/>
                <w14:textFill>
                  <w14:solidFill>
                    <w14:schemeClr w14:val="tx1"/>
                  </w14:solidFill>
                </w14:textFill>
              </w:rPr>
              <w:t>生活污水</w:t>
            </w:r>
            <w:r>
              <w:rPr>
                <w:rFonts w:hint="eastAsia" w:eastAsia="宋体"/>
                <w:color w:val="000000" w:themeColor="text1"/>
                <w:w w:val="99"/>
                <w:kern w:val="2"/>
                <w:sz w:val="21"/>
                <w:szCs w:val="21"/>
                <w:highlight w:val="none"/>
                <w:lang w:val="en-US" w:bidi="ar-SA"/>
                <w14:textFill>
                  <w14:solidFill>
                    <w14:schemeClr w14:val="tx1"/>
                  </w14:solidFill>
                </w14:textFill>
              </w:rPr>
              <w:t>排入</w:t>
            </w:r>
            <w:r>
              <w:rPr>
                <w:rFonts w:eastAsia="宋体"/>
                <w:color w:val="000000" w:themeColor="text1"/>
                <w:w w:val="99"/>
                <w:kern w:val="2"/>
                <w:sz w:val="21"/>
                <w:szCs w:val="21"/>
                <w:highlight w:val="none"/>
                <w:lang w:val="en-US" w:bidi="ar-SA"/>
                <w14:textFill>
                  <w14:solidFill>
                    <w14:schemeClr w14:val="tx1"/>
                  </w14:solidFill>
                </w14:textFill>
              </w:rPr>
              <w:t>本项目</w:t>
            </w:r>
            <w:r>
              <w:rPr>
                <w:rFonts w:hint="eastAsia" w:eastAsia="宋体"/>
                <w:color w:val="000000" w:themeColor="text1"/>
                <w:w w:val="99"/>
                <w:kern w:val="2"/>
                <w:sz w:val="21"/>
                <w:szCs w:val="21"/>
                <w:highlight w:val="none"/>
                <w:lang w:val="en-US" w:bidi="ar-SA"/>
                <w14:textFill>
                  <w14:solidFill>
                    <w14:schemeClr w14:val="tx1"/>
                  </w14:solidFill>
                </w14:textFill>
              </w:rPr>
              <w:t>附近</w:t>
            </w:r>
            <w:r>
              <w:rPr>
                <w:rFonts w:eastAsia="宋体"/>
                <w:color w:val="000000" w:themeColor="text1"/>
                <w:w w:val="99"/>
                <w:kern w:val="2"/>
                <w:sz w:val="21"/>
                <w:szCs w:val="21"/>
                <w:highlight w:val="none"/>
                <w:lang w:val="en-US" w:bidi="ar-SA"/>
                <w14:textFill>
                  <w14:solidFill>
                    <w14:schemeClr w14:val="tx1"/>
                  </w14:solidFill>
                </w14:textFill>
              </w:rPr>
              <w:t>阀组间内已建防渗旱厕</w:t>
            </w:r>
            <w:r>
              <w:rPr>
                <w:rFonts w:hint="eastAsia" w:eastAsia="宋体"/>
                <w:color w:val="000000" w:themeColor="text1"/>
                <w:w w:val="99"/>
                <w:kern w:val="2"/>
                <w:sz w:val="21"/>
                <w:szCs w:val="21"/>
                <w:highlight w:val="none"/>
                <w:lang w:val="en-US" w:bidi="ar-SA"/>
                <w14:textFill>
                  <w14:solidFill>
                    <w14:schemeClr w14:val="tx1"/>
                  </w14:solidFill>
                </w14:textFill>
              </w:rPr>
              <w:t>，定期进行清掏堆肥</w:t>
            </w:r>
            <w:bookmarkEnd w:id="209"/>
          </w:p>
        </w:tc>
        <w:tc>
          <w:tcPr>
            <w:tcW w:w="24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445"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887" w:type="dxa"/>
            <w:vMerge w:val="continue"/>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试压废水</w:t>
            </w:r>
          </w:p>
        </w:tc>
        <w:tc>
          <w:tcPr>
            <w:tcW w:w="121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SS</w:t>
            </w:r>
          </w:p>
        </w:tc>
        <w:tc>
          <w:tcPr>
            <w:tcW w:w="1245"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sz w:val="21"/>
                <w:szCs w:val="21"/>
                <w:highlight w:val="none"/>
                <w:lang w:val="en-US"/>
                <w14:textFill>
                  <w14:solidFill>
                    <w14:schemeClr w14:val="tx1"/>
                  </w14:solidFill>
                </w14:textFill>
              </w:rPr>
            </w:pPr>
            <w:r>
              <w:rPr>
                <w:rFonts w:hint="eastAsia" w:ascii="Times New Roman" w:hAnsi="Times New Roman" w:cs="Times New Roman"/>
                <w:color w:val="000000" w:themeColor="text1"/>
                <w:w w:val="99"/>
                <w:sz w:val="21"/>
                <w:szCs w:val="21"/>
                <w:highlight w:val="none"/>
                <w:lang w:val="en-US" w:eastAsia="zh-CN"/>
                <w14:textFill>
                  <w14:solidFill>
                    <w14:schemeClr w14:val="tx1"/>
                  </w14:solidFill>
                </w14:textFill>
              </w:rPr>
              <w:t>45.03</w:t>
            </w:r>
            <w:r>
              <w:rPr>
                <w:rFonts w:ascii="Times New Roman" w:hAnsi="Times New Roman" w:cs="Times New Roman"/>
                <w:color w:val="000000" w:themeColor="text1"/>
                <w:w w:val="99"/>
                <w:sz w:val="21"/>
                <w:szCs w:val="21"/>
                <w:highlight w:val="none"/>
                <w:lang w:val="en-US"/>
                <w14:textFill>
                  <w14:solidFill>
                    <w14:schemeClr w14:val="tx1"/>
                  </w14:solidFill>
                </w14:textFill>
              </w:rPr>
              <w:t>t</w:t>
            </w:r>
          </w:p>
        </w:tc>
        <w:tc>
          <w:tcPr>
            <w:tcW w:w="178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sz w:val="21"/>
                <w:szCs w:val="21"/>
                <w:highlight w:val="none"/>
                <w14:textFill>
                  <w14:solidFill>
                    <w14:schemeClr w14:val="tx1"/>
                  </w14:solidFill>
                </w14:textFill>
              </w:rPr>
              <w:t>由罐车拉运至</w:t>
            </w:r>
            <w:r>
              <w:rPr>
                <w:rFonts w:ascii="Times New Roman" w:hAnsi="Times New Roman" w:cs="Times New Roman"/>
                <w:color w:val="000000" w:themeColor="text1"/>
                <w:w w:val="99"/>
                <w:sz w:val="21"/>
                <w:szCs w:val="21"/>
                <w:highlight w:val="none"/>
                <w14:textFill>
                  <w14:solidFill>
                    <w14:schemeClr w14:val="tx1"/>
                  </w14:solidFill>
                </w14:textFill>
              </w:rPr>
              <w:t>葡二</w:t>
            </w:r>
            <w:r>
              <w:rPr>
                <w:rFonts w:hint="eastAsia" w:ascii="Times New Roman" w:hAnsi="Times New Roman" w:cs="Times New Roman"/>
                <w:color w:val="000000" w:themeColor="text1"/>
                <w:w w:val="99"/>
                <w:sz w:val="21"/>
                <w:szCs w:val="21"/>
                <w:highlight w:val="none"/>
                <w14:textFill>
                  <w14:solidFill>
                    <w14:schemeClr w14:val="tx1"/>
                  </w14:solidFill>
                </w14:textFill>
              </w:rPr>
              <w:t>联</w:t>
            </w:r>
            <w:r>
              <w:rPr>
                <w:rFonts w:ascii="Times New Roman" w:hAnsi="Times New Roman" w:cs="Times New Roman"/>
                <w:color w:val="000000" w:themeColor="text1"/>
                <w:w w:val="99"/>
                <w:sz w:val="21"/>
                <w:szCs w:val="21"/>
                <w:highlight w:val="none"/>
                <w14:textFill>
                  <w14:solidFill>
                    <w14:schemeClr w14:val="tx1"/>
                  </w14:solidFill>
                </w14:textFill>
              </w:rPr>
              <w:t>含油污水处理站处理后回注</w:t>
            </w:r>
            <w:r>
              <w:rPr>
                <w:rFonts w:hint="eastAsia" w:ascii="Times New Roman" w:hAnsi="Times New Roman" w:cs="Times New Roman"/>
                <w:color w:val="000000" w:themeColor="text1"/>
                <w:w w:val="99"/>
                <w:sz w:val="21"/>
                <w:szCs w:val="21"/>
                <w:highlight w:val="none"/>
                <w:lang w:val="en-US"/>
                <w14:textFill>
                  <w14:solidFill>
                    <w14:schemeClr w14:val="tx1"/>
                  </w14:solidFill>
                </w14:textFill>
              </w:rPr>
              <w:t>油层</w:t>
            </w:r>
            <w:r>
              <w:rPr>
                <w:rFonts w:ascii="Times New Roman" w:hAnsi="Times New Roman" w:cs="Times New Roman"/>
                <w:color w:val="000000" w:themeColor="text1"/>
                <w:w w:val="99"/>
                <w:sz w:val="21"/>
                <w:szCs w:val="21"/>
                <w:highlight w:val="none"/>
                <w14:textFill>
                  <w14:solidFill>
                    <w14:schemeClr w14:val="tx1"/>
                  </w14:solidFill>
                </w14:textFill>
              </w:rPr>
              <w:t>，不外排</w:t>
            </w:r>
          </w:p>
        </w:tc>
        <w:tc>
          <w:tcPr>
            <w:tcW w:w="245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满足《大庆油田地面工程建设设计规定》（Q/SYDQ0639-2015）限值要求“含油量≤10mg/L、悬浮固体含量≤5mg/L、粒径中值≤2μm”回注油层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445"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3</w:t>
            </w:r>
          </w:p>
        </w:tc>
        <w:tc>
          <w:tcPr>
            <w:tcW w:w="887"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固废</w:t>
            </w:r>
          </w:p>
        </w:tc>
        <w:tc>
          <w:tcPr>
            <w:tcW w:w="1054"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施工废料</w:t>
            </w:r>
          </w:p>
        </w:tc>
        <w:tc>
          <w:tcPr>
            <w:tcW w:w="1216"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聚氨酯</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泡沫</w:t>
            </w:r>
          </w:p>
        </w:tc>
        <w:tc>
          <w:tcPr>
            <w:tcW w:w="1245" w:type="dxa"/>
            <w:tcBorders>
              <w:tl2br w:val="nil"/>
              <w:tr2bl w:val="nil"/>
            </w:tcBorders>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0.094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w:t>
            </w:r>
          </w:p>
        </w:tc>
        <w:tc>
          <w:tcPr>
            <w:tcW w:w="1783" w:type="dxa"/>
            <w:tcBorders>
              <w:tl2br w:val="nil"/>
              <w:tr2bl w:val="nil"/>
            </w:tcBorders>
            <w:vAlign w:val="center"/>
          </w:tcPr>
          <w:p>
            <w:pPr>
              <w:pStyle w:val="46"/>
              <w:spacing w:line="360" w:lineRule="exact"/>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送至第</w:t>
            </w:r>
            <w:r>
              <w:rPr>
                <w:rFonts w:hint="eastAsia" w:eastAsia="宋体"/>
                <w:color w:val="000000" w:themeColor="text1"/>
                <w:w w:val="99"/>
                <w:kern w:val="2"/>
                <w:sz w:val="21"/>
                <w:szCs w:val="21"/>
                <w:highlight w:val="none"/>
                <w:lang w:val="en-US" w:bidi="ar-SA"/>
                <w14:textFill>
                  <w14:solidFill>
                    <w14:schemeClr w14:val="tx1"/>
                  </w14:solidFill>
                </w14:textFill>
              </w:rPr>
              <w:t>七</w:t>
            </w:r>
            <w:r>
              <w:rPr>
                <w:rFonts w:eastAsia="宋体"/>
                <w:color w:val="000000" w:themeColor="text1"/>
                <w:w w:val="99"/>
                <w:kern w:val="2"/>
                <w:sz w:val="21"/>
                <w:szCs w:val="21"/>
                <w:highlight w:val="none"/>
                <w:lang w:val="en-US" w:bidi="ar-SA"/>
                <w14:textFill>
                  <w14:solidFill>
                    <w14:schemeClr w14:val="tx1"/>
                  </w14:solidFill>
                </w14:textFill>
              </w:rPr>
              <w:t>采油厂工业固废填埋场</w:t>
            </w:r>
          </w:p>
        </w:tc>
        <w:tc>
          <w:tcPr>
            <w:tcW w:w="2451" w:type="dxa"/>
            <w:tcBorders>
              <w:tl2br w:val="nil"/>
              <w:tr2bl w:val="nil"/>
            </w:tcBorders>
            <w:vAlign w:val="center"/>
          </w:tcPr>
          <w:p>
            <w:pPr>
              <w:pStyle w:val="46"/>
              <w:spacing w:line="360" w:lineRule="exact"/>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0" w:hRule="atLeast"/>
          <w:jc w:val="center"/>
        </w:trPr>
        <w:tc>
          <w:tcPr>
            <w:tcW w:w="445"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887"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054"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生活垃圾</w:t>
            </w:r>
          </w:p>
        </w:tc>
        <w:tc>
          <w:tcPr>
            <w:tcW w:w="121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p>
        </w:tc>
        <w:tc>
          <w:tcPr>
            <w:tcW w:w="1245"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0.6t</w:t>
            </w:r>
          </w:p>
        </w:tc>
        <w:tc>
          <w:tcPr>
            <w:tcW w:w="178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bookmarkStart w:id="210" w:name="_Hlk69493155"/>
            <w:r>
              <w:rPr>
                <w:rFonts w:ascii="Times New Roman" w:hAnsi="Times New Roman" w:cs="Times New Roman"/>
                <w:color w:val="000000" w:themeColor="text1"/>
                <w:w w:val="99"/>
                <w:sz w:val="21"/>
                <w:szCs w:val="21"/>
                <w:highlight w:val="none"/>
                <w:lang w:val="en-US" w:bidi="ar"/>
                <w14:textFill>
                  <w14:solidFill>
                    <w14:schemeClr w14:val="tx1"/>
                  </w14:solidFill>
                </w14:textFill>
              </w:rPr>
              <w:t>由环卫部门拉运至大庆市生活垃圾综合处理厂进行处理</w:t>
            </w:r>
            <w:bookmarkEnd w:id="210"/>
          </w:p>
        </w:tc>
        <w:tc>
          <w:tcPr>
            <w:tcW w:w="2451"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拉运至大庆市生活垃圾综合处理厂</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jc w:val="center"/>
        </w:trPr>
        <w:tc>
          <w:tcPr>
            <w:tcW w:w="445"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4</w:t>
            </w:r>
          </w:p>
        </w:tc>
        <w:tc>
          <w:tcPr>
            <w:tcW w:w="887"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噪声</w:t>
            </w: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机械噪声</w:t>
            </w:r>
          </w:p>
        </w:tc>
        <w:tc>
          <w:tcPr>
            <w:tcW w:w="1216"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噪声</w:t>
            </w:r>
          </w:p>
        </w:tc>
        <w:tc>
          <w:tcPr>
            <w:tcW w:w="1245"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60~90 dB</w:t>
            </w:r>
          </w:p>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（A）</w:t>
            </w:r>
          </w:p>
        </w:tc>
        <w:tc>
          <w:tcPr>
            <w:tcW w:w="178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排入周围环境</w:t>
            </w:r>
          </w:p>
        </w:tc>
        <w:tc>
          <w:tcPr>
            <w:tcW w:w="245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符合《建筑施工场界环境噪声排放标准》（GB 12523-2011） 要求</w:t>
            </w:r>
          </w:p>
        </w:tc>
      </w:tr>
    </w:tbl>
    <w:p>
      <w:pPr>
        <w:pStyle w:val="2"/>
        <w:spacing w:beforeLines="0" w:line="440" w:lineRule="exact"/>
        <w:ind w:firstLine="474" w:firstLineChars="200"/>
        <w:jc w:val="both"/>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本项目运营期污染物排放清单见表8.3-2</w:t>
      </w:r>
      <w:r>
        <w:rPr>
          <w:rFonts w:hint="eastAsia" w:ascii="Times New Roman" w:hAnsi="Times New Roman" w:eastAsia="宋体" w:cs="Times New Roman"/>
          <w:color w:val="000000" w:themeColor="text1"/>
          <w:w w:val="99"/>
          <w:sz w:val="24"/>
          <w:szCs w:val="24"/>
          <w:highlight w:val="none"/>
          <w:lang w:val="en-US" w:eastAsia="zh-CN"/>
          <w14:textFill>
            <w14:solidFill>
              <w14:schemeClr w14:val="tx1"/>
            </w14:solidFill>
          </w14:textFill>
        </w:rPr>
        <w:t>。</w:t>
      </w:r>
    </w:p>
    <w:p>
      <w:pPr>
        <w:pStyle w:val="2"/>
        <w:spacing w:beforeLines="0" w:line="440" w:lineRule="exact"/>
        <w:ind w:firstLine="476" w:firstLineChars="200"/>
        <w:jc w:val="both"/>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表8.3-2</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运营期污染物排放清单</w:t>
      </w:r>
    </w:p>
    <w:tbl>
      <w:tblPr>
        <w:tblStyle w:val="32"/>
        <w:tblW w:w="90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
        <w:gridCol w:w="771"/>
        <w:gridCol w:w="1054"/>
        <w:gridCol w:w="1598"/>
        <w:gridCol w:w="1243"/>
        <w:gridCol w:w="1440"/>
        <w:gridCol w:w="2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492"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序号</w:t>
            </w:r>
          </w:p>
        </w:tc>
        <w:tc>
          <w:tcPr>
            <w:tcW w:w="77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污染物种类</w:t>
            </w: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污染物</w:t>
            </w:r>
          </w:p>
        </w:tc>
        <w:tc>
          <w:tcPr>
            <w:tcW w:w="15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主要污染因子</w:t>
            </w:r>
          </w:p>
        </w:tc>
        <w:tc>
          <w:tcPr>
            <w:tcW w:w="124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排放量</w:t>
            </w:r>
          </w:p>
        </w:tc>
        <w:tc>
          <w:tcPr>
            <w:tcW w:w="1440"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控制措施及去向</w:t>
            </w:r>
          </w:p>
        </w:tc>
        <w:tc>
          <w:tcPr>
            <w:tcW w:w="248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排放管理要求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492"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1</w:t>
            </w:r>
          </w:p>
        </w:tc>
        <w:tc>
          <w:tcPr>
            <w:tcW w:w="771"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废气</w:t>
            </w: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烃类气体</w:t>
            </w:r>
          </w:p>
        </w:tc>
        <w:tc>
          <w:tcPr>
            <w:tcW w:w="15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非甲烷烃</w:t>
            </w:r>
          </w:p>
        </w:tc>
        <w:tc>
          <w:tcPr>
            <w:tcW w:w="124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eastAsia="zh-CN" w:bidi="ar-SA"/>
                <w14:textFill>
                  <w14:solidFill>
                    <w14:schemeClr w14:val="tx1"/>
                  </w14:solidFill>
                </w14:textFill>
              </w:rPr>
              <w:t>24.24</w:t>
            </w:r>
            <w:r>
              <w:rPr>
                <w:rFonts w:eastAsia="宋体"/>
                <w:color w:val="000000" w:themeColor="text1"/>
                <w:w w:val="99"/>
                <w:kern w:val="2"/>
                <w:sz w:val="21"/>
                <w:szCs w:val="21"/>
                <w:highlight w:val="none"/>
                <w:lang w:val="en-US" w:bidi="ar-SA"/>
                <w14:textFill>
                  <w14:solidFill>
                    <w14:schemeClr w14:val="tx1"/>
                  </w14:solidFill>
                </w14:textFill>
              </w:rPr>
              <w:t>t/a</w:t>
            </w:r>
          </w:p>
        </w:tc>
        <w:tc>
          <w:tcPr>
            <w:tcW w:w="1440"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排入大气</w:t>
            </w:r>
          </w:p>
        </w:tc>
        <w:tc>
          <w:tcPr>
            <w:tcW w:w="2483" w:type="dxa"/>
            <w:tcBorders>
              <w:tl2br w:val="nil"/>
              <w:tr2bl w:val="nil"/>
            </w:tcBorders>
            <w:vAlign w:val="center"/>
          </w:tcPr>
          <w:p>
            <w:pPr>
              <w:pStyle w:val="46"/>
              <w:spacing w:line="360" w:lineRule="exact"/>
              <w:rPr>
                <w:rFonts w:eastAsia="宋体"/>
                <w:bCs/>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满足</w:t>
            </w:r>
            <w:r>
              <w:rPr>
                <w:rFonts w:eastAsia="宋体"/>
                <w:bCs/>
                <w:color w:val="000000" w:themeColor="text1"/>
                <w:w w:val="99"/>
                <w:kern w:val="2"/>
                <w:sz w:val="21"/>
                <w:szCs w:val="21"/>
                <w:highlight w:val="none"/>
                <w:lang w:val="en-US" w:bidi="ar-SA"/>
                <w14:textFill>
                  <w14:solidFill>
                    <w14:schemeClr w14:val="tx1"/>
                  </w14:solidFill>
                </w14:textFill>
              </w:rPr>
              <w:t>《大气污染物综合排放标准》（GB16297-1996）中无组织排放监控浓度限值</w:t>
            </w:r>
            <w:r>
              <w:rPr>
                <w:rFonts w:hint="eastAsia" w:eastAsia="宋体"/>
                <w:color w:val="000000" w:themeColor="text1"/>
                <w:w w:val="99"/>
                <w:kern w:val="2"/>
                <w:sz w:val="21"/>
                <w:szCs w:val="21"/>
                <w:highlight w:val="none"/>
                <w:lang w:val="en-US" w:bidi="ar-SA"/>
                <w14:textFill>
                  <w14:solidFill>
                    <w14:schemeClr w14:val="tx1"/>
                  </w14:solidFill>
                </w14:textFill>
              </w:rPr>
              <w:t>4.0mg/m</w:t>
            </w:r>
            <w:r>
              <w:rPr>
                <w:rFonts w:hint="eastAsia" w:eastAsia="宋体"/>
                <w:color w:val="000000" w:themeColor="text1"/>
                <w:w w:val="99"/>
                <w:kern w:val="2"/>
                <w:sz w:val="21"/>
                <w:szCs w:val="21"/>
                <w:highlight w:val="none"/>
                <w:vertAlign w:val="superscript"/>
                <w:lang w:val="en-US" w:bidi="ar-SA"/>
                <w14:textFill>
                  <w14:solidFill>
                    <w14:schemeClr w14:val="tx1"/>
                  </w14:solidFill>
                </w14:textFill>
              </w:rPr>
              <w:t>3</w:t>
            </w:r>
            <w:r>
              <w:rPr>
                <w:rFonts w:hint="eastAsia" w:eastAsia="宋体"/>
                <w:bCs/>
                <w:color w:val="000000" w:themeColor="text1"/>
                <w:w w:val="99"/>
                <w:kern w:val="2"/>
                <w:sz w:val="21"/>
                <w:szCs w:val="21"/>
                <w:highlight w:val="none"/>
                <w:lang w:val="en-US" w:bidi="ar-SA"/>
                <w14:textFill>
                  <w14:solidFill>
                    <w14:schemeClr w14:val="tx1"/>
                  </w14:solidFill>
                </w14:textFill>
              </w:rPr>
              <w:t>要求；</w:t>
            </w:r>
          </w:p>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14:textFill>
                  <w14:solidFill>
                    <w14:schemeClr w14:val="tx1"/>
                  </w14:solidFill>
                </w14:textFill>
              </w:rPr>
              <w:t>满足</w:t>
            </w:r>
            <w:r>
              <w:rPr>
                <w:rFonts w:eastAsia="宋体"/>
                <w:color w:val="000000" w:themeColor="text1"/>
                <w:w w:val="99"/>
                <w:kern w:val="2"/>
                <w:sz w:val="21"/>
                <w:szCs w:val="21"/>
                <w:highlight w:val="none"/>
                <w:lang w:val="en-US"/>
                <w14:textFill>
                  <w14:solidFill>
                    <w14:schemeClr w14:val="tx1"/>
                  </w14:solidFill>
                </w14:textFill>
              </w:rPr>
              <w:t>《陆上石油天然气开采工业大气污染物排放标准》（GB39728-2020）</w:t>
            </w:r>
            <w:r>
              <w:rPr>
                <w:rFonts w:hint="eastAsia" w:eastAsia="宋体"/>
                <w:color w:val="000000" w:themeColor="text1"/>
                <w:w w:val="99"/>
                <w:kern w:val="2"/>
                <w:sz w:val="21"/>
                <w:szCs w:val="21"/>
                <w:highlight w:val="none"/>
                <w:lang w:val="en-US"/>
                <w14:textFill>
                  <w14:solidFill>
                    <w14:schemeClr w14:val="tx1"/>
                  </w14:solidFill>
                </w14:textFill>
              </w:rPr>
              <w:t>排放</w:t>
            </w:r>
            <w:r>
              <w:rPr>
                <w:rFonts w:eastAsia="宋体"/>
                <w:color w:val="000000" w:themeColor="text1"/>
                <w:w w:val="99"/>
                <w:kern w:val="2"/>
                <w:sz w:val="21"/>
                <w:szCs w:val="21"/>
                <w:highlight w:val="none"/>
                <w:lang w:val="en-US"/>
                <w14:textFill>
                  <w14:solidFill>
                    <w14:schemeClr w14:val="tx1"/>
                  </w14:solidFill>
                </w14:textFill>
              </w:rPr>
              <w:t>浓度不超过</w:t>
            </w:r>
            <w:r>
              <w:rPr>
                <w:rFonts w:hint="eastAsia" w:eastAsia="宋体"/>
                <w:color w:val="000000" w:themeColor="text1"/>
                <w:w w:val="99"/>
                <w:kern w:val="2"/>
                <w:sz w:val="21"/>
                <w:szCs w:val="21"/>
                <w:highlight w:val="none"/>
                <w:lang w:val="en-US"/>
                <w14:textFill>
                  <w14:solidFill>
                    <w14:schemeClr w14:val="tx1"/>
                  </w14:solidFill>
                </w14:textFill>
              </w:rPr>
              <w:t>120</w:t>
            </w:r>
            <w:r>
              <w:rPr>
                <w:rFonts w:eastAsia="宋体"/>
                <w:color w:val="000000" w:themeColor="text1"/>
                <w:w w:val="99"/>
                <w:kern w:val="2"/>
                <w:sz w:val="21"/>
                <w:szCs w:val="21"/>
                <w:highlight w:val="none"/>
                <w:lang w:val="en-US"/>
                <w14:textFill>
                  <w14:solidFill>
                    <w14:schemeClr w14:val="tx1"/>
                  </w14:solidFill>
                </w14:textFill>
              </w:rPr>
              <w:t>mg/m</w:t>
            </w:r>
            <w:r>
              <w:rPr>
                <w:rFonts w:eastAsia="宋体"/>
                <w:color w:val="000000" w:themeColor="text1"/>
                <w:w w:val="99"/>
                <w:kern w:val="2"/>
                <w:sz w:val="21"/>
                <w:szCs w:val="21"/>
                <w:highlight w:val="none"/>
                <w:vertAlign w:val="superscript"/>
                <w:lang w:val="en-US"/>
                <w14:textFill>
                  <w14:solidFill>
                    <w14:schemeClr w14:val="tx1"/>
                  </w14:solidFill>
                </w14:textFill>
              </w:rPr>
              <w:t>3</w:t>
            </w:r>
            <w:r>
              <w:rPr>
                <w:rFonts w:hint="eastAsia" w:eastAsia="宋体"/>
                <w:color w:val="000000" w:themeColor="text1"/>
                <w:w w:val="99"/>
                <w:kern w:val="2"/>
                <w:sz w:val="21"/>
                <w:szCs w:val="21"/>
                <w:highlight w:val="none"/>
                <w:lang w:val="en-US"/>
                <w14:textFill>
                  <w14:solidFill>
                    <w14:schemeClr w14:val="tx1"/>
                  </w14:solidFill>
                </w14:textFill>
              </w:rPr>
              <w:t>，</w:t>
            </w:r>
            <w:r>
              <w:rPr>
                <w:rFonts w:eastAsia="宋体"/>
                <w:color w:val="000000" w:themeColor="text1"/>
                <w:w w:val="99"/>
                <w:kern w:val="2"/>
                <w:sz w:val="21"/>
                <w:szCs w:val="21"/>
                <w:highlight w:val="none"/>
                <w:lang w:val="en-US"/>
                <w14:textFill>
                  <w14:solidFill>
                    <w14:schemeClr w14:val="tx1"/>
                  </w14:solidFill>
                </w14:textFill>
              </w:rPr>
              <w:t>生产装置和设施排气中非甲烷总烃初始排放速率≥3kg/h的，废气处理设施非甲烷总烃去除率</w:t>
            </w:r>
            <w:r>
              <w:rPr>
                <w:rFonts w:hint="eastAsia" w:eastAsia="宋体"/>
                <w:color w:val="000000" w:themeColor="text1"/>
                <w:w w:val="99"/>
                <w:kern w:val="2"/>
                <w:sz w:val="21"/>
                <w:szCs w:val="21"/>
                <w:highlight w:val="none"/>
                <w:lang w:val="en-US"/>
                <w14:textFill>
                  <w14:solidFill>
                    <w14:schemeClr w14:val="tx1"/>
                  </w14:solidFill>
                </w14:textFill>
              </w:rPr>
              <w:t>不低于80</w:t>
            </w:r>
            <w:r>
              <w:rPr>
                <w:rFonts w:eastAsia="宋体"/>
                <w:color w:val="000000" w:themeColor="text1"/>
                <w:w w:val="99"/>
                <w:kern w:val="2"/>
                <w:sz w:val="21"/>
                <w:szCs w:val="21"/>
                <w:highlight w:val="none"/>
                <w:lang w:val="en-US"/>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492"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771"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4"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燃烧烟气</w:t>
            </w:r>
          </w:p>
        </w:tc>
        <w:tc>
          <w:tcPr>
            <w:tcW w:w="1598"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SO</w:t>
            </w:r>
            <w:r>
              <w:rPr>
                <w:rFonts w:ascii="Times New Roman" w:hAnsi="Times New Roman" w:cs="Times New Roman"/>
                <w:color w:val="000000" w:themeColor="text1"/>
                <w:w w:val="99"/>
                <w:sz w:val="21"/>
                <w:szCs w:val="21"/>
                <w:highlight w:val="none"/>
                <w:vertAlign w:val="subscript"/>
                <w14:textFill>
                  <w14:solidFill>
                    <w14:schemeClr w14:val="tx1"/>
                  </w14:solidFill>
                </w14:textFill>
              </w:rPr>
              <w:t>2</w:t>
            </w:r>
          </w:p>
        </w:tc>
        <w:tc>
          <w:tcPr>
            <w:tcW w:w="1243"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0.0464</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44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483"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符合《锅炉大气污染物排放标准》（GB13271-2014）</w:t>
            </w:r>
            <w:r>
              <w:rPr>
                <w:rFonts w:hint="eastAsia" w:eastAsia="宋体"/>
                <w:color w:val="000000" w:themeColor="text1"/>
                <w:w w:val="99"/>
                <w:kern w:val="2"/>
                <w:sz w:val="21"/>
                <w:szCs w:val="21"/>
                <w:highlight w:val="none"/>
                <w:lang w:val="en-US" w:bidi="ar-SA"/>
                <w14:textFill>
                  <w14:solidFill>
                    <w14:schemeClr w14:val="tx1"/>
                  </w14:solidFill>
                </w14:textFill>
              </w:rPr>
              <w:t>表1中在用燃气锅炉</w:t>
            </w:r>
            <w:r>
              <w:rPr>
                <w:rFonts w:eastAsia="宋体"/>
                <w:color w:val="000000" w:themeColor="text1"/>
                <w:w w:val="99"/>
                <w:kern w:val="2"/>
                <w:sz w:val="21"/>
                <w:szCs w:val="21"/>
                <w:highlight w:val="none"/>
                <w:lang w:val="en-US" w:bidi="ar-SA"/>
                <w14:textFill>
                  <w14:solidFill>
                    <w14:schemeClr w14:val="tx1"/>
                  </w14:solidFill>
                </w14:textFill>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6" w:hRule="atLeast"/>
          <w:jc w:val="center"/>
        </w:trPr>
        <w:tc>
          <w:tcPr>
            <w:tcW w:w="492"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771"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4"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598"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NO</w:t>
            </w:r>
            <w:r>
              <w:rPr>
                <w:rFonts w:ascii="Times New Roman" w:hAnsi="Times New Roman" w:cs="Times New Roman"/>
                <w:color w:val="000000" w:themeColor="text1"/>
                <w:w w:val="99"/>
                <w:sz w:val="21"/>
                <w:szCs w:val="21"/>
                <w:highlight w:val="none"/>
                <w:vertAlign w:val="subscript"/>
                <w14:textFill>
                  <w14:solidFill>
                    <w14:schemeClr w14:val="tx1"/>
                  </w14:solidFill>
                </w14:textFill>
              </w:rPr>
              <w:t>x</w:t>
            </w:r>
          </w:p>
        </w:tc>
        <w:tc>
          <w:tcPr>
            <w:tcW w:w="1243"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0.2106</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44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483"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7" w:hRule="atLeast"/>
          <w:jc w:val="center"/>
        </w:trPr>
        <w:tc>
          <w:tcPr>
            <w:tcW w:w="492" w:type="dxa"/>
            <w:vMerge w:val="continue"/>
            <w:tcBorders>
              <w:bottom w:val="single" w:color="000000" w:sz="4" w:space="0"/>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771" w:type="dxa"/>
            <w:vMerge w:val="continue"/>
            <w:tcBorders>
              <w:bottom w:val="single" w:color="000000" w:sz="4" w:space="0"/>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4" w:type="dxa"/>
            <w:vMerge w:val="continue"/>
            <w:tcBorders>
              <w:bottom w:val="single" w:color="000000"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1598" w:type="dxa"/>
            <w:tcBorders>
              <w:bottom w:val="single" w:color="000000" w:sz="4" w:space="0"/>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sz w:val="21"/>
                <w:szCs w:val="21"/>
                <w:highlight w:val="none"/>
                <w:lang w:val="en-US"/>
                <w14:textFill>
                  <w14:solidFill>
                    <w14:schemeClr w14:val="tx1"/>
                  </w14:solidFill>
                </w14:textFill>
              </w:rPr>
            </w:pPr>
            <w:r>
              <w:rPr>
                <w:rFonts w:ascii="Times New Roman" w:hAnsi="Times New Roman" w:cs="Times New Roman"/>
                <w:color w:val="000000" w:themeColor="text1"/>
                <w:w w:val="99"/>
                <w:sz w:val="21"/>
                <w:szCs w:val="21"/>
                <w:highlight w:val="none"/>
                <w14:textFill>
                  <w14:solidFill>
                    <w14:schemeClr w14:val="tx1"/>
                  </w14:solidFill>
                </w14:textFill>
              </w:rPr>
              <w:t>颗粒物</w:t>
            </w:r>
          </w:p>
        </w:tc>
        <w:tc>
          <w:tcPr>
            <w:tcW w:w="1243" w:type="dxa"/>
            <w:tcBorders>
              <w:bottom w:val="single" w:color="000000" w:sz="4" w:space="0"/>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0.0291</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440" w:type="dxa"/>
            <w:vMerge w:val="continue"/>
            <w:tcBorders>
              <w:bottom w:val="single" w:color="000000" w:sz="4" w:space="0"/>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483" w:type="dxa"/>
            <w:vMerge w:val="continue"/>
            <w:tcBorders>
              <w:bottom w:val="single" w:color="000000" w:sz="4" w:space="0"/>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8" w:hRule="atLeast"/>
          <w:jc w:val="center"/>
        </w:trPr>
        <w:tc>
          <w:tcPr>
            <w:tcW w:w="492"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2</w:t>
            </w:r>
          </w:p>
        </w:tc>
        <w:tc>
          <w:tcPr>
            <w:tcW w:w="771"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废水</w:t>
            </w: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油田采出水</w:t>
            </w:r>
          </w:p>
        </w:tc>
        <w:tc>
          <w:tcPr>
            <w:tcW w:w="15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石油类</w:t>
            </w:r>
          </w:p>
        </w:tc>
        <w:tc>
          <w:tcPr>
            <w:tcW w:w="124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eastAsia="zh-CN" w:bidi="ar-SA"/>
                <w14:textFill>
                  <w14:solidFill>
                    <w14:schemeClr w14:val="tx1"/>
                  </w14:solidFill>
                </w14:textFill>
              </w:rPr>
              <w:t>160400</w:t>
            </w:r>
            <w:r>
              <w:rPr>
                <w:rFonts w:eastAsia="宋体"/>
                <w:color w:val="000000" w:themeColor="text1"/>
                <w:w w:val="99"/>
                <w:kern w:val="2"/>
                <w:sz w:val="21"/>
                <w:szCs w:val="21"/>
                <w:highlight w:val="none"/>
                <w:lang w:val="en-US" w:bidi="ar-SA"/>
                <w14:textFill>
                  <w14:solidFill>
                    <w14:schemeClr w14:val="tx1"/>
                  </w14:solidFill>
                </w14:textFill>
              </w:rPr>
              <w:t>t/a</w:t>
            </w:r>
          </w:p>
        </w:tc>
        <w:tc>
          <w:tcPr>
            <w:tcW w:w="1440"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Theme="minorEastAsia"/>
                <w:color w:val="000000" w:themeColor="text1"/>
                <w:w w:val="99"/>
                <w:sz w:val="21"/>
                <w:szCs w:val="21"/>
                <w:highlight w:val="none"/>
                <w14:textFill>
                  <w14:solidFill>
                    <w14:schemeClr w14:val="tx1"/>
                  </w14:solidFill>
                </w14:textFill>
              </w:rPr>
              <w:t>采出液输至</w:t>
            </w:r>
            <w:r>
              <w:rPr>
                <w:rFonts w:hint="eastAsia" w:ascii="宋体" w:hAnsi="宋体" w:eastAsia="宋体" w:cs="宋体"/>
                <w:color w:val="000000" w:themeColor="text1"/>
                <w:w w:val="99"/>
                <w:sz w:val="21"/>
                <w:szCs w:val="21"/>
                <w:highlight w:val="none"/>
                <w14:textFill>
                  <w14:solidFill>
                    <w14:schemeClr w14:val="tx1"/>
                  </w14:solidFill>
                </w14:textFill>
              </w:rPr>
              <w:t>葡二联含油污水处理站处理，</w:t>
            </w:r>
            <w:r>
              <w:rPr>
                <w:rFonts w:ascii="宋体" w:hAnsi="宋体" w:eastAsia="宋体" w:cs="宋体"/>
                <w:color w:val="000000" w:themeColor="text1"/>
                <w:w w:val="99"/>
                <w:sz w:val="21"/>
                <w:szCs w:val="21"/>
                <w:highlight w:val="none"/>
                <w14:textFill>
                  <w14:solidFill>
                    <w14:schemeClr w14:val="tx1"/>
                  </w14:solidFill>
                </w14:textFill>
              </w:rPr>
              <w:t>作业废水</w:t>
            </w:r>
            <w:r>
              <w:rPr>
                <w:rFonts w:hint="eastAsia" w:ascii="宋体" w:hAnsi="宋体" w:eastAsia="宋体" w:cs="宋体"/>
                <w:color w:val="000000" w:themeColor="text1"/>
                <w:w w:val="99"/>
                <w:sz w:val="21"/>
                <w:szCs w:val="21"/>
                <w:highlight w:val="none"/>
                <w14:textFill>
                  <w14:solidFill>
                    <w14:schemeClr w14:val="tx1"/>
                  </w14:solidFill>
                </w14:textFill>
              </w:rPr>
              <w:t>由罐车</w:t>
            </w:r>
            <w:r>
              <w:rPr>
                <w:rFonts w:ascii="宋体" w:hAnsi="宋体" w:eastAsia="宋体" w:cs="宋体"/>
                <w:color w:val="000000" w:themeColor="text1"/>
                <w:w w:val="99"/>
                <w:sz w:val="21"/>
                <w:szCs w:val="21"/>
                <w:highlight w:val="none"/>
                <w14:textFill>
                  <w14:solidFill>
                    <w14:schemeClr w14:val="tx1"/>
                  </w14:solidFill>
                </w14:textFill>
              </w:rPr>
              <w:t>拉运至</w:t>
            </w:r>
            <w:r>
              <w:rPr>
                <w:rFonts w:hint="eastAsia" w:ascii="宋体" w:hAnsi="宋体" w:eastAsia="宋体" w:cs="宋体"/>
                <w:color w:val="000000" w:themeColor="text1"/>
                <w:w w:val="99"/>
                <w:sz w:val="21"/>
                <w:szCs w:val="21"/>
                <w:highlight w:val="none"/>
                <w14:textFill>
                  <w14:solidFill>
                    <w14:schemeClr w14:val="tx1"/>
                  </w14:solidFill>
                </w14:textFill>
              </w:rPr>
              <w:t>葡二联含油</w:t>
            </w:r>
            <w:r>
              <w:rPr>
                <w:rFonts w:ascii="宋体" w:hAnsi="宋体" w:eastAsia="宋体" w:cs="宋体"/>
                <w:color w:val="000000" w:themeColor="text1"/>
                <w:w w:val="99"/>
                <w:sz w:val="21"/>
                <w:szCs w:val="21"/>
                <w:highlight w:val="none"/>
                <w14:textFill>
                  <w14:solidFill>
                    <w14:schemeClr w14:val="tx1"/>
                  </w14:solidFill>
                </w14:textFill>
              </w:rPr>
              <w:t>污水站处理</w:t>
            </w:r>
          </w:p>
        </w:tc>
        <w:tc>
          <w:tcPr>
            <w:tcW w:w="2483"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处理后的污水满足</w:t>
            </w:r>
            <w:r>
              <w:rPr>
                <w:rFonts w:eastAsia="宋体"/>
                <w:color w:val="000000" w:themeColor="text1"/>
                <w:w w:val="99"/>
                <w:kern w:val="2"/>
                <w:sz w:val="21"/>
                <w:szCs w:val="21"/>
                <w:highlight w:val="none"/>
                <w:lang w:val="en-US" w:bidi="ar-SA"/>
                <w14:textFill>
                  <w14:solidFill>
                    <w14:schemeClr w14:val="tx1"/>
                  </w14:solidFill>
                </w14:textFill>
              </w:rPr>
              <w:t>《大庆油田地面工程建设设计规定》（Q/SY DQ0639-2015） 要求</w:t>
            </w:r>
            <w:r>
              <w:rPr>
                <w:rFonts w:hint="eastAsia" w:eastAsia="宋体"/>
                <w:color w:val="000000" w:themeColor="text1"/>
                <w:w w:val="99"/>
                <w:kern w:val="2"/>
                <w:sz w:val="21"/>
                <w:szCs w:val="21"/>
                <w:highlight w:val="none"/>
                <w:lang w:val="en-US" w:bidi="ar-SA"/>
                <w14:textFill>
                  <w14:solidFill>
                    <w14:schemeClr w14:val="tx1"/>
                  </w14:solidFill>
                </w14:textFill>
              </w:rPr>
              <w:t>，“含油量≤</w:t>
            </w:r>
            <w:r>
              <w:rPr>
                <w:rFonts w:eastAsia="宋体"/>
                <w:color w:val="000000" w:themeColor="text1"/>
                <w:w w:val="99"/>
                <w:kern w:val="2"/>
                <w:sz w:val="21"/>
                <w:szCs w:val="21"/>
                <w:highlight w:val="none"/>
                <w:lang w:val="en-US" w:bidi="ar-SA"/>
                <w14:textFill>
                  <w14:solidFill>
                    <w14:schemeClr w14:val="tx1"/>
                  </w14:solidFill>
                </w14:textFill>
              </w:rPr>
              <w:t>10</w:t>
            </w:r>
            <w:r>
              <w:rPr>
                <w:rFonts w:hint="eastAsia" w:eastAsia="宋体"/>
                <w:color w:val="000000" w:themeColor="text1"/>
                <w:w w:val="99"/>
                <w:kern w:val="2"/>
                <w:sz w:val="21"/>
                <w:szCs w:val="21"/>
                <w:highlight w:val="none"/>
                <w:lang w:val="en-US" w:bidi="ar-SA"/>
                <w14:textFill>
                  <w14:solidFill>
                    <w14:schemeClr w14:val="tx1"/>
                  </w14:solidFill>
                </w14:textFill>
              </w:rPr>
              <w:t>mg/L、悬浮固体含量≤</w:t>
            </w:r>
            <w:r>
              <w:rPr>
                <w:rFonts w:eastAsia="宋体"/>
                <w:color w:val="000000" w:themeColor="text1"/>
                <w:w w:val="99"/>
                <w:kern w:val="2"/>
                <w:sz w:val="21"/>
                <w:szCs w:val="21"/>
                <w:highlight w:val="none"/>
                <w:lang w:val="en-US" w:bidi="ar-SA"/>
                <w14:textFill>
                  <w14:solidFill>
                    <w14:schemeClr w14:val="tx1"/>
                  </w14:solidFill>
                </w14:textFill>
              </w:rPr>
              <w:t>5</w:t>
            </w:r>
            <w:r>
              <w:rPr>
                <w:rFonts w:hint="eastAsia" w:eastAsia="宋体"/>
                <w:color w:val="000000" w:themeColor="text1"/>
                <w:w w:val="99"/>
                <w:kern w:val="2"/>
                <w:sz w:val="21"/>
                <w:szCs w:val="21"/>
                <w:highlight w:val="none"/>
                <w:lang w:val="en-US" w:bidi="ar-SA"/>
                <w14:textFill>
                  <w14:solidFill>
                    <w14:schemeClr w14:val="tx1"/>
                  </w14:solidFill>
                </w14:textFill>
              </w:rPr>
              <w:t>mg/L、粒径中值</w:t>
            </w:r>
            <w:r>
              <w:rPr>
                <w:rFonts w:eastAsia="宋体"/>
                <w:color w:val="000000" w:themeColor="text1"/>
                <w:w w:val="99"/>
                <w:kern w:val="2"/>
                <w:sz w:val="21"/>
                <w:szCs w:val="21"/>
                <w:highlight w:val="none"/>
                <w:lang w:val="en-US" w:bidi="ar-SA"/>
                <w14:textFill>
                  <w14:solidFill>
                    <w14:schemeClr w14:val="tx1"/>
                  </w14:solidFill>
                </w14:textFill>
              </w:rPr>
              <w:t>≤2μm”后，回注油层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jc w:val="center"/>
        </w:trPr>
        <w:tc>
          <w:tcPr>
            <w:tcW w:w="492"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771"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作业污水</w:t>
            </w:r>
          </w:p>
        </w:tc>
        <w:tc>
          <w:tcPr>
            <w:tcW w:w="15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石油类、悬浮物</w:t>
            </w:r>
          </w:p>
        </w:tc>
        <w:tc>
          <w:tcPr>
            <w:tcW w:w="124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eastAsia="zh-CN" w:bidi="ar-SA"/>
                <w14:textFill>
                  <w14:solidFill>
                    <w14:schemeClr w14:val="tx1"/>
                  </w14:solidFill>
                </w14:textFill>
              </w:rPr>
              <w:t>56</w:t>
            </w:r>
            <w:r>
              <w:rPr>
                <w:rFonts w:eastAsia="宋体"/>
                <w:color w:val="000000" w:themeColor="text1"/>
                <w:w w:val="99"/>
                <w:kern w:val="2"/>
                <w:sz w:val="21"/>
                <w:szCs w:val="21"/>
                <w:highlight w:val="none"/>
                <w:lang w:val="en-US" w:bidi="ar-SA"/>
                <w14:textFill>
                  <w14:solidFill>
                    <w14:schemeClr w14:val="tx1"/>
                  </w14:solidFill>
                </w14:textFill>
              </w:rPr>
              <w:t>t/a</w:t>
            </w:r>
          </w:p>
        </w:tc>
        <w:tc>
          <w:tcPr>
            <w:tcW w:w="144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483"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492"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771"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清防蜡废水</w:t>
            </w:r>
          </w:p>
        </w:tc>
        <w:tc>
          <w:tcPr>
            <w:tcW w:w="15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石油类、悬浮物</w:t>
            </w:r>
          </w:p>
        </w:tc>
        <w:tc>
          <w:tcPr>
            <w:tcW w:w="124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eastAsia="zh-CN" w:bidi="ar-SA"/>
                <w14:textFill>
                  <w14:solidFill>
                    <w14:schemeClr w14:val="tx1"/>
                  </w14:solidFill>
                </w14:textFill>
              </w:rPr>
              <w:t>2665.4</w:t>
            </w:r>
            <w:r>
              <w:rPr>
                <w:rFonts w:eastAsia="宋体"/>
                <w:color w:val="000000" w:themeColor="text1"/>
                <w:w w:val="99"/>
                <w:kern w:val="2"/>
                <w:sz w:val="21"/>
                <w:szCs w:val="21"/>
                <w:highlight w:val="none"/>
                <w:lang w:val="en-US" w:bidi="ar-SA"/>
                <w14:textFill>
                  <w14:solidFill>
                    <w14:schemeClr w14:val="tx1"/>
                  </w14:solidFill>
                </w14:textFill>
              </w:rPr>
              <w:t>t/a</w:t>
            </w:r>
          </w:p>
        </w:tc>
        <w:tc>
          <w:tcPr>
            <w:tcW w:w="1440"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483"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492"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bookmarkStart w:id="211" w:name="_Hlk69493185"/>
            <w:r>
              <w:rPr>
                <w:rFonts w:eastAsia="宋体"/>
                <w:color w:val="000000" w:themeColor="text1"/>
                <w:w w:val="99"/>
                <w:kern w:val="2"/>
                <w:sz w:val="21"/>
                <w:szCs w:val="21"/>
                <w:highlight w:val="none"/>
                <w:lang w:val="en-US" w:bidi="ar-SA"/>
                <w14:textFill>
                  <w14:solidFill>
                    <w14:schemeClr w14:val="tx1"/>
                  </w14:solidFill>
                </w14:textFill>
              </w:rPr>
              <w:t>3</w:t>
            </w:r>
          </w:p>
        </w:tc>
        <w:tc>
          <w:tcPr>
            <w:tcW w:w="771"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固废</w:t>
            </w: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油泥</w:t>
            </w:r>
          </w:p>
        </w:tc>
        <w:tc>
          <w:tcPr>
            <w:tcW w:w="15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石油类</w:t>
            </w:r>
          </w:p>
        </w:tc>
        <w:tc>
          <w:tcPr>
            <w:tcW w:w="1243" w:type="dxa"/>
            <w:tcBorders>
              <w:tl2br w:val="nil"/>
              <w:tr2bl w:val="nil"/>
            </w:tcBorders>
            <w:vAlign w:val="center"/>
          </w:tcPr>
          <w:p>
            <w:pPr>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0.</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513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t/a</w:t>
            </w:r>
          </w:p>
        </w:tc>
        <w:tc>
          <w:tcPr>
            <w:tcW w:w="1440"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送至</w:t>
            </w:r>
            <w:bookmarkStart w:id="212" w:name="_Hlk69493200"/>
            <w:r>
              <w:rPr>
                <w:rFonts w:eastAsia="宋体"/>
                <w:color w:val="000000" w:themeColor="text1"/>
                <w:w w:val="99"/>
                <w:kern w:val="2"/>
                <w:sz w:val="21"/>
                <w:szCs w:val="21"/>
                <w:highlight w:val="none"/>
                <w:lang w:val="en-US" w:bidi="ar-SA"/>
                <w14:textFill>
                  <w14:solidFill>
                    <w14:schemeClr w14:val="tx1"/>
                  </w14:solidFill>
                </w14:textFill>
              </w:rPr>
              <w:t>葡萄花含油污泥处理站进行处理</w:t>
            </w:r>
            <w:bookmarkEnd w:id="212"/>
          </w:p>
        </w:tc>
        <w:tc>
          <w:tcPr>
            <w:tcW w:w="2483"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符合《油田含油污泥综合利用污染控制标准》（DB 23/T1413-2010）要求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8" w:hRule="atLeast"/>
          <w:jc w:val="center"/>
        </w:trPr>
        <w:tc>
          <w:tcPr>
            <w:tcW w:w="492"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771"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落地油</w:t>
            </w:r>
          </w:p>
        </w:tc>
        <w:tc>
          <w:tcPr>
            <w:tcW w:w="15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石油类</w:t>
            </w:r>
          </w:p>
        </w:tc>
        <w:tc>
          <w:tcPr>
            <w:tcW w:w="1243" w:type="dxa"/>
            <w:tcBorders>
              <w:tl2br w:val="nil"/>
              <w:tr2bl w:val="nil"/>
            </w:tcBorders>
            <w:vAlign w:val="center"/>
          </w:tcPr>
          <w:p>
            <w:pPr>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0.7t/a</w:t>
            </w:r>
          </w:p>
        </w:tc>
        <w:tc>
          <w:tcPr>
            <w:tcW w:w="1440" w:type="dxa"/>
            <w:vMerge w:val="continue"/>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p>
        </w:tc>
        <w:tc>
          <w:tcPr>
            <w:tcW w:w="2483"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bookmarkEnd w:id="211"/>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492"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771" w:type="dxa"/>
            <w:vMerge w:val="continue"/>
            <w:tcBorders>
              <w:tl2br w:val="nil"/>
              <w:tr2bl w:val="nil"/>
            </w:tcBorders>
            <w:vAlign w:val="center"/>
          </w:tcPr>
          <w:p>
            <w:pPr>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废防渗布</w:t>
            </w:r>
          </w:p>
        </w:tc>
        <w:tc>
          <w:tcPr>
            <w:tcW w:w="15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石油类</w:t>
            </w:r>
          </w:p>
        </w:tc>
        <w:tc>
          <w:tcPr>
            <w:tcW w:w="1243" w:type="dxa"/>
            <w:tcBorders>
              <w:tl2br w:val="nil"/>
              <w:tr2bl w:val="nil"/>
            </w:tcBorders>
            <w:vAlign w:val="center"/>
          </w:tcPr>
          <w:p>
            <w:pPr>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0.35t/a</w:t>
            </w:r>
          </w:p>
        </w:tc>
        <w:tc>
          <w:tcPr>
            <w:tcW w:w="1440"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委托有资质单位进行处理</w:t>
            </w:r>
          </w:p>
        </w:tc>
        <w:tc>
          <w:tcPr>
            <w:tcW w:w="248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6" w:hRule="atLeast"/>
          <w:jc w:val="center"/>
        </w:trPr>
        <w:tc>
          <w:tcPr>
            <w:tcW w:w="492"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4</w:t>
            </w:r>
          </w:p>
        </w:tc>
        <w:tc>
          <w:tcPr>
            <w:tcW w:w="771"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噪声</w:t>
            </w:r>
          </w:p>
        </w:tc>
        <w:tc>
          <w:tcPr>
            <w:tcW w:w="10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hint="eastAsia" w:eastAsia="宋体"/>
                <w:color w:val="000000" w:themeColor="text1"/>
                <w:w w:val="99"/>
                <w:kern w:val="2"/>
                <w:sz w:val="21"/>
                <w:szCs w:val="21"/>
                <w:highlight w:val="none"/>
                <w:lang w:val="en-US" w:bidi="ar-SA"/>
                <w14:textFill>
                  <w14:solidFill>
                    <w14:schemeClr w14:val="tx1"/>
                  </w14:solidFill>
                </w14:textFill>
              </w:rPr>
              <w:t>抽油机</w:t>
            </w:r>
            <w:r>
              <w:rPr>
                <w:rFonts w:eastAsia="宋体"/>
                <w:color w:val="000000" w:themeColor="text1"/>
                <w:w w:val="99"/>
                <w:kern w:val="2"/>
                <w:sz w:val="21"/>
                <w:szCs w:val="21"/>
                <w:highlight w:val="none"/>
                <w:lang w:val="en-US" w:bidi="ar-SA"/>
                <w14:textFill>
                  <w14:solidFill>
                    <w14:schemeClr w14:val="tx1"/>
                  </w14:solidFill>
                </w14:textFill>
              </w:rPr>
              <w:t>噪声</w:t>
            </w:r>
          </w:p>
        </w:tc>
        <w:tc>
          <w:tcPr>
            <w:tcW w:w="1598"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噪声</w:t>
            </w:r>
          </w:p>
        </w:tc>
        <w:tc>
          <w:tcPr>
            <w:tcW w:w="124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6</w:t>
            </w:r>
            <w:r>
              <w:rPr>
                <w:rFonts w:hint="eastAsia" w:eastAsia="宋体"/>
                <w:color w:val="000000" w:themeColor="text1"/>
                <w:w w:val="99"/>
                <w:kern w:val="2"/>
                <w:sz w:val="21"/>
                <w:szCs w:val="21"/>
                <w:highlight w:val="none"/>
                <w:lang w:val="en-US" w:bidi="ar-SA"/>
                <w14:textFill>
                  <w14:solidFill>
                    <w14:schemeClr w14:val="tx1"/>
                  </w14:solidFill>
                </w14:textFill>
              </w:rPr>
              <w:t>5~</w:t>
            </w:r>
            <w:r>
              <w:rPr>
                <w:rFonts w:eastAsia="宋体"/>
                <w:color w:val="000000" w:themeColor="text1"/>
                <w:w w:val="99"/>
                <w:kern w:val="2"/>
                <w:sz w:val="21"/>
                <w:szCs w:val="21"/>
                <w:highlight w:val="none"/>
                <w:lang w:val="en-US" w:bidi="ar-SA"/>
                <w14:textFill>
                  <w14:solidFill>
                    <w14:schemeClr w14:val="tx1"/>
                  </w14:solidFill>
                </w14:textFill>
              </w:rPr>
              <w:t>75</w:t>
            </w:r>
          </w:p>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dB（A）</w:t>
            </w:r>
          </w:p>
        </w:tc>
        <w:tc>
          <w:tcPr>
            <w:tcW w:w="1440"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排入周围环境</w:t>
            </w:r>
          </w:p>
        </w:tc>
        <w:tc>
          <w:tcPr>
            <w:tcW w:w="2483"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符合《工业企业厂界环境噪声排放标准》（GB 12348-2008）</w:t>
            </w:r>
            <w:r>
              <w:rPr>
                <w:rFonts w:hint="eastAsia" w:eastAsia="宋体"/>
                <w:color w:val="000000" w:themeColor="text1"/>
                <w:w w:val="99"/>
                <w:kern w:val="2"/>
                <w:sz w:val="21"/>
                <w:szCs w:val="21"/>
                <w:highlight w:val="none"/>
                <w:lang w:val="en-US" w:bidi="ar-SA"/>
                <w14:textFill>
                  <w14:solidFill>
                    <w14:schemeClr w14:val="tx1"/>
                  </w14:solidFill>
                </w14:textFill>
              </w:rPr>
              <w:t>中2类标准</w:t>
            </w:r>
          </w:p>
        </w:tc>
      </w:tr>
    </w:tbl>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13" w:name="_Toc18068"/>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8.4 总量控制</w:t>
      </w:r>
      <w:bookmarkEnd w:id="213"/>
    </w:p>
    <w:p>
      <w:pPr>
        <w:widowControl/>
        <w:adjustRightInd w:val="0"/>
        <w:spacing w:line="500" w:lineRule="exact"/>
        <w:ind w:firstLine="474" w:firstLineChars="200"/>
        <w:rPr>
          <w:rFonts w:ascii="Times New Roman" w:hAnsi="Times New Roman" w:cs="Times New Roman"/>
          <w:color w:val="000000" w:themeColor="text1"/>
          <w:w w:val="99"/>
          <w:sz w:val="24"/>
          <w:szCs w:val="24"/>
          <w:highlight w:val="none"/>
          <w:lang w:val="en-US"/>
          <w14:textFill>
            <w14:solidFill>
              <w14:schemeClr w14:val="tx1"/>
            </w14:solidFill>
          </w14:textFill>
        </w:rPr>
      </w:pPr>
      <w:r>
        <w:rPr>
          <w:rFonts w:ascii="Times New Roman" w:hAnsi="Times New Roman" w:cs="Times New Roman"/>
          <w:color w:val="000000" w:themeColor="text1"/>
          <w:w w:val="99"/>
          <w:sz w:val="24"/>
          <w:szCs w:val="24"/>
          <w:highlight w:val="none"/>
          <w:lang w:val="en-US"/>
          <w14:textFill>
            <w14:solidFill>
              <w14:schemeClr w14:val="tx1"/>
            </w14:solidFill>
          </w14:textFill>
        </w:rPr>
        <w:t>本项目外排污染物涉及的总量控制因子为 SO</w:t>
      </w:r>
      <w:r>
        <w:rPr>
          <w:rFonts w:ascii="Times New Roman" w:hAnsi="Times New Roman" w:cs="Times New Roman"/>
          <w:color w:val="000000" w:themeColor="text1"/>
          <w:w w:val="99"/>
          <w:sz w:val="24"/>
          <w:szCs w:val="24"/>
          <w:highlight w:val="none"/>
          <w:vertAlign w:val="subscript"/>
          <w:lang w:val="en-US"/>
          <w14:textFill>
            <w14:solidFill>
              <w14:schemeClr w14:val="tx1"/>
            </w14:solidFill>
          </w14:textFill>
        </w:rPr>
        <w:t>2</w:t>
      </w:r>
      <w:r>
        <w:rPr>
          <w:rFonts w:ascii="Times New Roman" w:hAnsi="Times New Roman" w:cs="Times New Roman"/>
          <w:color w:val="000000" w:themeColor="text1"/>
          <w:w w:val="99"/>
          <w:sz w:val="24"/>
          <w:szCs w:val="24"/>
          <w:highlight w:val="none"/>
          <w:lang w:val="en-US"/>
          <w14:textFill>
            <w14:solidFill>
              <w14:schemeClr w14:val="tx1"/>
            </w14:solidFill>
          </w14:textFill>
        </w:rPr>
        <w:t>、NOx、颗粒物及挥发性有机物。因项目未新建加热炉，</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且项目实施前后采出液量不发生变化，故本项目无新增总量，</w:t>
      </w:r>
      <w:r>
        <w:rPr>
          <w:rFonts w:ascii="Times New Roman" w:hAnsi="Times New Roman" w:cs="Times New Roman"/>
          <w:color w:val="000000" w:themeColor="text1"/>
          <w:w w:val="99"/>
          <w:sz w:val="24"/>
          <w:szCs w:val="24"/>
          <w:highlight w:val="none"/>
          <w:lang w:val="en-US"/>
          <w14:textFill>
            <w14:solidFill>
              <w14:schemeClr w14:val="tx1"/>
            </w14:solidFill>
          </w14:textFill>
        </w:rPr>
        <w:t>SO</w:t>
      </w:r>
      <w:r>
        <w:rPr>
          <w:rFonts w:ascii="Times New Roman" w:hAnsi="Times New Roman" w:cs="Times New Roman"/>
          <w:color w:val="000000" w:themeColor="text1"/>
          <w:w w:val="99"/>
          <w:sz w:val="24"/>
          <w:szCs w:val="24"/>
          <w:highlight w:val="none"/>
          <w:vertAlign w:val="subscript"/>
          <w:lang w:val="en-US"/>
          <w14:textFill>
            <w14:solidFill>
              <w14:schemeClr w14:val="tx1"/>
            </w14:solidFill>
          </w14:textFill>
        </w:rPr>
        <w:t>2</w:t>
      </w:r>
      <w:r>
        <w:rPr>
          <w:rFonts w:ascii="Times New Roman" w:hAnsi="Times New Roman" w:cs="Times New Roman"/>
          <w:color w:val="000000" w:themeColor="text1"/>
          <w:w w:val="99"/>
          <w:sz w:val="24"/>
          <w:szCs w:val="24"/>
          <w:highlight w:val="none"/>
          <w:lang w:val="en-US"/>
          <w14:textFill>
            <w14:solidFill>
              <w14:schemeClr w14:val="tx1"/>
            </w14:solidFill>
          </w14:textFill>
        </w:rPr>
        <w:t>、NOx、颗粒物为依托</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葡北</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9</w:t>
      </w:r>
      <w:r>
        <w:rPr>
          <w:rFonts w:ascii="Times New Roman" w:hAnsi="Times New Roman" w:cs="Times New Roman"/>
          <w:color w:val="000000" w:themeColor="text1"/>
          <w:w w:val="99"/>
          <w:sz w:val="24"/>
          <w:szCs w:val="24"/>
          <w:highlight w:val="none"/>
          <w:lang w:val="en-US"/>
          <w14:textFill>
            <w14:solidFill>
              <w14:schemeClr w14:val="tx1"/>
            </w14:solidFill>
          </w14:textFill>
        </w:rPr>
        <w:t>#转油站</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、葡北</w:t>
      </w:r>
      <w:r>
        <w:rPr>
          <w:rFonts w:ascii="Times New Roman" w:hAnsi="Times New Roman" w:cs="Times New Roman"/>
          <w:color w:val="000000" w:themeColor="text1"/>
          <w:w w:val="99"/>
          <w:sz w:val="24"/>
          <w:szCs w:val="24"/>
          <w:highlight w:val="none"/>
          <w:lang w:val="en-US"/>
          <w14:textFill>
            <w14:solidFill>
              <w14:schemeClr w14:val="tx1"/>
            </w14:solidFill>
          </w14:textFill>
        </w:rPr>
        <w:t>1</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0</w:t>
      </w:r>
      <w:r>
        <w:rPr>
          <w:rFonts w:ascii="Times New Roman" w:hAnsi="Times New Roman" w:cs="Times New Roman"/>
          <w:color w:val="000000" w:themeColor="text1"/>
          <w:w w:val="99"/>
          <w:sz w:val="24"/>
          <w:szCs w:val="24"/>
          <w:highlight w:val="none"/>
          <w:lang w:val="en-US"/>
          <w14:textFill>
            <w14:solidFill>
              <w14:schemeClr w14:val="tx1"/>
            </w14:solidFill>
          </w14:textFill>
        </w:rPr>
        <w:t>#转油站</w:t>
      </w:r>
      <w:r>
        <w:rPr>
          <w:rFonts w:hint="eastAsia" w:ascii="Times New Roman" w:hAnsi="Times New Roman" w:cs="Times New Roman"/>
          <w:color w:val="000000" w:themeColor="text1"/>
          <w:w w:val="99"/>
          <w:sz w:val="24"/>
          <w:szCs w:val="24"/>
          <w:highlight w:val="none"/>
          <w:lang w:val="en-US"/>
          <w14:textFill>
            <w14:solidFill>
              <w14:schemeClr w14:val="tx1"/>
            </w14:solidFill>
          </w14:textFill>
        </w:rPr>
        <w:t>等</w:t>
      </w:r>
      <w:r>
        <w:rPr>
          <w:rFonts w:ascii="Times New Roman" w:hAnsi="Times New Roman" w:cs="Times New Roman"/>
          <w:color w:val="000000" w:themeColor="text1"/>
          <w:w w:val="99"/>
          <w:sz w:val="24"/>
          <w:szCs w:val="24"/>
          <w:highlight w:val="none"/>
          <w:lang w:val="en-US"/>
          <w14:textFill>
            <w14:solidFill>
              <w14:schemeClr w14:val="tx1"/>
            </w14:solidFill>
          </w14:textFill>
        </w:rPr>
        <w:t xml:space="preserve">场站产生的分担量。本工程非甲烷烃排放量 </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24.24</w:t>
      </w:r>
      <w:r>
        <w:rPr>
          <w:rFonts w:ascii="Times New Roman" w:hAnsi="Times New Roman" w:cs="Times New Roman"/>
          <w:color w:val="000000" w:themeColor="text1"/>
          <w:w w:val="99"/>
          <w:sz w:val="24"/>
          <w:szCs w:val="24"/>
          <w:highlight w:val="none"/>
          <w:lang w:val="en-US"/>
          <w14:textFill>
            <w14:solidFill>
              <w14:schemeClr w14:val="tx1"/>
            </w14:solidFill>
          </w14:textFill>
        </w:rPr>
        <w:t>t/a，建议按实际排放总量进行控制。</w:t>
      </w:r>
    </w:p>
    <w:p>
      <w:pPr>
        <w:pStyle w:val="2"/>
        <w:spacing w:beforeLines="0" w:line="440" w:lineRule="exact"/>
        <w:ind w:firstLine="476" w:firstLineChars="200"/>
        <w:jc w:val="both"/>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表8.4-1</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本工程污染物排放总量一览表</w:t>
      </w:r>
    </w:p>
    <w:tbl>
      <w:tblPr>
        <w:tblStyle w:val="32"/>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0"/>
        <w:gridCol w:w="3795"/>
        <w:gridCol w:w="3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1650" w:type="dxa"/>
            <w:tcBorders>
              <w:tl2br w:val="nil"/>
              <w:tr2bl w:val="nil"/>
            </w:tcBorders>
            <w:vAlign w:val="center"/>
          </w:tcPr>
          <w:p>
            <w:pPr>
              <w:pStyle w:val="2"/>
              <w:spacing w:beforeLines="0"/>
              <w:rPr>
                <w:rFonts w:ascii="Times New Roman" w:hAnsi="Times New Roman" w:eastAsia="宋体" w:cs="Times New Roman"/>
                <w:color w:val="000000" w:themeColor="text1"/>
                <w:w w:val="99"/>
                <w:kern w:val="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序号</w:t>
            </w:r>
          </w:p>
        </w:tc>
        <w:tc>
          <w:tcPr>
            <w:tcW w:w="3795" w:type="dxa"/>
            <w:tcBorders>
              <w:tl2br w:val="nil"/>
              <w:tr2bl w:val="nil"/>
            </w:tcBorders>
            <w:vAlign w:val="center"/>
          </w:tcPr>
          <w:p>
            <w:pPr>
              <w:pStyle w:val="2"/>
              <w:spacing w:beforeLines="0"/>
              <w:rPr>
                <w:rFonts w:ascii="Times New Roman" w:hAnsi="Times New Roman" w:eastAsia="宋体" w:cs="Times New Roman"/>
                <w:color w:val="000000" w:themeColor="text1"/>
                <w:w w:val="99"/>
                <w:kern w:val="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污染物</w:t>
            </w:r>
          </w:p>
        </w:tc>
        <w:tc>
          <w:tcPr>
            <w:tcW w:w="3637" w:type="dxa"/>
            <w:tcBorders>
              <w:tl2br w:val="nil"/>
              <w:tr2bl w:val="nil"/>
            </w:tcBorders>
            <w:vAlign w:val="center"/>
          </w:tcPr>
          <w:p>
            <w:pPr>
              <w:pStyle w:val="2"/>
              <w:spacing w:beforeLines="0"/>
              <w:rPr>
                <w:rFonts w:hint="eastAsia" w:ascii="Times New Roman" w:hAnsi="Times New Roman" w:eastAsia="宋体" w:cs="Times New Roman"/>
                <w:color w:val="000000" w:themeColor="text1"/>
                <w:w w:val="99"/>
                <w:kern w:val="2"/>
                <w:highlight w:val="none"/>
                <w:lang w:val="en-US" w:eastAsia="zh-CN"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核定排放量</w:t>
            </w:r>
            <w:r>
              <w:rPr>
                <w:rFonts w:hint="eastAsia" w:ascii="Times New Roman" w:hAnsi="Times New Roman" w:eastAsia="宋体" w:cs="Times New Roman"/>
                <w:color w:val="000000" w:themeColor="text1"/>
                <w:w w:val="99"/>
                <w:kern w:val="2"/>
                <w:highlight w:val="none"/>
                <w:lang w:val="en-US" w:eastAsia="zh-CN" w:bidi="ar-SA"/>
                <w14:textFill>
                  <w14:solidFill>
                    <w14:schemeClr w14:val="tx1"/>
                  </w14:solidFill>
                </w14:textFill>
              </w:rPr>
              <w:t>（分担量）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50" w:type="dxa"/>
            <w:tcBorders>
              <w:tl2br w:val="nil"/>
              <w:tr2bl w:val="nil"/>
            </w:tcBorders>
            <w:vAlign w:val="center"/>
          </w:tcPr>
          <w:p>
            <w:pPr>
              <w:pStyle w:val="2"/>
              <w:spacing w:beforeLines="0"/>
              <w:rPr>
                <w:rFonts w:ascii="Times New Roman" w:hAnsi="Times New Roman" w:eastAsia="宋体" w:cs="Times New Roman"/>
                <w:color w:val="000000" w:themeColor="text1"/>
                <w:w w:val="99"/>
                <w:kern w:val="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1</w:t>
            </w:r>
          </w:p>
        </w:tc>
        <w:tc>
          <w:tcPr>
            <w:tcW w:w="3795" w:type="dxa"/>
            <w:tcBorders>
              <w:tl2br w:val="nil"/>
              <w:tr2bl w:val="nil"/>
            </w:tcBorders>
            <w:vAlign w:val="center"/>
          </w:tcPr>
          <w:p>
            <w:pPr>
              <w:pStyle w:val="2"/>
              <w:spacing w:beforeLines="0"/>
              <w:rPr>
                <w:rFonts w:ascii="Times New Roman" w:hAnsi="Times New Roman" w:eastAsia="宋体" w:cs="Times New Roman"/>
                <w:color w:val="000000" w:themeColor="text1"/>
                <w:w w:val="99"/>
                <w:kern w:val="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颗粒物（t/a）</w:t>
            </w:r>
          </w:p>
        </w:tc>
        <w:tc>
          <w:tcPr>
            <w:tcW w:w="3637" w:type="dxa"/>
            <w:tcBorders>
              <w:tl2br w:val="nil"/>
              <w:tr2bl w:val="nil"/>
            </w:tcBorders>
            <w:vAlign w:val="center"/>
          </w:tcPr>
          <w:p>
            <w:pPr>
              <w:pStyle w:val="2"/>
              <w:spacing w:beforeLines="0"/>
              <w:rPr>
                <w:rFonts w:hint="eastAsia" w:ascii="Times New Roman" w:hAnsi="Times New Roman" w:eastAsia="宋体" w:cs="Times New Roman"/>
                <w:color w:val="000000" w:themeColor="text1"/>
                <w:w w:val="99"/>
                <w:kern w:val="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
                <w:highlight w:val="none"/>
                <w:lang w:val="en-US" w:eastAsia="zh-CN" w:bidi="ar-SA"/>
                <w14:textFill>
                  <w14:solidFill>
                    <w14:schemeClr w14:val="tx1"/>
                  </w14:solidFill>
                </w14:textFill>
              </w:rPr>
              <w:t>0.0291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50" w:type="dxa"/>
            <w:tcBorders>
              <w:tl2br w:val="nil"/>
              <w:tr2bl w:val="nil"/>
            </w:tcBorders>
            <w:vAlign w:val="center"/>
          </w:tcPr>
          <w:p>
            <w:pPr>
              <w:pStyle w:val="2"/>
              <w:spacing w:beforeLines="0"/>
              <w:rPr>
                <w:rFonts w:ascii="Times New Roman" w:hAnsi="Times New Roman" w:eastAsia="宋体" w:cs="Times New Roman"/>
                <w:color w:val="000000" w:themeColor="text1"/>
                <w:w w:val="99"/>
                <w:kern w:val="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2</w:t>
            </w:r>
          </w:p>
        </w:tc>
        <w:tc>
          <w:tcPr>
            <w:tcW w:w="3795" w:type="dxa"/>
            <w:tcBorders>
              <w:tl2br w:val="nil"/>
              <w:tr2bl w:val="nil"/>
            </w:tcBorders>
            <w:vAlign w:val="center"/>
          </w:tcPr>
          <w:p>
            <w:pPr>
              <w:pStyle w:val="2"/>
              <w:spacing w:beforeLines="0"/>
              <w:rPr>
                <w:rFonts w:ascii="Times New Roman" w:hAnsi="Times New Roman" w:eastAsia="宋体" w:cs="Times New Roman"/>
                <w:color w:val="000000" w:themeColor="text1"/>
                <w:w w:val="99"/>
                <w:kern w:val="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NO</w:t>
            </w:r>
            <w:r>
              <w:rPr>
                <w:rFonts w:ascii="Times New Roman" w:hAnsi="Times New Roman" w:eastAsia="宋体" w:cs="Times New Roman"/>
                <w:color w:val="000000" w:themeColor="text1"/>
                <w:w w:val="99"/>
                <w:kern w:val="2"/>
                <w:highlight w:val="none"/>
                <w:vertAlign w:val="subscript"/>
                <w:lang w:val="en-US" w:bidi="ar-SA"/>
                <w14:textFill>
                  <w14:solidFill>
                    <w14:schemeClr w14:val="tx1"/>
                  </w14:solidFill>
                </w14:textFill>
              </w:rPr>
              <w:t>X</w:t>
            </w:r>
            <w:r>
              <w:rPr>
                <w:rFonts w:ascii="Times New Roman" w:hAnsi="Times New Roman" w:eastAsia="宋体" w:cs="Times New Roman"/>
                <w:color w:val="000000" w:themeColor="text1"/>
                <w:w w:val="99"/>
                <w:kern w:val="2"/>
                <w:highlight w:val="none"/>
                <w:lang w:val="en-US" w:bidi="ar-SA"/>
                <w14:textFill>
                  <w14:solidFill>
                    <w14:schemeClr w14:val="tx1"/>
                  </w14:solidFill>
                </w14:textFill>
              </w:rPr>
              <w:t>（t/a）</w:t>
            </w:r>
          </w:p>
        </w:tc>
        <w:tc>
          <w:tcPr>
            <w:tcW w:w="3637" w:type="dxa"/>
            <w:tcBorders>
              <w:tl2br w:val="nil"/>
              <w:tr2bl w:val="nil"/>
            </w:tcBorders>
            <w:vAlign w:val="center"/>
          </w:tcPr>
          <w:p>
            <w:pPr>
              <w:pStyle w:val="2"/>
              <w:spacing w:beforeLines="0"/>
              <w:rPr>
                <w:rFonts w:hint="eastAsia" w:ascii="Times New Roman" w:hAnsi="Times New Roman" w:eastAsia="宋体" w:cs="Times New Roman"/>
                <w:color w:val="000000" w:themeColor="text1"/>
                <w:w w:val="99"/>
                <w:kern w:val="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
                <w:highlight w:val="none"/>
                <w:lang w:val="en-US" w:eastAsia="zh-CN" w:bidi="ar-SA"/>
                <w14:textFill>
                  <w14:solidFill>
                    <w14:schemeClr w14:val="tx1"/>
                  </w14:solidFill>
                </w14:textFill>
              </w:rPr>
              <w:t>0.0464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1650" w:type="dxa"/>
            <w:tcBorders>
              <w:tl2br w:val="nil"/>
              <w:tr2bl w:val="nil"/>
            </w:tcBorders>
            <w:vAlign w:val="center"/>
          </w:tcPr>
          <w:p>
            <w:pPr>
              <w:pStyle w:val="2"/>
              <w:spacing w:beforeLines="0"/>
              <w:rPr>
                <w:rFonts w:ascii="Times New Roman" w:hAnsi="Times New Roman" w:eastAsia="宋体" w:cs="Times New Roman"/>
                <w:color w:val="000000" w:themeColor="text1"/>
                <w:w w:val="99"/>
                <w:kern w:val="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3</w:t>
            </w:r>
          </w:p>
        </w:tc>
        <w:tc>
          <w:tcPr>
            <w:tcW w:w="3795" w:type="dxa"/>
            <w:tcBorders>
              <w:tl2br w:val="nil"/>
              <w:tr2bl w:val="nil"/>
            </w:tcBorders>
            <w:vAlign w:val="center"/>
          </w:tcPr>
          <w:p>
            <w:pPr>
              <w:pStyle w:val="2"/>
              <w:spacing w:beforeLines="0"/>
              <w:rPr>
                <w:rFonts w:ascii="Times New Roman" w:hAnsi="Times New Roman" w:eastAsia="宋体" w:cs="Times New Roman"/>
                <w:color w:val="000000" w:themeColor="text1"/>
                <w:w w:val="99"/>
                <w:kern w:val="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SO</w:t>
            </w:r>
            <w:r>
              <w:rPr>
                <w:rFonts w:ascii="Times New Roman" w:hAnsi="Times New Roman" w:eastAsia="宋体" w:cs="Times New Roman"/>
                <w:color w:val="000000" w:themeColor="text1"/>
                <w:w w:val="99"/>
                <w:kern w:val="2"/>
                <w:highlight w:val="none"/>
                <w:vertAlign w:val="subscript"/>
                <w:lang w:val="en-US" w:bidi="ar-SA"/>
                <w14:textFill>
                  <w14:solidFill>
                    <w14:schemeClr w14:val="tx1"/>
                  </w14:solidFill>
                </w14:textFill>
              </w:rPr>
              <w:t>2</w:t>
            </w:r>
            <w:r>
              <w:rPr>
                <w:rFonts w:ascii="Times New Roman" w:hAnsi="Times New Roman" w:eastAsia="宋体" w:cs="Times New Roman"/>
                <w:color w:val="000000" w:themeColor="text1"/>
                <w:w w:val="99"/>
                <w:kern w:val="2"/>
                <w:highlight w:val="none"/>
                <w:lang w:val="en-US" w:bidi="ar-SA"/>
                <w14:textFill>
                  <w14:solidFill>
                    <w14:schemeClr w14:val="tx1"/>
                  </w14:solidFill>
                </w14:textFill>
              </w:rPr>
              <w:t>（t/a）</w:t>
            </w:r>
          </w:p>
        </w:tc>
        <w:tc>
          <w:tcPr>
            <w:tcW w:w="3637" w:type="dxa"/>
            <w:tcBorders>
              <w:tl2br w:val="nil"/>
              <w:tr2bl w:val="nil"/>
            </w:tcBorders>
            <w:vAlign w:val="center"/>
          </w:tcPr>
          <w:p>
            <w:pPr>
              <w:pStyle w:val="2"/>
              <w:spacing w:beforeLines="0"/>
              <w:rPr>
                <w:rFonts w:hint="eastAsia" w:ascii="Times New Roman" w:hAnsi="Times New Roman" w:eastAsia="宋体" w:cs="Times New Roman"/>
                <w:color w:val="000000" w:themeColor="text1"/>
                <w:w w:val="99"/>
                <w:kern w:val="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
                <w:highlight w:val="none"/>
                <w:lang w:val="en-US" w:eastAsia="zh-CN" w:bidi="ar-SA"/>
                <w14:textFill>
                  <w14:solidFill>
                    <w14:schemeClr w14:val="tx1"/>
                  </w14:solidFill>
                </w14:textFill>
              </w:rPr>
              <w:t>0.2106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50" w:type="dxa"/>
            <w:tcBorders>
              <w:tl2br w:val="nil"/>
              <w:tr2bl w:val="nil"/>
            </w:tcBorders>
            <w:vAlign w:val="center"/>
          </w:tcPr>
          <w:p>
            <w:pPr>
              <w:pStyle w:val="2"/>
              <w:spacing w:beforeLines="0"/>
              <w:rPr>
                <w:rFonts w:ascii="Times New Roman" w:hAnsi="Times New Roman" w:eastAsia="宋体" w:cs="Times New Roman"/>
                <w:color w:val="000000" w:themeColor="text1"/>
                <w:w w:val="99"/>
                <w:kern w:val="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4</w:t>
            </w:r>
          </w:p>
        </w:tc>
        <w:tc>
          <w:tcPr>
            <w:tcW w:w="3795" w:type="dxa"/>
            <w:tcBorders>
              <w:tl2br w:val="nil"/>
              <w:tr2bl w:val="nil"/>
            </w:tcBorders>
            <w:vAlign w:val="center"/>
          </w:tcPr>
          <w:p>
            <w:pPr>
              <w:pStyle w:val="2"/>
              <w:spacing w:beforeLines="0"/>
              <w:rPr>
                <w:rFonts w:ascii="Times New Roman" w:hAnsi="Times New Roman" w:eastAsia="宋体" w:cs="Times New Roman"/>
                <w:color w:val="000000" w:themeColor="text1"/>
                <w:w w:val="99"/>
                <w:kern w:val="2"/>
                <w:highlight w:val="none"/>
                <w:lang w:val="en-US" w:bidi="ar-SA"/>
                <w14:textFill>
                  <w14:solidFill>
                    <w14:schemeClr w14:val="tx1"/>
                  </w14:solidFill>
                </w14:textFill>
              </w:rPr>
            </w:pPr>
            <w:r>
              <w:rPr>
                <w:rFonts w:ascii="Times New Roman" w:hAnsi="Times New Roman" w:eastAsia="宋体" w:cs="Times New Roman"/>
                <w:color w:val="000000" w:themeColor="text1"/>
                <w:w w:val="99"/>
                <w:kern w:val="2"/>
                <w:highlight w:val="none"/>
                <w:lang w:val="en-US" w:bidi="ar-SA"/>
                <w14:textFill>
                  <w14:solidFill>
                    <w14:schemeClr w14:val="tx1"/>
                  </w14:solidFill>
                </w14:textFill>
              </w:rPr>
              <w:t>VOC</w:t>
            </w:r>
            <w:r>
              <w:rPr>
                <w:rFonts w:ascii="Times New Roman" w:hAnsi="Times New Roman" w:eastAsia="宋体" w:cs="Times New Roman"/>
                <w:color w:val="000000" w:themeColor="text1"/>
                <w:w w:val="99"/>
                <w:kern w:val="2"/>
                <w:highlight w:val="none"/>
                <w:vertAlign w:val="subscript"/>
                <w:lang w:val="en-US" w:bidi="ar-SA"/>
                <w14:textFill>
                  <w14:solidFill>
                    <w14:schemeClr w14:val="tx1"/>
                  </w14:solidFill>
                </w14:textFill>
              </w:rPr>
              <w:t>S</w:t>
            </w:r>
            <w:r>
              <w:rPr>
                <w:rFonts w:ascii="Times New Roman" w:hAnsi="Times New Roman" w:eastAsia="宋体" w:cs="Times New Roman"/>
                <w:color w:val="000000" w:themeColor="text1"/>
                <w:w w:val="99"/>
                <w:kern w:val="2"/>
                <w:highlight w:val="none"/>
                <w:lang w:val="en-US" w:bidi="ar-SA"/>
                <w14:textFill>
                  <w14:solidFill>
                    <w14:schemeClr w14:val="tx1"/>
                  </w14:solidFill>
                </w14:textFill>
              </w:rPr>
              <w:t>（t/a）</w:t>
            </w:r>
          </w:p>
        </w:tc>
        <w:tc>
          <w:tcPr>
            <w:tcW w:w="3637" w:type="dxa"/>
            <w:tcBorders>
              <w:tl2br w:val="nil"/>
              <w:tr2bl w:val="nil"/>
            </w:tcBorders>
            <w:vAlign w:val="center"/>
          </w:tcPr>
          <w:p>
            <w:pPr>
              <w:pStyle w:val="2"/>
              <w:spacing w:beforeLines="0"/>
              <w:rPr>
                <w:rFonts w:hint="default" w:ascii="Times New Roman" w:hAnsi="Times New Roman" w:eastAsia="宋体" w:cs="Times New Roman"/>
                <w:color w:val="000000" w:themeColor="text1"/>
                <w:w w:val="99"/>
                <w:kern w:val="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w w:val="99"/>
                <w:kern w:val="2"/>
                <w:highlight w:val="none"/>
                <w:lang w:val="en-US" w:eastAsia="zh-CN" w:bidi="ar-SA"/>
                <w14:textFill>
                  <w14:solidFill>
                    <w14:schemeClr w14:val="tx1"/>
                  </w14:solidFill>
                </w14:textFill>
              </w:rPr>
              <w:t>24.24</w:t>
            </w:r>
          </w:p>
        </w:tc>
      </w:tr>
    </w:tbl>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14" w:name="_Toc6848"/>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8.5 施工期环境管理与监测计划</w:t>
      </w:r>
      <w:bookmarkEnd w:id="214"/>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8.5.1 加强工程承包方管理</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要与具有相关资质的施工作业单位签定《工程服务安全生产合同》，执行HSE管理体系，对项目实施HSE立卷管理，并按其内容执行。针对工程的承包方，应加强环境管理，制定出严格的环保管理制度：</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（1）在承包方的选择上应优先选择那些环保管理水平高、环保业绩好的单位；</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（2）在承包合同中应明确有关环境保护条款，如环境保护目标，采取的水、气、声和生态保护措施等，将环保工作的好坏作为工程验收的标准之一；</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（3）各分承包方应按照项目部的环境管理制度要求，建立相应的环境管理机构，明确环保管理人员，明确人员职责等；</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（4）各分承包方在施工之前，编制详细的“环境管理方案”，并连同施工计划一起呈报项目经理部以及有关的环保部门，批准后方可以开工。</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bookmarkStart w:id="215" w:name="8.5.1.2注重人员培训"/>
      <w:bookmarkEnd w:id="215"/>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8.5.2 注重人员培训</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施工作业之前必须对全体施工人员进行环保知识、意识和能力的培训，其中环保能力的培训主要包括：保护生态环境的规定；减少和收集、处理固体废物的方法；管理、存放及处理危险品的方法等，此外，人员培训的内容还包括有国家的法规和规章制度，主要为国家及当地政府的环境保护法律、法规等。</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8.5.3 施工期环境监测计划</w:t>
      </w:r>
    </w:p>
    <w:p>
      <w:pPr>
        <w:pStyle w:val="40"/>
        <w:spacing w:line="440" w:lineRule="exact"/>
        <w:ind w:firstLine="474" w:firstLineChars="200"/>
        <w:jc w:val="left"/>
        <w:rPr>
          <w:rFonts w:ascii="Times New Roman" w:hAnsi="Times New Roman" w:eastAsia="宋体" w:cs="Times New Roman"/>
          <w:b w:val="0"/>
          <w:bCs/>
          <w:color w:val="000000" w:themeColor="text1"/>
          <w:w w:val="99"/>
          <w:sz w:val="24"/>
          <w:szCs w:val="24"/>
          <w:highlight w:val="none"/>
          <w:lang w:val="en-US" w:eastAsia="zh-CN" w:bidi="zh-CN"/>
          <w14:textFill>
            <w14:solidFill>
              <w14:schemeClr w14:val="tx1"/>
            </w14:solidFill>
          </w14:textFill>
        </w:rPr>
      </w:pPr>
      <w:r>
        <w:rPr>
          <w:rFonts w:hint="eastAsia" w:ascii="Times New Roman" w:hAnsi="Times New Roman" w:eastAsia="宋体" w:cs="Times New Roman"/>
          <w:b w:val="0"/>
          <w:bCs/>
          <w:color w:val="000000" w:themeColor="text1"/>
          <w:w w:val="99"/>
          <w:sz w:val="24"/>
          <w:szCs w:val="24"/>
          <w:highlight w:val="none"/>
          <w:lang w:val="en-US" w:eastAsia="zh-CN" w:bidi="zh-CN"/>
          <w14:textFill>
            <w14:solidFill>
              <w14:schemeClr w14:val="tx1"/>
            </w14:solidFill>
          </w14:textFill>
        </w:rPr>
        <w:t>施工期的环境监测包括对作业场所的控制监测和事故发生后的影响监测。</w:t>
      </w:r>
      <w:r>
        <w:rPr>
          <w:rFonts w:ascii="Times New Roman" w:hAnsi="Times New Roman" w:eastAsia="宋体" w:cs="Times New Roman"/>
          <w:b w:val="0"/>
          <w:bCs/>
          <w:color w:val="000000" w:themeColor="text1"/>
          <w:w w:val="99"/>
          <w:sz w:val="24"/>
          <w:szCs w:val="24"/>
          <w:highlight w:val="none"/>
          <w:lang w:val="en-US" w:eastAsia="zh-CN" w:bidi="zh-CN"/>
          <w14:textFill>
            <w14:solidFill>
              <w14:schemeClr w14:val="tx1"/>
            </w14:solidFill>
          </w14:textFill>
        </w:rPr>
        <w:t>主要监</w:t>
      </w:r>
      <w:r>
        <w:rPr>
          <w:rFonts w:hint="eastAsia" w:ascii="Times New Roman" w:hAnsi="Times New Roman" w:eastAsia="宋体" w:cs="Times New Roman"/>
          <w:b w:val="0"/>
          <w:bCs/>
          <w:color w:val="000000" w:themeColor="text1"/>
          <w:w w:val="99"/>
          <w:sz w:val="24"/>
          <w:szCs w:val="24"/>
          <w:highlight w:val="none"/>
          <w:lang w:val="en-US" w:eastAsia="zh-CN" w:bidi="zh-CN"/>
          <w14:textFill>
            <w14:solidFill>
              <w14:schemeClr w14:val="tx1"/>
            </w14:solidFill>
          </w14:textFill>
        </w:rPr>
        <w:t>测对象有土壤、</w:t>
      </w:r>
      <w:r>
        <w:rPr>
          <w:rFonts w:ascii="Times New Roman" w:hAnsi="Times New Roman" w:eastAsia="宋体" w:cs="Times New Roman"/>
          <w:b w:val="0"/>
          <w:bCs/>
          <w:color w:val="000000" w:themeColor="text1"/>
          <w:w w:val="99"/>
          <w:sz w:val="24"/>
          <w:szCs w:val="24"/>
          <w:highlight w:val="none"/>
          <w:lang w:val="en-US" w:eastAsia="zh-CN" w:bidi="zh-CN"/>
          <w14:textFill>
            <w14:solidFill>
              <w14:schemeClr w14:val="tx1"/>
            </w14:solidFill>
          </w14:textFill>
        </w:rPr>
        <w:t>植被、施工作业废气、废水和噪声等。对作业场所的控制监测根据当地具体情况、当地环保部门要求</w:t>
      </w:r>
      <w:r>
        <w:rPr>
          <w:rFonts w:hint="eastAsia" w:ascii="Times New Roman" w:hAnsi="Times New Roman" w:eastAsia="宋体" w:cs="Times New Roman"/>
          <w:b w:val="0"/>
          <w:bCs/>
          <w:color w:val="000000" w:themeColor="text1"/>
          <w:w w:val="99"/>
          <w:sz w:val="24"/>
          <w:szCs w:val="24"/>
          <w:highlight w:val="none"/>
          <w:lang w:val="en-US" w:eastAsia="zh-CN" w:bidi="zh-CN"/>
          <w14:textFill>
            <w14:solidFill>
              <w14:schemeClr w14:val="tx1"/>
            </w14:solidFill>
          </w14:textFill>
        </w:rPr>
        <w:t>等情况而定。</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16" w:name="_Toc21423"/>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8.6 运营期环境管理与监测计划</w:t>
      </w:r>
      <w:bookmarkEnd w:id="216"/>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8.6.1 运营期环境管理</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（1）进行环境监测，掌握污染现状；</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（2）定时定点监测周围环境，及时掌握环境状况的资料，促进环境管理的深入和污染治理的落实；</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（3）落实环境管理制度；</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（4）制定环保经济责任考核制度，提高各部门对环境保护的责任感；</w:t>
      </w:r>
    </w:p>
    <w:p>
      <w:pPr>
        <w:pStyle w:val="2"/>
        <w:keepNext w:val="0"/>
        <w:keepLines w:val="0"/>
        <w:pageBreakBefore w:val="0"/>
        <w:widowControl w:val="0"/>
        <w:kinsoku/>
        <w:wordWrap/>
        <w:overflowPunct/>
        <w:topLinePunct w:val="0"/>
        <w:autoSpaceDE w:val="0"/>
        <w:autoSpaceDN w:val="0"/>
        <w:bidi w:val="0"/>
        <w:adjustRightInd/>
        <w:snapToGrid/>
        <w:spacing w:beforeLines="0" w:line="440" w:lineRule="exact"/>
        <w:ind w:firstLine="474" w:firstLineChars="200"/>
        <w:jc w:val="both"/>
        <w:textAlignment w:val="auto"/>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（5）强化专业人员培训。</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ab/>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8.6.2 运营期环境监测计划</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本工程生产运行期需要进行的环境监测任务委托取得相关资质的地方环境监测</w:t>
      </w:r>
      <w:r>
        <w:rPr>
          <w:rFonts w:hint="eastAsia" w:ascii="Times New Roman" w:hAnsi="Times New Roman" w:eastAsia="宋体" w:cs="Times New Roman"/>
          <w:color w:val="000000" w:themeColor="text1"/>
          <w:w w:val="99"/>
          <w:sz w:val="24"/>
          <w:szCs w:val="24"/>
          <w:highlight w:val="none"/>
          <w:lang w:val="en-US"/>
          <w14:textFill>
            <w14:solidFill>
              <w14:schemeClr w14:val="tx1"/>
            </w14:solidFill>
          </w14:textFill>
        </w:rPr>
        <w:t>单位</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进行。环境监测应按国家和地方的环保要求进行，应采用国家规定的标准监测方法，并应按照规定，定期向有关环境保护主管部门上报监测结果。根据油田运行期环境污染的特点，环境监测计划主要针对油田污染物排放、油田开发区生态恢复情况、事故而制定， 具体见表8.6-1。</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运行期根据《排污单位自行监测技术指南 总则》（HJ 819-2017）要求，结合油田运行期环境污染的特点，主要针对油田污染物排放、油田开发区生态恢复情况、事故等制定监测计划，包括污染源监测计划、环境质量监测计划及生态调查方案，具体见下表：</w:t>
      </w:r>
    </w:p>
    <w:p>
      <w:pPr>
        <w:pStyle w:val="2"/>
        <w:spacing w:beforeLines="0" w:line="440" w:lineRule="exact"/>
        <w:ind w:firstLine="476" w:firstLineChars="200"/>
        <w:jc w:val="both"/>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b/>
          <w:bCs/>
          <w:color w:val="000000" w:themeColor="text1"/>
          <w:w w:val="99"/>
          <w:sz w:val="24"/>
          <w:szCs w:val="24"/>
          <w:highlight w:val="none"/>
          <w14:textFill>
            <w14:solidFill>
              <w14:schemeClr w14:val="tx1"/>
            </w14:solidFill>
          </w14:textFill>
        </w:rPr>
        <w:t>表</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8.6-1</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运营期</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环境质量</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监测计划表</w:t>
      </w:r>
    </w:p>
    <w:tbl>
      <w:tblPr>
        <w:tblStyle w:val="32"/>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3"/>
        <w:gridCol w:w="926"/>
        <w:gridCol w:w="1874"/>
        <w:gridCol w:w="4318"/>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926"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监测内容</w:t>
            </w:r>
          </w:p>
        </w:tc>
        <w:tc>
          <w:tcPr>
            <w:tcW w:w="1874"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监测（检查）项目</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监测点位</w:t>
            </w:r>
          </w:p>
        </w:tc>
        <w:tc>
          <w:tcPr>
            <w:tcW w:w="1277"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926" w:type="dxa"/>
            <w:tcBorders>
              <w:tl2br w:val="nil"/>
              <w:tr2bl w:val="nil"/>
            </w:tcBorders>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地下水</w:t>
            </w:r>
          </w:p>
        </w:tc>
        <w:tc>
          <w:tcPr>
            <w:tcW w:w="1874"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石油类</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区域上游设立1口跟踪监测井（</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钱家屯</w:t>
            </w: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注入井</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 xml:space="preserve"> 124.70511,46.00807</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7</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，井深15</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m）</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区域下游设置2口跟踪监测井（</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散户王家</w:t>
            </w: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注入井</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 xml:space="preserve"> 124.68011,45.99007 ，</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井深</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15</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m</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；唐花马屯</w:t>
            </w: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注入井</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 xml:space="preserve"> 124.67111,45.98407，</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井深</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1</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0m）</w:t>
            </w:r>
          </w:p>
        </w:tc>
        <w:tc>
          <w:tcPr>
            <w:tcW w:w="1277"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926"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eastAsia="Calibri"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w:t>
            </w:r>
          </w:p>
        </w:tc>
        <w:tc>
          <w:tcPr>
            <w:tcW w:w="1874"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pH、石油烃</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葡69-斜682</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井场、</w:t>
            </w: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葡70-672</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井场、</w:t>
            </w: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钱家屯</w:t>
            </w:r>
          </w:p>
        </w:tc>
        <w:tc>
          <w:tcPr>
            <w:tcW w:w="1277"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1次/3年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926"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生态</w:t>
            </w:r>
          </w:p>
        </w:tc>
        <w:tc>
          <w:tcPr>
            <w:tcW w:w="1874"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植被恢复情况</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管线临时</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占地</w:t>
            </w:r>
          </w:p>
        </w:tc>
        <w:tc>
          <w:tcPr>
            <w:tcW w:w="1277"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1次/</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年</w:t>
            </w:r>
          </w:p>
        </w:tc>
      </w:tr>
    </w:tbl>
    <w:p>
      <w:pPr>
        <w:pStyle w:val="2"/>
        <w:spacing w:beforeLines="0" w:line="440" w:lineRule="exact"/>
        <w:ind w:firstLine="476" w:firstLineChars="200"/>
        <w:jc w:val="both"/>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b/>
          <w:bCs/>
          <w:color w:val="000000" w:themeColor="text1"/>
          <w:w w:val="99"/>
          <w:sz w:val="24"/>
          <w:szCs w:val="24"/>
          <w:highlight w:val="none"/>
          <w14:textFill>
            <w14:solidFill>
              <w14:schemeClr w14:val="tx1"/>
            </w14:solidFill>
          </w14:textFill>
        </w:rPr>
        <w:t>表</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8.6-2</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运营期污染源监测计划表</w:t>
      </w:r>
    </w:p>
    <w:tbl>
      <w:tblPr>
        <w:tblStyle w:val="32"/>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3"/>
        <w:gridCol w:w="926"/>
        <w:gridCol w:w="1874"/>
        <w:gridCol w:w="4318"/>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序号</w:t>
            </w:r>
          </w:p>
        </w:tc>
        <w:tc>
          <w:tcPr>
            <w:tcW w:w="926"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监测内容</w:t>
            </w:r>
          </w:p>
        </w:tc>
        <w:tc>
          <w:tcPr>
            <w:tcW w:w="1874"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监测（检查）项目</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监测点位</w:t>
            </w:r>
          </w:p>
        </w:tc>
        <w:tc>
          <w:tcPr>
            <w:tcW w:w="1277"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9" w:hRule="atLeast"/>
          <w:jc w:val="center"/>
        </w:trPr>
        <w:tc>
          <w:tcPr>
            <w:tcW w:w="733" w:type="dxa"/>
            <w:vMerge w:val="restart"/>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w:t>
            </w:r>
          </w:p>
        </w:tc>
        <w:tc>
          <w:tcPr>
            <w:tcW w:w="926" w:type="dxa"/>
            <w:vMerge w:val="restart"/>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大气</w:t>
            </w:r>
          </w:p>
        </w:tc>
        <w:tc>
          <w:tcPr>
            <w:tcW w:w="1874"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非甲烷总烃</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油井井场及依托站场厂界</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外、依托</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场站站内</w:t>
            </w:r>
          </w:p>
        </w:tc>
        <w:tc>
          <w:tcPr>
            <w:tcW w:w="1277"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1次/</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半</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9" w:hRule="atLeast"/>
          <w:jc w:val="center"/>
        </w:trPr>
        <w:tc>
          <w:tcPr>
            <w:tcW w:w="733"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6"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874"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颗粒物</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cs="Times New Roman"/>
                <w:color w:val="000000" w:themeColor="text1"/>
                <w:w w:val="99"/>
                <w:kern w:val="2"/>
                <w:sz w:val="21"/>
                <w:szCs w:val="21"/>
                <w:highlight w:val="none"/>
                <w:lang w:eastAsia="zh-CN"/>
                <w14:textFill>
                  <w14:solidFill>
                    <w14:schemeClr w14:val="tx1"/>
                  </w14:solidFill>
                </w14:textFill>
              </w:rPr>
              <w:t>租赁配注站</w:t>
            </w:r>
            <w:r>
              <w:rPr>
                <w:rFonts w:hint="eastAsia" w:ascii="Times New Roman" w:cs="Times New Roman"/>
                <w:color w:val="000000" w:themeColor="text1"/>
                <w:w w:val="99"/>
                <w:kern w:val="2"/>
                <w:sz w:val="21"/>
                <w:szCs w:val="21"/>
                <w:highlight w:val="none"/>
                <w14:textFill>
                  <w14:solidFill>
                    <w14:schemeClr w14:val="tx1"/>
                  </w14:solidFill>
                </w14:textFill>
              </w:rPr>
              <w:t>厂界外1m</w:t>
            </w:r>
          </w:p>
        </w:tc>
        <w:tc>
          <w:tcPr>
            <w:tcW w:w="1277"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cs="Times New Roman"/>
                <w:color w:val="000000" w:themeColor="text1"/>
                <w:w w:val="99"/>
                <w:kern w:val="2"/>
                <w:sz w:val="21"/>
                <w:szCs w:val="21"/>
                <w:highlight w:val="none"/>
                <w14:textFill>
                  <w14:solidFill>
                    <w14:schemeClr w14:val="tx1"/>
                  </w14:solidFill>
                </w14:textFill>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w:t>
            </w:r>
          </w:p>
        </w:tc>
        <w:tc>
          <w:tcPr>
            <w:tcW w:w="926"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噪声</w:t>
            </w:r>
          </w:p>
        </w:tc>
        <w:tc>
          <w:tcPr>
            <w:tcW w:w="1874"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噪声</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油井井场永久占地外1</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m</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、依托</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转油站</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厂界四周</w:t>
            </w:r>
          </w:p>
        </w:tc>
        <w:tc>
          <w:tcPr>
            <w:tcW w:w="1277"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1次/</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restart"/>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3</w:t>
            </w:r>
          </w:p>
        </w:tc>
        <w:tc>
          <w:tcPr>
            <w:tcW w:w="926" w:type="dxa"/>
            <w:vMerge w:val="restart"/>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事故监测</w:t>
            </w:r>
          </w:p>
        </w:tc>
        <w:tc>
          <w:tcPr>
            <w:tcW w:w="1874" w:type="dxa"/>
            <w:vMerge w:val="restart"/>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空气：非甲烷总烃</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事故发生地污染物浓度的最大处</w:t>
            </w:r>
          </w:p>
        </w:tc>
        <w:tc>
          <w:tcPr>
            <w:tcW w:w="1277" w:type="dxa"/>
            <w:vMerge w:val="restart"/>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事故发生24小时内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6"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874"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事故发生地最近的居民居住区或其他敏感区</w:t>
            </w:r>
          </w:p>
        </w:tc>
        <w:tc>
          <w:tcPr>
            <w:tcW w:w="1277"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6"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874"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事故发生地的下风向</w:t>
            </w:r>
          </w:p>
        </w:tc>
        <w:tc>
          <w:tcPr>
            <w:tcW w:w="1277"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6"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874"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事故发生地上风向对照点</w:t>
            </w:r>
          </w:p>
        </w:tc>
        <w:tc>
          <w:tcPr>
            <w:tcW w:w="1277"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6"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874" w:type="dxa"/>
            <w:vMerge w:val="restart"/>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土壤：石油烃</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事故发生地受污染的区域</w:t>
            </w:r>
          </w:p>
        </w:tc>
        <w:tc>
          <w:tcPr>
            <w:tcW w:w="1277"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33"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6"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874"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对照点</w:t>
            </w:r>
          </w:p>
        </w:tc>
        <w:tc>
          <w:tcPr>
            <w:tcW w:w="1277"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6"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874" w:type="dxa"/>
            <w:vMerge w:val="restart"/>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地下水：石油类</w:t>
            </w: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事故发生地中心周围的</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注入井</w:t>
            </w:r>
          </w:p>
        </w:tc>
        <w:tc>
          <w:tcPr>
            <w:tcW w:w="1277"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926"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874"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4318" w:type="dxa"/>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事故发生地上游对照点</w:t>
            </w:r>
          </w:p>
        </w:tc>
        <w:tc>
          <w:tcPr>
            <w:tcW w:w="1277" w:type="dxa"/>
            <w:vMerge w:val="continue"/>
            <w:tcBorders>
              <w:tl2br w:val="nil"/>
              <w:tr2bl w:val="nil"/>
            </w:tcBorders>
            <w:tcMar>
              <w:top w:w="28" w:type="dxa"/>
              <w:left w:w="28" w:type="dxa"/>
              <w:bottom w:w="28" w:type="dxa"/>
              <w:right w:w="28" w:type="dxa"/>
            </w:tcMar>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r>
    </w:tbl>
    <w:p>
      <w:pPr>
        <w:pStyle w:val="2"/>
        <w:spacing w:beforeLines="0" w:line="500" w:lineRule="exact"/>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b/>
          <w:bCs/>
          <w:color w:val="000000" w:themeColor="text1"/>
          <w:w w:val="99"/>
          <w:sz w:val="24"/>
          <w:szCs w:val="24"/>
          <w:highlight w:val="none"/>
          <w:lang w:val="en-US"/>
          <w14:textFill>
            <w14:solidFill>
              <w14:schemeClr w14:val="tx1"/>
            </w14:solidFill>
          </w14:textFill>
        </w:rPr>
        <w:t>8.6.</w:t>
      </w:r>
      <w:r>
        <w:rPr>
          <w:rFonts w:hint="eastAsia" w:ascii="Times New Roman" w:hAnsi="Times New Roman" w:cs="Times New Roman"/>
          <w:b/>
          <w:bCs/>
          <w:color w:val="000000" w:themeColor="text1"/>
          <w:w w:val="99"/>
          <w:sz w:val="24"/>
          <w:szCs w:val="24"/>
          <w:highlight w:val="none"/>
          <w:lang w:val="en-US"/>
          <w14:textFill>
            <w14:solidFill>
              <w14:schemeClr w14:val="tx1"/>
            </w14:solidFill>
          </w14:textFill>
        </w:rPr>
        <w:t>3 排污许可管理</w:t>
      </w:r>
    </w:p>
    <w:p>
      <w:pPr>
        <w:pStyle w:val="2"/>
        <w:spacing w:beforeLines="0" w:line="50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本项目</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属于石油天然气开采行业，</w:t>
      </w:r>
      <w:r>
        <w:rPr>
          <w:rFonts w:ascii="Times New Roman" w:hAnsi="Times New Roman" w:eastAsia="宋体" w:cs="Times New Roman"/>
          <w:color w:val="000000" w:themeColor="text1"/>
          <w:w w:val="99"/>
          <w:sz w:val="24"/>
          <w:szCs w:val="24"/>
          <w:highlight w:val="none"/>
          <w14:textFill>
            <w14:solidFill>
              <w14:schemeClr w14:val="tx1"/>
            </w14:solidFill>
          </w14:textFill>
        </w:rPr>
        <w:t>根据《固定污染源排污许可分类管理名录（2019年版）》，</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本项目依托</w:t>
      </w:r>
      <w:r>
        <w:rPr>
          <w:rFonts w:ascii="Times New Roman" w:hAnsi="Times New Roman" w:eastAsia="宋体" w:cs="Times New Roman"/>
          <w:color w:val="000000" w:themeColor="text1"/>
          <w:w w:val="99"/>
          <w:sz w:val="24"/>
          <w:szCs w:val="24"/>
          <w:highlight w:val="none"/>
          <w14:textFill>
            <w14:solidFill>
              <w14:schemeClr w14:val="tx1"/>
            </w14:solidFill>
          </w14:textFill>
        </w:rPr>
        <w:t>场站加热炉</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均属于“五十一 通用工序 锅炉”中</w:t>
      </w:r>
      <w:r>
        <w:rPr>
          <w:rFonts w:ascii="Times New Roman" w:hAnsi="Times New Roman" w:eastAsia="宋体" w:cs="Times New Roman"/>
          <w:color w:val="000000" w:themeColor="text1"/>
          <w:w w:val="99"/>
          <w:sz w:val="24"/>
          <w:szCs w:val="24"/>
          <w:highlight w:val="none"/>
          <w14:textFill>
            <w14:solidFill>
              <w14:schemeClr w14:val="tx1"/>
            </w14:solidFill>
          </w14:textFill>
        </w:rPr>
        <w:t>单台且合计出力20吨/小时（14兆瓦）以下的锅炉，</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应按</w:t>
      </w:r>
      <w:r>
        <w:rPr>
          <w:rFonts w:ascii="Times New Roman" w:hAnsi="Times New Roman" w:eastAsia="宋体" w:cs="Times New Roman"/>
          <w:color w:val="000000" w:themeColor="text1"/>
          <w:w w:val="99"/>
          <w:sz w:val="24"/>
          <w:szCs w:val="24"/>
          <w:highlight w:val="none"/>
          <w14:textFill>
            <w14:solidFill>
              <w14:schemeClr w14:val="tx1"/>
            </w14:solidFill>
          </w14:textFill>
        </w:rPr>
        <w:t>相关要求</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申请</w:t>
      </w:r>
      <w:r>
        <w:rPr>
          <w:rFonts w:ascii="Times New Roman" w:hAnsi="Times New Roman" w:eastAsia="宋体" w:cs="Times New Roman"/>
          <w:color w:val="000000" w:themeColor="text1"/>
          <w:w w:val="99"/>
          <w:sz w:val="24"/>
          <w:szCs w:val="24"/>
          <w:highlight w:val="none"/>
          <w14:textFill>
            <w14:solidFill>
              <w14:schemeClr w14:val="tx1"/>
            </w14:solidFill>
          </w14:textFill>
        </w:rPr>
        <w:t>排污许可证，实行</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排污许可简化</w:t>
      </w:r>
      <w:r>
        <w:rPr>
          <w:rFonts w:ascii="Times New Roman" w:hAnsi="Times New Roman" w:eastAsia="宋体" w:cs="Times New Roman"/>
          <w:color w:val="000000" w:themeColor="text1"/>
          <w:w w:val="99"/>
          <w:sz w:val="24"/>
          <w:szCs w:val="24"/>
          <w:highlight w:val="none"/>
          <w14:textFill>
            <w14:solidFill>
              <w14:schemeClr w14:val="tx1"/>
            </w14:solidFill>
          </w14:textFill>
        </w:rPr>
        <w:t>管理</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，建设单位应按照国家有关规定，完善排污许可手续</w:t>
      </w:r>
      <w:r>
        <w:rPr>
          <w:rFonts w:ascii="Times New Roman" w:hAnsi="Times New Roman" w:eastAsia="宋体" w:cs="Times New Roman"/>
          <w:color w:val="000000" w:themeColor="text1"/>
          <w:w w:val="99"/>
          <w:sz w:val="24"/>
          <w:szCs w:val="24"/>
          <w:highlight w:val="none"/>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17" w:name="_Toc12604"/>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8.7 “三同时”项目一览表</w:t>
      </w:r>
      <w:bookmarkEnd w:id="217"/>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施工期</w:t>
      </w:r>
      <w:r>
        <w:rPr>
          <w:rFonts w:ascii="Times New Roman" w:hAnsi="Times New Roman" w:eastAsia="宋体" w:cs="Times New Roman"/>
          <w:color w:val="000000" w:themeColor="text1"/>
          <w:w w:val="99"/>
          <w:sz w:val="24"/>
          <w:szCs w:val="24"/>
          <w:highlight w:val="none"/>
          <w14:textFill>
            <w14:solidFill>
              <w14:schemeClr w14:val="tx1"/>
            </w14:solidFill>
          </w14:textFill>
        </w:rPr>
        <w:t>环保工程应保留影像资料，以备验收查验。本评价列出“三同时”项目表和竣工验收监测与调查的相关要求，具体内容见表</w:t>
      </w:r>
      <w:r>
        <w:rPr>
          <w:rFonts w:ascii="Times New Roman" w:hAnsi="Times New Roman" w:eastAsia="宋体" w:cs="Times New Roman"/>
          <w:color w:val="000000" w:themeColor="text1"/>
          <w:w w:val="99"/>
          <w:sz w:val="24"/>
          <w:szCs w:val="24"/>
          <w:highlight w:val="none"/>
          <w:lang w:val="en-US"/>
          <w14:textFill>
            <w14:solidFill>
              <w14:schemeClr w14:val="tx1"/>
            </w14:solidFill>
          </w14:textFill>
        </w:rPr>
        <w:t>8.7-1、表8.7-2。</w:t>
      </w:r>
    </w:p>
    <w:p>
      <w:pPr>
        <w:pStyle w:val="2"/>
        <w:spacing w:beforeLines="0" w:line="440" w:lineRule="exact"/>
        <w:ind w:firstLine="476" w:firstLineChars="200"/>
        <w:jc w:val="both"/>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b/>
          <w:bCs/>
          <w:color w:val="000000" w:themeColor="text1"/>
          <w:w w:val="99"/>
          <w:sz w:val="24"/>
          <w:szCs w:val="24"/>
          <w:highlight w:val="none"/>
          <w14:textFill>
            <w14:solidFill>
              <w14:schemeClr w14:val="tx1"/>
            </w14:solidFill>
          </w14:textFill>
        </w:rPr>
        <w:t>表</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8.7-1</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项目“三同时”一览表</w:t>
      </w:r>
    </w:p>
    <w:tbl>
      <w:tblPr>
        <w:tblStyle w:val="32"/>
        <w:tblW w:w="8996" w:type="dxa"/>
        <w:tblInd w:w="10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66"/>
        <w:gridCol w:w="684"/>
        <w:gridCol w:w="1489"/>
        <w:gridCol w:w="2533"/>
        <w:gridCol w:w="352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5" w:hRule="atLeast"/>
        </w:trPr>
        <w:tc>
          <w:tcPr>
            <w:tcW w:w="145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类别</w:t>
            </w:r>
          </w:p>
        </w:tc>
        <w:tc>
          <w:tcPr>
            <w:tcW w:w="148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防治内容</w:t>
            </w:r>
          </w:p>
        </w:tc>
        <w:tc>
          <w:tcPr>
            <w:tcW w:w="253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污染物</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产生量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76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施工期</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废气</w:t>
            </w:r>
          </w:p>
        </w:tc>
        <w:tc>
          <w:tcPr>
            <w:tcW w:w="148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施工期扬尘</w:t>
            </w:r>
          </w:p>
        </w:tc>
        <w:tc>
          <w:tcPr>
            <w:tcW w:w="253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及时洒水、临时土方</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和</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运输车辆等加盖苫布等遮盖物</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施工场界执行《大气污染物排放标准》（GB16297-1996）颗粒物无组织排放限值：≤1.0mg/m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废水</w:t>
            </w:r>
          </w:p>
        </w:tc>
        <w:tc>
          <w:tcPr>
            <w:tcW w:w="1489"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施工人员生活污水</w:t>
            </w:r>
          </w:p>
        </w:tc>
        <w:tc>
          <w:tcPr>
            <w:tcW w:w="2533" w:type="dxa"/>
            <w:vAlign w:val="center"/>
          </w:tcPr>
          <w:p>
            <w:pPr>
              <w:autoSpaceDE/>
              <w:autoSpaceDN/>
              <w:snapToGrid w:val="0"/>
              <w:spacing w:line="360" w:lineRule="exact"/>
              <w:jc w:val="center"/>
              <w:rPr>
                <w:rFonts w:ascii="Times New Roman" w:hAnsi="Times New Roman" w:eastAsia="宋体" w:cs="Times New Roman"/>
                <w:snapToGrid w:val="0"/>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排入</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施工</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现场</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附近阀组间</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的防渗旱厕，定期清掏用做农家肥</w:t>
            </w:r>
          </w:p>
        </w:tc>
        <w:tc>
          <w:tcPr>
            <w:tcW w:w="3524"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不外排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65"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1489"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试压废水</w:t>
            </w:r>
          </w:p>
        </w:tc>
        <w:tc>
          <w:tcPr>
            <w:tcW w:w="2533"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由罐车拉运至葡二联</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含油污水处理站处理后回注</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油层</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，不外排</w:t>
            </w:r>
          </w:p>
        </w:tc>
        <w:tc>
          <w:tcPr>
            <w:tcW w:w="352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执行《大庆油田地面工程建设设计规定》（Q/SYDQ0639-2015）限值（含油量≤10mg/L、悬浮固体含量≤5mg/L、粒径中值≤2μm），回注油层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固废</w:t>
            </w:r>
          </w:p>
        </w:tc>
        <w:tc>
          <w:tcPr>
            <w:tcW w:w="1489"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施工废料、</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废防渗布</w:t>
            </w:r>
          </w:p>
        </w:tc>
        <w:tc>
          <w:tcPr>
            <w:tcW w:w="2533"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统一回收后送至第</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七</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采油厂工业固废填埋场</w:t>
            </w:r>
          </w:p>
        </w:tc>
        <w:tc>
          <w:tcPr>
            <w:tcW w:w="3524" w:type="dxa"/>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bCs/>
                <w:iCs/>
                <w:color w:val="000000" w:themeColor="text1"/>
                <w:w w:val="99"/>
                <w:kern w:val="2"/>
                <w:sz w:val="21"/>
                <w:szCs w:val="21"/>
                <w:highlight w:val="none"/>
                <w:lang w:val="en-US" w:bidi="ar-SA"/>
                <w14:textFill>
                  <w14:solidFill>
                    <w14:schemeClr w14:val="tx1"/>
                  </w14:solidFill>
                </w14:textFill>
              </w:rPr>
              <w:t>《一般工业固体废物贮存和填埋污染控制标准》（GB18599-2020）中第Ⅰ类一般工业固体废物标准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1489"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生活垃圾</w:t>
            </w:r>
          </w:p>
        </w:tc>
        <w:tc>
          <w:tcPr>
            <w:tcW w:w="2533" w:type="dxa"/>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sz w:val="21"/>
                <w:szCs w:val="21"/>
                <w:highlight w:val="none"/>
                <w:lang w:val="en-US" w:bidi="ar"/>
                <w14:textFill>
                  <w14:solidFill>
                    <w14:schemeClr w14:val="tx1"/>
                  </w14:solidFill>
                </w14:textFill>
              </w:rPr>
              <w:t>由环卫部门拉运至大庆市生活垃圾综合处理厂进行处理</w:t>
            </w:r>
          </w:p>
        </w:tc>
        <w:tc>
          <w:tcPr>
            <w:tcW w:w="3524" w:type="dxa"/>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不外排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噪声</w:t>
            </w:r>
          </w:p>
        </w:tc>
        <w:tc>
          <w:tcPr>
            <w:tcW w:w="1489"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施工</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机械噪声</w:t>
            </w:r>
          </w:p>
        </w:tc>
        <w:tc>
          <w:tcPr>
            <w:tcW w:w="2533" w:type="dxa"/>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选用低噪声设备，安装隔声减震等降噪措施</w:t>
            </w:r>
          </w:p>
        </w:tc>
        <w:tc>
          <w:tcPr>
            <w:tcW w:w="3524" w:type="dxa"/>
            <w:vAlign w:val="center"/>
          </w:tcPr>
          <w:p>
            <w:pPr>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符合《建筑施工场界环境噪声排放标准》（GB12523-2011）要求</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昼间≤</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70dB，夜间</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55dB 的要求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1" w:hRule="atLeast"/>
        </w:trPr>
        <w:tc>
          <w:tcPr>
            <w:tcW w:w="76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运营期</w:t>
            </w:r>
          </w:p>
        </w:tc>
        <w:tc>
          <w:tcPr>
            <w:tcW w:w="684"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废气</w:t>
            </w:r>
          </w:p>
        </w:tc>
        <w:tc>
          <w:tcPr>
            <w:tcW w:w="1489"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采油井场、场站非甲烷总烃</w:t>
            </w:r>
          </w:p>
        </w:tc>
        <w:tc>
          <w:tcPr>
            <w:tcW w:w="2533" w:type="dxa"/>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管线采取密闭性良好的阀门等</w:t>
            </w:r>
          </w:p>
        </w:tc>
        <w:tc>
          <w:tcPr>
            <w:tcW w:w="3524" w:type="dxa"/>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井场、依托</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场站</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厂界在2023年1月1日</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以前执行</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《大气污染物综合排放标准》（GB16297-1996）中</w:t>
            </w: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表2</w:t>
            </w:r>
            <w:r>
              <w:rPr>
                <w:rFonts w:ascii="Times New Roman" w:hAnsi="Times New Roman" w:cs="Times New Roman"/>
                <w:bCs/>
                <w:color w:val="000000" w:themeColor="text1"/>
                <w:w w:val="99"/>
                <w:kern w:val="2"/>
                <w:sz w:val="21"/>
                <w:szCs w:val="21"/>
                <w:highlight w:val="none"/>
                <w:lang w:val="en-US" w:bidi="ar-SA"/>
                <w14:textFill>
                  <w14:solidFill>
                    <w14:schemeClr w14:val="tx1"/>
                  </w14:solidFill>
                </w14:textFill>
              </w:rPr>
              <w:t>无组织排放监控浓度限值</w:t>
            </w:r>
            <w:r>
              <w:rPr>
                <w:rFonts w:hint="eastAsia" w:ascii="Times New Roman" w:hAnsi="Times New Roman" w:cs="Times New Roman"/>
                <w:bCs/>
                <w:color w:val="000000" w:themeColor="text1"/>
                <w:w w:val="99"/>
                <w:kern w:val="2"/>
                <w:sz w:val="21"/>
                <w:szCs w:val="21"/>
                <w:highlight w:val="none"/>
                <w:lang w:val="en-US" w:bidi="ar-SA"/>
                <w14:textFill>
                  <w14:solidFill>
                    <w14:schemeClr w14:val="tx1"/>
                  </w14:solidFill>
                </w14:textFill>
              </w:rPr>
              <w:t>4.0</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mg/m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2023 年 1 月 1 日起执</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行《陆上石油天然气开采工业大气污染物排放标准》（</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GB39728-2020）中 企 业 边 界 污 染 物 控 制 要 求4.0mg/m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8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1489"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场站</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内非甲烷总烃</w:t>
            </w:r>
          </w:p>
        </w:tc>
        <w:tc>
          <w:tcPr>
            <w:tcW w:w="2533" w:type="dxa"/>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采出液</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密闭输送，采取密闭性良好的阀门等</w:t>
            </w:r>
          </w:p>
        </w:tc>
        <w:tc>
          <w:tcPr>
            <w:tcW w:w="3524" w:type="dxa"/>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厂区内非甲烷总烃执行《挥发性有机物无组织排放控制标准》（</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GB 37822-2019） 中的标准要求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65"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68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1489"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依托场站加热炉</w:t>
            </w:r>
          </w:p>
        </w:tc>
        <w:tc>
          <w:tcPr>
            <w:tcW w:w="2533" w:type="dxa"/>
            <w:vAlign w:val="center"/>
          </w:tcPr>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采用清洁燃料天然气（油田伴生气）作为原料，通过烟囱排放</w:t>
            </w:r>
          </w:p>
        </w:tc>
        <w:tc>
          <w:tcPr>
            <w:tcW w:w="3524" w:type="dxa"/>
            <w:vAlign w:val="center"/>
          </w:tcPr>
          <w:p>
            <w:pPr>
              <w:autoSpaceDE/>
              <w:autoSpaceDN/>
              <w:adjustRightInd w:val="0"/>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满足《锅炉大气污染物排放标准》（GB13271-2014）在用燃气锅炉标准</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xml:space="preserve"> SO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2</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≤100mg/m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 NO</w:t>
            </w:r>
            <w:r>
              <w:rPr>
                <w:rFonts w:ascii="Times New Roman" w:hAnsi="Times New Roman" w:cs="Times New Roman"/>
                <w:color w:val="000000" w:themeColor="text1"/>
                <w:w w:val="99"/>
                <w:kern w:val="2"/>
                <w:sz w:val="21"/>
                <w:szCs w:val="21"/>
                <w:highlight w:val="none"/>
                <w:vertAlign w:val="subscript"/>
                <w:lang w:val="en-US" w:bidi="ar-SA"/>
                <w14:textFill>
                  <w14:solidFill>
                    <w14:schemeClr w14:val="tx1"/>
                  </w14:solidFill>
                </w14:textFill>
              </w:rPr>
              <w:t>X</w:t>
            </w:r>
          </w:p>
          <w:p>
            <w:pPr>
              <w:autoSpaceDE/>
              <w:autoSpaceDN/>
              <w:adjustRightInd w:val="0"/>
              <w:snapToGrid w:val="0"/>
              <w:spacing w:line="360" w:lineRule="exact"/>
              <w:jc w:val="center"/>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400mg/m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、颗粒物≤30mg/m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、烟气黑度≤1）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8"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废水</w:t>
            </w:r>
          </w:p>
        </w:tc>
        <w:tc>
          <w:tcPr>
            <w:tcW w:w="1489"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作业</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废水</w:t>
            </w:r>
          </w:p>
        </w:tc>
        <w:tc>
          <w:tcPr>
            <w:tcW w:w="2533"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罐车运送至葡二联含油污水处理站处理</w:t>
            </w:r>
          </w:p>
        </w:tc>
        <w:tc>
          <w:tcPr>
            <w:tcW w:w="3524"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执行《大庆油田地面工程建设设计规定》（Q/SYDQ0639-2015）限值（含油量≤10mg/L、悬浮固体含量≤5mg/L、粒径中值≤2μm），回注油层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8"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pPr>
          </w:p>
        </w:tc>
        <w:tc>
          <w:tcPr>
            <w:tcW w:w="1489"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清防蜡</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废水</w:t>
            </w:r>
          </w:p>
        </w:tc>
        <w:tc>
          <w:tcPr>
            <w:tcW w:w="2533"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经</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集输系统输送至葡二联含油污水处理站处理</w:t>
            </w:r>
          </w:p>
        </w:tc>
        <w:tc>
          <w:tcPr>
            <w:tcW w:w="352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89"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含油污水（采出水）</w:t>
            </w:r>
          </w:p>
        </w:tc>
        <w:tc>
          <w:tcPr>
            <w:tcW w:w="2533"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经依托转油站管输至葡二联含油污水处理站处理后回注</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油层</w:t>
            </w:r>
          </w:p>
        </w:tc>
        <w:tc>
          <w:tcPr>
            <w:tcW w:w="352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6"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89"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地下水</w:t>
            </w:r>
          </w:p>
        </w:tc>
        <w:tc>
          <w:tcPr>
            <w:tcW w:w="2533"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区域上游设立1口跟踪监测井（</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钱家屯</w:t>
            </w: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注入井</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 xml:space="preserve"> 124.70511,46.00807</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7</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，井深15</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m）</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区域下游设置2口跟踪监测井（</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散户王家</w:t>
            </w: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注入井</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 xml:space="preserve"> 124.68011,45.99007 ，</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井深</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15</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m</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；唐花马屯</w:t>
            </w:r>
            <w:r>
              <w:rPr>
                <w:rFonts w:hint="eastAsia" w:ascii="Times New Roman" w:hAnsi="Times New Roman" w:cs="Times New Roman"/>
                <w:snapToGrid w:val="0"/>
                <w:color w:val="000000" w:themeColor="text1"/>
                <w:w w:val="99"/>
                <w:kern w:val="2"/>
                <w:sz w:val="21"/>
                <w:szCs w:val="21"/>
                <w:highlight w:val="none"/>
                <w:lang w:val="en-US" w:eastAsia="zh-CN" w:bidi="ar-SA"/>
                <w14:textFill>
                  <w14:solidFill>
                    <w14:schemeClr w14:val="tx1"/>
                  </w14:solidFill>
                </w14:textFill>
              </w:rPr>
              <w:t>注入井</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 xml:space="preserve"> 124.67111,45.98407，</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井深</w:t>
            </w:r>
            <w:r>
              <w:rPr>
                <w:rFonts w:hint="eastAsia"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1</w:t>
            </w:r>
            <w:r>
              <w:rPr>
                <w:rFonts w:ascii="Times New Roman" w:hAnsi="Times New Roman" w:cs="Times New Roman"/>
                <w:snapToGrid w:val="0"/>
                <w:color w:val="000000" w:themeColor="text1"/>
                <w:w w:val="99"/>
                <w:kern w:val="2"/>
                <w:sz w:val="21"/>
                <w:szCs w:val="21"/>
                <w:highlight w:val="none"/>
                <w:lang w:val="en-US" w:bidi="ar-SA"/>
                <w14:textFill>
                  <w14:solidFill>
                    <w14:schemeClr w14:val="tx1"/>
                  </w14:solidFill>
                </w14:textFill>
              </w:rPr>
              <w:t>0m）</w:t>
            </w:r>
          </w:p>
        </w:tc>
        <w:tc>
          <w:tcPr>
            <w:tcW w:w="3524"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对布设的</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3</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口潜水监测井水质进行监测，监测因子为：pH、石油类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固废</w:t>
            </w:r>
          </w:p>
        </w:tc>
        <w:tc>
          <w:tcPr>
            <w:tcW w:w="1489"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含油污泥、落地油</w:t>
            </w:r>
          </w:p>
        </w:tc>
        <w:tc>
          <w:tcPr>
            <w:tcW w:w="2533"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属于危险废物，集中收</w:t>
            </w:r>
            <w:r>
              <w:rPr>
                <w:rFonts w:ascii="Times New Roman" w:hAnsi="Times New Roman" w:cs="Times New Roman"/>
                <w:color w:val="000000" w:themeColor="text1"/>
                <w:w w:val="99"/>
                <w:kern w:val="2"/>
                <w:sz w:val="21"/>
                <w:szCs w:val="21"/>
                <w:highlight w:val="none"/>
                <w:lang w:bidi="ar-SA"/>
                <w14:textFill>
                  <w14:solidFill>
                    <w14:schemeClr w14:val="tx1"/>
                  </w14:solidFill>
                </w14:textFill>
              </w:rPr>
              <w:t>集，拉运至葡萄花含油污泥处理站处理</w:t>
            </w:r>
          </w:p>
        </w:tc>
        <w:tc>
          <w:tcPr>
            <w:tcW w:w="3524"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执行</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《油田含油污泥综合利用污染控制标准》（DB23/T1413-2010）标准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1489"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含油防渗布</w:t>
            </w:r>
          </w:p>
        </w:tc>
        <w:tc>
          <w:tcPr>
            <w:tcW w:w="2533" w:type="dxa"/>
            <w:vAlign w:val="center"/>
          </w:tcPr>
          <w:p>
            <w:pPr>
              <w:autoSpaceDE/>
              <w:autoSpaceDN/>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由建设单位统一收集后委托有资质单位处置</w:t>
            </w:r>
          </w:p>
        </w:tc>
        <w:tc>
          <w:tcPr>
            <w:tcW w:w="3524"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bidi="ar-SA"/>
                <w14:textFill>
                  <w14:solidFill>
                    <w14:schemeClr w14:val="tx1"/>
                  </w14:solidFill>
                </w14:textFill>
              </w:rPr>
              <w:t>执行《危险废物贮存污染控制标准》及其修改单（GB18597-2001）标准要求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7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噪声</w:t>
            </w:r>
          </w:p>
        </w:tc>
        <w:tc>
          <w:tcPr>
            <w:tcW w:w="1489" w:type="dxa"/>
            <w:vAlign w:val="center"/>
          </w:tcPr>
          <w:p>
            <w:pPr>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井场噪声</w:t>
            </w:r>
          </w:p>
        </w:tc>
        <w:tc>
          <w:tcPr>
            <w:tcW w:w="2533" w:type="dxa"/>
            <w:vAlign w:val="center"/>
          </w:tcPr>
          <w:p>
            <w:pPr>
              <w:adjustRightInd w:val="0"/>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低噪声设备、</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定期维护保养</w:t>
            </w:r>
          </w:p>
        </w:tc>
        <w:tc>
          <w:tcPr>
            <w:tcW w:w="3524" w:type="dxa"/>
            <w:vAlign w:val="center"/>
          </w:tcPr>
          <w:p>
            <w:pPr>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bidi="ar-SA"/>
                <w14:textFill>
                  <w14:solidFill>
                    <w14:schemeClr w14:val="tx1"/>
                  </w14:solidFill>
                </w14:textFill>
              </w:rPr>
              <w:t>《工业企业厂界噪声排放标准》（GB12348-2008）中2类标准限值：昼间≤60dB（A），夜间≤50dB（A）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3"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2173" w:type="dxa"/>
            <w:gridSpan w:val="2"/>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生态恢复</w:t>
            </w:r>
          </w:p>
        </w:tc>
        <w:tc>
          <w:tcPr>
            <w:tcW w:w="2533"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对临时占用的土地进行恢复、平整，恢复临时占地2.76hm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c>
          <w:tcPr>
            <w:tcW w:w="3524" w:type="dxa"/>
            <w:vAlign w:val="center"/>
          </w:tcPr>
          <w:p>
            <w:pPr>
              <w:autoSpaceDE/>
              <w:autoSpaceDN/>
              <w:snapToGrid w:val="0"/>
              <w:spacing w:line="360" w:lineRule="exact"/>
              <w:jc w:val="center"/>
              <w:rPr>
                <w:rFonts w:ascii="Times New Roman" w:hAnsi="Times New Roman" w:eastAsia="宋体" w:cs="Times New Roman"/>
                <w:color w:val="000000" w:themeColor="text1"/>
                <w:w w:val="99"/>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施工时分层开挖、分层堆放、分层回填，场地平整，不改变原有地势，不起垄。</w:t>
            </w:r>
          </w:p>
        </w:tc>
      </w:tr>
    </w:tbl>
    <w:p>
      <w:pPr>
        <w:pStyle w:val="2"/>
        <w:spacing w:beforeLines="0" w:line="440" w:lineRule="exact"/>
        <w:ind w:firstLine="476" w:firstLineChars="200"/>
        <w:jc w:val="both"/>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pPr>
      <w:r>
        <w:rPr>
          <w:rFonts w:ascii="Times New Roman" w:hAnsi="Times New Roman" w:eastAsia="宋体" w:cs="Times New Roman"/>
          <w:b/>
          <w:bCs/>
          <w:color w:val="000000" w:themeColor="text1"/>
          <w:w w:val="99"/>
          <w:sz w:val="24"/>
          <w:szCs w:val="24"/>
          <w:highlight w:val="none"/>
          <w14:textFill>
            <w14:solidFill>
              <w14:schemeClr w14:val="tx1"/>
            </w14:solidFill>
          </w14:textFill>
        </w:rPr>
        <w:t>表</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8.7-2</w:t>
      </w:r>
      <w:r>
        <w:rPr>
          <w:rFonts w:hint="eastAsia" w:ascii="Times New Roman" w:hAnsi="Times New Roman" w:eastAsia="宋体" w:cs="Times New Roman"/>
          <w:b/>
          <w:bCs/>
          <w:color w:val="000000" w:themeColor="text1"/>
          <w:w w:val="99"/>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w w:val="99"/>
          <w:sz w:val="24"/>
          <w:szCs w:val="24"/>
          <w:highlight w:val="none"/>
          <w:lang w:val="en-US"/>
          <w14:textFill>
            <w14:solidFill>
              <w14:schemeClr w14:val="tx1"/>
            </w14:solidFill>
          </w14:textFill>
        </w:rPr>
        <w:t xml:space="preserve">    </w:t>
      </w:r>
      <w:r>
        <w:rPr>
          <w:rFonts w:ascii="Times New Roman" w:hAnsi="Times New Roman" w:eastAsia="宋体" w:cs="Times New Roman"/>
          <w:b/>
          <w:bCs/>
          <w:color w:val="000000" w:themeColor="text1"/>
          <w:w w:val="99"/>
          <w:sz w:val="24"/>
          <w:szCs w:val="24"/>
          <w:highlight w:val="none"/>
          <w:lang w:val="en-US"/>
          <w14:textFill>
            <w14:solidFill>
              <w14:schemeClr w14:val="tx1"/>
            </w14:solidFill>
          </w14:textFill>
        </w:rPr>
        <w:t>竣工验收监测与调查主要内容</w:t>
      </w:r>
    </w:p>
    <w:tbl>
      <w:tblPr>
        <w:tblStyle w:val="32"/>
        <w:tblW w:w="90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0"/>
        <w:gridCol w:w="6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0"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项目</w:t>
            </w:r>
          </w:p>
        </w:tc>
        <w:tc>
          <w:tcPr>
            <w:tcW w:w="62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0"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环境保护管理检查</w:t>
            </w:r>
          </w:p>
        </w:tc>
        <w:tc>
          <w:tcPr>
            <w:tcW w:w="62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项目各阶段环境保护法律、法规、规章制度的执行情况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环境保护审批手续及环境保护档案资料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环保组织机构及规章管理制度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环保设施建成及运行情况，生态恢复、占地补偿、绿化等措施的落实情况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本项目环评报告及其批复提出的环保措施落实情况及其效果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运行期环境保护监测计划实施情况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本项目事故风险的环保应急计划，包括物质配备、防范措施，应急处置等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施工期、运行期扰民现象的调查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固体废物种类、产生量、处理处置情况、综合利用情况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0"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污染物达标排放监测</w:t>
            </w:r>
          </w:p>
        </w:tc>
        <w:tc>
          <w:tcPr>
            <w:tcW w:w="62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加热装置烟道气排放监测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厂界烃类气体无组织排放监测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厂界噪声达标排放监测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0"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环境保护敏感点环境质量监测</w:t>
            </w:r>
          </w:p>
        </w:tc>
        <w:tc>
          <w:tcPr>
            <w:tcW w:w="62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油田开发区内的环境空气、地下水</w:t>
            </w:r>
            <w:r>
              <w:rPr>
                <w:rFonts w:hint="eastAsia" w:eastAsia="宋体"/>
                <w:color w:val="000000" w:themeColor="text1"/>
                <w:w w:val="99"/>
                <w:kern w:val="2"/>
                <w:sz w:val="21"/>
                <w:szCs w:val="21"/>
                <w:highlight w:val="none"/>
                <w:lang w:val="en-US" w:bidi="ar-SA"/>
                <w14:textFill>
                  <w14:solidFill>
                    <w14:schemeClr w14:val="tx1"/>
                  </w14:solidFill>
                </w14:textFill>
              </w:rPr>
              <w:t>、土壤</w:t>
            </w:r>
            <w:r>
              <w:rPr>
                <w:rFonts w:eastAsia="宋体"/>
                <w:color w:val="000000" w:themeColor="text1"/>
                <w:w w:val="99"/>
                <w:kern w:val="2"/>
                <w:sz w:val="21"/>
                <w:szCs w:val="21"/>
                <w:highlight w:val="none"/>
                <w:lang w:val="en-US" w:bidi="ar-SA"/>
                <w14:textFill>
                  <w14:solidFill>
                    <w14:schemeClr w14:val="tx1"/>
                  </w14:solidFill>
                </w14:textFill>
              </w:rPr>
              <w:t>及生态环境质量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830" w:type="dxa"/>
            <w:vMerge w:val="restart"/>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生态调查主要内容</w:t>
            </w:r>
          </w:p>
        </w:tc>
        <w:tc>
          <w:tcPr>
            <w:tcW w:w="6254" w:type="dxa"/>
            <w:tcBorders>
              <w:tl2br w:val="nil"/>
              <w:tr2bl w:val="nil"/>
            </w:tcBorders>
            <w:vAlign w:val="center"/>
          </w:tcPr>
          <w:p>
            <w:pPr>
              <w:pStyle w:val="46"/>
              <w:spacing w:line="360" w:lineRule="exact"/>
              <w:rPr>
                <w:rFonts w:eastAsia="宋体"/>
                <w:color w:val="000000" w:themeColor="text1"/>
                <w:w w:val="99"/>
                <w:kern w:val="2"/>
                <w:sz w:val="21"/>
                <w:szCs w:val="21"/>
                <w:highlight w:val="none"/>
                <w:lang w:val="en-US" w:bidi="ar-SA"/>
                <w14:textFill>
                  <w14:solidFill>
                    <w14:schemeClr w14:val="tx1"/>
                  </w14:solidFill>
                </w14:textFill>
              </w:rPr>
            </w:pPr>
            <w:r>
              <w:rPr>
                <w:rFonts w:eastAsia="宋体"/>
                <w:color w:val="000000" w:themeColor="text1"/>
                <w:w w:val="99"/>
                <w:kern w:val="2"/>
                <w:sz w:val="21"/>
                <w:szCs w:val="21"/>
                <w:highlight w:val="none"/>
                <w:lang w:val="en-US" w:bidi="ar-SA"/>
                <w14:textFill>
                  <w14:solidFill>
                    <w14:schemeClr w14:val="tx1"/>
                  </w14:solidFill>
                </w14:textFill>
              </w:rPr>
              <w:t>项目在施工、运行期落实环境影响评价、工程设计文件以及各级环境保护行政主管部门批复文件中生态保护措施的情况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临时占地</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植被</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恢复</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情况</w:t>
            </w:r>
            <w:r>
              <w:rPr>
                <w:rFonts w:hint="eastAsia" w:ascii="Times New Roman" w:hAnsi="Times New Roman" w:cs="Times New Roman"/>
                <w:color w:val="000000" w:themeColor="text1"/>
                <w:w w:val="99"/>
                <w:kern w:val="2"/>
                <w:sz w:val="21"/>
                <w:szCs w:val="21"/>
                <w:highlight w:val="none"/>
                <w:lang w:val="en-US" w:bidi="ar-SA"/>
                <w14:textFill>
                  <w14:solidFill>
                    <w14:schemeClr w14:val="tx1"/>
                  </w14:solidFill>
                </w14:textFill>
              </w:rPr>
              <w:t>：本项目建成</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投入运行后对临时占用的土地进行恢复、平整，恢复临时占地</w:t>
            </w:r>
            <w:r>
              <w:rPr>
                <w:rFonts w:hint="eastAsia" w:ascii="Times New Roman" w:hAnsi="Times New Roman" w:cs="Times New Roman"/>
                <w:color w:val="000000" w:themeColor="text1"/>
                <w:w w:val="99"/>
                <w:kern w:val="2"/>
                <w:sz w:val="21"/>
                <w:szCs w:val="21"/>
                <w:highlight w:val="none"/>
                <w:lang w:val="en-US" w:eastAsia="zh-CN" w:bidi="ar-SA"/>
                <w14:textFill>
                  <w14:solidFill>
                    <w14:schemeClr w14:val="tx1"/>
                  </w14:solidFill>
                </w14:textFill>
              </w:rPr>
              <w:t>4.72</w:t>
            </w: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hm</w:t>
            </w:r>
            <w:r>
              <w:rPr>
                <w:rFonts w:ascii="Times New Roman" w:hAnsi="Times New Roman" w:cs="Times New Roman"/>
                <w:color w:val="000000" w:themeColor="text1"/>
                <w:w w:val="99"/>
                <w:kern w:val="2"/>
                <w:sz w:val="21"/>
                <w:szCs w:val="21"/>
                <w:highlight w:val="none"/>
                <w:vertAlign w:val="superscript"/>
                <w:lang w:val="en-US" w:bidi="ar-SA"/>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 w:hRule="atLeast"/>
        </w:trPr>
        <w:tc>
          <w:tcPr>
            <w:tcW w:w="2830" w:type="dxa"/>
            <w:vMerge w:val="continue"/>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p>
        </w:tc>
        <w:tc>
          <w:tcPr>
            <w:tcW w:w="6254" w:type="dxa"/>
            <w:tcBorders>
              <w:tl2br w:val="nil"/>
              <w:tr2bl w:val="nil"/>
            </w:tcBorders>
            <w:vAlign w:val="center"/>
          </w:tcPr>
          <w:p>
            <w:pPr>
              <w:autoSpaceDE/>
              <w:autoSpaceDN/>
              <w:snapToGrid w:val="0"/>
              <w:spacing w:line="360" w:lineRule="exact"/>
              <w:jc w:val="cente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pPr>
            <w:r>
              <w:rPr>
                <w:rFonts w:ascii="Times New Roman" w:hAnsi="Times New Roman" w:cs="Times New Roman"/>
                <w:color w:val="000000" w:themeColor="text1"/>
                <w:w w:val="99"/>
                <w:kern w:val="2"/>
                <w:sz w:val="21"/>
                <w:szCs w:val="21"/>
                <w:highlight w:val="none"/>
                <w:lang w:val="en-US" w:bidi="ar-SA"/>
                <w14:textFill>
                  <w14:solidFill>
                    <w14:schemeClr w14:val="tx1"/>
                  </w14:solidFill>
                </w14:textFill>
              </w:rPr>
              <w:t>针对环境破坏或潜在环境影响提出补救措施的落实情况</w:t>
            </w:r>
          </w:p>
        </w:tc>
      </w:tr>
    </w:tbl>
    <w:p>
      <w:pPr>
        <w:pStyle w:val="2"/>
        <w:spacing w:beforeLines="0" w:line="50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br w:type="page"/>
      </w:r>
    </w:p>
    <w:p>
      <w:pPr>
        <w:pStyle w:val="4"/>
        <w:keepNext w:val="0"/>
        <w:keepLines w:val="0"/>
        <w:pageBreakBefore w:val="0"/>
        <w:widowControl w:val="0"/>
        <w:kinsoku/>
        <w:wordWrap/>
        <w:overflowPunct/>
        <w:topLinePunct w:val="0"/>
        <w:autoSpaceDE/>
        <w:autoSpaceDN/>
        <w:bidi w:val="0"/>
        <w:adjustRightInd/>
        <w:snapToGrid/>
        <w:spacing w:before="180" w:after="180" w:line="440" w:lineRule="exact"/>
        <w:ind w:left="0" w:firstLine="0"/>
        <w:textAlignment w:val="auto"/>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pPr>
      <w:bookmarkStart w:id="218" w:name="_Toc17785"/>
      <w:r>
        <w:rPr>
          <w:rFonts w:ascii="Times New Roman" w:hAnsi="Times New Roman" w:cs="Times New Roman" w:eastAsiaTheme="minorEastAsia"/>
          <w:b/>
          <w:snapToGrid w:val="0"/>
          <w:color w:val="000000" w:themeColor="text1"/>
          <w:w w:val="99"/>
          <w:kern w:val="2"/>
          <w:sz w:val="30"/>
          <w:szCs w:val="30"/>
          <w:highlight w:val="none"/>
          <w:lang w:val="en-US" w:bidi="ar-SA"/>
          <w14:textFill>
            <w14:solidFill>
              <w14:schemeClr w14:val="tx1"/>
            </w14:solidFill>
          </w14:textFill>
        </w:rPr>
        <w:t>9 环境影响评价结论</w:t>
      </w:r>
      <w:bookmarkEnd w:id="218"/>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19" w:name="_Toc28736"/>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9.1 工程概况</w:t>
      </w:r>
      <w:bookmarkEnd w:id="219"/>
    </w:p>
    <w:p>
      <w:pPr>
        <w:keepNext w:val="0"/>
        <w:keepLines w:val="0"/>
        <w:pageBreakBefore w:val="0"/>
        <w:widowControl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cs="Times New Roman" w:eastAsiaTheme="majorEastAsia"/>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本项目深部调区驱油利用</w:t>
      </w:r>
      <w:r>
        <w:rPr>
          <w:rFonts w:hint="eastAsia" w:ascii="Times New Roman" w:hAnsi="Times New Roman" w:cs="Times New Roman"/>
          <w:bCs/>
          <w:snapToGrid w:val="0"/>
          <w:color w:val="000000" w:themeColor="text1"/>
          <w:w w:val="99"/>
          <w:sz w:val="24"/>
          <w:szCs w:val="24"/>
          <w:highlight w:val="none"/>
          <w:lang w:eastAsia="zh-CN"/>
          <w14:textFill>
            <w14:solidFill>
              <w14:schemeClr w14:val="tx1"/>
            </w14:solidFill>
          </w14:textFill>
        </w:rPr>
        <w:t>葡北油田三断块葡72-70井区现有30口油注入井（采出井21口，注入井9口），原油管道集输、处理系统依托已建工程，本工程扩建配水间1座，新建配水阀组4套。新建注水支干线Ф114×9~0.1km，新建单井注水支线Ф60×5~4.62km。租用橇装配注站1座，配套厂区地面平整1900m</w:t>
      </w:r>
      <w:r>
        <w:rPr>
          <w:rFonts w:hint="eastAsia" w:ascii="Times New Roman" w:hAnsi="Times New Roman" w:cs="Times New Roman"/>
          <w:bCs/>
          <w:snapToGrid w:val="0"/>
          <w:color w:val="000000" w:themeColor="text1"/>
          <w:w w:val="99"/>
          <w:sz w:val="24"/>
          <w:szCs w:val="24"/>
          <w:highlight w:val="none"/>
          <w:vertAlign w:val="superscript"/>
          <w:lang w:eastAsia="zh-CN"/>
          <w14:textFill>
            <w14:solidFill>
              <w14:schemeClr w14:val="tx1"/>
            </w14:solidFill>
          </w14:textFill>
        </w:rPr>
        <w:t>2</w:t>
      </w:r>
      <w:r>
        <w:rPr>
          <w:rFonts w:hint="eastAsia" w:ascii="Times New Roman" w:hAnsi="Times New Roman" w:cs="Times New Roman"/>
          <w:bCs/>
          <w:snapToGrid w:val="0"/>
          <w:color w:val="000000" w:themeColor="text1"/>
          <w:w w:val="99"/>
          <w:sz w:val="24"/>
          <w:szCs w:val="24"/>
          <w:highlight w:val="none"/>
          <w:lang w:eastAsia="zh-CN"/>
          <w14:textFill>
            <w14:solidFill>
              <w14:schemeClr w14:val="tx1"/>
            </w14:solidFill>
          </w14:textFill>
        </w:rPr>
        <w:t>，4m宽水泥路120m，水泥回车场地225m</w:t>
      </w:r>
      <w:r>
        <w:rPr>
          <w:rFonts w:hint="eastAsia" w:ascii="Times New Roman" w:hAnsi="Times New Roman" w:cs="Times New Roman"/>
          <w:bCs/>
          <w:snapToGrid w:val="0"/>
          <w:color w:val="000000" w:themeColor="text1"/>
          <w:w w:val="99"/>
          <w:sz w:val="24"/>
          <w:szCs w:val="24"/>
          <w:highlight w:val="none"/>
          <w:vertAlign w:val="superscript"/>
          <w:lang w:eastAsia="zh-CN"/>
          <w14:textFill>
            <w14:solidFill>
              <w14:schemeClr w14:val="tx1"/>
            </w14:solidFill>
          </w14:textFill>
        </w:rPr>
        <w:t>2</w:t>
      </w:r>
      <w:r>
        <w:rPr>
          <w:rFonts w:hint="eastAsia" w:ascii="Times New Roman" w:hAnsi="Times New Roman" w:cs="Times New Roman"/>
          <w:bCs/>
          <w:snapToGrid w:val="0"/>
          <w:color w:val="000000" w:themeColor="text1"/>
          <w:w w:val="99"/>
          <w:sz w:val="24"/>
          <w:szCs w:val="24"/>
          <w:highlight w:val="none"/>
          <w:lang w:eastAsia="zh-CN"/>
          <w14:textFill>
            <w14:solidFill>
              <w14:schemeClr w14:val="tx1"/>
            </w14:solidFill>
          </w14:textFill>
        </w:rPr>
        <w:t>。新建6kV线路0.3km，迁建占压已建变压器杆1基。新建进站砂石路0.1km</w:t>
      </w:r>
      <w:r>
        <w:rPr>
          <w:rFonts w:ascii="Times New Roman" w:hAnsi="Times New Roman" w:cs="Times New Roman"/>
          <w:color w:val="000000" w:themeColor="text1"/>
          <w:w w:val="99"/>
          <w:sz w:val="24"/>
          <w:szCs w:val="24"/>
          <w:highlight w:val="none"/>
          <w14:textFill>
            <w14:solidFill>
              <w14:schemeClr w14:val="tx1"/>
            </w14:solidFill>
          </w14:textFill>
        </w:rPr>
        <w:t>。</w:t>
      </w:r>
      <w:r>
        <w:rPr>
          <w:rFonts w:hint="eastAsia" w:ascii="Times New Roman" w:hAnsi="Times New Roman" w:cs="Times New Roman"/>
          <w:color w:val="000000" w:themeColor="text1"/>
          <w:w w:val="99"/>
          <w:sz w:val="24"/>
          <w:szCs w:val="24"/>
          <w:highlight w:val="none"/>
          <w14:textFill>
            <w14:solidFill>
              <w14:schemeClr w14:val="tx1"/>
            </w14:solidFill>
          </w14:textFill>
        </w:rPr>
        <w:t>项目新增占地</w:t>
      </w:r>
      <w:r>
        <w:rPr>
          <w:rFonts w:ascii="Times New Roman" w:hAnsi="Times New Roman" w:cs="Times New Roman"/>
          <w:color w:val="000000" w:themeColor="text1"/>
          <w:w w:val="99"/>
          <w:sz w:val="24"/>
          <w:szCs w:val="24"/>
          <w:highlight w:val="none"/>
          <w14:textFill>
            <w14:solidFill>
              <w14:schemeClr w14:val="tx1"/>
            </w14:solidFill>
          </w14:textFill>
        </w:rPr>
        <w:t>面积</w:t>
      </w:r>
      <w:r>
        <w:rPr>
          <w:rFonts w:hint="eastAsia" w:ascii="Times New Roman" w:hAnsi="Times New Roman" w:cs="Times New Roman"/>
          <w:color w:val="000000" w:themeColor="text1"/>
          <w:w w:val="99"/>
          <w:sz w:val="24"/>
          <w:szCs w:val="24"/>
          <w:highlight w:val="none"/>
          <w:lang w:val="en-US" w:eastAsia="zh-CN"/>
          <w14:textFill>
            <w14:solidFill>
              <w14:schemeClr w14:val="tx1"/>
            </w14:solidFill>
          </w14:textFill>
        </w:rPr>
        <w:t>4.97</w:t>
      </w:r>
      <w:r>
        <w:rPr>
          <w:rFonts w:ascii="Times New Roman" w:hAnsi="Times New Roman" w:cs="Times New Roman" w:eastAsiaTheme="majorEastAsia"/>
          <w:color w:val="000000" w:themeColor="text1"/>
          <w:w w:val="99"/>
          <w:sz w:val="24"/>
          <w:szCs w:val="24"/>
          <w:highlight w:val="none"/>
          <w14:textFill>
            <w14:solidFill>
              <w14:schemeClr w14:val="tx1"/>
            </w14:solidFill>
          </w14:textFill>
        </w:rPr>
        <w:t>hm</w:t>
      </w:r>
      <w:r>
        <w:rPr>
          <w:rFonts w:ascii="Times New Roman" w:hAnsi="Times New Roman" w:cs="Times New Roman" w:eastAsiaTheme="majorEastAsia"/>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eastAsiaTheme="majorEastAsia"/>
          <w:color w:val="000000" w:themeColor="text1"/>
          <w:w w:val="99"/>
          <w:sz w:val="24"/>
          <w:szCs w:val="24"/>
          <w:highlight w:val="none"/>
          <w14:textFill>
            <w14:solidFill>
              <w14:schemeClr w14:val="tx1"/>
            </w14:solidFill>
          </w14:textFill>
        </w:rPr>
        <w:t>，</w:t>
      </w:r>
      <w:r>
        <w:rPr>
          <w:rFonts w:hint="eastAsia" w:ascii="Times New Roman" w:hAnsi="Times New Roman" w:cs="Times New Roman" w:eastAsiaTheme="majorEastAsia"/>
          <w:color w:val="000000" w:themeColor="text1"/>
          <w:w w:val="99"/>
          <w:sz w:val="24"/>
          <w:szCs w:val="24"/>
          <w:highlight w:val="none"/>
          <w14:textFill>
            <w14:solidFill>
              <w14:schemeClr w14:val="tx1"/>
            </w14:solidFill>
          </w14:textFill>
        </w:rPr>
        <w:t>其中</w:t>
      </w:r>
      <w:r>
        <w:rPr>
          <w:rFonts w:ascii="Times New Roman" w:hAnsi="Times New Roman" w:cs="Times New Roman" w:eastAsiaTheme="majorEastAsia"/>
          <w:color w:val="000000" w:themeColor="text1"/>
          <w:spacing w:val="-10"/>
          <w:w w:val="99"/>
          <w:sz w:val="24"/>
          <w:szCs w:val="24"/>
          <w:highlight w:val="none"/>
          <w14:textFill>
            <w14:solidFill>
              <w14:schemeClr w14:val="tx1"/>
            </w14:solidFill>
          </w14:textFill>
        </w:rPr>
        <w:t>永久占地</w:t>
      </w:r>
      <w:r>
        <w:rPr>
          <w:rFonts w:ascii="Times New Roman" w:hAnsi="Times New Roman" w:cs="Times New Roman" w:eastAsiaTheme="majorEastAsia"/>
          <w:color w:val="000000" w:themeColor="text1"/>
          <w:spacing w:val="-10"/>
          <w:w w:val="99"/>
          <w:sz w:val="24"/>
          <w:szCs w:val="24"/>
          <w:highlight w:val="none"/>
          <w:lang w:val="en-US"/>
          <w14:textFill>
            <w14:solidFill>
              <w14:schemeClr w14:val="tx1"/>
            </w14:solidFill>
          </w14:textFill>
        </w:rPr>
        <w:t>0.</w:t>
      </w:r>
      <w:r>
        <w:rPr>
          <w:rFonts w:hint="eastAsia" w:ascii="Times New Roman" w:hAnsi="Times New Roman" w:cs="Times New Roman" w:eastAsiaTheme="majorEastAsia"/>
          <w:color w:val="000000" w:themeColor="text1"/>
          <w:spacing w:val="-10"/>
          <w:w w:val="99"/>
          <w:sz w:val="24"/>
          <w:szCs w:val="24"/>
          <w:highlight w:val="none"/>
          <w:lang w:val="en-US" w:eastAsia="zh-CN"/>
          <w14:textFill>
            <w14:solidFill>
              <w14:schemeClr w14:val="tx1"/>
            </w14:solidFill>
          </w14:textFill>
        </w:rPr>
        <w:t>25</w:t>
      </w:r>
      <w:r>
        <w:rPr>
          <w:rFonts w:ascii="Times New Roman" w:hAnsi="Times New Roman" w:cs="Times New Roman" w:eastAsiaTheme="majorEastAsia"/>
          <w:color w:val="000000" w:themeColor="text1"/>
          <w:w w:val="99"/>
          <w:sz w:val="24"/>
          <w:szCs w:val="24"/>
          <w:highlight w:val="none"/>
          <w14:textFill>
            <w14:solidFill>
              <w14:schemeClr w14:val="tx1"/>
            </w14:solidFill>
          </w14:textFill>
        </w:rPr>
        <w:t>hm</w:t>
      </w:r>
      <w:r>
        <w:rPr>
          <w:rFonts w:ascii="Times New Roman" w:hAnsi="Times New Roman" w:cs="Times New Roman" w:eastAsiaTheme="majorEastAsia"/>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eastAsiaTheme="majorEastAsia"/>
          <w:color w:val="000000" w:themeColor="text1"/>
          <w:w w:val="99"/>
          <w:sz w:val="24"/>
          <w:szCs w:val="24"/>
          <w:highlight w:val="none"/>
          <w14:textFill>
            <w14:solidFill>
              <w14:schemeClr w14:val="tx1"/>
            </w14:solidFill>
          </w14:textFill>
        </w:rPr>
        <w:t>，</w:t>
      </w:r>
      <w:r>
        <w:rPr>
          <w:rFonts w:ascii="Times New Roman" w:hAnsi="Times New Roman" w:cs="Times New Roman" w:eastAsiaTheme="majorEastAsia"/>
          <w:color w:val="000000" w:themeColor="text1"/>
          <w:spacing w:val="-15"/>
          <w:w w:val="99"/>
          <w:sz w:val="24"/>
          <w:szCs w:val="24"/>
          <w:highlight w:val="none"/>
          <w14:textFill>
            <w14:solidFill>
              <w14:schemeClr w14:val="tx1"/>
            </w14:solidFill>
          </w14:textFill>
        </w:rPr>
        <w:t>临时占地</w:t>
      </w:r>
      <w:r>
        <w:rPr>
          <w:rFonts w:hint="eastAsia" w:ascii="Times New Roman" w:hAnsi="Times New Roman" w:cs="Times New Roman" w:eastAsiaTheme="majorEastAsia"/>
          <w:color w:val="000000" w:themeColor="text1"/>
          <w:spacing w:val="-15"/>
          <w:w w:val="99"/>
          <w:sz w:val="24"/>
          <w:szCs w:val="24"/>
          <w:highlight w:val="none"/>
          <w:lang w:val="en-US" w:eastAsia="zh-CN"/>
          <w14:textFill>
            <w14:solidFill>
              <w14:schemeClr w14:val="tx1"/>
            </w14:solidFill>
          </w14:textFill>
        </w:rPr>
        <w:t>4.72</w:t>
      </w:r>
      <w:r>
        <w:rPr>
          <w:rFonts w:ascii="Times New Roman" w:hAnsi="Times New Roman" w:cs="Times New Roman" w:eastAsiaTheme="majorEastAsia"/>
          <w:color w:val="000000" w:themeColor="text1"/>
          <w:w w:val="99"/>
          <w:sz w:val="24"/>
          <w:szCs w:val="24"/>
          <w:highlight w:val="none"/>
          <w14:textFill>
            <w14:solidFill>
              <w14:schemeClr w14:val="tx1"/>
            </w14:solidFill>
          </w14:textFill>
        </w:rPr>
        <w:t>hm</w:t>
      </w:r>
      <w:r>
        <w:rPr>
          <w:rFonts w:ascii="Times New Roman" w:hAnsi="Times New Roman" w:cs="Times New Roman" w:eastAsiaTheme="majorEastAsia"/>
          <w:color w:val="000000" w:themeColor="text1"/>
          <w:w w:val="99"/>
          <w:sz w:val="24"/>
          <w:szCs w:val="24"/>
          <w:highlight w:val="none"/>
          <w:vertAlign w:val="superscript"/>
          <w14:textFill>
            <w14:solidFill>
              <w14:schemeClr w14:val="tx1"/>
            </w14:solidFill>
          </w14:textFill>
        </w:rPr>
        <w:t>2</w:t>
      </w:r>
      <w:r>
        <w:rPr>
          <w:rFonts w:ascii="Times New Roman" w:hAnsi="Times New Roman" w:cs="Times New Roman" w:eastAsiaTheme="majorEastAsia"/>
          <w:color w:val="000000" w:themeColor="text1"/>
          <w:spacing w:val="-13"/>
          <w:w w:val="99"/>
          <w:sz w:val="24"/>
          <w:szCs w:val="24"/>
          <w:highlight w:val="none"/>
          <w14:textFill>
            <w14:solidFill>
              <w14:schemeClr w14:val="tx1"/>
            </w14:solidFill>
          </w14:textFill>
        </w:rPr>
        <w:t>。</w:t>
      </w:r>
      <w:r>
        <w:rPr>
          <w:rFonts w:hint="eastAsia" w:ascii="Times New Roman" w:hAnsi="Times New Roman" w:cs="Times New Roman" w:eastAsiaTheme="majorEastAsia"/>
          <w:color w:val="000000" w:themeColor="text1"/>
          <w:spacing w:val="-13"/>
          <w:w w:val="99"/>
          <w:sz w:val="24"/>
          <w:szCs w:val="24"/>
          <w:highlight w:val="none"/>
          <w14:textFill>
            <w14:solidFill>
              <w14:schemeClr w14:val="tx1"/>
            </w14:solidFill>
          </w14:textFill>
        </w:rPr>
        <w:t>总投资</w:t>
      </w:r>
      <w:r>
        <w:rPr>
          <w:rFonts w:hint="eastAsia" w:ascii="Times New Roman" w:hAnsi="Times New Roman" w:cs="Times New Roman"/>
          <w:color w:val="000000" w:themeColor="text1"/>
          <w:spacing w:val="-1"/>
          <w:w w:val="99"/>
          <w:sz w:val="24"/>
          <w:szCs w:val="24"/>
          <w:highlight w:val="none"/>
          <w:lang w:val="en-US" w:eastAsia="zh-CN"/>
          <w14:textFill>
            <w14:solidFill>
              <w14:schemeClr w14:val="tx1"/>
            </w14:solidFill>
          </w14:textFill>
        </w:rPr>
        <w:t>558.3</w:t>
      </w:r>
      <w:r>
        <w:rPr>
          <w:rFonts w:hint="eastAsia" w:ascii="Times New Roman" w:hAnsi="Times New Roman" w:cs="Times New Roman" w:eastAsiaTheme="majorEastAsia"/>
          <w:color w:val="000000" w:themeColor="text1"/>
          <w:spacing w:val="-13"/>
          <w:w w:val="99"/>
          <w:sz w:val="24"/>
          <w:szCs w:val="24"/>
          <w:highlight w:val="none"/>
          <w14:textFill>
            <w14:solidFill>
              <w14:schemeClr w14:val="tx1"/>
            </w14:solidFill>
          </w14:textFill>
        </w:rPr>
        <w:t>万元</w:t>
      </w:r>
      <w:r>
        <w:rPr>
          <w:rFonts w:hint="eastAsia" w:ascii="Times New Roman" w:hAnsi="Times New Roman" w:cs="Times New Roman" w:eastAsiaTheme="majorEastAsia"/>
          <w:color w:val="000000" w:themeColor="text1"/>
          <w:spacing w:val="-13"/>
          <w:w w:val="99"/>
          <w:sz w:val="24"/>
          <w:szCs w:val="24"/>
          <w:highlight w:val="none"/>
          <w:lang w:val="en-US"/>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20" w:name="_Toc12000"/>
      <w:bookmarkStart w:id="221" w:name="_Toc76387125"/>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9.2 政策符合性结论</w:t>
      </w:r>
      <w:bookmarkEnd w:id="220"/>
      <w:bookmarkEnd w:id="221"/>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本项目符合《产业结构调整指导目录（2019年本）》要求，属于鼓励类建设项目。</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在规划政策方面，本项目符合《黑龙江省主体功能区划》、《黑龙江省生态功能区划》、《大庆市土地利用总体规划（2006~2020）》、《中共大庆市委关于制定国民经济和社会发展第十四个五年规划和二〇三五年远景目标的建议》、《2021年大庆油田生产建设规划》（庆油发〔2020〕152号）、《大庆市水土保持规划》（2015~2030）、</w:t>
      </w:r>
      <w:r>
        <w:rPr>
          <w:rFonts w:ascii="Times New Roman" w:hAnsi="Times New Roman" w:eastAsia="宋体" w:cs="Times New Roman"/>
          <w:iCs/>
          <w:color w:val="000000" w:themeColor="text1"/>
          <w:w w:val="99"/>
          <w:sz w:val="24"/>
          <w:szCs w:val="24"/>
          <w:highlight w:val="none"/>
          <w:lang w:val="en-US"/>
          <w14:textFill>
            <w14:solidFill>
              <w14:schemeClr w14:val="tx1"/>
            </w14:solidFill>
          </w14:textFill>
        </w:rPr>
        <w:t>《水污染防治行动计划》（国发〔2015〕17号）、《黑龙江省水污染防治实施方案》（黑政发〔2016〕3号）</w:t>
      </w:r>
      <w:r>
        <w:rPr>
          <w:rFonts w:hint="eastAsia" w:ascii="Times New Roman" w:hAnsi="Times New Roman" w:eastAsia="宋体" w:cs="Times New Roman"/>
          <w:iCs/>
          <w:color w:val="000000" w:themeColor="text1"/>
          <w:w w:val="99"/>
          <w:sz w:val="24"/>
          <w:szCs w:val="24"/>
          <w:highlight w:val="none"/>
          <w:lang w:val="en-US"/>
          <w14:textFill>
            <w14:solidFill>
              <w14:schemeClr w14:val="tx1"/>
            </w14:solidFill>
          </w14:textFill>
        </w:rPr>
        <w:t>、</w:t>
      </w:r>
      <w:r>
        <w:rPr>
          <w:rFonts w:ascii="Times New Roman" w:hAnsi="Times New Roman" w:eastAsia="宋体" w:cs="Times New Roman"/>
          <w:iCs/>
          <w:color w:val="000000" w:themeColor="text1"/>
          <w:w w:val="99"/>
          <w:sz w:val="24"/>
          <w:szCs w:val="24"/>
          <w:highlight w:val="none"/>
          <w:lang w:val="en-US"/>
          <w14:textFill>
            <w14:solidFill>
              <w14:schemeClr w14:val="tx1"/>
            </w14:solidFill>
          </w14:textFill>
        </w:rPr>
        <w:t>《大庆市加强水污染防治工作实施方案》（庆政办发〔2015〕55号）</w:t>
      </w:r>
      <w:r>
        <w:rPr>
          <w:rFonts w:hint="eastAsia" w:ascii="Times New Roman" w:hAnsi="Times New Roman" w:eastAsia="宋体" w:cs="Times New Roman"/>
          <w:iCs/>
          <w:color w:val="000000" w:themeColor="text1"/>
          <w:w w:val="99"/>
          <w:sz w:val="24"/>
          <w:szCs w:val="24"/>
          <w:highlight w:val="none"/>
          <w:lang w:val="en-US"/>
          <w14:textFill>
            <w14:solidFill>
              <w14:schemeClr w14:val="tx1"/>
            </w14:solidFill>
          </w14:textFill>
        </w:rPr>
        <w:t>、</w:t>
      </w:r>
      <w:r>
        <w:rPr>
          <w:rFonts w:ascii="Times New Roman" w:hAnsi="Times New Roman" w:eastAsia="宋体" w:cs="Times New Roman"/>
          <w:iCs/>
          <w:color w:val="000000" w:themeColor="text1"/>
          <w:w w:val="99"/>
          <w:sz w:val="24"/>
          <w:szCs w:val="24"/>
          <w:highlight w:val="none"/>
          <w:lang w:val="en-US"/>
          <w14:textFill>
            <w14:solidFill>
              <w14:schemeClr w14:val="tx1"/>
            </w14:solidFill>
          </w14:textFill>
        </w:rPr>
        <w:t>《土壤污染防治行动计划》（国发〔2016〕31号）、《黑龙江省土壤污染防治实施方案》（黑政发〔2016〕46 号）及《大庆市土壤污染防治实施方案》（庆政规〔2017〕2号）</w:t>
      </w:r>
      <w:r>
        <w:rPr>
          <w:rFonts w:ascii="Times New Roman" w:hAnsi="Times New Roman" w:eastAsia="宋体" w:cs="Times New Roman"/>
          <w:color w:val="000000" w:themeColor="text1"/>
          <w:w w:val="99"/>
          <w:sz w:val="24"/>
          <w:szCs w:val="24"/>
          <w:highlight w:val="none"/>
          <w14:textFill>
            <w14:solidFill>
              <w14:schemeClr w14:val="tx1"/>
            </w14:solidFill>
          </w14:textFill>
        </w:rPr>
        <w:t>等主体功能区划要求，符合当地城市总体规划、土地利用规划等。</w:t>
      </w:r>
    </w:p>
    <w:p>
      <w:pPr>
        <w:spacing w:line="440" w:lineRule="exact"/>
        <w:ind w:firstLine="474" w:firstLineChars="200"/>
        <w:rPr>
          <w:rFonts w:ascii="Times New Roman" w:hAnsi="Times New Roman" w:cs="Times New Roman"/>
          <w:iCs/>
          <w:color w:val="000000" w:themeColor="text1"/>
          <w:w w:val="99"/>
          <w:sz w:val="24"/>
          <w:szCs w:val="24"/>
          <w:highlight w:val="none"/>
          <w:lang w:val="en-US"/>
          <w14:textFill>
            <w14:solidFill>
              <w14:schemeClr w14:val="tx1"/>
            </w14:solidFill>
          </w14:textFill>
        </w:rPr>
      </w:pPr>
      <w:r>
        <w:rPr>
          <w:rFonts w:hint="eastAsia" w:ascii="Times New Roman" w:hAnsi="Times New Roman" w:cs="Times New Roman"/>
          <w:iCs/>
          <w:color w:val="000000" w:themeColor="text1"/>
          <w:w w:val="99"/>
          <w:sz w:val="24"/>
          <w:szCs w:val="24"/>
          <w:highlight w:val="none"/>
          <w:lang w:val="en-US"/>
          <w14:textFill>
            <w14:solidFill>
              <w14:schemeClr w14:val="tx1"/>
            </w14:solidFill>
          </w14:textFill>
        </w:rPr>
        <w:t>同时，本项目满足《黑龙江省人民政府关于实施“三线一单”生态环境分区管控的意见》、《黑龙江省人民政府关于印发黑龙江省打赢蓝天保卫战三年行动计划的通知》（黑政规〔2018〕19号）等政策要求，在石油开采行业管理方面，满足《关于进一步加强石油天然气行业环境影响评价管理的通知》（环办环评函〔2019〕910号）、《黑龙江省重点行业挥发性有机物综合治理行动方案》（黑环发〔2019〕153号）、《石油天然气开采业污染防治技术政策》（环保部公告2012年第18号）等管控要求。</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22" w:name="_Toc5589"/>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9.3 环境质量现状</w:t>
      </w:r>
      <w:bookmarkEnd w:id="222"/>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9.3.1 空气环境质量现状</w:t>
      </w:r>
    </w:p>
    <w:p>
      <w:pPr>
        <w:pStyle w:val="2"/>
        <w:spacing w:beforeLines="0" w:line="440" w:lineRule="exact"/>
        <w:ind w:firstLine="474" w:firstLineChars="200"/>
        <w:jc w:val="both"/>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大庆市生态环境局2021年6月5日公布的《2020年大庆市</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生态</w:t>
      </w:r>
      <w:r>
        <w:rPr>
          <w:rFonts w:ascii="Times New Roman" w:hAnsi="Times New Roman" w:eastAsia="宋体" w:cs="Times New Roman"/>
          <w:color w:val="000000" w:themeColor="text1"/>
          <w:w w:val="99"/>
          <w:sz w:val="24"/>
          <w:szCs w:val="24"/>
          <w:highlight w:val="none"/>
          <w14:textFill>
            <w14:solidFill>
              <w14:schemeClr w14:val="tx1"/>
            </w14:solidFill>
          </w14:textFill>
        </w:rPr>
        <w:t>环境状况公报》，2020年城区环境空气中二氧化硫优于国家一级标准限值；二氧化氮（NO</w:t>
      </w:r>
      <w:r>
        <w:rPr>
          <w:rFonts w:ascii="Times New Roman" w:hAnsi="Times New Roman" w:eastAsia="宋体" w:cs="Times New Roman"/>
          <w:color w:val="000000" w:themeColor="text1"/>
          <w:w w:val="99"/>
          <w:sz w:val="24"/>
          <w:szCs w:val="24"/>
          <w:highlight w:val="none"/>
          <w:vertAlign w:val="subscript"/>
          <w14:textFill>
            <w14:solidFill>
              <w14:schemeClr w14:val="tx1"/>
            </w14:solidFill>
          </w14:textFill>
        </w:rPr>
        <w:t>2</w:t>
      </w:r>
      <w:r>
        <w:rPr>
          <w:rFonts w:ascii="Times New Roman" w:hAnsi="Times New Roman" w:eastAsia="宋体" w:cs="Times New Roman"/>
          <w:color w:val="000000" w:themeColor="text1"/>
          <w:w w:val="99"/>
          <w:sz w:val="24"/>
          <w:szCs w:val="24"/>
          <w:highlight w:val="none"/>
          <w14:textFill>
            <w14:solidFill>
              <w14:schemeClr w14:val="tx1"/>
            </w14:solidFill>
          </w14:textFill>
        </w:rPr>
        <w:t>）优于国家一级标准限值；可吸入颗粒物（PM</w:t>
      </w:r>
      <w:r>
        <w:rPr>
          <w:rFonts w:ascii="Times New Roman" w:hAnsi="Times New Roman" w:eastAsia="宋体" w:cs="Times New Roman"/>
          <w:color w:val="000000" w:themeColor="text1"/>
          <w:w w:val="99"/>
          <w:sz w:val="24"/>
          <w:szCs w:val="24"/>
          <w:highlight w:val="none"/>
          <w:vertAlign w:val="subscript"/>
          <w14:textFill>
            <w14:solidFill>
              <w14:schemeClr w14:val="tx1"/>
            </w14:solidFill>
          </w14:textFill>
        </w:rPr>
        <w:t>10</w:t>
      </w:r>
      <w:r>
        <w:rPr>
          <w:rFonts w:ascii="Times New Roman" w:hAnsi="Times New Roman" w:eastAsia="宋体" w:cs="Times New Roman"/>
          <w:color w:val="000000" w:themeColor="text1"/>
          <w:w w:val="99"/>
          <w:sz w:val="24"/>
          <w:szCs w:val="24"/>
          <w:highlight w:val="none"/>
          <w14:textFill>
            <w14:solidFill>
              <w14:schemeClr w14:val="tx1"/>
            </w14:solidFill>
          </w14:textFill>
        </w:rPr>
        <w:t>）优于国家二级标准限值；细颗粒物（PM</w:t>
      </w:r>
      <w:r>
        <w:rPr>
          <w:rFonts w:ascii="Times New Roman" w:hAnsi="Times New Roman" w:eastAsia="宋体" w:cs="Times New Roman"/>
          <w:color w:val="000000" w:themeColor="text1"/>
          <w:w w:val="99"/>
          <w:sz w:val="24"/>
          <w:szCs w:val="24"/>
          <w:highlight w:val="none"/>
          <w:vertAlign w:val="subscript"/>
          <w14:textFill>
            <w14:solidFill>
              <w14:schemeClr w14:val="tx1"/>
            </w14:solidFill>
          </w14:textFill>
        </w:rPr>
        <w:t>2.5</w:t>
      </w:r>
      <w:r>
        <w:rPr>
          <w:rFonts w:ascii="Times New Roman" w:hAnsi="Times New Roman" w:eastAsia="宋体" w:cs="Times New Roman"/>
          <w:color w:val="000000" w:themeColor="text1"/>
          <w:w w:val="99"/>
          <w:sz w:val="24"/>
          <w:szCs w:val="24"/>
          <w:highlight w:val="none"/>
          <w14:textFill>
            <w14:solidFill>
              <w14:schemeClr w14:val="tx1"/>
            </w14:solidFill>
          </w14:textFill>
        </w:rPr>
        <w:t>）达到国家二级标准限值；一氧化碳（CO）优于国家一级标准限值；臭氧优于国家二级标准限值，环境空气质量状况良好，保持总体稳定。</w:t>
      </w: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t>特征污染物</w:t>
      </w:r>
      <w:r>
        <w:rPr>
          <w:rFonts w:ascii="Times New Roman" w:hAnsi="Times New Roman" w:eastAsia="宋体" w:cs="Times New Roman"/>
          <w:color w:val="000000" w:themeColor="text1"/>
          <w:w w:val="99"/>
          <w:sz w:val="24"/>
          <w:szCs w:val="24"/>
          <w:highlight w:val="none"/>
          <w14:textFill>
            <w14:solidFill>
              <w14:schemeClr w14:val="tx1"/>
            </w14:solidFill>
          </w14:textFill>
        </w:rPr>
        <w:t>非甲烷总烃的评价指数均小于1，满足《大气污染物综合排放标准详解》标准要求。</w:t>
      </w: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t>特征污染物颗粒物</w:t>
      </w:r>
      <w:r>
        <w:rPr>
          <w:rFonts w:ascii="Times New Roman" w:hAnsi="Times New Roman" w:eastAsia="宋体" w:cs="Times New Roman"/>
          <w:color w:val="000000" w:themeColor="text1"/>
          <w:w w:val="99"/>
          <w:sz w:val="24"/>
          <w:szCs w:val="24"/>
          <w:highlight w:val="none"/>
          <w14:textFill>
            <w14:solidFill>
              <w14:schemeClr w14:val="tx1"/>
            </w14:solidFill>
          </w14:textFill>
        </w:rPr>
        <w:t>的评价指数均小于1，</w:t>
      </w: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t>满足</w:t>
      </w:r>
      <w:r>
        <w:rPr>
          <w:rFonts w:ascii="Times New Roman" w:hAnsi="Times New Roman" w:eastAsia="宋体" w:cs="Times New Roman"/>
          <w:color w:val="000000" w:themeColor="text1"/>
          <w:w w:val="99"/>
          <w:sz w:val="24"/>
          <w:szCs w:val="24"/>
          <w:highlight w:val="none"/>
          <w14:textFill>
            <w14:solidFill>
              <w14:schemeClr w14:val="tx1"/>
            </w14:solidFill>
          </w14:textFill>
        </w:rPr>
        <w:t>《大气污染物排放标准》（GB16297-1996）颗粒物无组织排放限值</w:t>
      </w:r>
      <w:r>
        <w:rPr>
          <w:rFonts w:hint="eastAsia" w:eastAsia="宋体"/>
          <w:color w:val="000000" w:themeColor="text1"/>
          <w:w w:val="99"/>
          <w:sz w:val="20"/>
          <w:szCs w:val="20"/>
          <w:highlight w:val="none"/>
          <w:lang w:eastAsia="zh-CN"/>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9.3.2 地表水环境质量现状</w:t>
      </w:r>
    </w:p>
    <w:p>
      <w:pPr>
        <w:spacing w:line="440" w:lineRule="exact"/>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rFonts w:hint="eastAsia" w:ascii="Times New Roman" w:hAnsi="Times New Roman" w:cs="Times New Roman" w:eastAsiaTheme="minorEastAsia"/>
          <w:color w:val="000000" w:themeColor="text1"/>
          <w:w w:val="99"/>
          <w:sz w:val="24"/>
          <w:szCs w:val="24"/>
          <w:highlight w:val="none"/>
          <w:lang w:eastAsia="zh-CN"/>
          <w14:textFill>
            <w14:solidFill>
              <w14:schemeClr w14:val="tx1"/>
            </w14:solidFill>
          </w14:textFill>
        </w:rPr>
        <w:t>监测时段里</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康家围子泡</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COD</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超标</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，其余监测因子均满足《地表水环境质量标准》（GB3838-2002）中的Ⅴ类标准限值要求，根据现场调查可知</w:t>
      </w:r>
      <w:r>
        <w:rPr>
          <w:rFonts w:hint="eastAsia" w:ascii="Times New Roman" w:hAnsi="Times New Roman" w:cs="Times New Roman" w:eastAsiaTheme="minorEastAsia"/>
          <w:color w:val="000000" w:themeColor="text1"/>
          <w:w w:val="99"/>
          <w:sz w:val="24"/>
          <w:szCs w:val="24"/>
          <w:highlight w:val="none"/>
          <w14:textFill>
            <w14:solidFill>
              <w14:schemeClr w14:val="tx1"/>
            </w14:solidFill>
          </w14:textFill>
        </w:rPr>
        <w:t>，地表水体</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超标原因的主要</w:t>
      </w:r>
      <w:r>
        <w:rPr>
          <w:rFonts w:ascii="Times New Roman" w:hAnsi="Times New Roman" w:cs="Times New Roman" w:eastAsiaTheme="minorEastAsia"/>
          <w:color w:val="000000" w:themeColor="text1"/>
          <w:w w:val="99"/>
          <w:sz w:val="24"/>
          <w:szCs w:val="24"/>
          <w:highlight w:val="none"/>
          <w:lang w:val="en-US"/>
          <w14:textFill>
            <w14:solidFill>
              <w14:schemeClr w14:val="tx1"/>
            </w14:solidFill>
          </w14:textFill>
        </w:rPr>
        <w:t>是周边农业活动造成面源污染并随雨水汇入，加之水体封闭、自身净化能力较弱导致</w:t>
      </w:r>
      <w:r>
        <w:rPr>
          <w:rFonts w:ascii="Times New Roman" w:hAnsi="Times New Roman" w:cs="Times New Roman" w:eastAsiaTheme="minorEastAsia"/>
          <w:color w:val="000000" w:themeColor="text1"/>
          <w:w w:val="99"/>
          <w:sz w:val="24"/>
          <w:szCs w:val="24"/>
          <w:highlight w:val="none"/>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9.3.3 地下水环境质量现状</w:t>
      </w:r>
    </w:p>
    <w:p>
      <w:pPr>
        <w:pStyle w:val="2"/>
        <w:spacing w:beforeLines="0" w:line="440" w:lineRule="exact"/>
        <w:ind w:firstLine="474" w:firstLineChars="200"/>
        <w:jc w:val="both"/>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根据地下水环境质量现状计算结果可知，区域地下水质量除</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部分</w:t>
      </w:r>
      <w:r>
        <w:rPr>
          <w:rFonts w:ascii="Times New Roman" w:hAnsi="Times New Roman" w:eastAsia="宋体" w:cs="Times New Roman"/>
          <w:color w:val="000000" w:themeColor="text1"/>
          <w:w w:val="99"/>
          <w:sz w:val="24"/>
          <w:szCs w:val="24"/>
          <w:highlight w:val="none"/>
          <w14:textFill>
            <w14:solidFill>
              <w14:schemeClr w14:val="tx1"/>
            </w14:solidFill>
          </w14:textFill>
        </w:rPr>
        <w:t>监测点锰</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超标</w:t>
      </w:r>
      <w:r>
        <w:rPr>
          <w:rFonts w:ascii="Times New Roman" w:hAnsi="Times New Roman" w:eastAsia="宋体" w:cs="Times New Roman"/>
          <w:color w:val="000000" w:themeColor="text1"/>
          <w:w w:val="99"/>
          <w:sz w:val="24"/>
          <w:szCs w:val="24"/>
          <w:highlight w:val="none"/>
          <w14:textFill>
            <w14:solidFill>
              <w14:schemeClr w14:val="tx1"/>
            </w14:solidFill>
          </w14:textFill>
        </w:rPr>
        <w:t>外均满足《地下水质量标准》（GB/T14848-2017）Ⅲ类标准。本项目特征污染物石油类满足《地表水环境质量标准》（GB3838-2002）Ⅰ类标准</w:t>
      </w: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t>。</w:t>
      </w:r>
    </w:p>
    <w:p>
      <w:pPr>
        <w:pStyle w:val="67"/>
        <w:widowControl w:val="0"/>
        <w:spacing w:line="440" w:lineRule="exact"/>
        <w:ind w:firstLine="473"/>
        <w:rPr>
          <w:rFonts w:ascii="Times New Roman" w:hAnsi="Times New Roman" w:eastAsiaTheme="minorEastAsia"/>
          <w:snapToGrid w:val="0"/>
          <w:color w:val="000000" w:themeColor="text1"/>
          <w:w w:val="99"/>
          <w:highlight w:val="none"/>
          <w14:textFill>
            <w14:solidFill>
              <w14:schemeClr w14:val="tx1"/>
            </w14:solidFill>
          </w14:textFill>
        </w:rPr>
      </w:pPr>
      <w:r>
        <w:rPr>
          <w:rFonts w:ascii="Times New Roman" w:hAnsi="Times New Roman" w:eastAsiaTheme="minorEastAsia"/>
          <w:bCs/>
          <w:color w:val="000000" w:themeColor="text1"/>
          <w:w w:val="99"/>
          <w:kern w:val="21"/>
          <w:szCs w:val="20"/>
          <w:highlight w:val="none"/>
          <w14:textFill>
            <w14:solidFill>
              <w14:schemeClr w14:val="tx1"/>
            </w14:solidFill>
          </w14:textFill>
        </w:rPr>
        <w:t>评价区域内包气带中汞、砷均未检出，且污染控制点与清洁对照点油田特征污染物石油类、挥发酚所测数值相差不大，评价区域内包气带未被污染。</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9.3.4 声环境质量现状</w:t>
      </w:r>
    </w:p>
    <w:p>
      <w:pPr>
        <w:keepNext w:val="0"/>
        <w:keepLines w:val="0"/>
        <w:pageBreakBefore w:val="0"/>
        <w:widowControl/>
        <w:suppressLineNumbers w:val="0"/>
        <w:kinsoku/>
        <w:wordWrap/>
        <w:overflowPunct/>
        <w:topLinePunct w:val="0"/>
        <w:autoSpaceDE w:val="0"/>
        <w:autoSpaceDN w:val="0"/>
        <w:bidi w:val="0"/>
        <w:adjustRightInd/>
        <w:snapToGrid/>
        <w:spacing w:line="440" w:lineRule="exact"/>
        <w:ind w:firstLine="474" w:firstLineChars="200"/>
        <w:jc w:val="both"/>
        <w:textAlignment w:val="auto"/>
        <w:rPr>
          <w:rFonts w:ascii="Times New Roman" w:hAnsi="Times New Roman" w:eastAsia="宋体" w:cs="Times New Roman"/>
          <w:color w:val="000000" w:themeColor="text1"/>
          <w:w w:val="99"/>
          <w:sz w:val="24"/>
          <w:szCs w:val="24"/>
          <w:highlight w:val="none"/>
          <w:lang w:val="zh-CN" w:eastAsia="zh-CN" w:bidi="zh-CN"/>
          <w14:textFill>
            <w14:solidFill>
              <w14:schemeClr w14:val="tx1"/>
            </w14:solidFill>
          </w14:textFill>
        </w:rPr>
      </w:pP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项目区评价范围内各监测点昼间及夜间等效连续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A </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声级均无超标现象，达标率 </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100%</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，本项目区域声环境质量满足《工业企业厂界环境噪声排放标准》（</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GB12348- 2008</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w:t>
      </w:r>
      <w:r>
        <w:rPr>
          <w:rFonts w:hint="default"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2 </w:t>
      </w:r>
      <w:r>
        <w:rPr>
          <w:rFonts w:hint="eastAsia" w:ascii="Times New Roman" w:hAnsi="Times New Roman" w:eastAsia="宋体" w:cs="Times New Roman"/>
          <w:color w:val="000000" w:themeColor="text1"/>
          <w:w w:val="99"/>
          <w:sz w:val="24"/>
          <w:szCs w:val="24"/>
          <w:highlight w:val="none"/>
          <w:lang w:val="en-US" w:eastAsia="zh-CN" w:bidi="zh-CN"/>
          <w14:textFill>
            <w14:solidFill>
              <w14:schemeClr w14:val="tx1"/>
            </w14:solidFill>
          </w14:textFill>
        </w:rPr>
        <w:t xml:space="preserve">类标准限值要求。 </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9.3.5 土壤环境质量现状</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评价区域内拟建区块处土壤环境质量较好，没有出现超标情况。根据土壤环境质量标准的划分原则，评价区域内的建设用地中各项目指标能够满足《土壤环境质量建设用地土壤污染风险管控标准（试行）（GB36600-2018）标准限值，占地范围外满足《土壤环境质量农用地土壤污染风险管控标准（试行）》（GB15618-2018）标准限值。因此该区域土壤环境质量状况良好。</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9.3.6 生态环境现状</w:t>
      </w:r>
    </w:p>
    <w:p>
      <w:pPr>
        <w:pStyle w:val="90"/>
        <w:widowControl w:val="0"/>
        <w:spacing w:line="440" w:lineRule="exact"/>
        <w:ind w:firstLine="473"/>
        <w:rPr>
          <w:rFonts w:hint="eastAsia" w:ascii="Times New Roman" w:hAnsi="Times New Roman" w:cs="Times New Roman" w:eastAsiaTheme="minorEastAsia"/>
          <w:color w:val="000000" w:themeColor="text1"/>
          <w:w w:val="99"/>
          <w:highlight w:val="none"/>
          <w14:textFill>
            <w14:solidFill>
              <w14:schemeClr w14:val="tx1"/>
            </w14:solidFill>
          </w14:textFill>
        </w:rPr>
      </w:pPr>
      <w:bookmarkStart w:id="223" w:name="_Toc6506"/>
      <w:r>
        <w:rPr>
          <w:rFonts w:ascii="Times New Roman" w:hAnsi="Times New Roman" w:cs="Times New Roman" w:eastAsiaTheme="minorEastAsia"/>
          <w:color w:val="000000" w:themeColor="text1"/>
          <w:w w:val="99"/>
          <w:highlight w:val="none"/>
          <w14:textFill>
            <w14:solidFill>
              <w14:schemeClr w14:val="tx1"/>
            </w14:solidFill>
          </w14:textFill>
        </w:rPr>
        <w:t>该项目所在地区已开发多年，做为油田开发的老区，自然生态系统现状为草地兼有耕地和林地生态系统，属于人工制造的生态系统，具有季节性。且由于油田施工作业对生态环境采取了较多的环境措施，目前油田作业对生态系统影响较小。</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9.4 主要环境影响</w:t>
      </w:r>
      <w:bookmarkEnd w:id="223"/>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9.4.1 空气环境影响评价</w:t>
      </w:r>
    </w:p>
    <w:p>
      <w:pPr>
        <w:widowControl w:val="0"/>
        <w:spacing w:line="440" w:lineRule="exact"/>
        <w:ind w:firstLine="434" w:firstLineChars="200"/>
        <w:jc w:val="both"/>
        <w:rPr>
          <w:rFonts w:ascii="Times New Roman" w:hAnsi="Times New Roman" w:cs="Times New Roman" w:eastAsiaTheme="minorEastAsia"/>
          <w:color w:val="000000" w:themeColor="text1"/>
          <w:w w:val="99"/>
          <w:kern w:val="21"/>
          <w:highlight w:val="none"/>
          <w14:textFill>
            <w14:solidFill>
              <w14:schemeClr w14:val="tx1"/>
            </w14:solidFill>
          </w14:textFill>
        </w:rPr>
      </w:pPr>
      <w:r>
        <w:rPr>
          <w:rFonts w:ascii="Times New Roman" w:hAnsi="Times New Roman" w:cs="Times New Roman" w:eastAsiaTheme="minorEastAsia"/>
          <w:color w:val="000000" w:themeColor="text1"/>
          <w:w w:val="99"/>
          <w:kern w:val="21"/>
          <w:highlight w:val="none"/>
          <w14:textFill>
            <w14:solidFill>
              <w14:schemeClr w14:val="tx1"/>
            </w14:solidFill>
          </w14:textFill>
        </w:rPr>
        <w:t>施工期排放的废气主要是扬尘，通过采取相应的控制措施，施工场界扬尘浓度能够满足</w:t>
      </w:r>
      <w:r>
        <w:rPr>
          <w:rFonts w:ascii="Times New Roman" w:hAnsi="Times New Roman" w:cs="Times New Roman" w:eastAsiaTheme="minorEastAsia"/>
          <w:bCs/>
          <w:color w:val="000000" w:themeColor="text1"/>
          <w:w w:val="99"/>
          <w:kern w:val="21"/>
          <w:highlight w:val="none"/>
          <w14:textFill>
            <w14:solidFill>
              <w14:schemeClr w14:val="tx1"/>
            </w14:solidFill>
          </w14:textFill>
        </w:rPr>
        <w:t>《大气污染物综合排放标准》（GB 16297-1996）</w:t>
      </w:r>
      <w:r>
        <w:rPr>
          <w:rFonts w:hint="eastAsia" w:ascii="Times New Roman" w:hAnsi="Times New Roman" w:cs="Times New Roman" w:eastAsiaTheme="minorEastAsia"/>
          <w:bCs/>
          <w:color w:val="000000" w:themeColor="text1"/>
          <w:w w:val="99"/>
          <w:kern w:val="21"/>
          <w:highlight w:val="none"/>
          <w14:textFill>
            <w14:solidFill>
              <w14:schemeClr w14:val="tx1"/>
            </w14:solidFill>
          </w14:textFill>
        </w:rPr>
        <w:t>表2</w:t>
      </w:r>
      <w:r>
        <w:rPr>
          <w:rFonts w:ascii="Times New Roman" w:hAnsi="Times New Roman" w:cs="Times New Roman" w:eastAsiaTheme="minorEastAsia"/>
          <w:bCs/>
          <w:color w:val="000000" w:themeColor="text1"/>
          <w:w w:val="99"/>
          <w:kern w:val="21"/>
          <w:highlight w:val="none"/>
          <w14:textFill>
            <w14:solidFill>
              <w14:schemeClr w14:val="tx1"/>
            </w14:solidFill>
          </w14:textFill>
        </w:rPr>
        <w:t>中</w:t>
      </w:r>
      <w:r>
        <w:rPr>
          <w:rFonts w:ascii="Times New Roman" w:hAnsi="Times New Roman" w:cs="Times New Roman" w:eastAsiaTheme="minorEastAsia"/>
          <w:bCs/>
          <w:color w:val="000000" w:themeColor="text1"/>
          <w:w w:val="99"/>
          <w:kern w:val="21"/>
          <w:highlight w:val="none"/>
          <w:lang w:bidi="zh-CN"/>
          <w14:textFill>
            <w14:solidFill>
              <w14:schemeClr w14:val="tx1"/>
            </w14:solidFill>
          </w14:textFill>
        </w:rPr>
        <w:t>无组织排放监控浓度限值</w:t>
      </w:r>
      <w:r>
        <w:rPr>
          <w:rFonts w:ascii="Times New Roman" w:hAnsi="Times New Roman" w:cs="Times New Roman" w:eastAsiaTheme="minorEastAsia"/>
          <w:color w:val="000000" w:themeColor="text1"/>
          <w:w w:val="99"/>
          <w:kern w:val="21"/>
          <w:highlight w:val="none"/>
          <w14:textFill>
            <w14:solidFill>
              <w14:schemeClr w14:val="tx1"/>
            </w14:solidFill>
          </w14:textFill>
        </w:rPr>
        <w:t>，对区域空气环境及环保目标的影响较小。</w:t>
      </w:r>
    </w:p>
    <w:p>
      <w:pPr>
        <w:pStyle w:val="11"/>
        <w:keepNext w:val="0"/>
        <w:keepLines w:val="0"/>
        <w:pageBreakBefore w:val="0"/>
        <w:widowControl w:val="0"/>
        <w:kinsoku/>
        <w:wordWrap/>
        <w:overflowPunct/>
        <w:topLinePunct w:val="0"/>
        <w:autoSpaceDE w:val="0"/>
        <w:autoSpaceDN w:val="0"/>
        <w:bidi w:val="0"/>
        <w:adjustRightInd/>
        <w:snapToGrid/>
        <w:spacing w:line="440" w:lineRule="exact"/>
        <w:ind w:firstLine="434" w:firstLineChars="200"/>
        <w:jc w:val="both"/>
        <w:textAlignment w:val="auto"/>
        <w:rPr>
          <w:rFonts w:hint="eastAsia"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pPr>
      <w:r>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本工程无组织挥发对大气的影响主要为非甲烷总烃对大气的影响，通过估算模式的计算结果可知，本项目</w:t>
      </w:r>
      <w:r>
        <w:rPr>
          <w:rFonts w:hint="eastAsia"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井场</w:t>
      </w:r>
      <w:r>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面源排放的主要污染物非甲烷总烃最大落地距离</w:t>
      </w:r>
      <w:r>
        <w:rPr>
          <w:rFonts w:hint="eastAsia" w:ascii="Times New Roman" w:hAnsi="Times New Roman" w:cs="Times New Roman" w:eastAsiaTheme="minorEastAsia"/>
          <w:color w:val="000000" w:themeColor="text1"/>
          <w:w w:val="99"/>
          <w:kern w:val="21"/>
          <w:sz w:val="22"/>
          <w:szCs w:val="22"/>
          <w:highlight w:val="none"/>
          <w:lang w:val="en-US" w:eastAsia="zh-CN" w:bidi="zh-CN"/>
          <w14:textFill>
            <w14:solidFill>
              <w14:schemeClr w14:val="tx1"/>
            </w14:solidFill>
          </w14:textFill>
        </w:rPr>
        <w:t>57</w:t>
      </w:r>
      <w:r>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m，最大地面浓度为</w:t>
      </w:r>
      <w:r>
        <w:rPr>
          <w:rFonts w:ascii="Times New Roman" w:hAnsi="Times New Roman" w:cs="Times New Roman" w:eastAsiaTheme="minorEastAsia"/>
          <w:color w:val="000000" w:themeColor="text1"/>
          <w:w w:val="99"/>
          <w:kern w:val="21"/>
          <w:sz w:val="22"/>
          <w:szCs w:val="22"/>
          <w:highlight w:val="none"/>
          <w:lang w:val="en-US" w:eastAsia="zh-CN" w:bidi="zh-CN"/>
          <w14:textFill>
            <w14:solidFill>
              <w14:schemeClr w14:val="tx1"/>
            </w14:solidFill>
          </w14:textFill>
        </w:rPr>
        <w:t>0.</w:t>
      </w:r>
      <w:r>
        <w:rPr>
          <w:rFonts w:hint="eastAsia" w:ascii="Times New Roman" w:hAnsi="Times New Roman" w:cs="Times New Roman" w:eastAsiaTheme="minorEastAsia"/>
          <w:color w:val="000000" w:themeColor="text1"/>
          <w:w w:val="99"/>
          <w:kern w:val="21"/>
          <w:sz w:val="22"/>
          <w:szCs w:val="22"/>
          <w:highlight w:val="none"/>
          <w:lang w:val="en-US" w:eastAsia="zh-CN" w:bidi="zh-CN"/>
          <w14:textFill>
            <w14:solidFill>
              <w14:schemeClr w14:val="tx1"/>
            </w14:solidFill>
          </w14:textFill>
        </w:rPr>
        <w:t>29</w:t>
      </w:r>
      <w:r>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mg/m</w:t>
      </w:r>
      <w:r>
        <w:rPr>
          <w:rFonts w:ascii="Times New Roman" w:hAnsi="Times New Roman" w:cs="Times New Roman" w:eastAsiaTheme="minorEastAsia"/>
          <w:color w:val="000000" w:themeColor="text1"/>
          <w:w w:val="99"/>
          <w:kern w:val="21"/>
          <w:sz w:val="22"/>
          <w:szCs w:val="22"/>
          <w:highlight w:val="none"/>
          <w:vertAlign w:val="superscript"/>
          <w:lang w:val="zh-CN" w:eastAsia="zh-CN" w:bidi="zh-CN"/>
          <w14:textFill>
            <w14:solidFill>
              <w14:schemeClr w14:val="tx1"/>
            </w14:solidFill>
          </w14:textFill>
        </w:rPr>
        <w:t>3</w:t>
      </w:r>
      <w:r>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，能够满足</w:t>
      </w:r>
      <w:r>
        <w:rPr>
          <w:rFonts w:hint="eastAsia"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执行《陆上石油天然气开采工业大气污染物排放标准》（GB39728 -2020）</w:t>
      </w:r>
      <w:r>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中标准</w:t>
      </w:r>
      <w:r>
        <w:rPr>
          <w:rFonts w:hint="eastAsia"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限</w:t>
      </w:r>
      <w:r>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值</w:t>
      </w:r>
      <w:r>
        <w:rPr>
          <w:rFonts w:hint="eastAsia"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要求</w:t>
      </w:r>
      <w:r>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4.0mg/m</w:t>
      </w:r>
      <w:r>
        <w:rPr>
          <w:rFonts w:ascii="Times New Roman" w:hAnsi="Times New Roman" w:cs="Times New Roman" w:eastAsiaTheme="minorEastAsia"/>
          <w:color w:val="000000" w:themeColor="text1"/>
          <w:w w:val="99"/>
          <w:kern w:val="21"/>
          <w:sz w:val="22"/>
          <w:szCs w:val="22"/>
          <w:highlight w:val="none"/>
          <w:vertAlign w:val="superscript"/>
          <w:lang w:val="zh-CN" w:eastAsia="zh-CN" w:bidi="zh-CN"/>
          <w14:textFill>
            <w14:solidFill>
              <w14:schemeClr w14:val="tx1"/>
            </w14:solidFill>
          </w14:textFill>
        </w:rPr>
        <w:t>3</w:t>
      </w:r>
      <w:r>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，对周围大气环境</w:t>
      </w:r>
      <w:r>
        <w:rPr>
          <w:rFonts w:hint="eastAsia"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影响不大</w:t>
      </w:r>
      <w:r>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snapToGrid/>
        <w:spacing w:beforeLines="0" w:line="440" w:lineRule="exact"/>
        <w:ind w:firstLine="434" w:firstLineChars="200"/>
        <w:jc w:val="both"/>
        <w:textAlignment w:val="auto"/>
        <w:rPr>
          <w:rFonts w:ascii="Times New Roman" w:hAnsi="Times New Roman" w:cs="Times New Roman" w:eastAsiaTheme="minorEastAsia"/>
          <w:color w:val="000000" w:themeColor="text1"/>
          <w:w w:val="99"/>
          <w:kern w:val="21"/>
          <w:sz w:val="22"/>
          <w:szCs w:val="22"/>
          <w:highlight w:val="none"/>
          <w:lang w:val="zh-CN" w:eastAsia="zh-CN" w:bidi="zh-CN"/>
          <w14:textFill>
            <w14:solidFill>
              <w14:schemeClr w14:val="tx1"/>
            </w14:solidFill>
          </w14:textFill>
        </w:rPr>
      </w:pP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9.4.2 水环境影响评价</w:t>
      </w:r>
    </w:p>
    <w:p>
      <w:pPr>
        <w:spacing w:line="440" w:lineRule="exact"/>
        <w:ind w:firstLine="434" w:firstLineChars="200"/>
        <w:jc w:val="both"/>
        <w:rPr>
          <w:rFonts w:ascii="Times New Roman" w:hAnsi="Times New Roman" w:cs="Times New Roman" w:eastAsiaTheme="minorEastAsia"/>
          <w:color w:val="000000" w:themeColor="text1"/>
          <w:w w:val="99"/>
          <w:kern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1"/>
          <w:highlight w:val="none"/>
          <w:lang w:eastAsia="zh-CN"/>
          <w14:textFill>
            <w14:solidFill>
              <w14:schemeClr w14:val="tx1"/>
            </w14:solidFill>
          </w14:textFill>
        </w:rPr>
        <w:t>本</w:t>
      </w:r>
      <w:r>
        <w:rPr>
          <w:rFonts w:ascii="Times New Roman" w:hAnsi="Times New Roman" w:cs="Times New Roman" w:eastAsiaTheme="minorEastAsia"/>
          <w:color w:val="000000" w:themeColor="text1"/>
          <w:w w:val="99"/>
          <w:kern w:val="21"/>
          <w:highlight w:val="none"/>
          <w14:textFill>
            <w14:solidFill>
              <w14:schemeClr w14:val="tx1"/>
            </w14:solidFill>
          </w14:textFill>
        </w:rPr>
        <w:t>项目的开发建设在施工期及正常生产情况下，由于采取了较为完善的环境保护措施，对地表水</w:t>
      </w:r>
      <w:r>
        <w:rPr>
          <w:rFonts w:hint="eastAsia" w:ascii="Times New Roman" w:hAnsi="Times New Roman" w:cs="Times New Roman" w:eastAsiaTheme="minorEastAsia"/>
          <w:color w:val="000000" w:themeColor="text1"/>
          <w:w w:val="99"/>
          <w:kern w:val="21"/>
          <w:highlight w:val="none"/>
          <w:lang w:eastAsia="zh-CN"/>
          <w14:textFill>
            <w14:solidFill>
              <w14:schemeClr w14:val="tx1"/>
            </w14:solidFill>
          </w14:textFill>
        </w:rPr>
        <w:t>康家围子</w:t>
      </w:r>
      <w:r>
        <w:rPr>
          <w:rFonts w:ascii="Times New Roman" w:hAnsi="Times New Roman" w:cs="Times New Roman" w:eastAsiaTheme="minorEastAsia"/>
          <w:color w:val="000000" w:themeColor="text1"/>
          <w:w w:val="99"/>
          <w:kern w:val="21"/>
          <w:highlight w:val="none"/>
          <w14:textFill>
            <w14:solidFill>
              <w14:schemeClr w14:val="tx1"/>
            </w14:solidFill>
          </w14:textFill>
        </w:rPr>
        <w:t>泡产生影响的可能性较小。但在事故状态下，尤期是发生集输管线泄漏的情况下，若发现或处理不及时会对地表水环境产生一定影响，建议对地表水附近的现有油水井设置围堰，控制事故情况下影响范围，加强检测、巡检巡视，及时发现问题及时处理，尽量避免事故的发生，降低事故发生后对环境的影响程度和范围。</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9.4.3 地</w:t>
      </w:r>
      <w:r>
        <w:rPr>
          <w:rFonts w:hint="eastAsia" w:ascii="Times New Roman" w:hAnsi="Times New Roman" w:cs="Times New Roman" w:eastAsiaTheme="minorEastAsia"/>
          <w:b/>
          <w:color w:val="000000" w:themeColor="text1"/>
          <w:w w:val="99"/>
          <w:kern w:val="2"/>
          <w:sz w:val="24"/>
          <w:szCs w:val="24"/>
          <w:highlight w:val="none"/>
          <w:lang w:val="en-US" w:eastAsia="zh-CN" w:bidi="ar-SA"/>
          <w14:textFill>
            <w14:solidFill>
              <w14:schemeClr w14:val="tx1"/>
            </w14:solidFill>
          </w14:textFill>
        </w:rPr>
        <w:t>下</w:t>
      </w: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水环境影响评价</w:t>
      </w:r>
    </w:p>
    <w:p>
      <w:pPr>
        <w:spacing w:line="440" w:lineRule="exact"/>
        <w:ind w:firstLine="434" w:firstLineChars="200"/>
        <w:jc w:val="both"/>
        <w:rPr>
          <w:rFonts w:ascii="Times New Roman" w:hAnsi="Times New Roman" w:cs="Times New Roman" w:eastAsiaTheme="minorEastAsia"/>
          <w:color w:val="000000" w:themeColor="text1"/>
          <w:w w:val="99"/>
          <w:kern w:val="21"/>
          <w:highlight w:val="none"/>
          <w14:textFill>
            <w14:solidFill>
              <w14:schemeClr w14:val="tx1"/>
            </w14:solidFill>
          </w14:textFill>
        </w:rPr>
      </w:pPr>
      <w:r>
        <w:rPr>
          <w:rFonts w:ascii="Times New Roman" w:hAnsi="Times New Roman" w:cs="Times New Roman" w:eastAsiaTheme="minorEastAsia"/>
          <w:color w:val="000000" w:themeColor="text1"/>
          <w:w w:val="99"/>
          <w:kern w:val="21"/>
          <w:highlight w:val="none"/>
          <w14:textFill>
            <w14:solidFill>
              <w14:schemeClr w14:val="tx1"/>
            </w14:solidFill>
          </w14:textFill>
        </w:rPr>
        <w:t>本工程所在区域含水层主要有第四系孔隙潜水含水层和承压水含水层，各层均蕴藏着丰富的地下水资源。本工程正常且各项环境保护措施落实到位情况下对地下水环境无影响。但在非正常工况和事故状态下有可能对地下水环境造成影响，在各项地下水污染防控措施及应急措施落实到位的情况下，地下水环境影响可接受。</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9.4.4 声环境影响评价</w:t>
      </w:r>
    </w:p>
    <w:p>
      <w:pPr>
        <w:spacing w:line="440" w:lineRule="exact"/>
        <w:ind w:firstLine="434" w:firstLineChars="200"/>
        <w:jc w:val="both"/>
        <w:rPr>
          <w:rFonts w:hint="eastAsia" w:ascii="Times New Roman" w:hAnsi="Times New Roman" w:cs="Times New Roman" w:eastAsiaTheme="minorEastAsia"/>
          <w:color w:val="000000" w:themeColor="text1"/>
          <w:w w:val="99"/>
          <w:kern w:val="21"/>
          <w:highlight w:val="none"/>
          <w:lang w:eastAsia="zh-CN"/>
          <w14:textFill>
            <w14:solidFill>
              <w14:schemeClr w14:val="tx1"/>
            </w14:solidFill>
          </w14:textFill>
        </w:rPr>
      </w:pPr>
      <w:r>
        <w:rPr>
          <w:rFonts w:ascii="Times New Roman" w:hAnsi="Times New Roman" w:cs="Times New Roman" w:eastAsiaTheme="minorEastAsia"/>
          <w:color w:val="000000" w:themeColor="text1"/>
          <w:w w:val="99"/>
          <w:kern w:val="21"/>
          <w:highlight w:val="none"/>
          <w14:textFill>
            <w14:solidFill>
              <w14:schemeClr w14:val="tx1"/>
            </w14:solidFill>
          </w14:textFill>
        </w:rPr>
        <w:t>在采取选用低噪声设备，采用减振、消音、隔声等降噪措施，注意对设备的维护保养适当的降噪措施后，本工程施工期场界噪声满足《建筑施工场界环境噪声排放标准》（GB12523-2011）要求</w:t>
      </w:r>
      <w:r>
        <w:rPr>
          <w:rFonts w:hint="eastAsia" w:ascii="Times New Roman" w:hAnsi="Times New Roman" w:cs="Times New Roman" w:eastAsiaTheme="minorEastAsia"/>
          <w:color w:val="000000" w:themeColor="text1"/>
          <w:w w:val="99"/>
          <w:kern w:val="21"/>
          <w:highlight w:val="none"/>
          <w:lang w:eastAsia="zh-CN"/>
          <w14:textFill>
            <w14:solidFill>
              <w14:schemeClr w14:val="tx1"/>
            </w14:solidFill>
          </w14:textFill>
        </w:rPr>
        <w:t>；</w:t>
      </w:r>
    </w:p>
    <w:p>
      <w:pPr>
        <w:spacing w:line="440" w:lineRule="exact"/>
        <w:ind w:firstLine="434" w:firstLineChars="200"/>
        <w:jc w:val="both"/>
        <w:rPr>
          <w:rFonts w:ascii="Times New Roman" w:hAnsi="Times New Roman" w:cs="Times New Roman" w:eastAsiaTheme="minorEastAsia"/>
          <w:color w:val="000000" w:themeColor="text1"/>
          <w:w w:val="99"/>
          <w:kern w:val="21"/>
          <w:highlight w:val="none"/>
          <w14:textFill>
            <w14:solidFill>
              <w14:schemeClr w14:val="tx1"/>
            </w14:solidFill>
          </w14:textFill>
        </w:rPr>
      </w:pPr>
      <w:r>
        <w:rPr>
          <w:rFonts w:ascii="Times New Roman" w:hAnsi="Times New Roman" w:cs="Times New Roman" w:eastAsiaTheme="minorEastAsia"/>
          <w:color w:val="000000" w:themeColor="text1"/>
          <w:w w:val="99"/>
          <w:kern w:val="21"/>
          <w:highlight w:val="none"/>
          <w14:textFill>
            <w14:solidFill>
              <w14:schemeClr w14:val="tx1"/>
            </w14:solidFill>
          </w14:textFill>
        </w:rPr>
        <w:t>运行期井场噪声满足《工业企业厂界环境噪声排放标准》（GB12348-2008）2类标准要求，对周围环境及环保目标影响很小。</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9.4.5 固体废弃物环境影响分析</w:t>
      </w:r>
    </w:p>
    <w:p>
      <w:pPr>
        <w:widowControl w:val="0"/>
        <w:spacing w:line="440" w:lineRule="exact"/>
        <w:ind w:firstLine="434" w:firstLineChars="200"/>
        <w:jc w:val="both"/>
        <w:rPr>
          <w:rFonts w:ascii="Times New Roman" w:hAnsi="Times New Roman" w:cs="Times New Roman" w:eastAsiaTheme="minorEastAsia"/>
          <w:color w:val="000000" w:themeColor="text1"/>
          <w:w w:val="99"/>
          <w:kern w:val="21"/>
          <w:highlight w:val="none"/>
          <w14:textFill>
            <w14:solidFill>
              <w14:schemeClr w14:val="tx1"/>
            </w14:solidFill>
          </w14:textFill>
        </w:rPr>
      </w:pPr>
      <w:bookmarkStart w:id="224" w:name="_Hlk530469360"/>
      <w:r>
        <w:rPr>
          <w:rFonts w:ascii="Times New Roman" w:hAnsi="Times New Roman" w:cs="Times New Roman" w:eastAsiaTheme="minorEastAsia"/>
          <w:color w:val="000000" w:themeColor="text1"/>
          <w:w w:val="99"/>
          <w:kern w:val="21"/>
          <w:highlight w:val="none"/>
          <w14:textFill>
            <w14:solidFill>
              <w14:schemeClr w14:val="tx1"/>
            </w14:solidFill>
          </w14:textFill>
        </w:rPr>
        <w:t>本工程产生的固体废弃物主要有废作业防渗布、含油污泥、落地油、施工废料、生活垃圾。产生量少，并且采取了合理的废物回收、处置方案。</w:t>
      </w:r>
    </w:p>
    <w:p>
      <w:pPr>
        <w:widowControl w:val="0"/>
        <w:spacing w:line="440" w:lineRule="exact"/>
        <w:ind w:firstLine="434" w:firstLineChars="200"/>
        <w:jc w:val="both"/>
        <w:rPr>
          <w:rFonts w:ascii="Times New Roman" w:hAnsi="Times New Roman" w:cs="Times New Roman" w:eastAsiaTheme="minorEastAsia"/>
          <w:color w:val="000000" w:themeColor="text1"/>
          <w:w w:val="99"/>
          <w:kern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1"/>
          <w:highlight w:val="none"/>
          <w:lang w:eastAsia="zh-CN"/>
          <w14:textFill>
            <w14:solidFill>
              <w14:schemeClr w14:val="tx1"/>
            </w14:solidFill>
          </w14:textFill>
        </w:rPr>
        <w:t>施工期</w:t>
      </w:r>
      <w:r>
        <w:rPr>
          <w:rFonts w:ascii="Times New Roman" w:hAnsi="Times New Roman" w:cs="Times New Roman" w:eastAsiaTheme="minorEastAsia"/>
          <w:color w:val="000000" w:themeColor="text1"/>
          <w:w w:val="99"/>
          <w:kern w:val="21"/>
          <w:highlight w:val="none"/>
          <w14:textFill>
            <w14:solidFill>
              <w14:schemeClr w14:val="tx1"/>
            </w14:solidFill>
          </w14:textFill>
        </w:rPr>
        <w:t>施工废料拉运至第</w:t>
      </w:r>
      <w:r>
        <w:rPr>
          <w:rFonts w:hint="eastAsia" w:ascii="Times New Roman" w:hAnsi="Times New Roman" w:cs="Times New Roman" w:eastAsiaTheme="minorEastAsia"/>
          <w:color w:val="000000" w:themeColor="text1"/>
          <w:w w:val="99"/>
          <w:kern w:val="21"/>
          <w:highlight w:val="none"/>
          <w:lang w:eastAsia="zh-CN"/>
          <w14:textFill>
            <w14:solidFill>
              <w14:schemeClr w14:val="tx1"/>
            </w14:solidFill>
          </w14:textFill>
        </w:rPr>
        <w:t>七</w:t>
      </w:r>
      <w:r>
        <w:rPr>
          <w:rFonts w:ascii="Times New Roman" w:hAnsi="Times New Roman" w:cs="Times New Roman" w:eastAsiaTheme="minorEastAsia"/>
          <w:color w:val="000000" w:themeColor="text1"/>
          <w:w w:val="99"/>
          <w:kern w:val="21"/>
          <w:highlight w:val="none"/>
          <w14:textFill>
            <w14:solidFill>
              <w14:schemeClr w14:val="tx1"/>
            </w14:solidFill>
          </w14:textFill>
        </w:rPr>
        <w:t>采油厂工业固废填埋场处理；生活垃圾统一收集后运至大庆市生活垃圾综合处理厂处理；</w:t>
      </w:r>
    </w:p>
    <w:p>
      <w:pPr>
        <w:widowControl w:val="0"/>
        <w:spacing w:line="440" w:lineRule="exact"/>
        <w:ind w:firstLine="434" w:firstLineChars="200"/>
        <w:jc w:val="both"/>
        <w:rPr>
          <w:rFonts w:ascii="Times New Roman" w:hAnsi="Times New Roman" w:cs="Times New Roman" w:eastAsiaTheme="minorEastAsia"/>
          <w:color w:val="000000" w:themeColor="text1"/>
          <w:w w:val="99"/>
          <w:kern w:val="21"/>
          <w:highlight w:val="none"/>
          <w14:textFill>
            <w14:solidFill>
              <w14:schemeClr w14:val="tx1"/>
            </w14:solidFill>
          </w14:textFill>
        </w:rPr>
      </w:pPr>
      <w:r>
        <w:rPr>
          <w:rFonts w:hint="eastAsia" w:ascii="Times New Roman" w:hAnsi="Times New Roman" w:cs="Times New Roman" w:eastAsiaTheme="minorEastAsia"/>
          <w:color w:val="000000" w:themeColor="text1"/>
          <w:w w:val="99"/>
          <w:kern w:val="21"/>
          <w:highlight w:val="none"/>
          <w:lang w:eastAsia="zh-CN"/>
          <w14:textFill>
            <w14:solidFill>
              <w14:schemeClr w14:val="tx1"/>
            </w14:solidFill>
          </w14:textFill>
        </w:rPr>
        <w:t>运营期</w:t>
      </w:r>
      <w:r>
        <w:rPr>
          <w:rFonts w:ascii="Times New Roman" w:hAnsi="Times New Roman" w:cs="Times New Roman" w:eastAsiaTheme="minorEastAsia"/>
          <w:color w:val="000000" w:themeColor="text1"/>
          <w:w w:val="99"/>
          <w:kern w:val="21"/>
          <w:highlight w:val="none"/>
          <w14:textFill>
            <w14:solidFill>
              <w14:schemeClr w14:val="tx1"/>
            </w14:solidFill>
          </w14:textFill>
        </w:rPr>
        <w:t>含油污泥和落地油送</w:t>
      </w:r>
      <w:r>
        <w:rPr>
          <w:rFonts w:hint="eastAsia" w:ascii="Times New Roman" w:hAnsi="Times New Roman" w:cs="Times New Roman" w:eastAsiaTheme="minorEastAsia"/>
          <w:color w:val="000000" w:themeColor="text1"/>
          <w:w w:val="99"/>
          <w:kern w:val="21"/>
          <w:highlight w:val="none"/>
          <w:lang w:eastAsia="zh-CN"/>
          <w14:textFill>
            <w14:solidFill>
              <w14:schemeClr w14:val="tx1"/>
            </w14:solidFill>
          </w14:textFill>
        </w:rPr>
        <w:t>葡萄花</w:t>
      </w:r>
      <w:r>
        <w:rPr>
          <w:rFonts w:ascii="Times New Roman" w:hAnsi="Times New Roman" w:cs="Times New Roman" w:eastAsiaTheme="minorEastAsia"/>
          <w:color w:val="000000" w:themeColor="text1"/>
          <w:w w:val="99"/>
          <w:kern w:val="21"/>
          <w:highlight w:val="none"/>
          <w14:textFill>
            <w14:solidFill>
              <w14:schemeClr w14:val="tx1"/>
            </w14:solidFill>
          </w14:textFill>
        </w:rPr>
        <w:t>含油污泥处理站处理；废作业防渗布统一送有资质单位处理；建设单位应加强对危险废物转移和处置的管理，在转运过程中执行转运联单制。</w:t>
      </w:r>
    </w:p>
    <w:bookmarkEnd w:id="224"/>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9.4.6 生态环境影响评价</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项目的管道和道路建设对土地的侵占，对植被的破坏，将使油田开发区内的第一生产者的生物量有一定程度的下降。通过选择适当时机施工，并在建设过程中采取必要的生态保护措施，可最大程度减小该项目建设对生态环境的不利影响，使生态环境在尽可能短的时间内得到恢复。</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9.4.7 土壤环境影响评价</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本项目所在地土壤环境现状较好，根据土壤环境影响分析结果，本项目对土壤环境的影响较小。</w:t>
      </w:r>
    </w:p>
    <w:p>
      <w:pPr>
        <w:pStyle w:val="7"/>
        <w:keepNext w:val="0"/>
        <w:keepLines w:val="0"/>
        <w:pageBreakBefore w:val="0"/>
        <w:widowControl w:val="0"/>
        <w:kinsoku/>
        <w:wordWrap/>
        <w:overflowPunct/>
        <w:topLinePunct w:val="0"/>
        <w:autoSpaceDE/>
        <w:autoSpaceDN/>
        <w:bidi w:val="0"/>
        <w:adjustRightInd/>
        <w:snapToGrid/>
        <w:spacing w:before="60" w:after="60" w:line="440" w:lineRule="exact"/>
        <w:ind w:left="0" w:firstLine="0"/>
        <w:jc w:val="both"/>
        <w:textAlignment w:val="auto"/>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pPr>
      <w:r>
        <w:rPr>
          <w:rFonts w:hint="eastAsia" w:ascii="Times New Roman" w:hAnsi="Times New Roman" w:cs="Times New Roman" w:eastAsiaTheme="minorEastAsia"/>
          <w:b/>
          <w:color w:val="000000" w:themeColor="text1"/>
          <w:w w:val="99"/>
          <w:kern w:val="2"/>
          <w:sz w:val="24"/>
          <w:szCs w:val="24"/>
          <w:highlight w:val="none"/>
          <w:lang w:val="en-US" w:bidi="ar-SA"/>
          <w14:textFill>
            <w14:solidFill>
              <w14:schemeClr w14:val="tx1"/>
            </w14:solidFill>
          </w14:textFill>
        </w:rPr>
        <w:t>9.4.8 环境风险分析</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本工程的主要环境风险是物料泄漏和火灾爆炸，对区域内的大气环境、地表水环境、地下水环境和生态环境有潜在危害性。在工程采取一系列风险防范措施、应急措施和建立环境风险防控体系后，原油泄漏和火灾爆炸影响可控，可以降低事故的发生率和事故情况下对周围环境的影响。</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25" w:name="_Toc17020"/>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9.5 环境影响经济损益分析结论</w:t>
      </w:r>
      <w:bookmarkEnd w:id="225"/>
    </w:p>
    <w:p>
      <w:pPr>
        <w:spacing w:line="440" w:lineRule="exact"/>
        <w:ind w:firstLine="474" w:firstLineChars="200"/>
        <w:jc w:val="both"/>
        <w:rPr>
          <w:rFonts w:ascii="Times New Roman" w:hAnsi="Times New Roman" w:cs="Times New Roman"/>
          <w:color w:val="000000" w:themeColor="text1"/>
          <w:w w:val="99"/>
          <w:sz w:val="24"/>
          <w:szCs w:val="24"/>
          <w:highlight w:val="none"/>
          <w14:textFill>
            <w14:solidFill>
              <w14:schemeClr w14:val="tx1"/>
            </w14:solidFill>
          </w14:textFill>
        </w:rPr>
      </w:pPr>
      <w:r>
        <w:rPr>
          <w:rFonts w:ascii="Times New Roman" w:hAnsi="Times New Roman" w:cs="Times New Roman"/>
          <w:color w:val="000000" w:themeColor="text1"/>
          <w:w w:val="99"/>
          <w:sz w:val="24"/>
          <w:szCs w:val="24"/>
          <w:highlight w:val="none"/>
          <w14:textFill>
            <w14:solidFill>
              <w14:schemeClr w14:val="tx1"/>
            </w14:solidFill>
          </w14:textFill>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26" w:name="_Toc21577"/>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9.6 环境管理与监测计划结论</w:t>
      </w:r>
      <w:bookmarkEnd w:id="226"/>
    </w:p>
    <w:p>
      <w:pPr>
        <w:spacing w:line="440" w:lineRule="exact"/>
        <w:ind w:firstLine="474" w:firstLineChars="200"/>
        <w:rPr>
          <w:color w:val="000000" w:themeColor="text1"/>
          <w:highlight w:val="none"/>
          <w14:textFill>
            <w14:solidFill>
              <w14:schemeClr w14:val="tx1"/>
            </w14:solidFill>
          </w14:textFill>
        </w:rPr>
      </w:pPr>
      <w:r>
        <w:rPr>
          <w:rFonts w:hint="eastAsia" w:ascii="Times New Roman" w:hAnsi="Times New Roman" w:cs="Times New Roman"/>
          <w:color w:val="000000" w:themeColor="text1"/>
          <w:w w:val="99"/>
          <w:sz w:val="24"/>
          <w:szCs w:val="24"/>
          <w:highlight w:val="none"/>
          <w14:textFill>
            <w14:solidFill>
              <w14:schemeClr w14:val="tx1"/>
            </w14:solidFill>
          </w14:textFill>
        </w:rPr>
        <w:t>工</w:t>
      </w:r>
      <w:r>
        <w:rPr>
          <w:rFonts w:ascii="Times New Roman" w:hAnsi="Times New Roman" w:cs="Times New Roman"/>
          <w:color w:val="000000" w:themeColor="text1"/>
          <w:w w:val="99"/>
          <w:sz w:val="24"/>
          <w:szCs w:val="24"/>
          <w:highlight w:val="none"/>
          <w14:textFill>
            <w14:solidFill>
              <w14:schemeClr w14:val="tx1"/>
            </w14:solidFill>
          </w14:textFill>
        </w:rPr>
        <w:t>程投产运行后油田环境管理工作由大庆油田有限责任公司第七采油厂负责，在油田生产运行期，环境管理除抓好环保设施的运行、维护等工作外，工作重点应针对油气集输</w:t>
      </w:r>
      <w:r>
        <w:rPr>
          <w:rFonts w:hint="eastAsia" w:ascii="Times New Roman" w:hAnsi="Times New Roman" w:cs="Times New Roman"/>
          <w:color w:val="000000" w:themeColor="text1"/>
          <w:w w:val="99"/>
          <w:sz w:val="24"/>
          <w:szCs w:val="24"/>
          <w:highlight w:val="none"/>
          <w14:textFill>
            <w14:solidFill>
              <w14:schemeClr w14:val="tx1"/>
            </w14:solidFill>
          </w14:textFill>
        </w:rPr>
        <w:t>、处理</w:t>
      </w:r>
      <w:r>
        <w:rPr>
          <w:rFonts w:ascii="Times New Roman" w:hAnsi="Times New Roman" w:cs="Times New Roman"/>
          <w:color w:val="000000" w:themeColor="text1"/>
          <w:w w:val="99"/>
          <w:sz w:val="24"/>
          <w:szCs w:val="24"/>
          <w:highlight w:val="none"/>
          <w14:textFill>
            <w14:solidFill>
              <w14:schemeClr w14:val="tx1"/>
            </w14:solidFill>
          </w14:textFill>
        </w:rPr>
        <w:t>和管理情况及油井作业过程管理、</w:t>
      </w:r>
      <w:r>
        <w:rPr>
          <w:rFonts w:hint="eastAsia" w:ascii="Times New Roman" w:hAnsi="Times New Roman" w:cs="Times New Roman"/>
          <w:color w:val="000000" w:themeColor="text1"/>
          <w:w w:val="99"/>
          <w:sz w:val="24"/>
          <w:szCs w:val="24"/>
          <w:highlight w:val="none"/>
          <w:lang w:eastAsia="zh-CN"/>
          <w14:textFill>
            <w14:solidFill>
              <w14:schemeClr w14:val="tx1"/>
            </w14:solidFill>
          </w14:textFill>
        </w:rPr>
        <w:t>注入管线</w:t>
      </w:r>
      <w:r>
        <w:rPr>
          <w:rFonts w:ascii="Times New Roman" w:hAnsi="Times New Roman" w:cs="Times New Roman"/>
          <w:color w:val="000000" w:themeColor="text1"/>
          <w:w w:val="99"/>
          <w:sz w:val="24"/>
          <w:szCs w:val="24"/>
          <w:highlight w:val="none"/>
          <w14:textFill>
            <w14:solidFill>
              <w14:schemeClr w14:val="tx1"/>
            </w14:solidFill>
          </w14:textFill>
        </w:rPr>
        <w:t>破裂后油水泄漏等事故的预防和处理上。施工期的环境监测可包括对作业场所的控制监测和事故发生后的影响监测。主要监测对象有土壤、植被、施工作业废气、废水和噪声等。运行期根据《排污单位自行监测技术指南 总则》（HJ 819-2017）和油田运行期环境污染的特点，环境监测计划主要针对油田污染物排放、油田开发区生态恢复情况、事故而制定。</w:t>
      </w:r>
    </w:p>
    <w:p>
      <w:pPr>
        <w:pStyle w:val="5"/>
        <w:keepNext w:val="0"/>
        <w:keepLines w:val="0"/>
        <w:pageBreakBefore w:val="0"/>
        <w:widowControl w:val="0"/>
        <w:kinsoku/>
        <w:wordWrap/>
        <w:overflowPunct/>
        <w:topLinePunct w:val="0"/>
        <w:autoSpaceDE/>
        <w:autoSpaceDN/>
        <w:bidi w:val="0"/>
        <w:adjustRightInd/>
        <w:snapToGrid/>
        <w:spacing w:before="120" w:after="120" w:line="440" w:lineRule="exact"/>
        <w:ind w:left="0" w:firstLine="0"/>
        <w:textAlignment w:val="auto"/>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pPr>
      <w:bookmarkStart w:id="227" w:name="_Toc16012"/>
      <w:r>
        <w:rPr>
          <w:rFonts w:hint="eastAsia" w:ascii="Times New Roman" w:hAnsi="Times New Roman" w:cs="Times New Roman" w:eastAsiaTheme="minorEastAsia"/>
          <w:b/>
          <w:bCs/>
          <w:snapToGrid w:val="0"/>
          <w:color w:val="000000" w:themeColor="text1"/>
          <w:w w:val="99"/>
          <w:sz w:val="28"/>
          <w:szCs w:val="32"/>
          <w:highlight w:val="none"/>
          <w:lang w:val="en-US" w:bidi="ar-SA"/>
          <w14:textFill>
            <w14:solidFill>
              <w14:schemeClr w14:val="tx1"/>
            </w14:solidFill>
          </w14:textFill>
        </w:rPr>
        <w:t>9.7 公众意见采纳情况</w:t>
      </w:r>
      <w:bookmarkEnd w:id="227"/>
    </w:p>
    <w:p>
      <w:pPr>
        <w:keepNext w:val="0"/>
        <w:keepLines w:val="0"/>
        <w:pageBreakBefore w:val="0"/>
        <w:widowControl w:val="0"/>
        <w:kinsoku/>
        <w:wordWrap/>
        <w:overflowPunct/>
        <w:topLinePunct w:val="0"/>
        <w:autoSpaceDE/>
        <w:autoSpaceDN/>
        <w:bidi w:val="0"/>
        <w:snapToGrid/>
        <w:spacing w:line="440" w:lineRule="exact"/>
        <w:ind w:firstLine="474" w:firstLineChars="200"/>
        <w:jc w:val="both"/>
        <w:textAlignment w:val="auto"/>
        <w:rPr>
          <w:rFonts w:hint="eastAsia" w:ascii="Times New Roman" w:hAnsi="Times New Roman" w:cs="Times New Roman"/>
          <w:snapToGrid w:val="0"/>
          <w:color w:val="000000" w:themeColor="text1"/>
          <w:w w:val="99"/>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建设项目首次环境影响评价信息公开之日为2021年</w:t>
      </w:r>
      <w:r>
        <w:rPr>
          <w:rFonts w:hint="eastAsia" w:ascii="Times New Roman" w:hAnsi="Times New Roman" w:cs="Times New Roman"/>
          <w:snapToGrid w:val="0"/>
          <w:color w:val="000000" w:themeColor="text1"/>
          <w:w w:val="99"/>
          <w:sz w:val="24"/>
          <w:szCs w:val="24"/>
          <w:highlight w:val="none"/>
          <w:lang w:val="en-US" w:eastAsia="zh-CN" w:bidi="ar-SA"/>
          <w14:textFill>
            <w14:solidFill>
              <w14:schemeClr w14:val="tx1"/>
            </w14:solidFill>
          </w14:textFill>
        </w:rPr>
        <w:t>8</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月25日（黑龙江环保技术服务网</w:t>
      </w:r>
      <w:r>
        <w:rPr>
          <w:rFonts w:hint="eastAsia" w:ascii="Times New Roman" w:hAnsi="Times New Roman" w:cs="Times New Roman"/>
          <w:snapToGrid w:val="0"/>
          <w:color w:val="000000" w:themeColor="text1"/>
          <w:w w:val="99"/>
          <w:sz w:val="24"/>
          <w:szCs w:val="24"/>
          <w:highlight w:val="none"/>
          <w:lang w:val="en-US" w:bidi="ar-SA"/>
          <w14:textFill>
            <w14:solidFill>
              <w14:schemeClr w14:val="tx1"/>
            </w14:solidFill>
          </w14:textFill>
        </w:rPr>
        <w:t>http://www.hljhbjsfw.cn/NewsDetail.aspx?ID=427</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w:t>
      </w:r>
      <w:r>
        <w:rPr>
          <w:rFonts w:hint="eastAsia" w:ascii="Times New Roman" w:hAnsi="Times New Roman" w:cs="Times New Roman"/>
          <w:snapToGrid w:val="0"/>
          <w:color w:val="000000" w:themeColor="text1"/>
          <w:w w:val="99"/>
          <w:sz w:val="24"/>
          <w:szCs w:val="24"/>
          <w:highlight w:val="none"/>
          <w:lang w:val="en-US" w:bidi="ar-SA"/>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440" w:lineRule="exact"/>
        <w:ind w:firstLine="474" w:firstLineChars="200"/>
        <w:jc w:val="both"/>
        <w:textAlignment w:val="auto"/>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征求意见稿公示日期为2021年</w:t>
      </w:r>
      <w:r>
        <w:rPr>
          <w:rFonts w:hint="eastAsia" w:ascii="Times New Roman" w:hAnsi="Times New Roman" w:cs="Times New Roman"/>
          <w:snapToGrid w:val="0"/>
          <w:color w:val="000000" w:themeColor="text1"/>
          <w:w w:val="99"/>
          <w:sz w:val="24"/>
          <w:szCs w:val="24"/>
          <w:highlight w:val="none"/>
          <w:lang w:val="en-US" w:eastAsia="zh-CN" w:bidi="ar-SA"/>
          <w14:textFill>
            <w14:solidFill>
              <w14:schemeClr w14:val="tx1"/>
            </w14:solidFill>
          </w14:textFill>
        </w:rPr>
        <w:t>10</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月</w:t>
      </w:r>
      <w:r>
        <w:rPr>
          <w:rFonts w:hint="eastAsia" w:ascii="Times New Roman" w:hAnsi="Times New Roman" w:cs="Times New Roman"/>
          <w:snapToGrid w:val="0"/>
          <w:color w:val="000000" w:themeColor="text1"/>
          <w:w w:val="99"/>
          <w:sz w:val="24"/>
          <w:szCs w:val="24"/>
          <w:highlight w:val="none"/>
          <w:lang w:val="en-US" w:eastAsia="zh-CN" w:bidi="ar-SA"/>
          <w14:textFill>
            <w14:solidFill>
              <w14:schemeClr w14:val="tx1"/>
            </w14:solidFill>
          </w14:textFill>
        </w:rPr>
        <w:t>29</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日（黑龙江环保技术服务网</w:t>
      </w:r>
      <w:r>
        <w:rPr>
          <w:rFonts w:hint="default" w:ascii="Times New Roman" w:hAnsi="Times New Roman" w:eastAsia="宋体" w:cs="Times New Roman"/>
          <w:snapToGrid w:val="0"/>
          <w:color w:val="000000" w:themeColor="text1"/>
          <w:w w:val="99"/>
          <w:sz w:val="24"/>
          <w:szCs w:val="24"/>
          <w:highlight w:val="none"/>
          <w:lang w:val="en-US" w:bidi="ar-SA"/>
          <w14:textFill>
            <w14:solidFill>
              <w14:schemeClr w14:val="tx1"/>
            </w14:solidFill>
          </w14:textFill>
        </w:rPr>
        <w:t>http://www.hljhbjsfw.cn/NewsDetail.aspx?id=436</w:t>
      </w:r>
      <w:r>
        <w:rPr>
          <w:rFonts w:hint="eastAsia" w:ascii="Times New Roman" w:hAnsi="Times New Roman" w:eastAsia="宋体" w:cs="Times New Roman"/>
          <w:snapToGrid w:val="0"/>
          <w:color w:val="000000" w:themeColor="text1"/>
          <w:w w:val="99"/>
          <w:sz w:val="24"/>
          <w:szCs w:val="24"/>
          <w:highlight w:val="none"/>
          <w:lang w:val="en-US" w:bidi="ar-SA"/>
          <w14:textFill>
            <w14:solidFill>
              <w14:schemeClr w14:val="tx1"/>
            </w14:solidFill>
          </w14:textFill>
        </w:rPr>
        <w:t>）。</w:t>
      </w:r>
    </w:p>
    <w:p>
      <w:pPr>
        <w:pStyle w:val="67"/>
        <w:keepNext w:val="0"/>
        <w:keepLines w:val="0"/>
        <w:pageBreakBefore w:val="0"/>
        <w:widowControl w:val="0"/>
        <w:kinsoku/>
        <w:wordWrap/>
        <w:overflowPunct/>
        <w:topLinePunct w:val="0"/>
        <w:bidi w:val="0"/>
        <w:snapToGrid/>
        <w:spacing w:line="440" w:lineRule="exact"/>
        <w:ind w:firstLine="473"/>
        <w:textAlignment w:val="auto"/>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报纸第一次公告日期为2021年</w:t>
      </w:r>
      <w:r>
        <w:rPr>
          <w:rFonts w:hint="eastAsia" w:ascii="Times New Roman" w:hAnsi="Times New Roman" w:cs="Times New Roman"/>
          <w:snapToGrid w:val="0"/>
          <w:color w:val="000000" w:themeColor="text1"/>
          <w:w w:val="99"/>
          <w:sz w:val="24"/>
          <w:szCs w:val="24"/>
          <w:highlight w:val="none"/>
          <w:lang w:val="en-US" w:eastAsia="zh-CN" w:bidi="ar-SA"/>
          <w14:textFill>
            <w14:solidFill>
              <w14:schemeClr w14:val="tx1"/>
            </w14:solidFill>
          </w14:textFill>
        </w:rPr>
        <w:t>11</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月</w:t>
      </w:r>
      <w:r>
        <w:rPr>
          <w:rFonts w:hint="eastAsia" w:ascii="Times New Roman" w:hAnsi="Times New Roman" w:cs="Times New Roman"/>
          <w:snapToGrid w:val="0"/>
          <w:color w:val="000000" w:themeColor="text1"/>
          <w:w w:val="99"/>
          <w:sz w:val="24"/>
          <w:szCs w:val="24"/>
          <w:highlight w:val="none"/>
          <w:lang w:val="en-US" w:eastAsia="zh-CN" w:bidi="ar-SA"/>
          <w14:textFill>
            <w14:solidFill>
              <w14:schemeClr w14:val="tx1"/>
            </w14:solidFill>
          </w14:textFill>
        </w:rPr>
        <w:t>3</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日（大庆油田报），报纸第二次公告日期为2021年</w:t>
      </w:r>
      <w:r>
        <w:rPr>
          <w:rFonts w:hint="eastAsia" w:ascii="Times New Roman" w:hAnsi="Times New Roman" w:cs="Times New Roman"/>
          <w:snapToGrid w:val="0"/>
          <w:color w:val="000000" w:themeColor="text1"/>
          <w:w w:val="99"/>
          <w:sz w:val="24"/>
          <w:szCs w:val="24"/>
          <w:highlight w:val="none"/>
          <w:lang w:val="en-US" w:eastAsia="zh-CN" w:bidi="ar-SA"/>
          <w14:textFill>
            <w14:solidFill>
              <w14:schemeClr w14:val="tx1"/>
            </w14:solidFill>
          </w14:textFill>
        </w:rPr>
        <w:t>11</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月</w:t>
      </w:r>
      <w:r>
        <w:rPr>
          <w:rFonts w:hint="eastAsia" w:ascii="Times New Roman" w:hAnsi="Times New Roman" w:cs="Times New Roman"/>
          <w:snapToGrid w:val="0"/>
          <w:color w:val="000000" w:themeColor="text1"/>
          <w:w w:val="99"/>
          <w:sz w:val="24"/>
          <w:szCs w:val="24"/>
          <w:highlight w:val="none"/>
          <w:lang w:val="en-US" w:eastAsia="zh-CN" w:bidi="ar-SA"/>
          <w14:textFill>
            <w14:solidFill>
              <w14:schemeClr w14:val="tx1"/>
            </w14:solidFill>
          </w14:textFill>
        </w:rPr>
        <w:t>4</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日（大庆油田报）。</w:t>
      </w:r>
    </w:p>
    <w:p>
      <w:pPr>
        <w:autoSpaceDE/>
        <w:autoSpaceDN/>
        <w:spacing w:line="500" w:lineRule="exact"/>
        <w:ind w:firstLine="474" w:firstLineChars="200"/>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现场张贴公示日期为2021年</w:t>
      </w:r>
      <w:r>
        <w:rPr>
          <w:rFonts w:hint="eastAsia" w:ascii="Times New Roman" w:hAnsi="Times New Roman" w:cs="Times New Roman"/>
          <w:snapToGrid w:val="0"/>
          <w:color w:val="000000" w:themeColor="text1"/>
          <w:w w:val="99"/>
          <w:sz w:val="24"/>
          <w:szCs w:val="24"/>
          <w:highlight w:val="none"/>
          <w:lang w:val="en-US" w:eastAsia="zh-CN" w:bidi="ar-SA"/>
          <w14:textFill>
            <w14:solidFill>
              <w14:schemeClr w14:val="tx1"/>
            </w14:solidFill>
          </w14:textFill>
        </w:rPr>
        <w:t>11</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月</w:t>
      </w:r>
      <w:r>
        <w:rPr>
          <w:rFonts w:hint="eastAsia" w:ascii="Times New Roman" w:hAnsi="Times New Roman" w:cs="Times New Roman"/>
          <w:snapToGrid w:val="0"/>
          <w:color w:val="000000" w:themeColor="text1"/>
          <w:w w:val="99"/>
          <w:sz w:val="24"/>
          <w:szCs w:val="24"/>
          <w:highlight w:val="none"/>
          <w:lang w:val="en-US" w:eastAsia="zh-CN" w:bidi="ar-SA"/>
          <w14:textFill>
            <w14:solidFill>
              <w14:schemeClr w14:val="tx1"/>
            </w14:solidFill>
          </w14:textFill>
        </w:rPr>
        <w:t>2</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日，公示地点为</w:t>
      </w:r>
      <w:r>
        <w:rPr>
          <w:rFonts w:hint="eastAsia" w:ascii="Times New Roman" w:hAnsi="Times New Roman" w:cs="Times New Roman"/>
          <w:snapToGrid w:val="0"/>
          <w:color w:val="000000" w:themeColor="text1"/>
          <w:w w:val="99"/>
          <w:sz w:val="24"/>
          <w:szCs w:val="24"/>
          <w:highlight w:val="none"/>
          <w:lang w:val="en-US" w:bidi="ar-SA"/>
          <w14:textFill>
            <w14:solidFill>
              <w14:schemeClr w14:val="tx1"/>
            </w14:solidFill>
          </w14:textFill>
        </w:rPr>
        <w:t>井场</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周边</w:t>
      </w:r>
      <w:r>
        <w:rPr>
          <w:rFonts w:hint="eastAsia" w:ascii="Times New Roman" w:hAnsi="Times New Roman" w:cs="Times New Roman"/>
          <w:snapToGrid w:val="0"/>
          <w:color w:val="000000" w:themeColor="text1"/>
          <w:w w:val="99"/>
          <w:sz w:val="24"/>
          <w:szCs w:val="24"/>
          <w:highlight w:val="none"/>
          <w:lang w:val="en-US" w:bidi="ar-SA"/>
          <w14:textFill>
            <w14:solidFill>
              <w14:schemeClr w14:val="tx1"/>
            </w14:solidFill>
          </w14:textFill>
        </w:rPr>
        <w:t>村屯</w:t>
      </w: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w:t>
      </w:r>
    </w:p>
    <w:p>
      <w:pPr>
        <w:autoSpaceDE/>
        <w:autoSpaceDN/>
        <w:spacing w:line="500" w:lineRule="exact"/>
        <w:ind w:firstLine="474" w:firstLineChars="200"/>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pPr>
      <w:r>
        <w:rPr>
          <w:rFonts w:ascii="Times New Roman" w:hAnsi="Times New Roman" w:cs="Times New Roman"/>
          <w:snapToGrid w:val="0"/>
          <w:color w:val="000000" w:themeColor="text1"/>
          <w:w w:val="99"/>
          <w:sz w:val="24"/>
          <w:szCs w:val="24"/>
          <w:highlight w:val="none"/>
          <w:lang w:val="en-US" w:bidi="ar-SA"/>
          <w14:textFill>
            <w14:solidFill>
              <w14:schemeClr w14:val="tx1"/>
            </w14:solidFill>
          </w14:textFill>
        </w:rPr>
        <w:t>网络公示起到了应有的告知作用。在现场公示期间，对居民进行了必要的讲解和说明，让附近居民充分了解本项目的各项情况。选择了黑龙江环保技术服务网和《大庆油田报》进行公示，起到了网络和报纸传播较广，受众广泛的作用。在网上两次公示过程中、公示期间及问卷调查过程中没有接到任何人反映意见或建议的电话和邮件、传真等。</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snapToGrid w:val="0"/>
          <w:color w:val="000000" w:themeColor="text1"/>
          <w:w w:val="99"/>
          <w:sz w:val="24"/>
          <w:szCs w:val="24"/>
          <w:highlight w:val="none"/>
          <w:lang w:val="en-US" w:bidi="ar-SA"/>
          <w14:textFill>
            <w14:solidFill>
              <w14:schemeClr w14:val="tx1"/>
            </w14:solidFill>
          </w14:textFill>
        </w:rPr>
        <w:t>建设单位的公参调查结果表明，</w:t>
      </w:r>
      <w:r>
        <w:rPr>
          <w:rFonts w:hint="eastAsia" w:ascii="Times New Roman" w:hAnsi="Times New Roman" w:eastAsia="宋体" w:cs="Times New Roman"/>
          <w:snapToGrid w:val="0"/>
          <w:color w:val="000000" w:themeColor="text1"/>
          <w:w w:val="99"/>
          <w:sz w:val="24"/>
          <w:szCs w:val="24"/>
          <w:highlight w:val="none"/>
          <w:lang w:val="en-US" w:bidi="ar-SA"/>
          <w14:textFill>
            <w14:solidFill>
              <w14:schemeClr w14:val="tx1"/>
            </w14:solidFill>
          </w14:textFill>
        </w:rPr>
        <w:t>本工程</w:t>
      </w:r>
      <w:r>
        <w:rPr>
          <w:rFonts w:ascii="Times New Roman" w:hAnsi="Times New Roman" w:eastAsia="宋体" w:cs="Times New Roman"/>
          <w:snapToGrid w:val="0"/>
          <w:color w:val="000000" w:themeColor="text1"/>
          <w:w w:val="99"/>
          <w:sz w:val="24"/>
          <w:szCs w:val="24"/>
          <w:highlight w:val="none"/>
          <w:lang w:val="en-US" w:bidi="ar-SA"/>
          <w14:textFill>
            <w14:solidFill>
              <w14:schemeClr w14:val="tx1"/>
            </w14:solidFill>
          </w14:textFill>
        </w:rPr>
        <w:t>的建设周围民众是支持的。建设单位认真执行环保“三同时”制度，加强环境管理，使环境的负效应降至最低。并对周围环境的影响减至最小程度，达到公众对项目建设的环境要求愿望。</w:t>
      </w:r>
    </w:p>
    <w:p>
      <w:pPr>
        <w:pStyle w:val="2"/>
        <w:spacing w:before="120" w:beforeLines="0" w:after="120" w:line="440" w:lineRule="exact"/>
        <w:jc w:val="both"/>
        <w:outlineLvl w:val="1"/>
        <w:rPr>
          <w:rFonts w:ascii="Times New Roman" w:hAnsi="Times New Roman" w:cs="Times New Roman"/>
          <w:b/>
          <w:bCs/>
          <w:color w:val="000000" w:themeColor="text1"/>
          <w:w w:val="99"/>
          <w:sz w:val="28"/>
          <w:szCs w:val="28"/>
          <w:highlight w:val="none"/>
          <w:lang w:val="en-US"/>
          <w14:textFill>
            <w14:solidFill>
              <w14:schemeClr w14:val="tx1"/>
            </w14:solidFill>
          </w14:textFill>
        </w:rPr>
      </w:pPr>
      <w:bookmarkStart w:id="228" w:name="_Toc3252"/>
      <w:r>
        <w:rPr>
          <w:rFonts w:ascii="Times New Roman" w:hAnsi="Times New Roman" w:cs="Times New Roman"/>
          <w:b/>
          <w:bCs/>
          <w:color w:val="000000" w:themeColor="text1"/>
          <w:w w:val="99"/>
          <w:sz w:val="28"/>
          <w:szCs w:val="28"/>
          <w:highlight w:val="none"/>
          <w:lang w:val="en-US"/>
          <w14:textFill>
            <w14:solidFill>
              <w14:schemeClr w14:val="tx1"/>
            </w14:solidFill>
          </w14:textFill>
        </w:rPr>
        <w:t>9.8 综合结论</w:t>
      </w:r>
      <w:bookmarkEnd w:id="228"/>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r>
        <w:rPr>
          <w:rFonts w:ascii="Times New Roman" w:hAnsi="Times New Roman" w:eastAsia="宋体" w:cs="Times New Roman"/>
          <w:color w:val="000000" w:themeColor="text1"/>
          <w:w w:val="99"/>
          <w:sz w:val="24"/>
          <w:szCs w:val="24"/>
          <w:highlight w:val="none"/>
          <w14:textFill>
            <w14:solidFill>
              <w14:schemeClr w14:val="tx1"/>
            </w14:solidFill>
          </w14:textFill>
        </w:rPr>
        <w:t>综上所述，</w:t>
      </w:r>
      <w:r>
        <w:rPr>
          <w:rFonts w:hint="eastAsia" w:ascii="Times New Roman" w:hAnsi="Times New Roman" w:eastAsia="宋体" w:cs="Times New Roman"/>
          <w:color w:val="000000" w:themeColor="text1"/>
          <w:w w:val="99"/>
          <w:sz w:val="24"/>
          <w:szCs w:val="24"/>
          <w:highlight w:val="none"/>
          <w:lang w:eastAsia="zh-CN"/>
          <w14:textFill>
            <w14:solidFill>
              <w14:schemeClr w14:val="tx1"/>
            </w14:solidFill>
          </w14:textFill>
        </w:rPr>
        <w:t>采油七厂葡北油田三断块葡72-70井区深部调驱产能建设地面工程</w:t>
      </w:r>
      <w:r>
        <w:rPr>
          <w:rFonts w:ascii="Times New Roman" w:hAnsi="Times New Roman" w:eastAsia="宋体" w:cs="Times New Roman"/>
          <w:color w:val="000000" w:themeColor="text1"/>
          <w:w w:val="99"/>
          <w:sz w:val="24"/>
          <w:szCs w:val="24"/>
          <w:highlight w:val="none"/>
          <w14:textFill>
            <w14:solidFill>
              <w14:schemeClr w14:val="tx1"/>
            </w14:solidFill>
          </w14:textFill>
        </w:rPr>
        <w:t>符合国家产业政策和区域发展规划</w:t>
      </w:r>
      <w:r>
        <w:rPr>
          <w:rFonts w:hint="eastAsia" w:ascii="Times New Roman" w:hAnsi="Times New Roman" w:eastAsia="宋体" w:cs="Times New Roman"/>
          <w:color w:val="000000" w:themeColor="text1"/>
          <w:w w:val="99"/>
          <w:sz w:val="24"/>
          <w:szCs w:val="24"/>
          <w:highlight w:val="none"/>
          <w14:textFill>
            <w14:solidFill>
              <w14:schemeClr w14:val="tx1"/>
            </w14:solidFill>
          </w14:textFill>
        </w:rPr>
        <w:t>，</w:t>
      </w:r>
      <w:r>
        <w:rPr>
          <w:rFonts w:ascii="Times New Roman" w:hAnsi="Times New Roman" w:eastAsia="宋体" w:cs="Times New Roman"/>
          <w:color w:val="000000" w:themeColor="text1"/>
          <w:w w:val="99"/>
          <w:sz w:val="24"/>
          <w:szCs w:val="24"/>
          <w:highlight w:val="none"/>
          <w14:textFill>
            <w14:solidFill>
              <w14:schemeClr w14:val="tx1"/>
            </w14:solidFill>
          </w14:textFill>
        </w:rPr>
        <w:t>油田正常生产情况下对环境的影响较小，工程施工及生产运行过程中可能出现的各类风险事故，在相应的污染防治措施、生态保护措施及事故应急措施得以切实有效实施的前提下，能够确保区域环境不受污染。从环境保护角度分析，本工程是可行的。</w:t>
      </w:r>
    </w:p>
    <w:p>
      <w:pPr>
        <w:pStyle w:val="2"/>
        <w:spacing w:beforeLines="0" w:line="44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p>
    <w:p>
      <w:pPr>
        <w:pStyle w:val="2"/>
        <w:spacing w:beforeLines="0" w:line="500" w:lineRule="exact"/>
        <w:ind w:firstLine="474" w:firstLineChars="200"/>
        <w:jc w:val="both"/>
        <w:rPr>
          <w:rFonts w:ascii="Times New Roman" w:hAnsi="Times New Roman" w:eastAsia="宋体" w:cs="Times New Roman"/>
          <w:color w:val="000000" w:themeColor="text1"/>
          <w:w w:val="99"/>
          <w:sz w:val="24"/>
          <w:szCs w:val="24"/>
          <w:highlight w:val="none"/>
          <w14:textFill>
            <w14:solidFill>
              <w14:schemeClr w14:val="tx1"/>
            </w14:solidFill>
          </w14:textFill>
        </w:rPr>
      </w:pPr>
      <w:bookmarkStart w:id="229" w:name="_bookmark37"/>
      <w:bookmarkEnd w:id="229"/>
      <w:bookmarkStart w:id="230" w:name="_bookmark35"/>
      <w:bookmarkEnd w:id="230"/>
      <w:bookmarkStart w:id="231" w:name="_bookmark38"/>
      <w:bookmarkEnd w:id="231"/>
    </w:p>
    <w:sectPr>
      <w:footerReference r:id="rId5" w:type="default"/>
      <w:pgSz w:w="11910" w:h="16850"/>
      <w:pgMar w:top="1417" w:right="1417" w:bottom="1417" w:left="1417" w:header="0" w:footer="992"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3960"/>
        <w:tab w:val="center" w:pos="4333"/>
        <w:tab w:val="left" w:pos="5049"/>
      </w:tabs>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8"/>
      </w:rPr>
    </w:pPr>
    <w:r>
      <w:rPr>
        <w:sz w:val="8"/>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gZaYtAgAAW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gZaYtAgAAWQ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r>
      <w:rPr>
        <w:sz w:val="20"/>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14MU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V23G6cPEAXGrkiCS6x0YrtLu2Z7Yz&#10;xQnEnOm6w1u+qZF8y3y4Zw7tgAdjYMIdllIaJDG9RUll3Nd/ncd4VAleShq0V041pokS+UGjegAM&#10;g+EGYzcY+qBuDfp1gkG0PJm44IIczNIZ9QVTtIo54GKaI1NOw2Dehq7FMYVcrFYpCP1mWdjqB8sj&#10;dBTP29UhQMCkaxSlU6LXCh2XKtNPR2zpP/cp6umPsH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O14MUtAgAAWQ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0"/>
      <w:lvlText w:val="%1."/>
      <w:lvlJc w:val="left"/>
      <w:pPr>
        <w:tabs>
          <w:tab w:val="left" w:pos="780"/>
        </w:tabs>
        <w:ind w:left="780" w:leftChars="200" w:hanging="360" w:hangingChars="200"/>
      </w:pPr>
    </w:lvl>
  </w:abstractNum>
  <w:abstractNum w:abstractNumId="1">
    <w:nsid w:val="1E567456"/>
    <w:multiLevelType w:val="multilevel"/>
    <w:tmpl w:val="1E567456"/>
    <w:lvl w:ilvl="0" w:tentative="0">
      <w:start w:val="1"/>
      <w:numFmt w:val="decimal"/>
      <w:suff w:val="space"/>
      <w:lvlText w:val="%1"/>
      <w:lvlJc w:val="left"/>
      <w:pPr>
        <w:ind w:left="432" w:hanging="432"/>
      </w:pPr>
      <w:rPr>
        <w:rFonts w:hint="default" w:ascii="Times New Roman" w:hAnsi="Times New Roman" w:eastAsia="黑体"/>
        <w:b/>
        <w:bCs/>
        <w:i w:val="0"/>
        <w:iCs w:val="0"/>
        <w:caps w:val="0"/>
        <w:smallCaps w:val="0"/>
        <w:strike w:val="0"/>
        <w:dstrike w:val="0"/>
        <w:vanish w:val="0"/>
        <w:color w:val="000000"/>
        <w:spacing w:val="0"/>
        <w:w w:val="100"/>
        <w:kern w:val="0"/>
        <w:position w:val="0"/>
        <w:sz w:val="30"/>
        <w:szCs w:val="30"/>
        <w:u w:val="none"/>
        <w:shd w:val="clear" w:color="auto" w:fill="auto"/>
        <w:vertAlign w:val="baseline"/>
      </w:rPr>
    </w:lvl>
    <w:lvl w:ilvl="1" w:tentative="0">
      <w:start w:val="1"/>
      <w:numFmt w:val="decimal"/>
      <w:pStyle w:val="60"/>
      <w:suff w:val="space"/>
      <w:lvlText w:val="%1.%2"/>
      <w:lvlJc w:val="left"/>
      <w:pPr>
        <w:ind w:left="576" w:hanging="576"/>
      </w:pPr>
      <w:rPr>
        <w:rFonts w:hint="eastAsia"/>
      </w:rPr>
    </w:lvl>
    <w:lvl w:ilvl="2" w:tentative="0">
      <w:start w:val="1"/>
      <w:numFmt w:val="decimal"/>
      <w:suff w:val="space"/>
      <w:lvlText w:val="%1.%2.%3"/>
      <w:lvlJc w:val="left"/>
      <w:pPr>
        <w:ind w:left="1287" w:hanging="720"/>
      </w:pPr>
      <w:rPr>
        <w:rFonts w:hint="eastAsia"/>
      </w:rPr>
    </w:lvl>
    <w:lvl w:ilvl="3" w:tentative="0">
      <w:start w:val="1"/>
      <w:numFmt w:val="decimal"/>
      <w:suff w:val="space"/>
      <w:lvlText w:val="%1.%2.%3.%4"/>
      <w:lvlJc w:val="left"/>
      <w:pPr>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52C7847D"/>
    <w:multiLevelType w:val="singleLevel"/>
    <w:tmpl w:val="52C7847D"/>
    <w:lvl w:ilvl="0" w:tentative="0">
      <w:start w:val="4"/>
      <w:numFmt w:val="decimal"/>
      <w:suff w:val="nothing"/>
      <w:lvlText w:val="（%1）"/>
      <w:lvlJc w:val="left"/>
      <w:pPr>
        <w:ind w:left="-34"/>
      </w:pPr>
    </w:lvl>
  </w:abstractNum>
  <w:abstractNum w:abstractNumId="3">
    <w:nsid w:val="55078985"/>
    <w:multiLevelType w:val="singleLevel"/>
    <w:tmpl w:val="55078985"/>
    <w:lvl w:ilvl="0" w:tentative="0">
      <w:start w:val="2"/>
      <w:numFmt w:val="decimal"/>
      <w:suff w:val="nothing"/>
      <w:lvlText w:val="（%1）"/>
      <w:lvlJc w:val="left"/>
      <w:pPr>
        <w:ind w:left="-34"/>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CEB"/>
    <w:rsid w:val="000024C6"/>
    <w:rsid w:val="000024FA"/>
    <w:rsid w:val="0000300E"/>
    <w:rsid w:val="00003D07"/>
    <w:rsid w:val="00005E08"/>
    <w:rsid w:val="00006C3E"/>
    <w:rsid w:val="00011266"/>
    <w:rsid w:val="00014391"/>
    <w:rsid w:val="00014A51"/>
    <w:rsid w:val="00015D63"/>
    <w:rsid w:val="00015EEF"/>
    <w:rsid w:val="00020BEF"/>
    <w:rsid w:val="000225C3"/>
    <w:rsid w:val="00022699"/>
    <w:rsid w:val="000244E7"/>
    <w:rsid w:val="000252EE"/>
    <w:rsid w:val="0002536A"/>
    <w:rsid w:val="00033126"/>
    <w:rsid w:val="000336C2"/>
    <w:rsid w:val="000337E7"/>
    <w:rsid w:val="00035305"/>
    <w:rsid w:val="000354B2"/>
    <w:rsid w:val="0004033C"/>
    <w:rsid w:val="0004403C"/>
    <w:rsid w:val="00046848"/>
    <w:rsid w:val="0005349C"/>
    <w:rsid w:val="00070492"/>
    <w:rsid w:val="00072714"/>
    <w:rsid w:val="000745C6"/>
    <w:rsid w:val="0007553D"/>
    <w:rsid w:val="00080E3A"/>
    <w:rsid w:val="00083487"/>
    <w:rsid w:val="00084224"/>
    <w:rsid w:val="00084A9B"/>
    <w:rsid w:val="000866AF"/>
    <w:rsid w:val="00086A99"/>
    <w:rsid w:val="00086B81"/>
    <w:rsid w:val="00090501"/>
    <w:rsid w:val="00090C3E"/>
    <w:rsid w:val="00092D53"/>
    <w:rsid w:val="0009679A"/>
    <w:rsid w:val="000A0821"/>
    <w:rsid w:val="000A0ED7"/>
    <w:rsid w:val="000A5E55"/>
    <w:rsid w:val="000B1048"/>
    <w:rsid w:val="000B10B7"/>
    <w:rsid w:val="000B2896"/>
    <w:rsid w:val="000B2DD7"/>
    <w:rsid w:val="000B3007"/>
    <w:rsid w:val="000B3BA8"/>
    <w:rsid w:val="000B425D"/>
    <w:rsid w:val="000B63FA"/>
    <w:rsid w:val="000B6759"/>
    <w:rsid w:val="000C1EE6"/>
    <w:rsid w:val="000C4CB6"/>
    <w:rsid w:val="000C6714"/>
    <w:rsid w:val="000C730F"/>
    <w:rsid w:val="000D0019"/>
    <w:rsid w:val="000D1B21"/>
    <w:rsid w:val="000D29A9"/>
    <w:rsid w:val="000D314F"/>
    <w:rsid w:val="000D4D09"/>
    <w:rsid w:val="000D5116"/>
    <w:rsid w:val="000D65A6"/>
    <w:rsid w:val="000D6F1E"/>
    <w:rsid w:val="000E0824"/>
    <w:rsid w:val="000E1D5D"/>
    <w:rsid w:val="000E3CF9"/>
    <w:rsid w:val="000E3E84"/>
    <w:rsid w:val="000E5DE7"/>
    <w:rsid w:val="000E753D"/>
    <w:rsid w:val="000F27E5"/>
    <w:rsid w:val="000F3CB7"/>
    <w:rsid w:val="000F7E2D"/>
    <w:rsid w:val="001007DD"/>
    <w:rsid w:val="001036D3"/>
    <w:rsid w:val="001038F4"/>
    <w:rsid w:val="00103E8B"/>
    <w:rsid w:val="0010420B"/>
    <w:rsid w:val="00104254"/>
    <w:rsid w:val="001045CB"/>
    <w:rsid w:val="00105900"/>
    <w:rsid w:val="00107178"/>
    <w:rsid w:val="00107ED4"/>
    <w:rsid w:val="00110028"/>
    <w:rsid w:val="001110C2"/>
    <w:rsid w:val="00113463"/>
    <w:rsid w:val="0011690F"/>
    <w:rsid w:val="0012168A"/>
    <w:rsid w:val="001219BD"/>
    <w:rsid w:val="0012369D"/>
    <w:rsid w:val="00126DF4"/>
    <w:rsid w:val="00127337"/>
    <w:rsid w:val="00127568"/>
    <w:rsid w:val="0013048C"/>
    <w:rsid w:val="00131B7F"/>
    <w:rsid w:val="00133855"/>
    <w:rsid w:val="001416B8"/>
    <w:rsid w:val="00142530"/>
    <w:rsid w:val="0014377A"/>
    <w:rsid w:val="00145FD1"/>
    <w:rsid w:val="001461E0"/>
    <w:rsid w:val="001467EC"/>
    <w:rsid w:val="00147937"/>
    <w:rsid w:val="0015183F"/>
    <w:rsid w:val="001529A0"/>
    <w:rsid w:val="00152B4E"/>
    <w:rsid w:val="00152F5A"/>
    <w:rsid w:val="00153A50"/>
    <w:rsid w:val="001541A4"/>
    <w:rsid w:val="0015421E"/>
    <w:rsid w:val="00155752"/>
    <w:rsid w:val="00165314"/>
    <w:rsid w:val="00165BD6"/>
    <w:rsid w:val="00166BD8"/>
    <w:rsid w:val="00175A85"/>
    <w:rsid w:val="001767C3"/>
    <w:rsid w:val="00176FF1"/>
    <w:rsid w:val="00177AE7"/>
    <w:rsid w:val="00180CD6"/>
    <w:rsid w:val="00181F06"/>
    <w:rsid w:val="00194170"/>
    <w:rsid w:val="001958D8"/>
    <w:rsid w:val="00195C82"/>
    <w:rsid w:val="00197160"/>
    <w:rsid w:val="00197735"/>
    <w:rsid w:val="001A085D"/>
    <w:rsid w:val="001A19A3"/>
    <w:rsid w:val="001A2685"/>
    <w:rsid w:val="001A3E49"/>
    <w:rsid w:val="001A60E3"/>
    <w:rsid w:val="001A6FD0"/>
    <w:rsid w:val="001A76BB"/>
    <w:rsid w:val="001B1366"/>
    <w:rsid w:val="001B1AFA"/>
    <w:rsid w:val="001B1D7B"/>
    <w:rsid w:val="001B63C9"/>
    <w:rsid w:val="001B7AE9"/>
    <w:rsid w:val="001C0540"/>
    <w:rsid w:val="001C1B77"/>
    <w:rsid w:val="001C2564"/>
    <w:rsid w:val="001C3863"/>
    <w:rsid w:val="001C63CF"/>
    <w:rsid w:val="001C7D1C"/>
    <w:rsid w:val="001D15A2"/>
    <w:rsid w:val="001D27AD"/>
    <w:rsid w:val="001D4623"/>
    <w:rsid w:val="001D4FD6"/>
    <w:rsid w:val="001D6539"/>
    <w:rsid w:val="001D768B"/>
    <w:rsid w:val="001E4C25"/>
    <w:rsid w:val="001E6622"/>
    <w:rsid w:val="001E73BD"/>
    <w:rsid w:val="001F0C5C"/>
    <w:rsid w:val="001F3AC4"/>
    <w:rsid w:val="001F47D2"/>
    <w:rsid w:val="001F48AC"/>
    <w:rsid w:val="001F499F"/>
    <w:rsid w:val="001F4CBE"/>
    <w:rsid w:val="001F79BA"/>
    <w:rsid w:val="001F7C41"/>
    <w:rsid w:val="002016B8"/>
    <w:rsid w:val="00210DDE"/>
    <w:rsid w:val="002125F5"/>
    <w:rsid w:val="00213230"/>
    <w:rsid w:val="002152B7"/>
    <w:rsid w:val="002155BB"/>
    <w:rsid w:val="00216098"/>
    <w:rsid w:val="0021619C"/>
    <w:rsid w:val="00220595"/>
    <w:rsid w:val="002219F5"/>
    <w:rsid w:val="002223AC"/>
    <w:rsid w:val="002266A7"/>
    <w:rsid w:val="00227232"/>
    <w:rsid w:val="00230288"/>
    <w:rsid w:val="00230537"/>
    <w:rsid w:val="002313E9"/>
    <w:rsid w:val="002361DA"/>
    <w:rsid w:val="0023687B"/>
    <w:rsid w:val="00237A7B"/>
    <w:rsid w:val="00240168"/>
    <w:rsid w:val="0024238C"/>
    <w:rsid w:val="002440D6"/>
    <w:rsid w:val="0024466C"/>
    <w:rsid w:val="00245FA9"/>
    <w:rsid w:val="002468C2"/>
    <w:rsid w:val="002470ED"/>
    <w:rsid w:val="0024744A"/>
    <w:rsid w:val="00250A9C"/>
    <w:rsid w:val="00252495"/>
    <w:rsid w:val="00255264"/>
    <w:rsid w:val="00256B89"/>
    <w:rsid w:val="00256ED4"/>
    <w:rsid w:val="00257253"/>
    <w:rsid w:val="00260AAE"/>
    <w:rsid w:val="00260B33"/>
    <w:rsid w:val="002615CC"/>
    <w:rsid w:val="00261F6D"/>
    <w:rsid w:val="002625F7"/>
    <w:rsid w:val="0026272A"/>
    <w:rsid w:val="0026425A"/>
    <w:rsid w:val="00264BA0"/>
    <w:rsid w:val="002668D7"/>
    <w:rsid w:val="00274EAF"/>
    <w:rsid w:val="00277C11"/>
    <w:rsid w:val="00277C1A"/>
    <w:rsid w:val="00280E4C"/>
    <w:rsid w:val="002844CD"/>
    <w:rsid w:val="002845F0"/>
    <w:rsid w:val="002859F8"/>
    <w:rsid w:val="002865CE"/>
    <w:rsid w:val="00286BEF"/>
    <w:rsid w:val="002870BC"/>
    <w:rsid w:val="00292F1C"/>
    <w:rsid w:val="00293477"/>
    <w:rsid w:val="00295B88"/>
    <w:rsid w:val="00295F6E"/>
    <w:rsid w:val="002965F3"/>
    <w:rsid w:val="0029764D"/>
    <w:rsid w:val="00297DF2"/>
    <w:rsid w:val="002A02FF"/>
    <w:rsid w:val="002A302F"/>
    <w:rsid w:val="002A39CA"/>
    <w:rsid w:val="002B1C2A"/>
    <w:rsid w:val="002B3A9A"/>
    <w:rsid w:val="002B51AB"/>
    <w:rsid w:val="002B7536"/>
    <w:rsid w:val="002B7942"/>
    <w:rsid w:val="002C000B"/>
    <w:rsid w:val="002C065E"/>
    <w:rsid w:val="002C3768"/>
    <w:rsid w:val="002C4ABE"/>
    <w:rsid w:val="002C7790"/>
    <w:rsid w:val="002C7EF2"/>
    <w:rsid w:val="002D38F5"/>
    <w:rsid w:val="002D47ED"/>
    <w:rsid w:val="002D5E62"/>
    <w:rsid w:val="002D62A0"/>
    <w:rsid w:val="002E052D"/>
    <w:rsid w:val="002E0DA1"/>
    <w:rsid w:val="002E3098"/>
    <w:rsid w:val="002E3DA5"/>
    <w:rsid w:val="002E4BF6"/>
    <w:rsid w:val="002E5149"/>
    <w:rsid w:val="002E69E0"/>
    <w:rsid w:val="002F04A3"/>
    <w:rsid w:val="002F2C6D"/>
    <w:rsid w:val="002F3346"/>
    <w:rsid w:val="002F3A4A"/>
    <w:rsid w:val="002F6256"/>
    <w:rsid w:val="00302D2C"/>
    <w:rsid w:val="00303A1D"/>
    <w:rsid w:val="00305E0D"/>
    <w:rsid w:val="0030694B"/>
    <w:rsid w:val="003069CA"/>
    <w:rsid w:val="00306A71"/>
    <w:rsid w:val="00307B78"/>
    <w:rsid w:val="0031086B"/>
    <w:rsid w:val="00310EB0"/>
    <w:rsid w:val="00313BA2"/>
    <w:rsid w:val="00315FE6"/>
    <w:rsid w:val="0031709C"/>
    <w:rsid w:val="003204FC"/>
    <w:rsid w:val="00321203"/>
    <w:rsid w:val="003221FA"/>
    <w:rsid w:val="0032248F"/>
    <w:rsid w:val="00322729"/>
    <w:rsid w:val="00322A00"/>
    <w:rsid w:val="00327FD1"/>
    <w:rsid w:val="003312C2"/>
    <w:rsid w:val="00332F42"/>
    <w:rsid w:val="00332F85"/>
    <w:rsid w:val="003338AC"/>
    <w:rsid w:val="00335BE4"/>
    <w:rsid w:val="00335F07"/>
    <w:rsid w:val="003370D1"/>
    <w:rsid w:val="003408CC"/>
    <w:rsid w:val="00340B20"/>
    <w:rsid w:val="00340E17"/>
    <w:rsid w:val="00342CC6"/>
    <w:rsid w:val="0034385D"/>
    <w:rsid w:val="003448B5"/>
    <w:rsid w:val="00344B1D"/>
    <w:rsid w:val="00351055"/>
    <w:rsid w:val="00351BF6"/>
    <w:rsid w:val="00353838"/>
    <w:rsid w:val="003559E8"/>
    <w:rsid w:val="003569E0"/>
    <w:rsid w:val="00357ABD"/>
    <w:rsid w:val="003621F5"/>
    <w:rsid w:val="003630B6"/>
    <w:rsid w:val="00363C7B"/>
    <w:rsid w:val="003649EB"/>
    <w:rsid w:val="00365199"/>
    <w:rsid w:val="00371716"/>
    <w:rsid w:val="00375B6D"/>
    <w:rsid w:val="003801C3"/>
    <w:rsid w:val="00380D83"/>
    <w:rsid w:val="00385888"/>
    <w:rsid w:val="0039045F"/>
    <w:rsid w:val="003939DF"/>
    <w:rsid w:val="00393CB0"/>
    <w:rsid w:val="00393E19"/>
    <w:rsid w:val="003942FF"/>
    <w:rsid w:val="00394525"/>
    <w:rsid w:val="00395FB2"/>
    <w:rsid w:val="00395FC9"/>
    <w:rsid w:val="00397EF1"/>
    <w:rsid w:val="003A4602"/>
    <w:rsid w:val="003A4A54"/>
    <w:rsid w:val="003A5A22"/>
    <w:rsid w:val="003A5BB1"/>
    <w:rsid w:val="003A79AA"/>
    <w:rsid w:val="003A7C6A"/>
    <w:rsid w:val="003A7D5D"/>
    <w:rsid w:val="003B17E0"/>
    <w:rsid w:val="003B20D6"/>
    <w:rsid w:val="003B221D"/>
    <w:rsid w:val="003B2B68"/>
    <w:rsid w:val="003B2D76"/>
    <w:rsid w:val="003C137C"/>
    <w:rsid w:val="003C191F"/>
    <w:rsid w:val="003C2B7E"/>
    <w:rsid w:val="003C39D8"/>
    <w:rsid w:val="003C4409"/>
    <w:rsid w:val="003C5058"/>
    <w:rsid w:val="003C5C72"/>
    <w:rsid w:val="003C6CEA"/>
    <w:rsid w:val="003C7519"/>
    <w:rsid w:val="003C7BB5"/>
    <w:rsid w:val="003C7C55"/>
    <w:rsid w:val="003D2F05"/>
    <w:rsid w:val="003D765A"/>
    <w:rsid w:val="003E0F0C"/>
    <w:rsid w:val="003E2458"/>
    <w:rsid w:val="003E4DE6"/>
    <w:rsid w:val="003E51D3"/>
    <w:rsid w:val="003E58AC"/>
    <w:rsid w:val="003F1F50"/>
    <w:rsid w:val="003F2BB9"/>
    <w:rsid w:val="00400265"/>
    <w:rsid w:val="00401BD0"/>
    <w:rsid w:val="00401EF1"/>
    <w:rsid w:val="004029DA"/>
    <w:rsid w:val="0040403A"/>
    <w:rsid w:val="00404565"/>
    <w:rsid w:val="00404FBD"/>
    <w:rsid w:val="004054DF"/>
    <w:rsid w:val="00405CE8"/>
    <w:rsid w:val="0040772D"/>
    <w:rsid w:val="00410BF8"/>
    <w:rsid w:val="00412B4D"/>
    <w:rsid w:val="0041358D"/>
    <w:rsid w:val="00416497"/>
    <w:rsid w:val="00420AEA"/>
    <w:rsid w:val="00423FEE"/>
    <w:rsid w:val="004250A7"/>
    <w:rsid w:val="00425316"/>
    <w:rsid w:val="00426011"/>
    <w:rsid w:val="004275CD"/>
    <w:rsid w:val="0043261F"/>
    <w:rsid w:val="00432C6A"/>
    <w:rsid w:val="0043619A"/>
    <w:rsid w:val="00437801"/>
    <w:rsid w:val="00437861"/>
    <w:rsid w:val="004403A1"/>
    <w:rsid w:val="004458AF"/>
    <w:rsid w:val="004458E6"/>
    <w:rsid w:val="00446352"/>
    <w:rsid w:val="00451520"/>
    <w:rsid w:val="00452FFD"/>
    <w:rsid w:val="00453967"/>
    <w:rsid w:val="00454B29"/>
    <w:rsid w:val="0045661D"/>
    <w:rsid w:val="00460D3F"/>
    <w:rsid w:val="00460F39"/>
    <w:rsid w:val="004622B7"/>
    <w:rsid w:val="00463786"/>
    <w:rsid w:val="00464897"/>
    <w:rsid w:val="0046650C"/>
    <w:rsid w:val="004714B4"/>
    <w:rsid w:val="004714B8"/>
    <w:rsid w:val="00480634"/>
    <w:rsid w:val="0048171C"/>
    <w:rsid w:val="00483721"/>
    <w:rsid w:val="004849E2"/>
    <w:rsid w:val="00485035"/>
    <w:rsid w:val="00485EF5"/>
    <w:rsid w:val="00485FD2"/>
    <w:rsid w:val="00491019"/>
    <w:rsid w:val="0049124C"/>
    <w:rsid w:val="00493048"/>
    <w:rsid w:val="004946FA"/>
    <w:rsid w:val="00495D6C"/>
    <w:rsid w:val="00497C89"/>
    <w:rsid w:val="004A0B13"/>
    <w:rsid w:val="004A0D5B"/>
    <w:rsid w:val="004A3099"/>
    <w:rsid w:val="004A40B7"/>
    <w:rsid w:val="004A6FAD"/>
    <w:rsid w:val="004B23FA"/>
    <w:rsid w:val="004B6D99"/>
    <w:rsid w:val="004B785F"/>
    <w:rsid w:val="004B7AD0"/>
    <w:rsid w:val="004C16EC"/>
    <w:rsid w:val="004C3641"/>
    <w:rsid w:val="004C45EB"/>
    <w:rsid w:val="004C4CAE"/>
    <w:rsid w:val="004C62ED"/>
    <w:rsid w:val="004C689C"/>
    <w:rsid w:val="004D02D4"/>
    <w:rsid w:val="004D0BFA"/>
    <w:rsid w:val="004D15D1"/>
    <w:rsid w:val="004D1A79"/>
    <w:rsid w:val="004D3C00"/>
    <w:rsid w:val="004E3B3A"/>
    <w:rsid w:val="004E58D2"/>
    <w:rsid w:val="004E63B1"/>
    <w:rsid w:val="004E7CD1"/>
    <w:rsid w:val="004E7E47"/>
    <w:rsid w:val="004F0393"/>
    <w:rsid w:val="004F0A20"/>
    <w:rsid w:val="004F15B2"/>
    <w:rsid w:val="004F266A"/>
    <w:rsid w:val="004F5B04"/>
    <w:rsid w:val="004F73B0"/>
    <w:rsid w:val="00501107"/>
    <w:rsid w:val="00501617"/>
    <w:rsid w:val="00501E66"/>
    <w:rsid w:val="005039FB"/>
    <w:rsid w:val="00503DD0"/>
    <w:rsid w:val="00506F46"/>
    <w:rsid w:val="00515BE8"/>
    <w:rsid w:val="0052094A"/>
    <w:rsid w:val="00523119"/>
    <w:rsid w:val="00525824"/>
    <w:rsid w:val="0052709F"/>
    <w:rsid w:val="00531BE8"/>
    <w:rsid w:val="00532372"/>
    <w:rsid w:val="005325E4"/>
    <w:rsid w:val="00536190"/>
    <w:rsid w:val="00537239"/>
    <w:rsid w:val="0054101E"/>
    <w:rsid w:val="00541F74"/>
    <w:rsid w:val="005421DF"/>
    <w:rsid w:val="00544B25"/>
    <w:rsid w:val="00551A15"/>
    <w:rsid w:val="00555AAC"/>
    <w:rsid w:val="00555FAB"/>
    <w:rsid w:val="005569E8"/>
    <w:rsid w:val="0055739F"/>
    <w:rsid w:val="00560069"/>
    <w:rsid w:val="00560295"/>
    <w:rsid w:val="0056096D"/>
    <w:rsid w:val="00561397"/>
    <w:rsid w:val="00562C84"/>
    <w:rsid w:val="00565543"/>
    <w:rsid w:val="00566F65"/>
    <w:rsid w:val="005673BF"/>
    <w:rsid w:val="005675CA"/>
    <w:rsid w:val="0057029C"/>
    <w:rsid w:val="005717C9"/>
    <w:rsid w:val="005728BC"/>
    <w:rsid w:val="00574169"/>
    <w:rsid w:val="005741D4"/>
    <w:rsid w:val="00574A16"/>
    <w:rsid w:val="005761C5"/>
    <w:rsid w:val="00576DBE"/>
    <w:rsid w:val="00582099"/>
    <w:rsid w:val="00582310"/>
    <w:rsid w:val="00583F8F"/>
    <w:rsid w:val="00586E49"/>
    <w:rsid w:val="00590A36"/>
    <w:rsid w:val="005923D8"/>
    <w:rsid w:val="00593346"/>
    <w:rsid w:val="005934B4"/>
    <w:rsid w:val="00594308"/>
    <w:rsid w:val="0059522F"/>
    <w:rsid w:val="005964AB"/>
    <w:rsid w:val="0059663B"/>
    <w:rsid w:val="005A22FC"/>
    <w:rsid w:val="005A664D"/>
    <w:rsid w:val="005A666F"/>
    <w:rsid w:val="005A6933"/>
    <w:rsid w:val="005A6E45"/>
    <w:rsid w:val="005A711D"/>
    <w:rsid w:val="005B1EA6"/>
    <w:rsid w:val="005B1F38"/>
    <w:rsid w:val="005B59E0"/>
    <w:rsid w:val="005C0030"/>
    <w:rsid w:val="005C2A0A"/>
    <w:rsid w:val="005C446A"/>
    <w:rsid w:val="005C4F8F"/>
    <w:rsid w:val="005D0CD8"/>
    <w:rsid w:val="005D1887"/>
    <w:rsid w:val="005D40FF"/>
    <w:rsid w:val="005D5339"/>
    <w:rsid w:val="005E5E46"/>
    <w:rsid w:val="005E6867"/>
    <w:rsid w:val="005E6961"/>
    <w:rsid w:val="005F055A"/>
    <w:rsid w:val="005F216A"/>
    <w:rsid w:val="005F3222"/>
    <w:rsid w:val="005F36B3"/>
    <w:rsid w:val="005F41CF"/>
    <w:rsid w:val="005F5195"/>
    <w:rsid w:val="005F6238"/>
    <w:rsid w:val="005F7643"/>
    <w:rsid w:val="006002E6"/>
    <w:rsid w:val="0060395E"/>
    <w:rsid w:val="00604673"/>
    <w:rsid w:val="00607850"/>
    <w:rsid w:val="00607EB2"/>
    <w:rsid w:val="00613B26"/>
    <w:rsid w:val="00617093"/>
    <w:rsid w:val="00617E66"/>
    <w:rsid w:val="0062102E"/>
    <w:rsid w:val="00621051"/>
    <w:rsid w:val="00621BD2"/>
    <w:rsid w:val="00622C3C"/>
    <w:rsid w:val="00623505"/>
    <w:rsid w:val="006245A9"/>
    <w:rsid w:val="00633104"/>
    <w:rsid w:val="00633E89"/>
    <w:rsid w:val="00634233"/>
    <w:rsid w:val="00634877"/>
    <w:rsid w:val="00636611"/>
    <w:rsid w:val="00636FC8"/>
    <w:rsid w:val="00640FFA"/>
    <w:rsid w:val="00643202"/>
    <w:rsid w:val="00644CAD"/>
    <w:rsid w:val="0064621B"/>
    <w:rsid w:val="00647F2F"/>
    <w:rsid w:val="00647F99"/>
    <w:rsid w:val="00650F8C"/>
    <w:rsid w:val="0065280F"/>
    <w:rsid w:val="00653119"/>
    <w:rsid w:val="006532CA"/>
    <w:rsid w:val="0065481F"/>
    <w:rsid w:val="00654CB6"/>
    <w:rsid w:val="00655D62"/>
    <w:rsid w:val="00655DA6"/>
    <w:rsid w:val="00655F0E"/>
    <w:rsid w:val="0065716D"/>
    <w:rsid w:val="00657D39"/>
    <w:rsid w:val="0066306F"/>
    <w:rsid w:val="00664A06"/>
    <w:rsid w:val="00665C90"/>
    <w:rsid w:val="00671C04"/>
    <w:rsid w:val="00675138"/>
    <w:rsid w:val="00675AEA"/>
    <w:rsid w:val="00676149"/>
    <w:rsid w:val="006771F7"/>
    <w:rsid w:val="006820E3"/>
    <w:rsid w:val="0068275B"/>
    <w:rsid w:val="00683FCB"/>
    <w:rsid w:val="00684ABA"/>
    <w:rsid w:val="00684B85"/>
    <w:rsid w:val="006855E4"/>
    <w:rsid w:val="00690E9E"/>
    <w:rsid w:val="006926E5"/>
    <w:rsid w:val="00694090"/>
    <w:rsid w:val="00694117"/>
    <w:rsid w:val="00694D86"/>
    <w:rsid w:val="00694E40"/>
    <w:rsid w:val="00695DFB"/>
    <w:rsid w:val="006966A2"/>
    <w:rsid w:val="00696ABF"/>
    <w:rsid w:val="00697147"/>
    <w:rsid w:val="006972E1"/>
    <w:rsid w:val="006975E5"/>
    <w:rsid w:val="00697795"/>
    <w:rsid w:val="006A36C6"/>
    <w:rsid w:val="006A3A11"/>
    <w:rsid w:val="006A3EDD"/>
    <w:rsid w:val="006A653A"/>
    <w:rsid w:val="006A696F"/>
    <w:rsid w:val="006B0C76"/>
    <w:rsid w:val="006B4178"/>
    <w:rsid w:val="006B582E"/>
    <w:rsid w:val="006B72BB"/>
    <w:rsid w:val="006B7DCE"/>
    <w:rsid w:val="006C2128"/>
    <w:rsid w:val="006C265F"/>
    <w:rsid w:val="006C4290"/>
    <w:rsid w:val="006C456F"/>
    <w:rsid w:val="006C7205"/>
    <w:rsid w:val="006D001E"/>
    <w:rsid w:val="006D0FBF"/>
    <w:rsid w:val="006D1829"/>
    <w:rsid w:val="006D19AA"/>
    <w:rsid w:val="006D2D75"/>
    <w:rsid w:val="006D31C4"/>
    <w:rsid w:val="006D5A20"/>
    <w:rsid w:val="006D614F"/>
    <w:rsid w:val="006E03F9"/>
    <w:rsid w:val="006E05EB"/>
    <w:rsid w:val="006E146F"/>
    <w:rsid w:val="006E4739"/>
    <w:rsid w:val="006E5145"/>
    <w:rsid w:val="006E6243"/>
    <w:rsid w:val="006E6DA0"/>
    <w:rsid w:val="006E78FE"/>
    <w:rsid w:val="006F0C2E"/>
    <w:rsid w:val="006F4959"/>
    <w:rsid w:val="006F5634"/>
    <w:rsid w:val="006F6461"/>
    <w:rsid w:val="006F649F"/>
    <w:rsid w:val="006F678B"/>
    <w:rsid w:val="00700769"/>
    <w:rsid w:val="00700ACA"/>
    <w:rsid w:val="00703C0D"/>
    <w:rsid w:val="0071322A"/>
    <w:rsid w:val="00715273"/>
    <w:rsid w:val="00715D88"/>
    <w:rsid w:val="00717AB4"/>
    <w:rsid w:val="007202FE"/>
    <w:rsid w:val="00723019"/>
    <w:rsid w:val="007232D0"/>
    <w:rsid w:val="00725EFD"/>
    <w:rsid w:val="0072635F"/>
    <w:rsid w:val="00726495"/>
    <w:rsid w:val="007268A6"/>
    <w:rsid w:val="00727168"/>
    <w:rsid w:val="0073100B"/>
    <w:rsid w:val="007313EA"/>
    <w:rsid w:val="0073233C"/>
    <w:rsid w:val="007347B0"/>
    <w:rsid w:val="00734C0E"/>
    <w:rsid w:val="0074190E"/>
    <w:rsid w:val="00743E19"/>
    <w:rsid w:val="00744325"/>
    <w:rsid w:val="007449E4"/>
    <w:rsid w:val="007456C0"/>
    <w:rsid w:val="007458EC"/>
    <w:rsid w:val="00747EB5"/>
    <w:rsid w:val="00750602"/>
    <w:rsid w:val="00751011"/>
    <w:rsid w:val="00753FD4"/>
    <w:rsid w:val="00756D15"/>
    <w:rsid w:val="0075755C"/>
    <w:rsid w:val="0076271D"/>
    <w:rsid w:val="00763948"/>
    <w:rsid w:val="007665C9"/>
    <w:rsid w:val="0076767B"/>
    <w:rsid w:val="00771AC6"/>
    <w:rsid w:val="00772E8B"/>
    <w:rsid w:val="007738DF"/>
    <w:rsid w:val="00774848"/>
    <w:rsid w:val="00775723"/>
    <w:rsid w:val="00775F34"/>
    <w:rsid w:val="00780384"/>
    <w:rsid w:val="00782EC2"/>
    <w:rsid w:val="00783079"/>
    <w:rsid w:val="00783198"/>
    <w:rsid w:val="00784819"/>
    <w:rsid w:val="00786291"/>
    <w:rsid w:val="00786D02"/>
    <w:rsid w:val="00787294"/>
    <w:rsid w:val="00790336"/>
    <w:rsid w:val="0079127C"/>
    <w:rsid w:val="007943B5"/>
    <w:rsid w:val="0079473B"/>
    <w:rsid w:val="0079598D"/>
    <w:rsid w:val="007961C8"/>
    <w:rsid w:val="00796785"/>
    <w:rsid w:val="0079687F"/>
    <w:rsid w:val="0079701A"/>
    <w:rsid w:val="007A0773"/>
    <w:rsid w:val="007A11FE"/>
    <w:rsid w:val="007A4987"/>
    <w:rsid w:val="007A60B6"/>
    <w:rsid w:val="007A6933"/>
    <w:rsid w:val="007B1125"/>
    <w:rsid w:val="007B15C2"/>
    <w:rsid w:val="007B2016"/>
    <w:rsid w:val="007B3E2A"/>
    <w:rsid w:val="007B6768"/>
    <w:rsid w:val="007B6BB1"/>
    <w:rsid w:val="007B7B3A"/>
    <w:rsid w:val="007C1D00"/>
    <w:rsid w:val="007C3D12"/>
    <w:rsid w:val="007C6562"/>
    <w:rsid w:val="007C6C2A"/>
    <w:rsid w:val="007C71DA"/>
    <w:rsid w:val="007C73C3"/>
    <w:rsid w:val="007D0335"/>
    <w:rsid w:val="007D13A1"/>
    <w:rsid w:val="007D3E1F"/>
    <w:rsid w:val="007D7859"/>
    <w:rsid w:val="007E3E6E"/>
    <w:rsid w:val="007E4D5E"/>
    <w:rsid w:val="007E560E"/>
    <w:rsid w:val="007F1D51"/>
    <w:rsid w:val="007F4ED4"/>
    <w:rsid w:val="007F6766"/>
    <w:rsid w:val="007F7441"/>
    <w:rsid w:val="0080140F"/>
    <w:rsid w:val="00802B36"/>
    <w:rsid w:val="00803D33"/>
    <w:rsid w:val="008046AD"/>
    <w:rsid w:val="008056BD"/>
    <w:rsid w:val="00807123"/>
    <w:rsid w:val="00810F7F"/>
    <w:rsid w:val="008113CE"/>
    <w:rsid w:val="0081148A"/>
    <w:rsid w:val="00823851"/>
    <w:rsid w:val="008242FB"/>
    <w:rsid w:val="00824D41"/>
    <w:rsid w:val="00827D8A"/>
    <w:rsid w:val="008313C9"/>
    <w:rsid w:val="00833604"/>
    <w:rsid w:val="00833B07"/>
    <w:rsid w:val="00833C29"/>
    <w:rsid w:val="00833D3E"/>
    <w:rsid w:val="0083406C"/>
    <w:rsid w:val="00834CF9"/>
    <w:rsid w:val="008363B2"/>
    <w:rsid w:val="00840AF0"/>
    <w:rsid w:val="00841874"/>
    <w:rsid w:val="008434A3"/>
    <w:rsid w:val="00847662"/>
    <w:rsid w:val="008564D2"/>
    <w:rsid w:val="008605AB"/>
    <w:rsid w:val="008609BE"/>
    <w:rsid w:val="00862AFB"/>
    <w:rsid w:val="00862E46"/>
    <w:rsid w:val="00864906"/>
    <w:rsid w:val="0086511A"/>
    <w:rsid w:val="0086590F"/>
    <w:rsid w:val="00865B71"/>
    <w:rsid w:val="008674AD"/>
    <w:rsid w:val="00871624"/>
    <w:rsid w:val="00872765"/>
    <w:rsid w:val="00873CE0"/>
    <w:rsid w:val="00874DF5"/>
    <w:rsid w:val="008769DB"/>
    <w:rsid w:val="00881657"/>
    <w:rsid w:val="0089576E"/>
    <w:rsid w:val="008957BB"/>
    <w:rsid w:val="00896177"/>
    <w:rsid w:val="00896A09"/>
    <w:rsid w:val="008A143F"/>
    <w:rsid w:val="008A15D9"/>
    <w:rsid w:val="008A2A9F"/>
    <w:rsid w:val="008A4D1D"/>
    <w:rsid w:val="008A758B"/>
    <w:rsid w:val="008B04EE"/>
    <w:rsid w:val="008B2322"/>
    <w:rsid w:val="008B6893"/>
    <w:rsid w:val="008B6DCC"/>
    <w:rsid w:val="008B707D"/>
    <w:rsid w:val="008B78A9"/>
    <w:rsid w:val="008C2DF9"/>
    <w:rsid w:val="008C4359"/>
    <w:rsid w:val="008C7455"/>
    <w:rsid w:val="008D0B51"/>
    <w:rsid w:val="008D2024"/>
    <w:rsid w:val="008D30F4"/>
    <w:rsid w:val="008D4BF6"/>
    <w:rsid w:val="008D58DF"/>
    <w:rsid w:val="008D669B"/>
    <w:rsid w:val="008D6A58"/>
    <w:rsid w:val="008E0CB1"/>
    <w:rsid w:val="008E117D"/>
    <w:rsid w:val="008E1A0F"/>
    <w:rsid w:val="008E29BB"/>
    <w:rsid w:val="008E48A0"/>
    <w:rsid w:val="008E4BFF"/>
    <w:rsid w:val="008E5782"/>
    <w:rsid w:val="008E69B7"/>
    <w:rsid w:val="008F00AC"/>
    <w:rsid w:val="008F1892"/>
    <w:rsid w:val="008F289E"/>
    <w:rsid w:val="008F3E28"/>
    <w:rsid w:val="008F6F72"/>
    <w:rsid w:val="008F747F"/>
    <w:rsid w:val="009054A0"/>
    <w:rsid w:val="00906775"/>
    <w:rsid w:val="0091443C"/>
    <w:rsid w:val="00914B07"/>
    <w:rsid w:val="00915827"/>
    <w:rsid w:val="00916843"/>
    <w:rsid w:val="00916CBF"/>
    <w:rsid w:val="00923E2A"/>
    <w:rsid w:val="009250C6"/>
    <w:rsid w:val="00926E9A"/>
    <w:rsid w:val="00926FB8"/>
    <w:rsid w:val="00927BB8"/>
    <w:rsid w:val="00930407"/>
    <w:rsid w:val="00930C45"/>
    <w:rsid w:val="00930F27"/>
    <w:rsid w:val="00931E9F"/>
    <w:rsid w:val="0093202C"/>
    <w:rsid w:val="00933CF5"/>
    <w:rsid w:val="0093471D"/>
    <w:rsid w:val="00935427"/>
    <w:rsid w:val="00936182"/>
    <w:rsid w:val="009418B6"/>
    <w:rsid w:val="0094328A"/>
    <w:rsid w:val="009435C6"/>
    <w:rsid w:val="009460E4"/>
    <w:rsid w:val="00946456"/>
    <w:rsid w:val="00946AF0"/>
    <w:rsid w:val="00947C54"/>
    <w:rsid w:val="00947CDC"/>
    <w:rsid w:val="009511F3"/>
    <w:rsid w:val="00952512"/>
    <w:rsid w:val="00954AA0"/>
    <w:rsid w:val="009569FB"/>
    <w:rsid w:val="00966898"/>
    <w:rsid w:val="00967745"/>
    <w:rsid w:val="00967F0F"/>
    <w:rsid w:val="00970BF4"/>
    <w:rsid w:val="00971C9E"/>
    <w:rsid w:val="00974954"/>
    <w:rsid w:val="00975884"/>
    <w:rsid w:val="00976119"/>
    <w:rsid w:val="00976C84"/>
    <w:rsid w:val="00977680"/>
    <w:rsid w:val="00980A8E"/>
    <w:rsid w:val="00983EC8"/>
    <w:rsid w:val="00986D2C"/>
    <w:rsid w:val="00990DBA"/>
    <w:rsid w:val="009926A7"/>
    <w:rsid w:val="00992AE5"/>
    <w:rsid w:val="0099556D"/>
    <w:rsid w:val="00995A58"/>
    <w:rsid w:val="009966BD"/>
    <w:rsid w:val="00996AE7"/>
    <w:rsid w:val="009A0E39"/>
    <w:rsid w:val="009A0ED7"/>
    <w:rsid w:val="009A1AF9"/>
    <w:rsid w:val="009A33F0"/>
    <w:rsid w:val="009A54F5"/>
    <w:rsid w:val="009A688A"/>
    <w:rsid w:val="009B2DD4"/>
    <w:rsid w:val="009B3D89"/>
    <w:rsid w:val="009B4384"/>
    <w:rsid w:val="009B4B81"/>
    <w:rsid w:val="009B4D69"/>
    <w:rsid w:val="009B50BF"/>
    <w:rsid w:val="009B66C7"/>
    <w:rsid w:val="009C078B"/>
    <w:rsid w:val="009C124E"/>
    <w:rsid w:val="009C1691"/>
    <w:rsid w:val="009C3029"/>
    <w:rsid w:val="009C5C8A"/>
    <w:rsid w:val="009C7077"/>
    <w:rsid w:val="009D02B1"/>
    <w:rsid w:val="009D1023"/>
    <w:rsid w:val="009D2359"/>
    <w:rsid w:val="009D2DAB"/>
    <w:rsid w:val="009D4F98"/>
    <w:rsid w:val="009D7002"/>
    <w:rsid w:val="009E032B"/>
    <w:rsid w:val="009E099F"/>
    <w:rsid w:val="009E31BB"/>
    <w:rsid w:val="009E31DF"/>
    <w:rsid w:val="009E4756"/>
    <w:rsid w:val="009E7521"/>
    <w:rsid w:val="009E7A60"/>
    <w:rsid w:val="009F0604"/>
    <w:rsid w:val="009F0EE4"/>
    <w:rsid w:val="009F112B"/>
    <w:rsid w:val="009F45C6"/>
    <w:rsid w:val="009F5D17"/>
    <w:rsid w:val="00A01113"/>
    <w:rsid w:val="00A02519"/>
    <w:rsid w:val="00A040BA"/>
    <w:rsid w:val="00A04BA1"/>
    <w:rsid w:val="00A054FA"/>
    <w:rsid w:val="00A05A40"/>
    <w:rsid w:val="00A05F84"/>
    <w:rsid w:val="00A06A38"/>
    <w:rsid w:val="00A06A79"/>
    <w:rsid w:val="00A07DD5"/>
    <w:rsid w:val="00A1011F"/>
    <w:rsid w:val="00A119CC"/>
    <w:rsid w:val="00A12DDE"/>
    <w:rsid w:val="00A20523"/>
    <w:rsid w:val="00A2301D"/>
    <w:rsid w:val="00A271AF"/>
    <w:rsid w:val="00A308BF"/>
    <w:rsid w:val="00A33B9B"/>
    <w:rsid w:val="00A34CBF"/>
    <w:rsid w:val="00A41A00"/>
    <w:rsid w:val="00A43103"/>
    <w:rsid w:val="00A456C2"/>
    <w:rsid w:val="00A458F1"/>
    <w:rsid w:val="00A45D12"/>
    <w:rsid w:val="00A5135C"/>
    <w:rsid w:val="00A5219B"/>
    <w:rsid w:val="00A53102"/>
    <w:rsid w:val="00A546E2"/>
    <w:rsid w:val="00A5643F"/>
    <w:rsid w:val="00A56B75"/>
    <w:rsid w:val="00A56E1A"/>
    <w:rsid w:val="00A57398"/>
    <w:rsid w:val="00A57B1E"/>
    <w:rsid w:val="00A64184"/>
    <w:rsid w:val="00A649A5"/>
    <w:rsid w:val="00A65080"/>
    <w:rsid w:val="00A6548B"/>
    <w:rsid w:val="00A6692F"/>
    <w:rsid w:val="00A707FE"/>
    <w:rsid w:val="00A7494C"/>
    <w:rsid w:val="00A74EF2"/>
    <w:rsid w:val="00A752A5"/>
    <w:rsid w:val="00A75E26"/>
    <w:rsid w:val="00A81501"/>
    <w:rsid w:val="00A820D5"/>
    <w:rsid w:val="00A82388"/>
    <w:rsid w:val="00A83365"/>
    <w:rsid w:val="00A874BD"/>
    <w:rsid w:val="00A87CDD"/>
    <w:rsid w:val="00A87D5B"/>
    <w:rsid w:val="00A9054C"/>
    <w:rsid w:val="00A90E79"/>
    <w:rsid w:val="00A911E3"/>
    <w:rsid w:val="00A919A5"/>
    <w:rsid w:val="00A93EF1"/>
    <w:rsid w:val="00A94520"/>
    <w:rsid w:val="00A945FD"/>
    <w:rsid w:val="00A94638"/>
    <w:rsid w:val="00A95958"/>
    <w:rsid w:val="00A9705E"/>
    <w:rsid w:val="00A97763"/>
    <w:rsid w:val="00AA25EE"/>
    <w:rsid w:val="00AA324B"/>
    <w:rsid w:val="00AA6B72"/>
    <w:rsid w:val="00AA6B84"/>
    <w:rsid w:val="00AA6FCC"/>
    <w:rsid w:val="00AA7113"/>
    <w:rsid w:val="00AA744F"/>
    <w:rsid w:val="00AA7D5F"/>
    <w:rsid w:val="00AC6ADC"/>
    <w:rsid w:val="00AC7B2F"/>
    <w:rsid w:val="00AD0193"/>
    <w:rsid w:val="00AD1D09"/>
    <w:rsid w:val="00AD4FFD"/>
    <w:rsid w:val="00AD5449"/>
    <w:rsid w:val="00AD5CCE"/>
    <w:rsid w:val="00AD67D6"/>
    <w:rsid w:val="00AE66E7"/>
    <w:rsid w:val="00AE702E"/>
    <w:rsid w:val="00AE7E20"/>
    <w:rsid w:val="00AF2334"/>
    <w:rsid w:val="00AF3F0F"/>
    <w:rsid w:val="00AF5A16"/>
    <w:rsid w:val="00B01838"/>
    <w:rsid w:val="00B01BCD"/>
    <w:rsid w:val="00B04043"/>
    <w:rsid w:val="00B05B9E"/>
    <w:rsid w:val="00B07002"/>
    <w:rsid w:val="00B07E7B"/>
    <w:rsid w:val="00B144ED"/>
    <w:rsid w:val="00B14626"/>
    <w:rsid w:val="00B1538A"/>
    <w:rsid w:val="00B20283"/>
    <w:rsid w:val="00B24A5D"/>
    <w:rsid w:val="00B256A2"/>
    <w:rsid w:val="00B266AD"/>
    <w:rsid w:val="00B32A5A"/>
    <w:rsid w:val="00B36DDD"/>
    <w:rsid w:val="00B40ED2"/>
    <w:rsid w:val="00B41893"/>
    <w:rsid w:val="00B42241"/>
    <w:rsid w:val="00B429D3"/>
    <w:rsid w:val="00B479E8"/>
    <w:rsid w:val="00B5045D"/>
    <w:rsid w:val="00B52CE5"/>
    <w:rsid w:val="00B53D39"/>
    <w:rsid w:val="00B53D9D"/>
    <w:rsid w:val="00B556DB"/>
    <w:rsid w:val="00B55CEF"/>
    <w:rsid w:val="00B609C8"/>
    <w:rsid w:val="00B60DBE"/>
    <w:rsid w:val="00B61F81"/>
    <w:rsid w:val="00B62CC9"/>
    <w:rsid w:val="00B65FAB"/>
    <w:rsid w:val="00B66889"/>
    <w:rsid w:val="00B670D7"/>
    <w:rsid w:val="00B67B56"/>
    <w:rsid w:val="00B71230"/>
    <w:rsid w:val="00B741DD"/>
    <w:rsid w:val="00B75BE8"/>
    <w:rsid w:val="00B768BB"/>
    <w:rsid w:val="00B80E5C"/>
    <w:rsid w:val="00B81736"/>
    <w:rsid w:val="00B8279C"/>
    <w:rsid w:val="00B82875"/>
    <w:rsid w:val="00B82912"/>
    <w:rsid w:val="00B8451B"/>
    <w:rsid w:val="00B866B1"/>
    <w:rsid w:val="00B86789"/>
    <w:rsid w:val="00B86A20"/>
    <w:rsid w:val="00B8758A"/>
    <w:rsid w:val="00B9645C"/>
    <w:rsid w:val="00BA24A0"/>
    <w:rsid w:val="00BA485E"/>
    <w:rsid w:val="00BB4138"/>
    <w:rsid w:val="00BB4624"/>
    <w:rsid w:val="00BB4B94"/>
    <w:rsid w:val="00BB64C9"/>
    <w:rsid w:val="00BB69D4"/>
    <w:rsid w:val="00BB6A20"/>
    <w:rsid w:val="00BB7E4C"/>
    <w:rsid w:val="00BC0A32"/>
    <w:rsid w:val="00BC284A"/>
    <w:rsid w:val="00BC28CD"/>
    <w:rsid w:val="00BC5472"/>
    <w:rsid w:val="00BC5872"/>
    <w:rsid w:val="00BC6104"/>
    <w:rsid w:val="00BC6E17"/>
    <w:rsid w:val="00BC7E16"/>
    <w:rsid w:val="00BD02CC"/>
    <w:rsid w:val="00BD08CC"/>
    <w:rsid w:val="00BD0970"/>
    <w:rsid w:val="00BD32E5"/>
    <w:rsid w:val="00BD4842"/>
    <w:rsid w:val="00BD59DB"/>
    <w:rsid w:val="00BD619D"/>
    <w:rsid w:val="00BE0170"/>
    <w:rsid w:val="00BE240F"/>
    <w:rsid w:val="00BE3D87"/>
    <w:rsid w:val="00BE44D0"/>
    <w:rsid w:val="00BE5DBB"/>
    <w:rsid w:val="00BE6784"/>
    <w:rsid w:val="00BF0D4F"/>
    <w:rsid w:val="00BF1538"/>
    <w:rsid w:val="00BF1DB6"/>
    <w:rsid w:val="00BF3775"/>
    <w:rsid w:val="00BF462F"/>
    <w:rsid w:val="00BF7AB0"/>
    <w:rsid w:val="00C0437C"/>
    <w:rsid w:val="00C05B97"/>
    <w:rsid w:val="00C06B2F"/>
    <w:rsid w:val="00C1373A"/>
    <w:rsid w:val="00C15CE2"/>
    <w:rsid w:val="00C21952"/>
    <w:rsid w:val="00C21A85"/>
    <w:rsid w:val="00C21FC0"/>
    <w:rsid w:val="00C226BF"/>
    <w:rsid w:val="00C22BBD"/>
    <w:rsid w:val="00C243B3"/>
    <w:rsid w:val="00C2513E"/>
    <w:rsid w:val="00C2662B"/>
    <w:rsid w:val="00C3141B"/>
    <w:rsid w:val="00C325E9"/>
    <w:rsid w:val="00C33792"/>
    <w:rsid w:val="00C338EB"/>
    <w:rsid w:val="00C34192"/>
    <w:rsid w:val="00C34635"/>
    <w:rsid w:val="00C35635"/>
    <w:rsid w:val="00C35F03"/>
    <w:rsid w:val="00C3722F"/>
    <w:rsid w:val="00C37322"/>
    <w:rsid w:val="00C37469"/>
    <w:rsid w:val="00C418B4"/>
    <w:rsid w:val="00C453C9"/>
    <w:rsid w:val="00C45E10"/>
    <w:rsid w:val="00C46163"/>
    <w:rsid w:val="00C4766A"/>
    <w:rsid w:val="00C52D56"/>
    <w:rsid w:val="00C53022"/>
    <w:rsid w:val="00C533E9"/>
    <w:rsid w:val="00C54AFA"/>
    <w:rsid w:val="00C56AEA"/>
    <w:rsid w:val="00C6033D"/>
    <w:rsid w:val="00C61A29"/>
    <w:rsid w:val="00C652F3"/>
    <w:rsid w:val="00C6620E"/>
    <w:rsid w:val="00C669B8"/>
    <w:rsid w:val="00C67675"/>
    <w:rsid w:val="00C71181"/>
    <w:rsid w:val="00C71586"/>
    <w:rsid w:val="00C71D11"/>
    <w:rsid w:val="00C73702"/>
    <w:rsid w:val="00C74A3A"/>
    <w:rsid w:val="00C80A32"/>
    <w:rsid w:val="00C85BFC"/>
    <w:rsid w:val="00C87677"/>
    <w:rsid w:val="00C87CE3"/>
    <w:rsid w:val="00C90085"/>
    <w:rsid w:val="00C918D0"/>
    <w:rsid w:val="00C9287E"/>
    <w:rsid w:val="00C92DB8"/>
    <w:rsid w:val="00C933CA"/>
    <w:rsid w:val="00C9584A"/>
    <w:rsid w:val="00C96493"/>
    <w:rsid w:val="00C97867"/>
    <w:rsid w:val="00C979D3"/>
    <w:rsid w:val="00CA0B52"/>
    <w:rsid w:val="00CA18AB"/>
    <w:rsid w:val="00CA409F"/>
    <w:rsid w:val="00CA686B"/>
    <w:rsid w:val="00CA7DC2"/>
    <w:rsid w:val="00CB0546"/>
    <w:rsid w:val="00CB0830"/>
    <w:rsid w:val="00CB1396"/>
    <w:rsid w:val="00CB3832"/>
    <w:rsid w:val="00CB4F3D"/>
    <w:rsid w:val="00CB52EC"/>
    <w:rsid w:val="00CB5D4E"/>
    <w:rsid w:val="00CB701C"/>
    <w:rsid w:val="00CC118E"/>
    <w:rsid w:val="00CC16F4"/>
    <w:rsid w:val="00CC2006"/>
    <w:rsid w:val="00CC2933"/>
    <w:rsid w:val="00CC373E"/>
    <w:rsid w:val="00CC6A8E"/>
    <w:rsid w:val="00CD2764"/>
    <w:rsid w:val="00CD3BBA"/>
    <w:rsid w:val="00CE0FD6"/>
    <w:rsid w:val="00CE482C"/>
    <w:rsid w:val="00CE5441"/>
    <w:rsid w:val="00CE5F0F"/>
    <w:rsid w:val="00CE635D"/>
    <w:rsid w:val="00CE6C98"/>
    <w:rsid w:val="00CF030A"/>
    <w:rsid w:val="00CF06FA"/>
    <w:rsid w:val="00CF16AD"/>
    <w:rsid w:val="00CF2DBD"/>
    <w:rsid w:val="00CF5B6B"/>
    <w:rsid w:val="00CF692B"/>
    <w:rsid w:val="00CF7431"/>
    <w:rsid w:val="00CF7A7E"/>
    <w:rsid w:val="00D00E11"/>
    <w:rsid w:val="00D01E67"/>
    <w:rsid w:val="00D047E6"/>
    <w:rsid w:val="00D070CD"/>
    <w:rsid w:val="00D115A8"/>
    <w:rsid w:val="00D1460B"/>
    <w:rsid w:val="00D15B72"/>
    <w:rsid w:val="00D209FE"/>
    <w:rsid w:val="00D2303E"/>
    <w:rsid w:val="00D23892"/>
    <w:rsid w:val="00D24925"/>
    <w:rsid w:val="00D30C19"/>
    <w:rsid w:val="00D32584"/>
    <w:rsid w:val="00D33D69"/>
    <w:rsid w:val="00D352B8"/>
    <w:rsid w:val="00D35CEB"/>
    <w:rsid w:val="00D375AA"/>
    <w:rsid w:val="00D41801"/>
    <w:rsid w:val="00D42AFF"/>
    <w:rsid w:val="00D42F97"/>
    <w:rsid w:val="00D506AB"/>
    <w:rsid w:val="00D53C2D"/>
    <w:rsid w:val="00D53DDC"/>
    <w:rsid w:val="00D540DF"/>
    <w:rsid w:val="00D573FA"/>
    <w:rsid w:val="00D60A83"/>
    <w:rsid w:val="00D63846"/>
    <w:rsid w:val="00D65879"/>
    <w:rsid w:val="00D70218"/>
    <w:rsid w:val="00D70B36"/>
    <w:rsid w:val="00D73705"/>
    <w:rsid w:val="00D7447F"/>
    <w:rsid w:val="00D76517"/>
    <w:rsid w:val="00D770C3"/>
    <w:rsid w:val="00D77574"/>
    <w:rsid w:val="00D8197E"/>
    <w:rsid w:val="00D82CE7"/>
    <w:rsid w:val="00D844F7"/>
    <w:rsid w:val="00D849B2"/>
    <w:rsid w:val="00D85BAE"/>
    <w:rsid w:val="00D85F18"/>
    <w:rsid w:val="00D873C8"/>
    <w:rsid w:val="00D90782"/>
    <w:rsid w:val="00D91350"/>
    <w:rsid w:val="00D92408"/>
    <w:rsid w:val="00D969AD"/>
    <w:rsid w:val="00D96B94"/>
    <w:rsid w:val="00D9766F"/>
    <w:rsid w:val="00DA181F"/>
    <w:rsid w:val="00DA27DC"/>
    <w:rsid w:val="00DA2B6B"/>
    <w:rsid w:val="00DA3BC4"/>
    <w:rsid w:val="00DA3C43"/>
    <w:rsid w:val="00DA4CCD"/>
    <w:rsid w:val="00DA4D85"/>
    <w:rsid w:val="00DA72BE"/>
    <w:rsid w:val="00DB007E"/>
    <w:rsid w:val="00DB1931"/>
    <w:rsid w:val="00DB28A5"/>
    <w:rsid w:val="00DB3BE2"/>
    <w:rsid w:val="00DB409A"/>
    <w:rsid w:val="00DB4422"/>
    <w:rsid w:val="00DB631A"/>
    <w:rsid w:val="00DB699F"/>
    <w:rsid w:val="00DC232C"/>
    <w:rsid w:val="00DC62D6"/>
    <w:rsid w:val="00DC646D"/>
    <w:rsid w:val="00DC7F1F"/>
    <w:rsid w:val="00DD020B"/>
    <w:rsid w:val="00DD2044"/>
    <w:rsid w:val="00DD5EE0"/>
    <w:rsid w:val="00DD7FE8"/>
    <w:rsid w:val="00DE2E1D"/>
    <w:rsid w:val="00DE57DE"/>
    <w:rsid w:val="00DE6208"/>
    <w:rsid w:val="00DE76D3"/>
    <w:rsid w:val="00DF3258"/>
    <w:rsid w:val="00DF3DC7"/>
    <w:rsid w:val="00DF6281"/>
    <w:rsid w:val="00DF6887"/>
    <w:rsid w:val="00E0028A"/>
    <w:rsid w:val="00E002D5"/>
    <w:rsid w:val="00E0044A"/>
    <w:rsid w:val="00E0463A"/>
    <w:rsid w:val="00E0481B"/>
    <w:rsid w:val="00E076F9"/>
    <w:rsid w:val="00E1078C"/>
    <w:rsid w:val="00E142E3"/>
    <w:rsid w:val="00E147BE"/>
    <w:rsid w:val="00E17B66"/>
    <w:rsid w:val="00E17CA7"/>
    <w:rsid w:val="00E222E3"/>
    <w:rsid w:val="00E22A00"/>
    <w:rsid w:val="00E326C3"/>
    <w:rsid w:val="00E340EE"/>
    <w:rsid w:val="00E354DC"/>
    <w:rsid w:val="00E36A2E"/>
    <w:rsid w:val="00E3723E"/>
    <w:rsid w:val="00E41519"/>
    <w:rsid w:val="00E4193A"/>
    <w:rsid w:val="00E427CF"/>
    <w:rsid w:val="00E42F68"/>
    <w:rsid w:val="00E455FE"/>
    <w:rsid w:val="00E4628D"/>
    <w:rsid w:val="00E462D0"/>
    <w:rsid w:val="00E47D5C"/>
    <w:rsid w:val="00E53688"/>
    <w:rsid w:val="00E608A7"/>
    <w:rsid w:val="00E623DF"/>
    <w:rsid w:val="00E635D3"/>
    <w:rsid w:val="00E6380D"/>
    <w:rsid w:val="00E64B8D"/>
    <w:rsid w:val="00E655EE"/>
    <w:rsid w:val="00E67599"/>
    <w:rsid w:val="00E679E0"/>
    <w:rsid w:val="00E67E4D"/>
    <w:rsid w:val="00E709F7"/>
    <w:rsid w:val="00E71520"/>
    <w:rsid w:val="00E726A8"/>
    <w:rsid w:val="00E731BF"/>
    <w:rsid w:val="00E748B2"/>
    <w:rsid w:val="00E756E7"/>
    <w:rsid w:val="00E76EA5"/>
    <w:rsid w:val="00E77825"/>
    <w:rsid w:val="00E77B63"/>
    <w:rsid w:val="00E85283"/>
    <w:rsid w:val="00E86739"/>
    <w:rsid w:val="00E874E2"/>
    <w:rsid w:val="00E90F9C"/>
    <w:rsid w:val="00E91A40"/>
    <w:rsid w:val="00E9203D"/>
    <w:rsid w:val="00E92417"/>
    <w:rsid w:val="00E9259F"/>
    <w:rsid w:val="00E93B7B"/>
    <w:rsid w:val="00E950DB"/>
    <w:rsid w:val="00EA1A50"/>
    <w:rsid w:val="00EA36A9"/>
    <w:rsid w:val="00EA4109"/>
    <w:rsid w:val="00EA6A56"/>
    <w:rsid w:val="00EB1ADE"/>
    <w:rsid w:val="00EB1C15"/>
    <w:rsid w:val="00EB2D57"/>
    <w:rsid w:val="00EB375D"/>
    <w:rsid w:val="00EB54B3"/>
    <w:rsid w:val="00EC0B5F"/>
    <w:rsid w:val="00EC2692"/>
    <w:rsid w:val="00EC5F67"/>
    <w:rsid w:val="00ED00A2"/>
    <w:rsid w:val="00ED1101"/>
    <w:rsid w:val="00ED2FE0"/>
    <w:rsid w:val="00ED4E77"/>
    <w:rsid w:val="00ED6DB9"/>
    <w:rsid w:val="00ED75D0"/>
    <w:rsid w:val="00EE2663"/>
    <w:rsid w:val="00EE3685"/>
    <w:rsid w:val="00EE3B84"/>
    <w:rsid w:val="00EE6409"/>
    <w:rsid w:val="00EE7121"/>
    <w:rsid w:val="00EE7C14"/>
    <w:rsid w:val="00EF0902"/>
    <w:rsid w:val="00EF0BF2"/>
    <w:rsid w:val="00EF3BA8"/>
    <w:rsid w:val="00EF4F2F"/>
    <w:rsid w:val="00EF7079"/>
    <w:rsid w:val="00F02C10"/>
    <w:rsid w:val="00F03A30"/>
    <w:rsid w:val="00F060A7"/>
    <w:rsid w:val="00F06637"/>
    <w:rsid w:val="00F070A0"/>
    <w:rsid w:val="00F1016B"/>
    <w:rsid w:val="00F105BF"/>
    <w:rsid w:val="00F11104"/>
    <w:rsid w:val="00F16F1F"/>
    <w:rsid w:val="00F21830"/>
    <w:rsid w:val="00F21844"/>
    <w:rsid w:val="00F247C0"/>
    <w:rsid w:val="00F2538D"/>
    <w:rsid w:val="00F26426"/>
    <w:rsid w:val="00F329E6"/>
    <w:rsid w:val="00F3419F"/>
    <w:rsid w:val="00F3738C"/>
    <w:rsid w:val="00F410C6"/>
    <w:rsid w:val="00F420BD"/>
    <w:rsid w:val="00F42BF7"/>
    <w:rsid w:val="00F4390F"/>
    <w:rsid w:val="00F440CC"/>
    <w:rsid w:val="00F4631B"/>
    <w:rsid w:val="00F47FC0"/>
    <w:rsid w:val="00F503AB"/>
    <w:rsid w:val="00F50B93"/>
    <w:rsid w:val="00F52871"/>
    <w:rsid w:val="00F533DB"/>
    <w:rsid w:val="00F535CC"/>
    <w:rsid w:val="00F54405"/>
    <w:rsid w:val="00F55C84"/>
    <w:rsid w:val="00F569A4"/>
    <w:rsid w:val="00F6096B"/>
    <w:rsid w:val="00F60F12"/>
    <w:rsid w:val="00F665F5"/>
    <w:rsid w:val="00F673B9"/>
    <w:rsid w:val="00F70013"/>
    <w:rsid w:val="00F72AAC"/>
    <w:rsid w:val="00F748D9"/>
    <w:rsid w:val="00F76A01"/>
    <w:rsid w:val="00F8149F"/>
    <w:rsid w:val="00F81845"/>
    <w:rsid w:val="00F81F3C"/>
    <w:rsid w:val="00F82E4C"/>
    <w:rsid w:val="00F849DD"/>
    <w:rsid w:val="00F90CAD"/>
    <w:rsid w:val="00F9362A"/>
    <w:rsid w:val="00F93FB1"/>
    <w:rsid w:val="00F95280"/>
    <w:rsid w:val="00F955B8"/>
    <w:rsid w:val="00F96965"/>
    <w:rsid w:val="00FA2CA4"/>
    <w:rsid w:val="00FA4E87"/>
    <w:rsid w:val="00FA56E6"/>
    <w:rsid w:val="00FA5950"/>
    <w:rsid w:val="00FA7486"/>
    <w:rsid w:val="00FA7DE6"/>
    <w:rsid w:val="00FB0375"/>
    <w:rsid w:val="00FB15EB"/>
    <w:rsid w:val="00FB2212"/>
    <w:rsid w:val="00FB3D41"/>
    <w:rsid w:val="00FB603A"/>
    <w:rsid w:val="00FB646E"/>
    <w:rsid w:val="00FB6871"/>
    <w:rsid w:val="00FC27F9"/>
    <w:rsid w:val="00FC3DA0"/>
    <w:rsid w:val="00FC4E04"/>
    <w:rsid w:val="00FC5A2F"/>
    <w:rsid w:val="00FC6D95"/>
    <w:rsid w:val="00FC6E9E"/>
    <w:rsid w:val="00FC7940"/>
    <w:rsid w:val="00FD1DB2"/>
    <w:rsid w:val="00FD2A67"/>
    <w:rsid w:val="00FD3950"/>
    <w:rsid w:val="00FD5874"/>
    <w:rsid w:val="00FD5A58"/>
    <w:rsid w:val="00FD5CB7"/>
    <w:rsid w:val="00FD5CCD"/>
    <w:rsid w:val="00FE00D7"/>
    <w:rsid w:val="00FE0248"/>
    <w:rsid w:val="00FE05B0"/>
    <w:rsid w:val="00FE0733"/>
    <w:rsid w:val="00FE0CB3"/>
    <w:rsid w:val="00FE0DB4"/>
    <w:rsid w:val="00FE17B5"/>
    <w:rsid w:val="00FE3808"/>
    <w:rsid w:val="00FE4939"/>
    <w:rsid w:val="00FF1872"/>
    <w:rsid w:val="00FF3CF1"/>
    <w:rsid w:val="00FF6198"/>
    <w:rsid w:val="00FF631A"/>
    <w:rsid w:val="00FF6635"/>
    <w:rsid w:val="012A58A7"/>
    <w:rsid w:val="02273DE4"/>
    <w:rsid w:val="029D315A"/>
    <w:rsid w:val="030E4222"/>
    <w:rsid w:val="03191393"/>
    <w:rsid w:val="03BE0C88"/>
    <w:rsid w:val="04502590"/>
    <w:rsid w:val="048704E5"/>
    <w:rsid w:val="04B01ED9"/>
    <w:rsid w:val="0568558F"/>
    <w:rsid w:val="05E86095"/>
    <w:rsid w:val="06D25D4A"/>
    <w:rsid w:val="074459ED"/>
    <w:rsid w:val="09C117CF"/>
    <w:rsid w:val="0AA51080"/>
    <w:rsid w:val="0AAB00B6"/>
    <w:rsid w:val="0AF23738"/>
    <w:rsid w:val="0BDE16D9"/>
    <w:rsid w:val="0C5B774A"/>
    <w:rsid w:val="0CE07A76"/>
    <w:rsid w:val="0E265DBB"/>
    <w:rsid w:val="0E662D49"/>
    <w:rsid w:val="108269B8"/>
    <w:rsid w:val="112309BD"/>
    <w:rsid w:val="112B149B"/>
    <w:rsid w:val="11F61489"/>
    <w:rsid w:val="12D73640"/>
    <w:rsid w:val="13643347"/>
    <w:rsid w:val="13975FB7"/>
    <w:rsid w:val="13B96293"/>
    <w:rsid w:val="14774504"/>
    <w:rsid w:val="14E66BC4"/>
    <w:rsid w:val="150B7653"/>
    <w:rsid w:val="1514752E"/>
    <w:rsid w:val="15885004"/>
    <w:rsid w:val="158F7989"/>
    <w:rsid w:val="15ED3695"/>
    <w:rsid w:val="167664B7"/>
    <w:rsid w:val="16C67932"/>
    <w:rsid w:val="17585D81"/>
    <w:rsid w:val="18B05BB9"/>
    <w:rsid w:val="190A0F56"/>
    <w:rsid w:val="19244719"/>
    <w:rsid w:val="19597D63"/>
    <w:rsid w:val="1A2945A3"/>
    <w:rsid w:val="1A5F6A6D"/>
    <w:rsid w:val="1BCA0068"/>
    <w:rsid w:val="1C452CDE"/>
    <w:rsid w:val="1D59240A"/>
    <w:rsid w:val="1DE9352C"/>
    <w:rsid w:val="1EFF549B"/>
    <w:rsid w:val="1FDC30BA"/>
    <w:rsid w:val="1FF9683E"/>
    <w:rsid w:val="20354B47"/>
    <w:rsid w:val="20545995"/>
    <w:rsid w:val="212C7ECB"/>
    <w:rsid w:val="218E68BA"/>
    <w:rsid w:val="21AB5DF8"/>
    <w:rsid w:val="21E970DC"/>
    <w:rsid w:val="2281696D"/>
    <w:rsid w:val="2306496B"/>
    <w:rsid w:val="23A84AEB"/>
    <w:rsid w:val="23D91BE1"/>
    <w:rsid w:val="23E17175"/>
    <w:rsid w:val="24FB04BC"/>
    <w:rsid w:val="25862AC8"/>
    <w:rsid w:val="26DB43CC"/>
    <w:rsid w:val="26E30487"/>
    <w:rsid w:val="27236949"/>
    <w:rsid w:val="27574876"/>
    <w:rsid w:val="279E5712"/>
    <w:rsid w:val="27A5386B"/>
    <w:rsid w:val="28C70AE1"/>
    <w:rsid w:val="29272709"/>
    <w:rsid w:val="2A4651B7"/>
    <w:rsid w:val="2A876E11"/>
    <w:rsid w:val="2ADB4FDA"/>
    <w:rsid w:val="2ADE7806"/>
    <w:rsid w:val="2B273302"/>
    <w:rsid w:val="2B396F7F"/>
    <w:rsid w:val="2B527B99"/>
    <w:rsid w:val="2BD91AA5"/>
    <w:rsid w:val="2C804889"/>
    <w:rsid w:val="2C8A2E71"/>
    <w:rsid w:val="2D386E39"/>
    <w:rsid w:val="2D5D1B00"/>
    <w:rsid w:val="2D92516C"/>
    <w:rsid w:val="2F0E15A6"/>
    <w:rsid w:val="2F4661BB"/>
    <w:rsid w:val="314E7B7B"/>
    <w:rsid w:val="31C267F2"/>
    <w:rsid w:val="32153F9A"/>
    <w:rsid w:val="32654A6C"/>
    <w:rsid w:val="335241C4"/>
    <w:rsid w:val="33CA19D4"/>
    <w:rsid w:val="3400557D"/>
    <w:rsid w:val="34DA2E83"/>
    <w:rsid w:val="35885A4F"/>
    <w:rsid w:val="35A63B4F"/>
    <w:rsid w:val="35BB6F04"/>
    <w:rsid w:val="360D204B"/>
    <w:rsid w:val="363B644E"/>
    <w:rsid w:val="365D0F0C"/>
    <w:rsid w:val="36AF50F6"/>
    <w:rsid w:val="375E40E0"/>
    <w:rsid w:val="380F5B20"/>
    <w:rsid w:val="382C49E1"/>
    <w:rsid w:val="383F7AE9"/>
    <w:rsid w:val="38F63128"/>
    <w:rsid w:val="39904B26"/>
    <w:rsid w:val="39BC2D23"/>
    <w:rsid w:val="3A0E6975"/>
    <w:rsid w:val="3A452926"/>
    <w:rsid w:val="3A55074B"/>
    <w:rsid w:val="3A59650C"/>
    <w:rsid w:val="3AD71D8A"/>
    <w:rsid w:val="3AE31AD1"/>
    <w:rsid w:val="3B260355"/>
    <w:rsid w:val="3C2A45D1"/>
    <w:rsid w:val="3C321707"/>
    <w:rsid w:val="3C7D0021"/>
    <w:rsid w:val="3CAB2E02"/>
    <w:rsid w:val="3CAF4CC4"/>
    <w:rsid w:val="3D9655B0"/>
    <w:rsid w:val="3E4668D1"/>
    <w:rsid w:val="3EC12CF1"/>
    <w:rsid w:val="3ED34623"/>
    <w:rsid w:val="3EF70B45"/>
    <w:rsid w:val="3F1E669B"/>
    <w:rsid w:val="3F750F05"/>
    <w:rsid w:val="3FF80285"/>
    <w:rsid w:val="4024789D"/>
    <w:rsid w:val="40B14FC2"/>
    <w:rsid w:val="40FB5077"/>
    <w:rsid w:val="410D00C1"/>
    <w:rsid w:val="4171348E"/>
    <w:rsid w:val="41DF31BC"/>
    <w:rsid w:val="4258146C"/>
    <w:rsid w:val="42D3314A"/>
    <w:rsid w:val="432376FA"/>
    <w:rsid w:val="43265E75"/>
    <w:rsid w:val="439D0DAA"/>
    <w:rsid w:val="441C372C"/>
    <w:rsid w:val="44733F8C"/>
    <w:rsid w:val="44CE6E4A"/>
    <w:rsid w:val="44E7409E"/>
    <w:rsid w:val="453F58FF"/>
    <w:rsid w:val="45BF27A6"/>
    <w:rsid w:val="46373BCC"/>
    <w:rsid w:val="464A5B86"/>
    <w:rsid w:val="468C49C7"/>
    <w:rsid w:val="47504DA7"/>
    <w:rsid w:val="47591C72"/>
    <w:rsid w:val="47E31925"/>
    <w:rsid w:val="48D72771"/>
    <w:rsid w:val="49281B4A"/>
    <w:rsid w:val="4A544DA2"/>
    <w:rsid w:val="4A9E2014"/>
    <w:rsid w:val="4BBC0C4D"/>
    <w:rsid w:val="4BDB21DD"/>
    <w:rsid w:val="4C3075BA"/>
    <w:rsid w:val="4D3F498E"/>
    <w:rsid w:val="4E1557EF"/>
    <w:rsid w:val="4F79702A"/>
    <w:rsid w:val="50FE6F55"/>
    <w:rsid w:val="518A7C93"/>
    <w:rsid w:val="51905BB3"/>
    <w:rsid w:val="51CB3A5C"/>
    <w:rsid w:val="5222603D"/>
    <w:rsid w:val="522D1241"/>
    <w:rsid w:val="528A58A1"/>
    <w:rsid w:val="539A1DA8"/>
    <w:rsid w:val="53EE7B52"/>
    <w:rsid w:val="55307887"/>
    <w:rsid w:val="5540344C"/>
    <w:rsid w:val="556E2C73"/>
    <w:rsid w:val="557B27B3"/>
    <w:rsid w:val="56B92464"/>
    <w:rsid w:val="570B7A16"/>
    <w:rsid w:val="5772283A"/>
    <w:rsid w:val="579D6D44"/>
    <w:rsid w:val="57F20780"/>
    <w:rsid w:val="5863333A"/>
    <w:rsid w:val="589A766A"/>
    <w:rsid w:val="5C20760E"/>
    <w:rsid w:val="5D46181B"/>
    <w:rsid w:val="5D650ECF"/>
    <w:rsid w:val="5D922388"/>
    <w:rsid w:val="5DF8181C"/>
    <w:rsid w:val="5ED335D9"/>
    <w:rsid w:val="606B51AB"/>
    <w:rsid w:val="60A41434"/>
    <w:rsid w:val="615F634A"/>
    <w:rsid w:val="61CF1E0E"/>
    <w:rsid w:val="6331572B"/>
    <w:rsid w:val="6377068E"/>
    <w:rsid w:val="63A02DCE"/>
    <w:rsid w:val="64384738"/>
    <w:rsid w:val="64393CF3"/>
    <w:rsid w:val="6471224A"/>
    <w:rsid w:val="64BF552A"/>
    <w:rsid w:val="6547349F"/>
    <w:rsid w:val="66152565"/>
    <w:rsid w:val="66577775"/>
    <w:rsid w:val="665E4BDE"/>
    <w:rsid w:val="66A51361"/>
    <w:rsid w:val="672B6A84"/>
    <w:rsid w:val="672F7DD0"/>
    <w:rsid w:val="67866389"/>
    <w:rsid w:val="68B51B65"/>
    <w:rsid w:val="68D11506"/>
    <w:rsid w:val="68D979A5"/>
    <w:rsid w:val="69C200B3"/>
    <w:rsid w:val="69FB573C"/>
    <w:rsid w:val="6A2D54D0"/>
    <w:rsid w:val="6A3375C5"/>
    <w:rsid w:val="6A37528D"/>
    <w:rsid w:val="6A450281"/>
    <w:rsid w:val="6A456658"/>
    <w:rsid w:val="6AD76FB5"/>
    <w:rsid w:val="6C6A27E8"/>
    <w:rsid w:val="6C9C08AB"/>
    <w:rsid w:val="6CC2428D"/>
    <w:rsid w:val="6CF84619"/>
    <w:rsid w:val="6CFF5543"/>
    <w:rsid w:val="6D9628F3"/>
    <w:rsid w:val="6EBE7563"/>
    <w:rsid w:val="713C6C5E"/>
    <w:rsid w:val="71681135"/>
    <w:rsid w:val="717B5234"/>
    <w:rsid w:val="71BB4152"/>
    <w:rsid w:val="720133F0"/>
    <w:rsid w:val="721760B7"/>
    <w:rsid w:val="721D4C66"/>
    <w:rsid w:val="728A772A"/>
    <w:rsid w:val="72DC50BD"/>
    <w:rsid w:val="72E3585E"/>
    <w:rsid w:val="731C17AC"/>
    <w:rsid w:val="731C21EA"/>
    <w:rsid w:val="735F3FD4"/>
    <w:rsid w:val="73DF1451"/>
    <w:rsid w:val="757F431F"/>
    <w:rsid w:val="7591693F"/>
    <w:rsid w:val="75CC0F9E"/>
    <w:rsid w:val="75CE1AFE"/>
    <w:rsid w:val="76AD7DBE"/>
    <w:rsid w:val="784A5B23"/>
    <w:rsid w:val="78740EEC"/>
    <w:rsid w:val="78F52216"/>
    <w:rsid w:val="792553EE"/>
    <w:rsid w:val="79B67FEC"/>
    <w:rsid w:val="7A131891"/>
    <w:rsid w:val="7A301431"/>
    <w:rsid w:val="7A390F70"/>
    <w:rsid w:val="7B2E5E70"/>
    <w:rsid w:val="7BAD252A"/>
    <w:rsid w:val="7C1A4147"/>
    <w:rsid w:val="7CCA353F"/>
    <w:rsid w:val="7CD66F65"/>
    <w:rsid w:val="7D1746D9"/>
    <w:rsid w:val="7D9210EB"/>
    <w:rsid w:val="7D9639EA"/>
    <w:rsid w:val="7DA064A5"/>
    <w:rsid w:val="7E541BDD"/>
    <w:rsid w:val="7EEC7896"/>
    <w:rsid w:val="7F62191B"/>
    <w:rsid w:val="7F9D3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qFormat/>
    <w:uiPriority w:val="1"/>
    <w:pPr>
      <w:spacing w:before="33"/>
      <w:ind w:left="4141" w:hanging="4563"/>
      <w:outlineLvl w:val="0"/>
    </w:pPr>
    <w:rPr>
      <w:rFonts w:ascii="黑体" w:hAnsi="黑体" w:eastAsia="黑体" w:cs="黑体"/>
      <w:sz w:val="44"/>
      <w:szCs w:val="44"/>
    </w:rPr>
  </w:style>
  <w:style w:type="paragraph" w:styleId="5">
    <w:name w:val="heading 2"/>
    <w:basedOn w:val="1"/>
    <w:next w:val="6"/>
    <w:qFormat/>
    <w:uiPriority w:val="1"/>
    <w:pPr>
      <w:ind w:left="750" w:hanging="453"/>
      <w:outlineLvl w:val="1"/>
    </w:pPr>
    <w:rPr>
      <w:sz w:val="30"/>
      <w:szCs w:val="30"/>
    </w:rPr>
  </w:style>
  <w:style w:type="paragraph" w:styleId="7">
    <w:name w:val="heading 3"/>
    <w:basedOn w:val="1"/>
    <w:next w:val="1"/>
    <w:qFormat/>
    <w:uiPriority w:val="1"/>
    <w:pPr>
      <w:ind w:left="892" w:hanging="721"/>
      <w:outlineLvl w:val="2"/>
    </w:pPr>
    <w:rPr>
      <w:b/>
      <w:bCs/>
      <w:sz w:val="24"/>
      <w:szCs w:val="24"/>
    </w:rPr>
  </w:style>
  <w:style w:type="paragraph" w:styleId="8">
    <w:name w:val="heading 4"/>
    <w:basedOn w:val="1"/>
    <w:next w:val="1"/>
    <w:link w:val="82"/>
    <w:unhideWhenUsed/>
    <w:qFormat/>
    <w:uiPriority w:val="9"/>
    <w:pPr>
      <w:keepNext/>
      <w:keepLines/>
      <w:autoSpaceDE/>
      <w:autoSpaceDN/>
      <w:spacing w:before="280" w:after="290" w:line="376" w:lineRule="auto"/>
      <w:jc w:val="both"/>
      <w:outlineLvl w:val="3"/>
    </w:pPr>
    <w:rPr>
      <w:rFonts w:ascii="Cambria" w:hAnsi="Cambria" w:cs="Times New Roman"/>
      <w:b/>
      <w:bCs/>
      <w:kern w:val="2"/>
      <w:sz w:val="28"/>
      <w:szCs w:val="28"/>
      <w:lang w:val="en-US" w:bidi="ar-SA"/>
    </w:rPr>
  </w:style>
  <w:style w:type="character" w:default="1" w:styleId="34">
    <w:name w:val="Default Paragraph Font"/>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表格内"/>
    <w:basedOn w:val="3"/>
    <w:next w:val="1"/>
    <w:link w:val="86"/>
    <w:qFormat/>
    <w:uiPriority w:val="0"/>
    <w:pPr>
      <w:tabs>
        <w:tab w:val="left" w:pos="3480"/>
      </w:tabs>
      <w:spacing w:line="360" w:lineRule="exact"/>
    </w:pPr>
    <w:rPr>
      <w:sz w:val="21"/>
      <w:szCs w:val="21"/>
    </w:rPr>
  </w:style>
  <w:style w:type="paragraph" w:styleId="3">
    <w:name w:val="List"/>
    <w:basedOn w:val="1"/>
    <w:next w:val="1"/>
    <w:qFormat/>
    <w:uiPriority w:val="0"/>
    <w:pPr>
      <w:tabs>
        <w:tab w:val="left" w:pos="3480"/>
      </w:tabs>
      <w:spacing w:beforeLines="50"/>
      <w:jc w:val="center"/>
    </w:pPr>
    <w:rPr>
      <w:rFonts w:eastAsia="黑体"/>
    </w:rPr>
  </w:style>
  <w:style w:type="paragraph" w:styleId="6">
    <w:name w:val="Normal Indent"/>
    <w:basedOn w:val="1"/>
    <w:qFormat/>
    <w:uiPriority w:val="0"/>
    <w:pPr>
      <w:spacing w:line="360" w:lineRule="exact"/>
      <w:ind w:firstLine="510"/>
    </w:pPr>
  </w:style>
  <w:style w:type="paragraph" w:styleId="9">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val="en-US" w:bidi="ar-SA"/>
    </w:rPr>
  </w:style>
  <w:style w:type="paragraph" w:styleId="10">
    <w:name w:val="List Number 2"/>
    <w:basedOn w:val="1"/>
    <w:qFormat/>
    <w:uiPriority w:val="0"/>
    <w:pPr>
      <w:numPr>
        <w:ilvl w:val="0"/>
        <w:numId w:val="1"/>
      </w:numPr>
      <w:tabs>
        <w:tab w:val="left" w:pos="360"/>
        <w:tab w:val="clear" w:pos="780"/>
      </w:tabs>
      <w:ind w:left="0" w:leftChars="0" w:firstLine="0" w:firstLineChars="0"/>
      <w:contextualSpacing/>
    </w:pPr>
  </w:style>
  <w:style w:type="paragraph" w:styleId="11">
    <w:name w:val="annotation text"/>
    <w:basedOn w:val="1"/>
    <w:link w:val="65"/>
    <w:qFormat/>
    <w:uiPriority w:val="99"/>
  </w:style>
  <w:style w:type="paragraph" w:styleId="12">
    <w:name w:val="Salutation"/>
    <w:basedOn w:val="1"/>
    <w:next w:val="1"/>
    <w:link w:val="89"/>
    <w:qFormat/>
    <w:uiPriority w:val="0"/>
  </w:style>
  <w:style w:type="paragraph" w:styleId="13">
    <w:name w:val="Closing"/>
    <w:basedOn w:val="1"/>
    <w:link w:val="97"/>
    <w:qFormat/>
    <w:uiPriority w:val="0"/>
    <w:pPr>
      <w:ind w:left="100" w:leftChars="2100"/>
    </w:pPr>
  </w:style>
  <w:style w:type="paragraph" w:styleId="14">
    <w:name w:val="Body Text"/>
    <w:basedOn w:val="1"/>
    <w:link w:val="91"/>
    <w:qFormat/>
    <w:uiPriority w:val="1"/>
    <w:rPr>
      <w:sz w:val="28"/>
      <w:szCs w:val="28"/>
    </w:rPr>
  </w:style>
  <w:style w:type="paragraph" w:styleId="15">
    <w:name w:val="Body Text Indent"/>
    <w:basedOn w:val="1"/>
    <w:link w:val="84"/>
    <w:qFormat/>
    <w:uiPriority w:val="0"/>
    <w:pPr>
      <w:spacing w:after="120"/>
      <w:ind w:left="420" w:leftChars="200"/>
    </w:pPr>
  </w:style>
  <w:style w:type="paragraph" w:styleId="16">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val="en-US" w:bidi="ar-SA"/>
    </w:rPr>
  </w:style>
  <w:style w:type="paragraph" w:styleId="17">
    <w:name w:val="toc 3"/>
    <w:basedOn w:val="1"/>
    <w:next w:val="1"/>
    <w:qFormat/>
    <w:uiPriority w:val="39"/>
    <w:pPr>
      <w:ind w:left="840" w:leftChars="400"/>
    </w:pPr>
  </w:style>
  <w:style w:type="paragraph" w:styleId="18">
    <w:name w:val="Plain Text"/>
    <w:basedOn w:val="1"/>
    <w:link w:val="83"/>
    <w:qFormat/>
    <w:uiPriority w:val="0"/>
    <w:rPr>
      <w:rFonts w:hAnsi="Courier New" w:cs="Courier New"/>
      <w:sz w:val="21"/>
      <w:szCs w:val="21"/>
    </w:rPr>
  </w:style>
  <w:style w:type="paragraph" w:styleId="19">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val="en-US" w:bidi="ar-SA"/>
    </w:rPr>
  </w:style>
  <w:style w:type="paragraph" w:styleId="20">
    <w:name w:val="Date"/>
    <w:basedOn w:val="1"/>
    <w:next w:val="1"/>
    <w:link w:val="96"/>
    <w:qFormat/>
    <w:uiPriority w:val="0"/>
    <w:pPr>
      <w:ind w:left="100" w:leftChars="2500"/>
    </w:pPr>
  </w:style>
  <w:style w:type="paragraph" w:styleId="21">
    <w:name w:val="Balloon Text"/>
    <w:basedOn w:val="1"/>
    <w:link w:val="64"/>
    <w:qFormat/>
    <w:uiPriority w:val="0"/>
    <w:rPr>
      <w:sz w:val="18"/>
      <w:szCs w:val="18"/>
    </w:rPr>
  </w:style>
  <w:style w:type="paragraph" w:styleId="22">
    <w:name w:val="footer"/>
    <w:basedOn w:val="1"/>
    <w:qFormat/>
    <w:uiPriority w:val="0"/>
    <w:pPr>
      <w:tabs>
        <w:tab w:val="center" w:pos="4153"/>
        <w:tab w:val="right" w:pos="8306"/>
      </w:tabs>
      <w:snapToGrid w:val="0"/>
    </w:pPr>
    <w:rPr>
      <w:sz w:val="18"/>
    </w:r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24">
    <w:name w:val="toc 1"/>
    <w:basedOn w:val="1"/>
    <w:next w:val="1"/>
    <w:qFormat/>
    <w:uiPriority w:val="39"/>
    <w:pPr>
      <w:spacing w:before="155"/>
      <w:ind w:left="479" w:hanging="182"/>
    </w:pPr>
    <w:rPr>
      <w:b/>
      <w:bCs/>
      <w:sz w:val="24"/>
      <w:szCs w:val="24"/>
    </w:rPr>
  </w:style>
  <w:style w:type="paragraph" w:styleId="25">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val="en-US" w:bidi="ar-SA"/>
    </w:rPr>
  </w:style>
  <w:style w:type="paragraph" w:styleId="26">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val="en-US" w:bidi="ar-SA"/>
    </w:rPr>
  </w:style>
  <w:style w:type="paragraph" w:styleId="27">
    <w:name w:val="toc 2"/>
    <w:basedOn w:val="1"/>
    <w:next w:val="1"/>
    <w:qFormat/>
    <w:uiPriority w:val="39"/>
    <w:pPr>
      <w:spacing w:before="192"/>
      <w:ind w:left="663" w:hanging="361"/>
    </w:pPr>
    <w:rPr>
      <w:b/>
      <w:bCs/>
      <w:sz w:val="24"/>
      <w:szCs w:val="24"/>
    </w:rPr>
  </w:style>
  <w:style w:type="paragraph" w:styleId="28">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val="en-US" w:bidi="ar-SA"/>
    </w:rPr>
  </w:style>
  <w:style w:type="paragraph" w:styleId="29">
    <w:name w:val="Normal (Web)"/>
    <w:basedOn w:val="1"/>
    <w:qFormat/>
    <w:uiPriority w:val="0"/>
    <w:pPr>
      <w:widowControl/>
      <w:spacing w:before="100" w:beforeAutospacing="1" w:after="100" w:afterAutospacing="1"/>
    </w:pPr>
    <w:rPr>
      <w:szCs w:val="24"/>
    </w:rPr>
  </w:style>
  <w:style w:type="paragraph" w:styleId="30">
    <w:name w:val="annotation subject"/>
    <w:basedOn w:val="11"/>
    <w:next w:val="11"/>
    <w:link w:val="66"/>
    <w:qFormat/>
    <w:uiPriority w:val="0"/>
    <w:rPr>
      <w:b/>
      <w:bCs/>
    </w:rPr>
  </w:style>
  <w:style w:type="paragraph" w:styleId="31">
    <w:name w:val="Body Text First Indent 2"/>
    <w:basedOn w:val="15"/>
    <w:link w:val="85"/>
    <w:qFormat/>
    <w:uiPriority w:val="0"/>
    <w:pPr>
      <w:ind w:firstLine="420" w:firstLineChars="200"/>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FollowedHyperlink"/>
    <w:unhideWhenUsed/>
    <w:qFormat/>
    <w:uiPriority w:val="99"/>
    <w:rPr>
      <w:rFonts w:ascii="Times New Roman" w:hAnsi="Times New Roman" w:cs="Times New Roman"/>
      <w:color w:val="333333"/>
      <w:kern w:val="2"/>
      <w:sz w:val="21"/>
      <w:szCs w:val="21"/>
      <w:u w:val="none"/>
    </w:rPr>
  </w:style>
  <w:style w:type="character" w:styleId="36">
    <w:name w:val="Emphasis"/>
    <w:qFormat/>
    <w:uiPriority w:val="99"/>
    <w:rPr>
      <w:rFonts w:cs="Times New Roman"/>
      <w:i/>
      <w:iCs/>
    </w:rPr>
  </w:style>
  <w:style w:type="character" w:styleId="37">
    <w:name w:val="HTML Variable"/>
    <w:qFormat/>
    <w:uiPriority w:val="0"/>
    <w:rPr>
      <w:i/>
      <w:iCs/>
    </w:rPr>
  </w:style>
  <w:style w:type="character" w:styleId="38">
    <w:name w:val="Hyperlink"/>
    <w:basedOn w:val="34"/>
    <w:qFormat/>
    <w:uiPriority w:val="99"/>
    <w:rPr>
      <w:color w:val="0000FF"/>
      <w:u w:val="single"/>
    </w:rPr>
  </w:style>
  <w:style w:type="character" w:styleId="39">
    <w:name w:val="annotation reference"/>
    <w:qFormat/>
    <w:uiPriority w:val="0"/>
    <w:rPr>
      <w:sz w:val="21"/>
      <w:szCs w:val="21"/>
    </w:rPr>
  </w:style>
  <w:style w:type="paragraph" w:customStyle="1" w:styleId="40">
    <w:name w:val="Default"/>
    <w:basedOn w:val="41"/>
    <w:next w:val="1"/>
    <w:qFormat/>
    <w:uiPriority w:val="0"/>
    <w:pPr>
      <w:adjustRightInd w:val="0"/>
    </w:pPr>
    <w:rPr>
      <w:rFonts w:hAnsi="Times New Roman" w:eastAsia="宋体"/>
      <w:color w:val="000000"/>
      <w:sz w:val="24"/>
      <w:szCs w:val="24"/>
      <w:lang w:val="en-US" w:bidi="ar-SA"/>
    </w:rPr>
  </w:style>
  <w:style w:type="paragraph" w:customStyle="1" w:styleId="41">
    <w:name w:val="表头"/>
    <w:basedOn w:val="27"/>
    <w:next w:val="1"/>
    <w:qFormat/>
    <w:uiPriority w:val="0"/>
    <w:pPr>
      <w:jc w:val="center"/>
    </w:pPr>
    <w:rPr>
      <w:rFonts w:eastAsia="黑体"/>
    </w:rPr>
  </w:style>
  <w:style w:type="paragraph" w:customStyle="1" w:styleId="42">
    <w:name w:val="表名1"/>
    <w:basedOn w:val="1"/>
    <w:qFormat/>
    <w:uiPriority w:val="0"/>
    <w:pPr>
      <w:spacing w:beforeLines="50" w:afterLines="20"/>
      <w:jc w:val="center"/>
    </w:pPr>
    <w:rPr>
      <w:rFonts w:ascii="仿宋" w:hAnsi="仿宋" w:eastAsia="仿宋"/>
      <w:b/>
      <w:kern w:val="2"/>
    </w:rPr>
  </w:style>
  <w:style w:type="paragraph" w:customStyle="1" w:styleId="43">
    <w:name w:val="正文格式"/>
    <w:basedOn w:val="1"/>
    <w:next w:val="1"/>
    <w:link w:val="99"/>
    <w:qFormat/>
    <w:uiPriority w:val="0"/>
    <w:pPr>
      <w:ind w:firstLine="482"/>
    </w:pPr>
    <w:rPr>
      <w:szCs w:val="24"/>
    </w:rPr>
  </w:style>
  <w:style w:type="table" w:customStyle="1" w:styleId="44">
    <w:name w:val="Table Normal"/>
    <w:semiHidden/>
    <w:unhideWhenUsed/>
    <w:qFormat/>
    <w:uiPriority w:val="2"/>
    <w:tblPr>
      <w:tblCellMar>
        <w:top w:w="0" w:type="dxa"/>
        <w:left w:w="0" w:type="dxa"/>
        <w:bottom w:w="0" w:type="dxa"/>
        <w:right w:w="0" w:type="dxa"/>
      </w:tblCellMar>
    </w:tblPr>
  </w:style>
  <w:style w:type="paragraph" w:styleId="45">
    <w:name w:val="List Paragraph"/>
    <w:basedOn w:val="1"/>
    <w:qFormat/>
    <w:uiPriority w:val="1"/>
    <w:pPr>
      <w:ind w:left="1418" w:hanging="705"/>
    </w:pPr>
  </w:style>
  <w:style w:type="paragraph" w:customStyle="1" w:styleId="46">
    <w:name w:val="Table Paragraph"/>
    <w:basedOn w:val="1"/>
    <w:qFormat/>
    <w:uiPriority w:val="1"/>
    <w:pPr>
      <w:jc w:val="center"/>
    </w:pPr>
    <w:rPr>
      <w:rFonts w:ascii="Times New Roman" w:hAnsi="Times New Roman" w:eastAsia="Times New Roman" w:cs="Times New Roman"/>
    </w:rPr>
  </w:style>
  <w:style w:type="paragraph" w:customStyle="1" w:styleId="47">
    <w:name w:val="p0"/>
    <w:basedOn w:val="1"/>
    <w:qFormat/>
    <w:uiPriority w:val="0"/>
    <w:pPr>
      <w:widowControl/>
      <w:spacing w:before="100" w:beforeAutospacing="1" w:after="100" w:afterAutospacing="1"/>
    </w:pPr>
    <w:rPr>
      <w:sz w:val="24"/>
      <w:szCs w:val="24"/>
    </w:rPr>
  </w:style>
  <w:style w:type="paragraph" w:customStyle="1" w:styleId="48">
    <w:name w:val="R-正文文本"/>
    <w:basedOn w:val="1"/>
    <w:qFormat/>
    <w:uiPriority w:val="4"/>
    <w:pPr>
      <w:widowControl/>
      <w:spacing w:line="360" w:lineRule="auto"/>
      <w:ind w:firstLine="200"/>
    </w:pPr>
    <w:rPr>
      <w:rFonts w:ascii="Times New Roman" w:hAnsi="Times New Roman"/>
    </w:rPr>
  </w:style>
  <w:style w:type="paragraph" w:customStyle="1" w:styleId="49">
    <w:name w:val="环保表内字（五号）"/>
    <w:basedOn w:val="1"/>
    <w:qFormat/>
    <w:uiPriority w:val="0"/>
    <w:pPr>
      <w:adjustRightInd w:val="0"/>
      <w:snapToGrid w:val="0"/>
      <w:spacing w:line="0" w:lineRule="atLeast"/>
    </w:pPr>
    <w:rPr>
      <w:sz w:val="21"/>
    </w:rPr>
  </w:style>
  <w:style w:type="paragraph" w:customStyle="1" w:styleId="50">
    <w:name w:val="OK 1.1"/>
    <w:basedOn w:val="1"/>
    <w:next w:val="29"/>
    <w:qFormat/>
    <w:uiPriority w:val="0"/>
    <w:pPr>
      <w:widowControl/>
      <w:outlineLvl w:val="1"/>
    </w:pPr>
    <w:rPr>
      <w:rFonts w:ascii="Calibri" w:hAnsi="Calibri"/>
      <w:b/>
      <w:szCs w:val="24"/>
    </w:rPr>
  </w:style>
  <w:style w:type="paragraph" w:customStyle="1" w:styleId="51">
    <w:name w:val="0报告书正文"/>
    <w:basedOn w:val="1"/>
    <w:qFormat/>
    <w:uiPriority w:val="0"/>
    <w:pPr>
      <w:ind w:firstLine="480" w:firstLineChars="200"/>
    </w:pPr>
  </w:style>
  <w:style w:type="paragraph" w:customStyle="1" w:styleId="52">
    <w:name w:val="表格样式"/>
    <w:basedOn w:val="1"/>
    <w:qFormat/>
    <w:uiPriority w:val="0"/>
    <w:pPr>
      <w:spacing w:line="360" w:lineRule="atLeast"/>
      <w:jc w:val="center"/>
    </w:pPr>
    <w:rPr>
      <w:kern w:val="2"/>
      <w:sz w:val="21"/>
    </w:rPr>
  </w:style>
  <w:style w:type="paragraph" w:customStyle="1" w:styleId="53">
    <w:name w:val="自定表格"/>
    <w:basedOn w:val="1"/>
    <w:qFormat/>
    <w:uiPriority w:val="0"/>
    <w:pPr>
      <w:spacing w:line="360" w:lineRule="exact"/>
      <w:jc w:val="center"/>
    </w:pPr>
    <w:rPr>
      <w:color w:val="000000"/>
      <w:kern w:val="2"/>
      <w:sz w:val="21"/>
      <w:szCs w:val="21"/>
    </w:rPr>
  </w:style>
  <w:style w:type="paragraph" w:customStyle="1" w:styleId="54">
    <w:name w:val="O.K.表格内容"/>
    <w:basedOn w:val="1"/>
    <w:qFormat/>
    <w:uiPriority w:val="0"/>
    <w:rPr>
      <w:szCs w:val="24"/>
    </w:rPr>
  </w:style>
  <w:style w:type="paragraph" w:customStyle="1" w:styleId="55">
    <w:name w:val="表格"/>
    <w:basedOn w:val="56"/>
    <w:next w:val="1"/>
    <w:qFormat/>
    <w:uiPriority w:val="0"/>
    <w:pPr>
      <w:spacing w:line="240" w:lineRule="auto"/>
    </w:pPr>
    <w:rPr>
      <w:szCs w:val="24"/>
      <w:lang w:val="zh-CN"/>
    </w:rPr>
  </w:style>
  <w:style w:type="paragraph" w:customStyle="1" w:styleId="56">
    <w:name w:val="标准"/>
    <w:basedOn w:val="57"/>
    <w:qFormat/>
    <w:uiPriority w:val="0"/>
    <w:pPr>
      <w:adjustRightInd w:val="0"/>
      <w:spacing w:line="520" w:lineRule="atLeast"/>
      <w:jc w:val="center"/>
      <w:textAlignment w:val="baseline"/>
    </w:pPr>
    <w:rPr>
      <w:kern w:val="0"/>
      <w:szCs w:val="21"/>
    </w:rPr>
  </w:style>
  <w:style w:type="paragraph" w:customStyle="1" w:styleId="57">
    <w:name w:val="正文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一级标题"/>
    <w:basedOn w:val="4"/>
    <w:qFormat/>
    <w:uiPriority w:val="0"/>
    <w:pPr>
      <w:adjustRightInd w:val="0"/>
      <w:snapToGrid w:val="0"/>
      <w:spacing w:before="360" w:after="240" w:line="460" w:lineRule="exact"/>
      <w:ind w:firstLine="0"/>
      <w:jc w:val="center"/>
    </w:pPr>
    <w:rPr>
      <w:rFonts w:cs="宋体"/>
      <w:snapToGrid w:val="0"/>
      <w:szCs w:val="20"/>
    </w:rPr>
  </w:style>
  <w:style w:type="paragraph" w:customStyle="1" w:styleId="59">
    <w:name w:val="正文内容"/>
    <w:basedOn w:val="1"/>
    <w:qFormat/>
    <w:uiPriority w:val="0"/>
    <w:pPr>
      <w:ind w:firstLine="200" w:firstLineChars="200"/>
    </w:pPr>
  </w:style>
  <w:style w:type="paragraph" w:customStyle="1" w:styleId="60">
    <w:name w:val="标题 2环保 + 段前: 0.5 行"/>
    <w:basedOn w:val="5"/>
    <w:next w:val="1"/>
    <w:qFormat/>
    <w:uiPriority w:val="0"/>
    <w:pPr>
      <w:numPr>
        <w:ilvl w:val="1"/>
        <w:numId w:val="2"/>
      </w:numPr>
    </w:pPr>
    <w:rPr>
      <w:rFonts w:ascii="Times New Roman" w:hAnsi="Times New Roman"/>
      <w:bCs/>
    </w:rPr>
  </w:style>
  <w:style w:type="paragraph" w:customStyle="1" w:styleId="6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63">
    <w:name w:val="WPSOffice手动目录 1"/>
    <w:qFormat/>
    <w:uiPriority w:val="0"/>
    <w:rPr>
      <w:rFonts w:ascii="Times New Roman" w:hAnsi="Times New Roman" w:eastAsia="宋体" w:cs="Times New Roman"/>
      <w:lang w:val="en-US" w:eastAsia="zh-CN" w:bidi="ar-SA"/>
    </w:rPr>
  </w:style>
  <w:style w:type="character" w:customStyle="1" w:styleId="64">
    <w:name w:val="批注框文本 Char"/>
    <w:basedOn w:val="34"/>
    <w:link w:val="21"/>
    <w:qFormat/>
    <w:uiPriority w:val="0"/>
    <w:rPr>
      <w:rFonts w:ascii="宋体" w:hAnsi="宋体" w:eastAsia="宋体" w:cs="宋体"/>
      <w:sz w:val="18"/>
      <w:szCs w:val="18"/>
      <w:lang w:val="zh-CN" w:bidi="zh-CN"/>
    </w:rPr>
  </w:style>
  <w:style w:type="character" w:customStyle="1" w:styleId="65">
    <w:name w:val="批注文字 Char"/>
    <w:basedOn w:val="34"/>
    <w:link w:val="11"/>
    <w:qFormat/>
    <w:uiPriority w:val="99"/>
    <w:rPr>
      <w:rFonts w:ascii="宋体" w:hAnsi="宋体" w:eastAsia="宋体" w:cs="宋体"/>
      <w:sz w:val="22"/>
      <w:szCs w:val="22"/>
      <w:lang w:val="zh-CN" w:bidi="zh-CN"/>
    </w:rPr>
  </w:style>
  <w:style w:type="character" w:customStyle="1" w:styleId="66">
    <w:name w:val="批注主题 Char"/>
    <w:basedOn w:val="65"/>
    <w:link w:val="30"/>
    <w:qFormat/>
    <w:uiPriority w:val="0"/>
    <w:rPr>
      <w:rFonts w:ascii="宋体" w:hAnsi="宋体" w:eastAsia="宋体" w:cs="宋体"/>
      <w:b/>
      <w:bCs/>
      <w:sz w:val="22"/>
      <w:szCs w:val="22"/>
      <w:lang w:val="zh-CN" w:bidi="zh-CN"/>
    </w:rPr>
  </w:style>
  <w:style w:type="paragraph" w:customStyle="1" w:styleId="67">
    <w:name w:val="【正文】"/>
    <w:basedOn w:val="1"/>
    <w:next w:val="1"/>
    <w:qFormat/>
    <w:uiPriority w:val="0"/>
    <w:pPr>
      <w:spacing w:line="500" w:lineRule="exact"/>
      <w:ind w:firstLine="200" w:firstLineChars="200"/>
    </w:pPr>
    <w:rPr>
      <w:rFonts w:cs="Times New Roman"/>
    </w:rPr>
  </w:style>
  <w:style w:type="paragraph" w:customStyle="1" w:styleId="68">
    <w:name w:val="列出段落3"/>
    <w:basedOn w:val="1"/>
    <w:qFormat/>
    <w:uiPriority w:val="34"/>
    <w:pPr>
      <w:adjustRightInd w:val="0"/>
      <w:snapToGrid w:val="0"/>
      <w:spacing w:after="200"/>
      <w:ind w:firstLine="420" w:firstLineChars="200"/>
    </w:pPr>
    <w:rPr>
      <w:rFonts w:ascii="Tahoma" w:hAnsi="Tahoma" w:eastAsia="微软雅黑" w:cs="Times New Roman"/>
    </w:rPr>
  </w:style>
  <w:style w:type="paragraph" w:customStyle="1" w:styleId="69">
    <w:name w:val="正文内容（环科院）"/>
    <w:basedOn w:val="1"/>
    <w:qFormat/>
    <w:uiPriority w:val="0"/>
    <w:pPr>
      <w:ind w:firstLine="200"/>
    </w:pPr>
    <w:rPr>
      <w:kern w:val="2"/>
      <w:szCs w:val="20"/>
    </w:rPr>
  </w:style>
  <w:style w:type="character" w:customStyle="1" w:styleId="70">
    <w:name w:val="表格标题 Char Char"/>
    <w:link w:val="71"/>
    <w:qFormat/>
    <w:uiPriority w:val="0"/>
    <w:rPr>
      <w:snapToGrid w:val="0"/>
      <w:spacing w:val="0"/>
      <w:szCs w:val="24"/>
    </w:rPr>
  </w:style>
  <w:style w:type="paragraph" w:customStyle="1" w:styleId="71">
    <w:name w:val="表格标题"/>
    <w:basedOn w:val="67"/>
    <w:next w:val="67"/>
    <w:link w:val="70"/>
    <w:qFormat/>
    <w:uiPriority w:val="0"/>
    <w:pPr>
      <w:adjustRightInd w:val="0"/>
      <w:snapToGrid w:val="0"/>
      <w:spacing w:line="240" w:lineRule="auto"/>
      <w:ind w:firstLine="0" w:firstLineChars="0"/>
      <w:jc w:val="center"/>
    </w:pPr>
    <w:rPr>
      <w:snapToGrid w:val="0"/>
      <w:szCs w:val="24"/>
    </w:rPr>
  </w:style>
  <w:style w:type="paragraph" w:customStyle="1" w:styleId="72">
    <w:name w:val="专题正文"/>
    <w:basedOn w:val="1"/>
    <w:qFormat/>
    <w:uiPriority w:val="0"/>
    <w:pPr>
      <w:adjustRightInd w:val="0"/>
      <w:ind w:firstLine="200"/>
    </w:pPr>
  </w:style>
  <w:style w:type="paragraph" w:customStyle="1" w:styleId="73">
    <w:name w:val="样式 标题 1 + 首行缩进:  2 字符"/>
    <w:basedOn w:val="14"/>
    <w:next w:val="1"/>
    <w:qFormat/>
    <w:uiPriority w:val="0"/>
    <w:pPr>
      <w:ind w:firstLine="200"/>
    </w:pPr>
    <w:rPr>
      <w:szCs w:val="20"/>
    </w:rPr>
  </w:style>
  <w:style w:type="paragraph" w:customStyle="1" w:styleId="74">
    <w:name w:val="修订1"/>
    <w:hidden/>
    <w:semiHidden/>
    <w:qFormat/>
    <w:uiPriority w:val="99"/>
    <w:rPr>
      <w:rFonts w:ascii="宋体" w:hAnsi="宋体" w:eastAsia="宋体" w:cs="宋体"/>
      <w:sz w:val="22"/>
      <w:szCs w:val="22"/>
      <w:lang w:val="zh-CN" w:eastAsia="zh-CN" w:bidi="zh-CN"/>
    </w:rPr>
  </w:style>
  <w:style w:type="paragraph" w:customStyle="1" w:styleId="75">
    <w:name w:val="S表格标题"/>
    <w:basedOn w:val="1"/>
    <w:next w:val="1"/>
    <w:qFormat/>
    <w:uiPriority w:val="0"/>
    <w:pPr>
      <w:adjustRightInd w:val="0"/>
      <w:snapToGrid w:val="0"/>
      <w:jc w:val="center"/>
    </w:pPr>
    <w:rPr>
      <w:b/>
      <w:snapToGrid w:val="0"/>
    </w:rPr>
  </w:style>
  <w:style w:type="paragraph" w:customStyle="1" w:styleId="76">
    <w:name w:val="A表格"/>
    <w:qFormat/>
    <w:uiPriority w:val="0"/>
    <w:pPr>
      <w:adjustRightInd w:val="0"/>
      <w:jc w:val="center"/>
      <w:textAlignment w:val="baseline"/>
    </w:pPr>
    <w:rPr>
      <w:rFonts w:ascii="Times New Roman" w:hAnsi="Times New Roman" w:eastAsia="宋体" w:cs="宋体"/>
      <w:kern w:val="28"/>
      <w:sz w:val="21"/>
      <w:szCs w:val="21"/>
      <w:lang w:val="en-US" w:eastAsia="zh-CN" w:bidi="ar-SA"/>
    </w:rPr>
  </w:style>
  <w:style w:type="character" w:customStyle="1" w:styleId="77">
    <w:name w:val="highlight"/>
    <w:basedOn w:val="34"/>
    <w:qFormat/>
    <w:uiPriority w:val="0"/>
  </w:style>
  <w:style w:type="paragraph" w:customStyle="1" w:styleId="78">
    <w:name w:val="AP-正文无级"/>
    <w:basedOn w:val="1"/>
    <w:qFormat/>
    <w:uiPriority w:val="0"/>
    <w:rPr>
      <w:szCs w:val="20"/>
    </w:rPr>
  </w:style>
  <w:style w:type="paragraph" w:customStyle="1" w:styleId="79">
    <w:name w:val="L表格文字"/>
    <w:basedOn w:val="14"/>
    <w:qFormat/>
    <w:uiPriority w:val="0"/>
    <w:pPr>
      <w:snapToGrid w:val="0"/>
      <w:spacing w:line="0" w:lineRule="atLeast"/>
      <w:jc w:val="center"/>
    </w:pPr>
    <w:rPr>
      <w:sz w:val="21"/>
    </w:rPr>
  </w:style>
  <w:style w:type="paragraph" w:customStyle="1" w:styleId="80">
    <w:name w:val="修订2"/>
    <w:hidden/>
    <w:semiHidden/>
    <w:qFormat/>
    <w:uiPriority w:val="99"/>
    <w:rPr>
      <w:rFonts w:ascii="宋体" w:hAnsi="宋体" w:eastAsia="宋体" w:cs="宋体"/>
      <w:sz w:val="22"/>
      <w:szCs w:val="22"/>
      <w:lang w:val="zh-CN" w:eastAsia="zh-CN" w:bidi="zh-CN"/>
    </w:rPr>
  </w:style>
  <w:style w:type="paragraph" w:customStyle="1" w:styleId="81">
    <w:name w:val="正文-报告表"/>
    <w:qFormat/>
    <w:uiPriority w:val="0"/>
    <w:pPr>
      <w:widowControl w:val="0"/>
      <w:adjustRightInd w:val="0"/>
      <w:snapToGrid w:val="0"/>
      <w:spacing w:line="360" w:lineRule="auto"/>
      <w:ind w:firstLine="482"/>
    </w:pPr>
    <w:rPr>
      <w:rFonts w:ascii="Calibri" w:hAnsi="Calibri" w:eastAsia="宋体" w:cs="Times New Roman"/>
      <w:kern w:val="2"/>
      <w:sz w:val="24"/>
      <w:lang w:val="en-US" w:eastAsia="zh-CN" w:bidi="ar-SA"/>
    </w:rPr>
  </w:style>
  <w:style w:type="character" w:customStyle="1" w:styleId="82">
    <w:name w:val="标题 4 Char"/>
    <w:basedOn w:val="34"/>
    <w:link w:val="8"/>
    <w:qFormat/>
    <w:uiPriority w:val="9"/>
    <w:rPr>
      <w:rFonts w:ascii="Cambria" w:hAnsi="Cambria"/>
      <w:b/>
      <w:bCs/>
      <w:kern w:val="2"/>
      <w:sz w:val="28"/>
      <w:szCs w:val="28"/>
    </w:rPr>
  </w:style>
  <w:style w:type="character" w:customStyle="1" w:styleId="83">
    <w:name w:val="纯文本 Char"/>
    <w:basedOn w:val="34"/>
    <w:link w:val="18"/>
    <w:qFormat/>
    <w:uiPriority w:val="0"/>
    <w:rPr>
      <w:rFonts w:ascii="宋体" w:hAnsi="Courier New" w:cs="Courier New"/>
      <w:sz w:val="21"/>
      <w:szCs w:val="21"/>
      <w:lang w:val="zh-CN" w:bidi="zh-CN"/>
    </w:rPr>
  </w:style>
  <w:style w:type="character" w:customStyle="1" w:styleId="84">
    <w:name w:val="正文文本缩进 Char"/>
    <w:basedOn w:val="34"/>
    <w:link w:val="15"/>
    <w:qFormat/>
    <w:uiPriority w:val="0"/>
    <w:rPr>
      <w:rFonts w:ascii="宋体" w:hAnsi="宋体" w:cs="宋体"/>
      <w:sz w:val="22"/>
      <w:szCs w:val="22"/>
      <w:lang w:val="zh-CN" w:bidi="zh-CN"/>
    </w:rPr>
  </w:style>
  <w:style w:type="character" w:customStyle="1" w:styleId="85">
    <w:name w:val="正文首行缩进 2 Char"/>
    <w:basedOn w:val="84"/>
    <w:link w:val="31"/>
    <w:qFormat/>
    <w:uiPriority w:val="0"/>
    <w:rPr>
      <w:rFonts w:ascii="宋体" w:hAnsi="宋体" w:cs="宋体"/>
      <w:sz w:val="22"/>
      <w:szCs w:val="22"/>
      <w:lang w:val="zh-CN" w:bidi="zh-CN"/>
    </w:rPr>
  </w:style>
  <w:style w:type="character" w:customStyle="1" w:styleId="86">
    <w:name w:val="表格内 Char"/>
    <w:link w:val="2"/>
    <w:qFormat/>
    <w:uiPriority w:val="0"/>
    <w:rPr>
      <w:rFonts w:ascii="宋体" w:hAnsi="宋体" w:eastAsia="黑体" w:cs="宋体"/>
      <w:sz w:val="21"/>
      <w:szCs w:val="21"/>
      <w:lang w:val="zh-CN" w:bidi="zh-CN"/>
    </w:rPr>
  </w:style>
  <w:style w:type="paragraph" w:customStyle="1" w:styleId="87">
    <w:name w:val="样式47"/>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napToGrid w:val="0"/>
      <w:sz w:val="28"/>
      <w:szCs w:val="24"/>
      <w:lang w:val="en-US" w:bidi="ar-SA"/>
    </w:rPr>
  </w:style>
  <w:style w:type="character" w:customStyle="1" w:styleId="88">
    <w:name w:val="font31"/>
    <w:qFormat/>
    <w:uiPriority w:val="0"/>
    <w:rPr>
      <w:rFonts w:hint="default" w:ascii="Times New Roman" w:hAnsi="Times New Roman" w:cs="Times New Roman"/>
      <w:color w:val="000000"/>
      <w:sz w:val="21"/>
      <w:szCs w:val="21"/>
      <w:u w:val="none"/>
    </w:rPr>
  </w:style>
  <w:style w:type="character" w:customStyle="1" w:styleId="89">
    <w:name w:val="称呼 Char"/>
    <w:basedOn w:val="34"/>
    <w:link w:val="12"/>
    <w:qFormat/>
    <w:uiPriority w:val="0"/>
    <w:rPr>
      <w:rFonts w:ascii="宋体" w:hAnsi="宋体" w:cs="宋体"/>
      <w:sz w:val="22"/>
      <w:szCs w:val="22"/>
      <w:lang w:val="zh-CN" w:bidi="zh-CN"/>
    </w:rPr>
  </w:style>
  <w:style w:type="paragraph" w:customStyle="1" w:styleId="90">
    <w:name w:val="Char Char Char Char Char Char Char"/>
    <w:basedOn w:val="1"/>
    <w:qFormat/>
    <w:uiPriority w:val="0"/>
    <w:pPr>
      <w:spacing w:line="360" w:lineRule="auto"/>
      <w:ind w:firstLine="200" w:firstLineChars="200"/>
    </w:pPr>
  </w:style>
  <w:style w:type="character" w:customStyle="1" w:styleId="91">
    <w:name w:val="正文文本 Char"/>
    <w:link w:val="14"/>
    <w:qFormat/>
    <w:uiPriority w:val="0"/>
    <w:rPr>
      <w:rFonts w:ascii="宋体" w:hAnsi="宋体" w:cs="宋体"/>
      <w:sz w:val="28"/>
      <w:szCs w:val="28"/>
      <w:lang w:val="zh-CN" w:bidi="zh-CN"/>
    </w:rPr>
  </w:style>
  <w:style w:type="character" w:customStyle="1" w:styleId="92">
    <w:name w:val="fontstyle01"/>
    <w:basedOn w:val="34"/>
    <w:qFormat/>
    <w:uiPriority w:val="0"/>
    <w:rPr>
      <w:rFonts w:hint="eastAsia" w:ascii="宋体" w:hAnsi="宋体" w:eastAsia="宋体"/>
      <w:color w:val="000000"/>
      <w:sz w:val="22"/>
      <w:szCs w:val="22"/>
    </w:rPr>
  </w:style>
  <w:style w:type="character" w:customStyle="1" w:styleId="93">
    <w:name w:val="fontstyle21"/>
    <w:basedOn w:val="34"/>
    <w:qFormat/>
    <w:uiPriority w:val="0"/>
    <w:rPr>
      <w:rFonts w:hint="default" w:ascii="TimesNewRomanPSMT" w:hAnsi="TimesNewRomanPSMT"/>
      <w:color w:val="000000"/>
      <w:sz w:val="22"/>
      <w:szCs w:val="22"/>
    </w:rPr>
  </w:style>
  <w:style w:type="character" w:customStyle="1" w:styleId="94">
    <w:name w:val="样式 标题 2 Char + Times New Roman Char Char"/>
    <w:qFormat/>
    <w:uiPriority w:val="0"/>
    <w:rPr>
      <w:rFonts w:eastAsia="黑体"/>
      <w:kern w:val="2"/>
      <w:sz w:val="28"/>
    </w:rPr>
  </w:style>
  <w:style w:type="paragraph" w:customStyle="1" w:styleId="95">
    <w:name w:val="Char Char25"/>
    <w:basedOn w:val="1"/>
    <w:qFormat/>
    <w:uiPriority w:val="0"/>
    <w:pPr>
      <w:autoSpaceDE/>
      <w:autoSpaceDN/>
      <w:jc w:val="both"/>
    </w:pPr>
    <w:rPr>
      <w:rFonts w:ascii="Times New Roman" w:hAnsi="Times New Roman" w:cs="Times New Roman"/>
      <w:kern w:val="2"/>
      <w:sz w:val="21"/>
      <w:szCs w:val="24"/>
      <w:lang w:val="en-US" w:bidi="ar-SA"/>
    </w:rPr>
  </w:style>
  <w:style w:type="character" w:customStyle="1" w:styleId="96">
    <w:name w:val="日期 Char"/>
    <w:basedOn w:val="34"/>
    <w:link w:val="20"/>
    <w:qFormat/>
    <w:uiPriority w:val="0"/>
    <w:rPr>
      <w:rFonts w:ascii="宋体" w:hAnsi="宋体" w:cs="宋体"/>
      <w:sz w:val="22"/>
      <w:szCs w:val="22"/>
      <w:lang w:val="zh-CN" w:bidi="zh-CN"/>
    </w:rPr>
  </w:style>
  <w:style w:type="character" w:customStyle="1" w:styleId="97">
    <w:name w:val="结束语 Char"/>
    <w:basedOn w:val="34"/>
    <w:link w:val="13"/>
    <w:qFormat/>
    <w:uiPriority w:val="0"/>
    <w:rPr>
      <w:rFonts w:ascii="宋体" w:hAnsi="宋体" w:cs="宋体"/>
      <w:sz w:val="22"/>
      <w:szCs w:val="22"/>
      <w:lang w:val="zh-CN" w:bidi="zh-CN"/>
    </w:rPr>
  </w:style>
  <w:style w:type="table" w:customStyle="1" w:styleId="98">
    <w:name w:val="网格型1"/>
    <w:basedOn w:val="32"/>
    <w:qFormat/>
    <w:uiPriority w:val="0"/>
    <w:pPr>
      <w:widowControl w:val="0"/>
      <w:jc w:val="both"/>
    </w:pPr>
    <w:rPr>
      <w:rFonts w:ascii="Calibri" w:hAnsi="Calibr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9">
    <w:name w:val="正文格式 Char"/>
    <w:link w:val="43"/>
    <w:qFormat/>
    <w:uiPriority w:val="0"/>
    <w:rPr>
      <w:szCs w:val="24"/>
    </w:rPr>
  </w:style>
  <w:style w:type="paragraph" w:customStyle="1" w:styleId="100">
    <w:name w:val="Normal (Web)1"/>
    <w:basedOn w:val="1"/>
    <w:next w:val="101"/>
    <w:qFormat/>
    <w:uiPriority w:val="0"/>
    <w:pPr>
      <w:widowControl/>
      <w:jc w:val="left"/>
    </w:pPr>
    <w:rPr>
      <w:rFonts w:ascii="宋体" w:cs="Times New Roman"/>
      <w:kern w:val="0"/>
      <w:sz w:val="24"/>
      <w:szCs w:val="21"/>
    </w:rPr>
  </w:style>
  <w:style w:type="paragraph" w:customStyle="1" w:styleId="101">
    <w:name w:val="Date1"/>
    <w:basedOn w:val="1"/>
    <w:next w:val="1"/>
    <w:qFormat/>
    <w:uiPriority w:val="0"/>
    <w:pPr>
      <w:ind w:left="2500" w:leftChars="2500"/>
    </w:pPr>
  </w:style>
  <w:style w:type="paragraph" w:customStyle="1" w:styleId="102">
    <w:name w:val="表内容"/>
    <w:basedOn w:val="1"/>
    <w:qFormat/>
    <w:uiPriority w:val="0"/>
    <w:pPr>
      <w:jc w:val="center"/>
    </w:pPr>
    <w:rPr>
      <w:sz w:val="21"/>
      <w:szCs w:val="24"/>
    </w:rPr>
  </w:style>
  <w:style w:type="paragraph" w:customStyle="1" w:styleId="103">
    <w:name w:val="【表头】"/>
    <w:basedOn w:val="1"/>
    <w:qFormat/>
    <w:uiPriority w:val="0"/>
    <w:pPr>
      <w:spacing w:line="500" w:lineRule="exact"/>
      <w:jc w:val="center"/>
    </w:pPr>
    <w:rPr>
      <w:rFonts w:ascii="Calibri" w:hAnsi="Calibri" w:eastAsia="黑体" w:cs="Times New Roman"/>
      <w:sz w:val="20"/>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wmf"/><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wmf"/><Relationship Id="rId32" Type="http://schemas.openxmlformats.org/officeDocument/2006/relationships/image" Target="media/image26.wmf"/><Relationship Id="rId31" Type="http://schemas.openxmlformats.org/officeDocument/2006/relationships/image" Target="media/image25.wmf"/><Relationship Id="rId30" Type="http://schemas.openxmlformats.org/officeDocument/2006/relationships/image" Target="media/image24.wmf"/><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wmf"/><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2E7B57-92A8-42BC-86CC-40769635EC3E}">
  <ds:schemaRefs/>
</ds:datastoreItem>
</file>

<file path=docProps/app.xml><?xml version="1.0" encoding="utf-8"?>
<Properties xmlns="http://schemas.openxmlformats.org/officeDocument/2006/extended-properties" xmlns:vt="http://schemas.openxmlformats.org/officeDocument/2006/docPropsVTypes">
  <Template>Normal</Template>
  <Company>PC</Company>
  <Pages>193</Pages>
  <Words>123421</Words>
  <Characters>150199</Characters>
  <Lines>1427</Lines>
  <Paragraphs>401</Paragraphs>
  <TotalTime>13</TotalTime>
  <ScaleCrop>false</ScaleCrop>
  <LinksUpToDate>false</LinksUpToDate>
  <CharactersWithSpaces>153761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2021-07-08T09:09:00Z</dcterms:created>
  <dc:creator>yinxianbo</dc:creator>
  <cp:lastModifiedBy>oοゞ好雨时节oοゞ</cp:lastModifiedBy>
  <cp:lastPrinted>2021-07-14T05:13:00Z</cp:lastPrinted>
  <dcterms:modified xsi:type="dcterms:W3CDTF">2021-11-29T00:38:10Z</dcterms:modified>
  <dc:title>大庆油田有限责任公司</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2020-03-31T00:00:00Z</vt:filetime>
  </property>
  <property fmtid="{D5CDD505-2E9C-101B-9397-08002B2CF9AE}" pid="3" name="Creator">
    <vt:lpwstr>Microsoft® Word 2010</vt:lpwstr>
  </property>
  <property fmtid="{D5CDD505-2E9C-101B-9397-08002B2CF9AE}" pid="4" name="LastSaved">
    <vt:filetime>2020-12-28T00:00:00Z</vt:filetime>
  </property>
  <property fmtid="{D5CDD505-2E9C-101B-9397-08002B2CF9AE}" pid="5" name="KSOProductBuildVer">
    <vt:lpwstr>2052-11.1.0.10938</vt:lpwstr>
  </property>
  <property fmtid="{D5CDD505-2E9C-101B-9397-08002B2CF9AE}" pid="6" name="ICV">
    <vt:lpwstr>4F3D441C4C38487AB895C6593AE397C1</vt:lpwstr>
  </property>
</Properties>
</file>