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pStyle w:val="666"/>
        <w:rPr>
          <w:rFonts w:hint="default" w:ascii="Times New Roman" w:hAnsi="Times New Roman" w:cs="Times New Roman" w:eastAsiaTheme="minorEastAsia"/>
          <w:color w:val="000000" w:themeColor="text1"/>
          <w14:textFill>
            <w14:solidFill>
              <w14:schemeClr w14:val="tx1"/>
            </w14:solidFill>
          </w14:textFill>
        </w:rPr>
      </w:pPr>
      <w:bookmarkStart w:id="0" w:name="_Toc288640015"/>
    </w:p>
    <w:p>
      <w:pPr>
        <w:ind w:firstLine="0" w:firstLineChars="0"/>
        <w:rPr>
          <w:rFonts w:hint="default" w:ascii="Times New Roman" w:hAnsi="Times New Roman" w:cs="Times New Roman" w:eastAsiaTheme="minorEastAsia"/>
          <w:color w:val="000000" w:themeColor="text1"/>
          <w14:textFill>
            <w14:solidFill>
              <w14:schemeClr w14:val="tx1"/>
            </w14:solidFill>
          </w14:textFill>
        </w:rPr>
      </w:pPr>
    </w:p>
    <w:p>
      <w:pPr>
        <w:ind w:firstLine="0" w:firstLineChars="0"/>
        <w:rPr>
          <w:rFonts w:hint="default" w:ascii="Times New Roman" w:hAnsi="Times New Roman" w:cs="Times New Roman" w:eastAsiaTheme="minorEastAsia"/>
          <w:color w:val="000000" w:themeColor="text1"/>
          <w14:textFill>
            <w14:solidFill>
              <w14:schemeClr w14:val="tx1"/>
            </w14:solidFill>
          </w14:textFill>
        </w:rPr>
      </w:pPr>
    </w:p>
    <w:p>
      <w:pPr>
        <w:spacing w:line="240" w:lineRule="auto"/>
        <w:ind w:firstLine="0" w:firstLineChars="0"/>
        <w:jc w:val="center"/>
        <w:rPr>
          <w:rFonts w:hint="default" w:ascii="Times New Roman" w:hAnsi="Times New Roman" w:cs="Times New Roman" w:eastAsiaTheme="minorEastAsia"/>
          <w:color w:val="000000" w:themeColor="text1"/>
          <w:spacing w:val="-10"/>
          <w:sz w:val="52"/>
          <w:szCs w:val="52"/>
          <w14:textFill>
            <w14:solidFill>
              <w14:schemeClr w14:val="tx1"/>
            </w14:solidFill>
          </w14:textFill>
        </w:rPr>
      </w:pPr>
      <w:r>
        <w:rPr>
          <w:rFonts w:hint="default" w:ascii="Times New Roman" w:hAnsi="Times New Roman" w:cs="Times New Roman" w:eastAsiaTheme="minorEastAsia"/>
          <w:color w:val="000000" w:themeColor="text1"/>
          <w:spacing w:val="-10"/>
          <w:sz w:val="52"/>
          <w:szCs w:val="52"/>
          <w14:textFill>
            <w14:solidFill>
              <w14:schemeClr w14:val="tx1"/>
            </w14:solidFill>
          </w14:textFill>
        </w:rPr>
        <w:t>安达市宝源现代示范奶牛场项目</w:t>
      </w:r>
    </w:p>
    <w:p>
      <w:pPr>
        <w:spacing w:line="240" w:lineRule="auto"/>
        <w:ind w:firstLine="0" w:firstLineChars="0"/>
        <w:jc w:val="center"/>
        <w:rPr>
          <w:rFonts w:hint="default" w:ascii="Times New Roman" w:hAnsi="Times New Roman" w:cs="Times New Roman" w:eastAsiaTheme="minorEastAsia"/>
          <w:color w:val="000000" w:themeColor="text1"/>
          <w:sz w:val="44"/>
          <w:szCs w:val="44"/>
          <w14:textFill>
            <w14:solidFill>
              <w14:schemeClr w14:val="tx1"/>
            </w14:solidFill>
          </w14:textFill>
        </w:rPr>
      </w:pPr>
    </w:p>
    <w:p>
      <w:pPr>
        <w:spacing w:line="1000" w:lineRule="exact"/>
        <w:ind w:firstLine="0" w:firstLineChars="0"/>
        <w:jc w:val="center"/>
        <w:rPr>
          <w:rFonts w:hint="default" w:ascii="Times New Roman" w:hAnsi="Times New Roman" w:cs="Times New Roman" w:eastAsiaTheme="minorEastAsia"/>
          <w:color w:val="000000" w:themeColor="text1"/>
          <w:spacing w:val="130"/>
          <w:sz w:val="84"/>
          <w:szCs w:val="84"/>
          <w14:textFill>
            <w14:solidFill>
              <w14:schemeClr w14:val="tx1"/>
            </w14:solidFill>
          </w14:textFill>
        </w:rPr>
      </w:pPr>
      <w:r>
        <w:rPr>
          <w:rFonts w:hint="default" w:ascii="Times New Roman" w:hAnsi="Times New Roman" w:cs="Times New Roman" w:eastAsiaTheme="minorEastAsia"/>
          <w:color w:val="000000" w:themeColor="text1"/>
          <w:spacing w:val="130"/>
          <w:sz w:val="84"/>
          <w:szCs w:val="84"/>
          <w14:textFill>
            <w14:solidFill>
              <w14:schemeClr w14:val="tx1"/>
            </w14:solidFill>
          </w14:textFill>
        </w:rPr>
        <w:t>环境影响报告书</w:t>
      </w:r>
    </w:p>
    <w:p>
      <w:pPr>
        <w:ind w:firstLine="0" w:firstLineChars="0"/>
        <w:jc w:val="center"/>
        <w:rPr>
          <w:rFonts w:hint="default" w:ascii="Times New Roman" w:hAnsi="Times New Roman" w:cs="Times New Roman" w:eastAsiaTheme="minorEastAsia"/>
          <w:color w:val="000000" w:themeColor="text1"/>
          <w:sz w:val="48"/>
          <w:szCs w:val="52"/>
          <w14:textFill>
            <w14:solidFill>
              <w14:schemeClr w14:val="tx1"/>
            </w14:solidFill>
          </w14:textFill>
        </w:rPr>
      </w:pPr>
    </w:p>
    <w:p>
      <w:pPr>
        <w:ind w:firstLine="0" w:firstLineChars="0"/>
        <w:jc w:val="center"/>
        <w:rPr>
          <w:rFonts w:hint="default" w:ascii="Times New Roman" w:hAnsi="Times New Roman" w:cs="Times New Roman" w:eastAsiaTheme="minorEastAsia"/>
          <w:color w:val="000000" w:themeColor="text1"/>
          <w:szCs w:val="28"/>
          <w14:textFill>
            <w14:solidFill>
              <w14:schemeClr w14:val="tx1"/>
            </w14:solidFill>
          </w14:textFill>
        </w:rPr>
      </w:pPr>
    </w:p>
    <w:p>
      <w:pPr>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p>
    <w:p>
      <w:pPr>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p>
    <w:p>
      <w:pPr>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p>
    <w:p>
      <w:pPr>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p>
    <w:p>
      <w:pPr>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p>
    <w:p>
      <w:pPr>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p>
    <w:p>
      <w:pPr>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p>
    <w:p>
      <w:pPr>
        <w:ind w:firstLine="0" w:firstLineChars="0"/>
        <w:rPr>
          <w:rFonts w:hint="default" w:ascii="Times New Roman" w:hAnsi="Times New Roman" w:cs="Times New Roman" w:eastAsiaTheme="minorEastAsia"/>
          <w:color w:val="000000" w:themeColor="text1"/>
          <w14:textFill>
            <w14:solidFill>
              <w14:schemeClr w14:val="tx1"/>
            </w14:solidFill>
          </w14:textFill>
        </w:rPr>
      </w:pPr>
    </w:p>
    <w:p>
      <w:pPr>
        <w:spacing w:line="520" w:lineRule="atLeast"/>
        <w:ind w:firstLine="0" w:firstLineChars="0"/>
        <w:rPr>
          <w:rFonts w:hint="default" w:ascii="Times New Roman" w:hAnsi="Times New Roman" w:cs="Times New Roman" w:eastAsiaTheme="minorEastAsia"/>
          <w:color w:val="000000" w:themeColor="text1"/>
          <w14:textFill>
            <w14:solidFill>
              <w14:schemeClr w14:val="tx1"/>
            </w14:solidFill>
          </w14:textFill>
        </w:rPr>
      </w:pPr>
    </w:p>
    <w:p>
      <w:pPr>
        <w:spacing w:line="520" w:lineRule="atLeast"/>
        <w:ind w:firstLine="0" w:firstLineChars="0"/>
        <w:rPr>
          <w:rFonts w:hint="default" w:ascii="Times New Roman" w:hAnsi="Times New Roman" w:cs="Times New Roman" w:eastAsiaTheme="minorEastAsia"/>
          <w:color w:val="000000" w:themeColor="text1"/>
          <w:sz w:val="36"/>
          <w:szCs w:val="36"/>
          <w14:textFill>
            <w14:solidFill>
              <w14:schemeClr w14:val="tx1"/>
            </w14:solidFill>
          </w14:textFill>
        </w:rPr>
      </w:pPr>
    </w:p>
    <w:p>
      <w:pPr>
        <w:spacing w:line="520" w:lineRule="atLeast"/>
        <w:ind w:firstLine="0" w:firstLineChars="0"/>
        <w:rPr>
          <w:rFonts w:hint="default" w:ascii="Times New Roman" w:hAnsi="Times New Roman" w:cs="Times New Roman" w:eastAsiaTheme="minorEastAsia"/>
          <w:color w:val="000000" w:themeColor="text1"/>
          <w:sz w:val="36"/>
          <w:szCs w:val="36"/>
          <w14:textFill>
            <w14:solidFill>
              <w14:schemeClr w14:val="tx1"/>
            </w14:solidFill>
          </w14:textFill>
        </w:rPr>
      </w:pPr>
    </w:p>
    <w:p>
      <w:pPr>
        <w:spacing w:line="520" w:lineRule="atLeast"/>
        <w:ind w:firstLine="0" w:firstLineChars="0"/>
        <w:rPr>
          <w:rFonts w:hint="default" w:ascii="Times New Roman" w:hAnsi="Times New Roman" w:cs="Times New Roman" w:eastAsiaTheme="minorEastAsia"/>
          <w:color w:val="000000" w:themeColor="text1"/>
          <w:sz w:val="36"/>
          <w:szCs w:val="36"/>
          <w14:textFill>
            <w14:solidFill>
              <w14:schemeClr w14:val="tx1"/>
            </w14:solidFill>
          </w14:textFill>
        </w:rPr>
      </w:pPr>
      <w:r>
        <w:rPr>
          <w:rFonts w:hint="default" w:ascii="Times New Roman" w:hAnsi="Times New Roman" w:cs="Times New Roman" w:eastAsiaTheme="minorEastAsia"/>
          <w:color w:val="000000" w:themeColor="text1"/>
          <w:sz w:val="36"/>
          <w:szCs w:val="36"/>
          <w14:textFill>
            <w14:solidFill>
              <w14:schemeClr w14:val="tx1"/>
            </w14:solidFill>
          </w14:textFill>
        </w:rPr>
        <w:t>建设单位：安达市宝源奶牛养殖专业合作社</w:t>
      </w:r>
    </w:p>
    <w:p>
      <w:pPr>
        <w:spacing w:line="520" w:lineRule="atLeast"/>
        <w:ind w:firstLine="0" w:firstLineChars="0"/>
        <w:rPr>
          <w:rFonts w:hint="eastAsia" w:ascii="Times New Roman" w:hAnsi="Times New Roman" w:cs="Times New Roman" w:eastAsiaTheme="minorEastAsia"/>
          <w:color w:val="000000" w:themeColor="text1"/>
          <w:sz w:val="36"/>
          <w:szCs w:val="36"/>
          <w:lang w:eastAsia="zh-CN"/>
          <w14:textFill>
            <w14:solidFill>
              <w14:schemeClr w14:val="tx1"/>
            </w14:solidFill>
          </w14:textFill>
        </w:rPr>
      </w:pPr>
      <w:r>
        <w:rPr>
          <w:rFonts w:hint="default" w:ascii="Times New Roman" w:hAnsi="Times New Roman" w:cs="Times New Roman" w:eastAsiaTheme="minorEastAsia"/>
          <w:color w:val="000000" w:themeColor="text1"/>
          <w:sz w:val="36"/>
          <w:szCs w:val="36"/>
          <w14:textFill>
            <w14:solidFill>
              <w14:schemeClr w14:val="tx1"/>
            </w14:solidFill>
          </w14:textFill>
        </w:rPr>
        <w:t>评价单位：</w:t>
      </w:r>
      <w:r>
        <w:rPr>
          <w:rFonts w:hint="eastAsia" w:cs="Times New Roman" w:eastAsiaTheme="minorEastAsia"/>
          <w:sz w:val="36"/>
          <w:szCs w:val="36"/>
          <w:lang w:eastAsia="zh-CN"/>
        </w:rPr>
        <w:t>大庆天蓝环保科技有限公司</w:t>
      </w:r>
    </w:p>
    <w:p>
      <w:pPr>
        <w:spacing w:line="520" w:lineRule="atLeast"/>
        <w:ind w:firstLine="0" w:firstLineChars="0"/>
        <w:rPr>
          <w:rFonts w:hint="default" w:ascii="Times New Roman" w:hAnsi="Times New Roman" w:cs="Times New Roman" w:eastAsiaTheme="minorEastAsia"/>
          <w:color w:val="000000" w:themeColor="text1"/>
          <w:sz w:val="36"/>
          <w:szCs w:val="36"/>
          <w14:textFill>
            <w14:solidFill>
              <w14:schemeClr w14:val="tx1"/>
            </w14:solidFill>
          </w14:textFill>
        </w:rPr>
      </w:pPr>
    </w:p>
    <w:p>
      <w:pPr>
        <w:ind w:firstLine="0" w:firstLineChars="0"/>
        <w:jc w:val="center"/>
        <w:rPr>
          <w:rFonts w:hint="default" w:ascii="Times New Roman" w:hAnsi="Times New Roman" w:cs="Times New Roman" w:eastAsiaTheme="minorEastAsia"/>
          <w:b/>
          <w:color w:val="000000" w:themeColor="text1"/>
          <w:sz w:val="36"/>
          <w:szCs w:val="36"/>
          <w14:textFill>
            <w14:solidFill>
              <w14:schemeClr w14:val="tx1"/>
            </w14:solidFill>
          </w14:textFill>
        </w:rPr>
        <w:sectPr>
          <w:headerReference r:id="rId7" w:type="first"/>
          <w:headerReference r:id="rId5" w:type="default"/>
          <w:footerReference r:id="rId8" w:type="default"/>
          <w:headerReference r:id="rId6" w:type="even"/>
          <w:footerReference r:id="rId9" w:type="even"/>
          <w:pgSz w:w="11906" w:h="16838"/>
          <w:pgMar w:top="1701" w:right="1701" w:bottom="1474" w:left="1701" w:header="1134" w:footer="1134" w:gutter="0"/>
          <w:pgBorders>
            <w:top w:val="none" w:sz="0" w:space="0"/>
            <w:left w:val="none" w:sz="0" w:space="0"/>
            <w:bottom w:val="none" w:sz="0" w:space="0"/>
            <w:right w:val="none" w:sz="0" w:space="0"/>
          </w:pgBorders>
          <w:pgNumType w:start="0"/>
          <w:cols w:space="720" w:num="1"/>
          <w:titlePg/>
          <w:docGrid w:linePitch="312" w:charSpace="0"/>
        </w:sectPr>
      </w:pPr>
      <w:r>
        <w:rPr>
          <w:rFonts w:hint="default" w:ascii="Times New Roman" w:hAnsi="Times New Roman" w:cs="Times New Roman" w:eastAsiaTheme="minorEastAsia"/>
          <w:color w:val="000000" w:themeColor="text1"/>
          <w:sz w:val="36"/>
          <w:szCs w:val="36"/>
          <w14:textFill>
            <w14:solidFill>
              <w14:schemeClr w14:val="tx1"/>
            </w14:solidFill>
          </w14:textFill>
        </w:rPr>
        <w:t>2021年</w:t>
      </w:r>
      <w:r>
        <w:rPr>
          <w:rFonts w:hint="eastAsia" w:cs="Times New Roman" w:eastAsiaTheme="minorEastAsia"/>
          <w:color w:val="000000" w:themeColor="text1"/>
          <w:sz w:val="36"/>
          <w:szCs w:val="36"/>
          <w:lang w:val="en-US" w:eastAsia="zh-CN"/>
          <w14:textFill>
            <w14:solidFill>
              <w14:schemeClr w14:val="tx1"/>
            </w14:solidFill>
          </w14:textFill>
        </w:rPr>
        <w:t>12</w:t>
      </w:r>
      <w:r>
        <w:rPr>
          <w:rFonts w:hint="default" w:ascii="Times New Roman" w:hAnsi="Times New Roman" w:cs="Times New Roman" w:eastAsiaTheme="minorEastAsia"/>
          <w:color w:val="000000" w:themeColor="text1"/>
          <w:sz w:val="36"/>
          <w:szCs w:val="36"/>
          <w14:textFill>
            <w14:solidFill>
              <w14:schemeClr w14:val="tx1"/>
            </w14:solidFill>
          </w14:textFill>
        </w:rPr>
        <w:t>月</w:t>
      </w:r>
    </w:p>
    <w:p>
      <w:pPr>
        <w:pStyle w:val="6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Style w:val="596"/>
          <w:rFonts w:hint="default" w:ascii="Times New Roman" w:hAnsi="Times New Roman" w:cs="Times New Roman" w:eastAsiaTheme="minorEastAsia"/>
          <w:b/>
          <w:color w:val="000000" w:themeColor="text1"/>
          <w:sz w:val="32"/>
          <w:szCs w:val="32"/>
          <w:lang w:eastAsia="zh-CN"/>
          <w14:textFill>
            <w14:solidFill>
              <w14:schemeClr w14:val="tx1"/>
            </w14:solidFill>
          </w14:textFill>
        </w:rPr>
        <w:sectPr>
          <w:headerReference r:id="rId11" w:type="first"/>
          <w:footerReference r:id="rId13" w:type="first"/>
          <w:headerReference r:id="rId10" w:type="default"/>
          <w:footerReference r:id="rId12" w:type="default"/>
          <w:pgSz w:w="11906" w:h="16838"/>
          <w:pgMar w:top="1701" w:right="1701" w:bottom="1474" w:left="1701" w:header="1134" w:footer="1134" w:gutter="0"/>
          <w:pgBorders>
            <w:top w:val="none" w:sz="0" w:space="0"/>
            <w:left w:val="none" w:sz="0" w:space="0"/>
            <w:bottom w:val="none" w:sz="0" w:space="0"/>
            <w:right w:val="none" w:sz="0" w:space="0"/>
          </w:pgBorders>
          <w:pgNumType w:fmt="upperRoman"/>
          <w:cols w:space="720" w:num="1"/>
          <w:titlePg/>
          <w:docGrid w:linePitch="312" w:charSpace="0"/>
        </w:sectPr>
      </w:pPr>
      <w:r>
        <w:rPr>
          <w:rStyle w:val="596"/>
          <w:rFonts w:hint="default" w:ascii="Times New Roman" w:hAnsi="Times New Roman" w:cs="Times New Roman" w:eastAsiaTheme="minorEastAsia"/>
          <w:b/>
          <w:color w:val="000000" w:themeColor="text1"/>
          <w:sz w:val="32"/>
          <w:szCs w:val="32"/>
          <w:lang w:eastAsia="zh-CN"/>
          <w14:textFill>
            <w14:solidFill>
              <w14:schemeClr w14:val="tx1"/>
            </w14:solidFill>
          </w14:textFill>
        </w:rPr>
        <w:drawing>
          <wp:inline distT="0" distB="0" distL="114300" distR="114300">
            <wp:extent cx="5382895" cy="7883525"/>
            <wp:effectExtent l="0" t="0" r="8255" b="3175"/>
            <wp:docPr id="1" name="图片 1" descr="2134039d618eb907e250b0d4bf8c6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134039d618eb907e250b0d4bf8c6dd"/>
                    <pic:cNvPicPr>
                      <a:picLocks noChangeAspect="1"/>
                    </pic:cNvPicPr>
                  </pic:nvPicPr>
                  <pic:blipFill>
                    <a:blip r:embed="rId44"/>
                    <a:stretch>
                      <a:fillRect/>
                    </a:stretch>
                  </pic:blipFill>
                  <pic:spPr>
                    <a:xfrm>
                      <a:off x="0" y="0"/>
                      <a:ext cx="5382895" cy="7883525"/>
                    </a:xfrm>
                    <a:prstGeom prst="rect">
                      <a:avLst/>
                    </a:prstGeom>
                  </pic:spPr>
                </pic:pic>
              </a:graphicData>
            </a:graphic>
          </wp:inline>
        </w:drawing>
      </w:r>
    </w:p>
    <w:p>
      <w:pPr>
        <w:rPr>
          <w:rFonts w:hint="default" w:ascii="Times New Roman" w:hAnsi="Times New Roman" w:cs="Times New Roman" w:eastAsiaTheme="minorEastAsia"/>
          <w:color w:val="000000"/>
          <w:kern w:val="2"/>
          <w:sz w:val="32"/>
          <w:szCs w:val="32"/>
          <w:lang w:val="en-US" w:eastAsia="zh-CN" w:bidi="ar-SA"/>
        </w:rPr>
      </w:pPr>
      <w:r>
        <w:rPr>
          <w:rStyle w:val="596"/>
          <w:rFonts w:hint="default" w:ascii="Times New Roman" w:hAnsi="Times New Roman" w:cs="Times New Roman" w:eastAsiaTheme="minorEastAsia"/>
          <w:b w:val="0"/>
          <w:color w:val="000000"/>
          <w:sz w:val="32"/>
          <w:szCs w:val="32"/>
        </w:rPr>
        <w:t>目  录</w:t>
      </w:r>
      <w:r>
        <w:rPr>
          <w:rFonts w:hint="default" w:ascii="Times New Roman" w:hAnsi="Times New Roman" w:cs="Times New Roman" w:eastAsiaTheme="minorEastAsia"/>
          <w:color w:val="000000"/>
          <w:sz w:val="32"/>
          <w:szCs w:val="32"/>
        </w:rPr>
        <w:fldChar w:fldCharType="begin"/>
      </w:r>
      <w:r>
        <w:rPr>
          <w:rFonts w:hint="default" w:ascii="Times New Roman" w:hAnsi="Times New Roman" w:cs="Times New Roman" w:eastAsiaTheme="minorEastAsia"/>
          <w:color w:val="000000"/>
          <w:sz w:val="32"/>
          <w:szCs w:val="32"/>
        </w:rPr>
        <w:instrText xml:space="preserve"> TOC \o "1-2" \h \z \u </w:instrText>
      </w:r>
      <w:r>
        <w:rPr>
          <w:rFonts w:hint="default" w:ascii="Times New Roman" w:hAnsi="Times New Roman" w:cs="Times New Roman" w:eastAsiaTheme="minorEastAsia"/>
          <w:color w:val="000000"/>
          <w:sz w:val="32"/>
          <w:szCs w:val="32"/>
        </w:rPr>
        <w:fldChar w:fldCharType="separate"/>
      </w:r>
    </w:p>
    <w:p>
      <w:pPr>
        <w:pStyle w:val="63"/>
        <w:tabs>
          <w:tab w:val="right" w:leader="dot" w:pos="8504"/>
          <w:tab w:val="clear" w:pos="8460"/>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_Toc3519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rPr>
        <w:t>1 概述</w:t>
      </w:r>
      <w:r>
        <w:tab/>
      </w:r>
      <w:r>
        <w:fldChar w:fldCharType="begin"/>
      </w:r>
      <w:r>
        <w:instrText xml:space="preserve"> PAGEREF _Toc3519 \h </w:instrText>
      </w:r>
      <w:r>
        <w:fldChar w:fldCharType="separate"/>
      </w:r>
      <w:r>
        <w:t>1</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_Toc18332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szCs w:val="24"/>
        </w:rPr>
        <w:t>1.1 项目由来</w:t>
      </w:r>
      <w:r>
        <w:tab/>
      </w:r>
      <w:r>
        <w:fldChar w:fldCharType="begin"/>
      </w:r>
      <w:r>
        <w:instrText xml:space="preserve"> PAGEREF _Toc18332 \h </w:instrText>
      </w:r>
      <w:r>
        <w:fldChar w:fldCharType="separate"/>
      </w:r>
      <w:r>
        <w:t>1</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_Toc19862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szCs w:val="24"/>
        </w:rPr>
        <w:t>1.2 建设项目特点</w:t>
      </w:r>
      <w:r>
        <w:tab/>
      </w:r>
      <w:r>
        <w:fldChar w:fldCharType="begin"/>
      </w:r>
      <w:r>
        <w:instrText xml:space="preserve"> PAGEREF _Toc19862 \h </w:instrText>
      </w:r>
      <w:r>
        <w:fldChar w:fldCharType="separate"/>
      </w:r>
      <w:r>
        <w:t>2</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_Toc27496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szCs w:val="24"/>
        </w:rPr>
        <w:t>1.3 环境影响评价工作过程</w:t>
      </w:r>
      <w:r>
        <w:tab/>
      </w:r>
      <w:r>
        <w:fldChar w:fldCharType="begin"/>
      </w:r>
      <w:r>
        <w:instrText xml:space="preserve"> PAGEREF _Toc27496 \h </w:instrText>
      </w:r>
      <w:r>
        <w:fldChar w:fldCharType="separate"/>
      </w:r>
      <w:r>
        <w:t>3</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_Toc25441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rPr>
        <w:t>1.4 项目分析判定</w:t>
      </w:r>
      <w:r>
        <w:tab/>
      </w:r>
      <w:r>
        <w:fldChar w:fldCharType="begin"/>
      </w:r>
      <w:r>
        <w:instrText xml:space="preserve"> PAGEREF _Toc25441 \h </w:instrText>
      </w:r>
      <w:r>
        <w:fldChar w:fldCharType="separate"/>
      </w:r>
      <w:r>
        <w:t>4</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_Toc9496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bCs w:val="0"/>
          <w:highlight w:val="none"/>
        </w:rPr>
        <w:t>1.5 主要关注环境问题</w:t>
      </w:r>
      <w:r>
        <w:tab/>
      </w:r>
      <w:r>
        <w:fldChar w:fldCharType="begin"/>
      </w:r>
      <w:r>
        <w:instrText xml:space="preserve"> PAGEREF _Toc9496 \h </w:instrText>
      </w:r>
      <w:r>
        <w:fldChar w:fldCharType="separate"/>
      </w:r>
      <w:r>
        <w:t>42</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_Toc18744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szCs w:val="24"/>
        </w:rPr>
        <w:t>1.6 环境影响评价结论</w:t>
      </w:r>
      <w:r>
        <w:tab/>
      </w:r>
      <w:r>
        <w:fldChar w:fldCharType="begin"/>
      </w:r>
      <w:r>
        <w:instrText xml:space="preserve"> PAGEREF _Toc18744 \h </w:instrText>
      </w:r>
      <w:r>
        <w:fldChar w:fldCharType="separate"/>
      </w:r>
      <w:r>
        <w:t>43</w:t>
      </w:r>
      <w:r>
        <w:fldChar w:fldCharType="end"/>
      </w:r>
      <w:r>
        <w:rPr>
          <w:rFonts w:hint="default" w:ascii="Times New Roman" w:hAnsi="Times New Roman" w:cs="Times New Roman" w:eastAsiaTheme="minorEastAsia"/>
          <w:color w:val="000000"/>
          <w:szCs w:val="32"/>
        </w:rPr>
        <w:fldChar w:fldCharType="end"/>
      </w:r>
    </w:p>
    <w:p>
      <w:pPr>
        <w:pStyle w:val="63"/>
        <w:tabs>
          <w:tab w:val="right" w:leader="dot" w:pos="8504"/>
          <w:tab w:val="clear" w:pos="8460"/>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_Toc11899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rPr>
        <w:t>2 总则</w:t>
      </w:r>
      <w:r>
        <w:tab/>
      </w:r>
      <w:r>
        <w:fldChar w:fldCharType="begin"/>
      </w:r>
      <w:r>
        <w:instrText xml:space="preserve"> PAGEREF _Toc11899 \h </w:instrText>
      </w:r>
      <w:r>
        <w:fldChar w:fldCharType="separate"/>
      </w:r>
      <w:r>
        <w:t>44</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_Toc8572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szCs w:val="24"/>
        </w:rPr>
        <w:t>2.1 编制依据</w:t>
      </w:r>
      <w:r>
        <w:tab/>
      </w:r>
      <w:r>
        <w:fldChar w:fldCharType="begin"/>
      </w:r>
      <w:r>
        <w:instrText xml:space="preserve"> PAGEREF _Toc8572 \h </w:instrText>
      </w:r>
      <w:r>
        <w:fldChar w:fldCharType="separate"/>
      </w:r>
      <w:r>
        <w:t>44</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_Toc22796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szCs w:val="24"/>
        </w:rPr>
        <w:t>2.2 环境影响识别及评价因子筛选</w:t>
      </w:r>
      <w:r>
        <w:tab/>
      </w:r>
      <w:r>
        <w:fldChar w:fldCharType="begin"/>
      </w:r>
      <w:r>
        <w:instrText xml:space="preserve"> PAGEREF _Toc22796 \h </w:instrText>
      </w:r>
      <w:r>
        <w:fldChar w:fldCharType="separate"/>
      </w:r>
      <w:r>
        <w:t>47</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_Toc21969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bCs w:val="0"/>
        </w:rPr>
        <w:t>2.3 评价工作等级及评价范围</w:t>
      </w:r>
      <w:r>
        <w:tab/>
      </w:r>
      <w:r>
        <w:fldChar w:fldCharType="begin"/>
      </w:r>
      <w:r>
        <w:instrText xml:space="preserve"> PAGEREF _Toc21969 \h </w:instrText>
      </w:r>
      <w:r>
        <w:fldChar w:fldCharType="separate"/>
      </w:r>
      <w:r>
        <w:t>49</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_Toc13715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szCs w:val="28"/>
          <w:highlight w:val="none"/>
        </w:rPr>
        <w:t>2.4 环境保护目标</w:t>
      </w:r>
      <w:r>
        <w:tab/>
      </w:r>
      <w:r>
        <w:fldChar w:fldCharType="begin"/>
      </w:r>
      <w:r>
        <w:instrText xml:space="preserve"> PAGEREF _Toc13715 \h </w:instrText>
      </w:r>
      <w:r>
        <w:fldChar w:fldCharType="separate"/>
      </w:r>
      <w:r>
        <w:t>67</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_Toc4813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bCs w:val="0"/>
        </w:rPr>
        <w:t>2.5 环境功能区划与评价标准</w:t>
      </w:r>
      <w:r>
        <w:tab/>
      </w:r>
      <w:r>
        <w:fldChar w:fldCharType="begin"/>
      </w:r>
      <w:r>
        <w:instrText xml:space="preserve"> PAGEREF _Toc4813 \h </w:instrText>
      </w:r>
      <w:r>
        <w:fldChar w:fldCharType="separate"/>
      </w:r>
      <w:r>
        <w:t>71</w:t>
      </w:r>
      <w:r>
        <w:fldChar w:fldCharType="end"/>
      </w:r>
      <w:r>
        <w:rPr>
          <w:rFonts w:hint="default" w:ascii="Times New Roman" w:hAnsi="Times New Roman" w:cs="Times New Roman" w:eastAsiaTheme="minorEastAsia"/>
          <w:color w:val="000000"/>
          <w:szCs w:val="32"/>
        </w:rPr>
        <w:fldChar w:fldCharType="end"/>
      </w:r>
    </w:p>
    <w:p>
      <w:pPr>
        <w:pStyle w:val="63"/>
        <w:tabs>
          <w:tab w:val="right" w:leader="dot" w:pos="8504"/>
          <w:tab w:val="clear" w:pos="8460"/>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_Toc18832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rPr>
        <w:t>3 建设项目工程分析</w:t>
      </w:r>
      <w:r>
        <w:tab/>
      </w:r>
      <w:r>
        <w:fldChar w:fldCharType="begin"/>
      </w:r>
      <w:r>
        <w:instrText xml:space="preserve"> PAGEREF _Toc18832 \h </w:instrText>
      </w:r>
      <w:r>
        <w:fldChar w:fldCharType="separate"/>
      </w:r>
      <w:r>
        <w:t>76</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_Toc11816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szCs w:val="28"/>
        </w:rPr>
        <w:t>3.1 建设项目概况</w:t>
      </w:r>
      <w:r>
        <w:tab/>
      </w:r>
      <w:r>
        <w:fldChar w:fldCharType="begin"/>
      </w:r>
      <w:r>
        <w:instrText xml:space="preserve"> PAGEREF _Toc11816 \h </w:instrText>
      </w:r>
      <w:r>
        <w:fldChar w:fldCharType="separate"/>
      </w:r>
      <w:r>
        <w:t>76</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_Toc18729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bCs w:val="0"/>
          <w:szCs w:val="32"/>
        </w:rPr>
        <w:t>3.2 工程分析</w:t>
      </w:r>
      <w:r>
        <w:tab/>
      </w:r>
      <w:r>
        <w:fldChar w:fldCharType="begin"/>
      </w:r>
      <w:r>
        <w:instrText xml:space="preserve"> PAGEREF _Toc18729 \h </w:instrText>
      </w:r>
      <w:r>
        <w:fldChar w:fldCharType="separate"/>
      </w:r>
      <w:r>
        <w:t>89</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_Toc13178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bCs w:val="0"/>
          <w:szCs w:val="32"/>
        </w:rPr>
        <w:t>3.3 清洁生产</w:t>
      </w:r>
      <w:r>
        <w:tab/>
      </w:r>
      <w:r>
        <w:fldChar w:fldCharType="begin"/>
      </w:r>
      <w:r>
        <w:instrText xml:space="preserve"> PAGEREF _Toc13178 \h </w:instrText>
      </w:r>
      <w:r>
        <w:fldChar w:fldCharType="separate"/>
      </w:r>
      <w:r>
        <w:t>112</w:t>
      </w:r>
      <w:r>
        <w:fldChar w:fldCharType="end"/>
      </w:r>
      <w:r>
        <w:rPr>
          <w:rFonts w:hint="default" w:ascii="Times New Roman" w:hAnsi="Times New Roman" w:cs="Times New Roman" w:eastAsiaTheme="minorEastAsia"/>
          <w:color w:val="000000"/>
          <w:szCs w:val="32"/>
        </w:rPr>
        <w:fldChar w:fldCharType="end"/>
      </w:r>
    </w:p>
    <w:p>
      <w:pPr>
        <w:pStyle w:val="63"/>
        <w:tabs>
          <w:tab w:val="right" w:leader="dot" w:pos="8504"/>
          <w:tab w:val="clear" w:pos="8460"/>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_Toc16764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rPr>
        <w:t>4 环境现状调查与评价</w:t>
      </w:r>
      <w:r>
        <w:tab/>
      </w:r>
      <w:r>
        <w:fldChar w:fldCharType="begin"/>
      </w:r>
      <w:r>
        <w:instrText xml:space="preserve"> PAGEREF _Toc16764 \h </w:instrText>
      </w:r>
      <w:r>
        <w:fldChar w:fldCharType="separate"/>
      </w:r>
      <w:r>
        <w:t>117</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_Toc29634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szCs w:val="28"/>
        </w:rPr>
        <w:t>4.1 自然环境现状调查与评价</w:t>
      </w:r>
      <w:r>
        <w:tab/>
      </w:r>
      <w:r>
        <w:fldChar w:fldCharType="begin"/>
      </w:r>
      <w:r>
        <w:instrText xml:space="preserve"> PAGEREF _Toc29634 \h </w:instrText>
      </w:r>
      <w:r>
        <w:fldChar w:fldCharType="separate"/>
      </w:r>
      <w:r>
        <w:t>117</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_Toc15999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bCs w:val="0"/>
          <w:szCs w:val="28"/>
        </w:rPr>
        <w:t>4.2 环境保护目标调查</w:t>
      </w:r>
      <w:r>
        <w:tab/>
      </w:r>
      <w:r>
        <w:fldChar w:fldCharType="begin"/>
      </w:r>
      <w:r>
        <w:instrText xml:space="preserve"> PAGEREF _Toc15999 \h </w:instrText>
      </w:r>
      <w:r>
        <w:fldChar w:fldCharType="separate"/>
      </w:r>
      <w:r>
        <w:t>120</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_Toc5708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bCs w:val="0"/>
        </w:rPr>
        <w:t>4.3 环境质量现状调查与评价</w:t>
      </w:r>
      <w:r>
        <w:tab/>
      </w:r>
      <w:r>
        <w:fldChar w:fldCharType="begin"/>
      </w:r>
      <w:r>
        <w:instrText xml:space="preserve"> PAGEREF _Toc5708 \h </w:instrText>
      </w:r>
      <w:r>
        <w:fldChar w:fldCharType="separate"/>
      </w:r>
      <w:r>
        <w:t>122</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_Toc3154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szCs w:val="28"/>
        </w:rPr>
        <w:t>4.4 区域污染源调查</w:t>
      </w:r>
      <w:r>
        <w:tab/>
      </w:r>
      <w:r>
        <w:fldChar w:fldCharType="begin"/>
      </w:r>
      <w:r>
        <w:instrText xml:space="preserve"> PAGEREF _Toc3154 \h </w:instrText>
      </w:r>
      <w:r>
        <w:fldChar w:fldCharType="separate"/>
      </w:r>
      <w:r>
        <w:t>141</w:t>
      </w:r>
      <w:r>
        <w:fldChar w:fldCharType="end"/>
      </w:r>
      <w:r>
        <w:rPr>
          <w:rFonts w:hint="default" w:ascii="Times New Roman" w:hAnsi="Times New Roman" w:cs="Times New Roman" w:eastAsiaTheme="minorEastAsia"/>
          <w:color w:val="000000"/>
          <w:szCs w:val="32"/>
        </w:rPr>
        <w:fldChar w:fldCharType="end"/>
      </w:r>
    </w:p>
    <w:p>
      <w:pPr>
        <w:pStyle w:val="63"/>
        <w:tabs>
          <w:tab w:val="right" w:leader="dot" w:pos="8504"/>
          <w:tab w:val="clear" w:pos="8460"/>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_Toc18869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bCs w:val="0"/>
          <w:szCs w:val="18"/>
        </w:rPr>
        <w:t>5 环境影响预测与评价</w:t>
      </w:r>
      <w:r>
        <w:tab/>
      </w:r>
      <w:r>
        <w:fldChar w:fldCharType="begin"/>
      </w:r>
      <w:r>
        <w:instrText xml:space="preserve"> PAGEREF _Toc18869 \h </w:instrText>
      </w:r>
      <w:r>
        <w:fldChar w:fldCharType="separate"/>
      </w:r>
      <w:r>
        <w:t>142</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_Toc20938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szCs w:val="28"/>
        </w:rPr>
        <w:t>5.1 施工期环境影响分析</w:t>
      </w:r>
      <w:r>
        <w:tab/>
      </w:r>
      <w:r>
        <w:fldChar w:fldCharType="begin"/>
      </w:r>
      <w:r>
        <w:instrText xml:space="preserve"> PAGEREF _Toc20938 \h </w:instrText>
      </w:r>
      <w:r>
        <w:fldChar w:fldCharType="separate"/>
      </w:r>
      <w:r>
        <w:t>142</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_Toc3798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bCs w:val="0"/>
        </w:rPr>
        <w:t>5.2 大气环境影响预测与评价</w:t>
      </w:r>
      <w:r>
        <w:tab/>
      </w:r>
      <w:r>
        <w:fldChar w:fldCharType="begin"/>
      </w:r>
      <w:r>
        <w:instrText xml:space="preserve"> PAGEREF _Toc3798 \h </w:instrText>
      </w:r>
      <w:r>
        <w:fldChar w:fldCharType="separate"/>
      </w:r>
      <w:r>
        <w:t>148</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_Toc27529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szCs w:val="28"/>
        </w:rPr>
        <w:t>5.3 地表水环境影响预测与评价</w:t>
      </w:r>
      <w:r>
        <w:tab/>
      </w:r>
      <w:r>
        <w:fldChar w:fldCharType="begin"/>
      </w:r>
      <w:r>
        <w:instrText xml:space="preserve"> PAGEREF _Toc27529 \h </w:instrText>
      </w:r>
      <w:r>
        <w:fldChar w:fldCharType="separate"/>
      </w:r>
      <w:r>
        <w:t>151</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_Toc22072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bCs w:val="0"/>
        </w:rPr>
        <w:t>5.4 地下水环境影响预测与评价</w:t>
      </w:r>
      <w:r>
        <w:tab/>
      </w:r>
      <w:r>
        <w:fldChar w:fldCharType="begin"/>
      </w:r>
      <w:r>
        <w:instrText xml:space="preserve"> PAGEREF _Toc22072 \h </w:instrText>
      </w:r>
      <w:r>
        <w:fldChar w:fldCharType="separate"/>
      </w:r>
      <w:r>
        <w:t>152</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_Toc13898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rPr>
        <w:t>5.5 声环境影响预测与评价</w:t>
      </w:r>
      <w:r>
        <w:tab/>
      </w:r>
      <w:r>
        <w:fldChar w:fldCharType="begin"/>
      </w:r>
      <w:r>
        <w:instrText xml:space="preserve"> PAGEREF _Toc13898 \h </w:instrText>
      </w:r>
      <w:r>
        <w:fldChar w:fldCharType="separate"/>
      </w:r>
      <w:r>
        <w:t>159</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_Toc3688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rPr>
        <w:t>5.6 固体废物环境影响分析</w:t>
      </w:r>
      <w:r>
        <w:tab/>
      </w:r>
      <w:r>
        <w:fldChar w:fldCharType="begin"/>
      </w:r>
      <w:r>
        <w:instrText xml:space="preserve"> PAGEREF _Toc3688 \h </w:instrText>
      </w:r>
      <w:r>
        <w:fldChar w:fldCharType="separate"/>
      </w:r>
      <w:r>
        <w:t>162</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_Toc21247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rPr>
        <w:t>5.7 土壤环境影响分析</w:t>
      </w:r>
      <w:r>
        <w:tab/>
      </w:r>
      <w:r>
        <w:fldChar w:fldCharType="begin"/>
      </w:r>
      <w:r>
        <w:instrText xml:space="preserve"> PAGEREF _Toc21247 \h </w:instrText>
      </w:r>
      <w:r>
        <w:fldChar w:fldCharType="separate"/>
      </w:r>
      <w:r>
        <w:t>164</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_Toc15508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rPr>
        <w:t>5.8 生态影响分析</w:t>
      </w:r>
      <w:r>
        <w:tab/>
      </w:r>
      <w:r>
        <w:fldChar w:fldCharType="begin"/>
      </w:r>
      <w:r>
        <w:instrText xml:space="preserve"> PAGEREF _Toc15508 \h </w:instrText>
      </w:r>
      <w:r>
        <w:fldChar w:fldCharType="separate"/>
      </w:r>
      <w:r>
        <w:t>164</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_Toc16183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lang w:val="en-US" w:eastAsia="zh-CN"/>
        </w:rPr>
        <w:t>5.10</w:t>
      </w:r>
      <w:r>
        <w:rPr>
          <w:rFonts w:hint="default" w:ascii="Times New Roman" w:hAnsi="Times New Roman" w:cs="Times New Roman" w:eastAsiaTheme="minorEastAsia"/>
        </w:rPr>
        <w:t>环境风险影响分析</w:t>
      </w:r>
      <w:r>
        <w:tab/>
      </w:r>
      <w:r>
        <w:fldChar w:fldCharType="begin"/>
      </w:r>
      <w:r>
        <w:instrText xml:space="preserve"> PAGEREF _Toc16183 \h </w:instrText>
      </w:r>
      <w:r>
        <w:fldChar w:fldCharType="separate"/>
      </w:r>
      <w:r>
        <w:t>165</w:t>
      </w:r>
      <w:r>
        <w:fldChar w:fldCharType="end"/>
      </w:r>
      <w:r>
        <w:rPr>
          <w:rFonts w:hint="default" w:ascii="Times New Roman" w:hAnsi="Times New Roman" w:cs="Times New Roman" w:eastAsiaTheme="minorEastAsia"/>
          <w:color w:val="000000"/>
          <w:szCs w:val="32"/>
        </w:rPr>
        <w:fldChar w:fldCharType="end"/>
      </w:r>
    </w:p>
    <w:p>
      <w:pPr>
        <w:pStyle w:val="63"/>
        <w:tabs>
          <w:tab w:val="right" w:leader="dot" w:pos="8504"/>
          <w:tab w:val="clear" w:pos="8460"/>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_Toc2267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rPr>
        <w:t>6 环境保护措施及其可行性论证</w:t>
      </w:r>
      <w:r>
        <w:tab/>
      </w:r>
      <w:r>
        <w:fldChar w:fldCharType="begin"/>
      </w:r>
      <w:r>
        <w:instrText xml:space="preserve"> PAGEREF _Toc2267 \h </w:instrText>
      </w:r>
      <w:r>
        <w:fldChar w:fldCharType="separate"/>
      </w:r>
      <w:r>
        <w:t>170</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_Toc18481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rPr>
        <w:t>6.1 施工期环境保护措施</w:t>
      </w:r>
      <w:r>
        <w:tab/>
      </w:r>
      <w:r>
        <w:fldChar w:fldCharType="begin"/>
      </w:r>
      <w:r>
        <w:instrText xml:space="preserve"> PAGEREF _Toc18481 \h </w:instrText>
      </w:r>
      <w:r>
        <w:fldChar w:fldCharType="separate"/>
      </w:r>
      <w:r>
        <w:t>170</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_Toc17053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rPr>
        <w:t>6.2 运营期环境保护措施</w:t>
      </w:r>
      <w:r>
        <w:tab/>
      </w:r>
      <w:r>
        <w:fldChar w:fldCharType="begin"/>
      </w:r>
      <w:r>
        <w:instrText xml:space="preserve"> PAGEREF _Toc17053 \h </w:instrText>
      </w:r>
      <w:r>
        <w:fldChar w:fldCharType="separate"/>
      </w:r>
      <w:r>
        <w:t>172</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_Toc12152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szCs w:val="30"/>
        </w:rPr>
        <w:t>6.3 环境保护投资估算</w:t>
      </w:r>
      <w:r>
        <w:tab/>
      </w:r>
      <w:r>
        <w:fldChar w:fldCharType="begin"/>
      </w:r>
      <w:r>
        <w:instrText xml:space="preserve"> PAGEREF _Toc12152 \h </w:instrText>
      </w:r>
      <w:r>
        <w:fldChar w:fldCharType="separate"/>
      </w:r>
      <w:r>
        <w:t>195</w:t>
      </w:r>
      <w:r>
        <w:fldChar w:fldCharType="end"/>
      </w:r>
      <w:r>
        <w:rPr>
          <w:rFonts w:hint="default" w:ascii="Times New Roman" w:hAnsi="Times New Roman" w:cs="Times New Roman" w:eastAsiaTheme="minorEastAsia"/>
          <w:color w:val="000000"/>
          <w:szCs w:val="32"/>
        </w:rPr>
        <w:fldChar w:fldCharType="end"/>
      </w:r>
    </w:p>
    <w:p>
      <w:pPr>
        <w:pStyle w:val="63"/>
        <w:tabs>
          <w:tab w:val="right" w:leader="dot" w:pos="8504"/>
          <w:tab w:val="clear" w:pos="8460"/>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_Toc26481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rPr>
        <w:t>7 环境影响经济损益分析</w:t>
      </w:r>
      <w:r>
        <w:tab/>
      </w:r>
      <w:r>
        <w:fldChar w:fldCharType="begin"/>
      </w:r>
      <w:r>
        <w:instrText xml:space="preserve"> PAGEREF _Toc26481 \h </w:instrText>
      </w:r>
      <w:r>
        <w:fldChar w:fldCharType="separate"/>
      </w:r>
      <w:r>
        <w:t>197</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_Toc8940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rPr>
        <w:t>7.1 概述</w:t>
      </w:r>
      <w:r>
        <w:tab/>
      </w:r>
      <w:r>
        <w:fldChar w:fldCharType="begin"/>
      </w:r>
      <w:r>
        <w:instrText xml:space="preserve"> PAGEREF _Toc8940 \h </w:instrText>
      </w:r>
      <w:r>
        <w:fldChar w:fldCharType="separate"/>
      </w:r>
      <w:r>
        <w:t>197</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_Toc16763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rPr>
        <w:t>7.2 效益分析</w:t>
      </w:r>
      <w:r>
        <w:tab/>
      </w:r>
      <w:r>
        <w:fldChar w:fldCharType="begin"/>
      </w:r>
      <w:r>
        <w:instrText xml:space="preserve"> PAGEREF _Toc16763 \h </w:instrText>
      </w:r>
      <w:r>
        <w:fldChar w:fldCharType="separate"/>
      </w:r>
      <w:r>
        <w:t>197</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_Toc16699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rPr>
        <w:t>7.3 结论</w:t>
      </w:r>
      <w:r>
        <w:tab/>
      </w:r>
      <w:r>
        <w:fldChar w:fldCharType="begin"/>
      </w:r>
      <w:r>
        <w:instrText xml:space="preserve"> PAGEREF _Toc16699 \h </w:instrText>
      </w:r>
      <w:r>
        <w:fldChar w:fldCharType="separate"/>
      </w:r>
      <w:r>
        <w:t>198</w:t>
      </w:r>
      <w:r>
        <w:fldChar w:fldCharType="end"/>
      </w:r>
      <w:r>
        <w:rPr>
          <w:rFonts w:hint="default" w:ascii="Times New Roman" w:hAnsi="Times New Roman" w:cs="Times New Roman" w:eastAsiaTheme="minorEastAsia"/>
          <w:color w:val="000000"/>
          <w:szCs w:val="32"/>
        </w:rPr>
        <w:fldChar w:fldCharType="end"/>
      </w:r>
    </w:p>
    <w:p>
      <w:pPr>
        <w:pStyle w:val="63"/>
        <w:tabs>
          <w:tab w:val="right" w:leader="dot" w:pos="8504"/>
          <w:tab w:val="clear" w:pos="8460"/>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_Toc1124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rPr>
        <w:t>8 环境管理与环境监测计划</w:t>
      </w:r>
      <w:r>
        <w:tab/>
      </w:r>
      <w:r>
        <w:fldChar w:fldCharType="begin"/>
      </w:r>
      <w:r>
        <w:instrText xml:space="preserve"> PAGEREF _Toc1124 \h </w:instrText>
      </w:r>
      <w:r>
        <w:fldChar w:fldCharType="separate"/>
      </w:r>
      <w:r>
        <w:t>199</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_Toc13730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rPr>
        <w:t>8.1 环境管理计划</w:t>
      </w:r>
      <w:r>
        <w:tab/>
      </w:r>
      <w:r>
        <w:fldChar w:fldCharType="begin"/>
      </w:r>
      <w:r>
        <w:instrText xml:space="preserve"> PAGEREF _Toc13730 \h </w:instrText>
      </w:r>
      <w:r>
        <w:fldChar w:fldCharType="separate"/>
      </w:r>
      <w:r>
        <w:t>199</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_Toc11245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rPr>
        <w:t>8.2 环境监测计划</w:t>
      </w:r>
      <w:r>
        <w:tab/>
      </w:r>
      <w:r>
        <w:fldChar w:fldCharType="begin"/>
      </w:r>
      <w:r>
        <w:instrText xml:space="preserve"> PAGEREF _Toc11245 \h </w:instrText>
      </w:r>
      <w:r>
        <w:fldChar w:fldCharType="separate"/>
      </w:r>
      <w:r>
        <w:t>205</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_Toc31851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rPr>
        <w:t>8.3 环境监管与信息公开</w:t>
      </w:r>
      <w:r>
        <w:tab/>
      </w:r>
      <w:r>
        <w:fldChar w:fldCharType="begin"/>
      </w:r>
      <w:r>
        <w:instrText xml:space="preserve"> PAGEREF _Toc31851 \h </w:instrText>
      </w:r>
      <w:r>
        <w:fldChar w:fldCharType="separate"/>
      </w:r>
      <w:r>
        <w:t>206</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_Toc15491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rPr>
        <w:t>8.4 排污口规范化管理</w:t>
      </w:r>
      <w:r>
        <w:tab/>
      </w:r>
      <w:r>
        <w:fldChar w:fldCharType="begin"/>
      </w:r>
      <w:r>
        <w:instrText xml:space="preserve"> PAGEREF _Toc15491 \h </w:instrText>
      </w:r>
      <w:r>
        <w:fldChar w:fldCharType="separate"/>
      </w:r>
      <w:r>
        <w:t>206</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_Toc17522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rPr>
        <w:t>8.5 技术文件管理</w:t>
      </w:r>
      <w:r>
        <w:tab/>
      </w:r>
      <w:r>
        <w:fldChar w:fldCharType="begin"/>
      </w:r>
      <w:r>
        <w:instrText xml:space="preserve"> PAGEREF _Toc17522 \h </w:instrText>
      </w:r>
      <w:r>
        <w:fldChar w:fldCharType="separate"/>
      </w:r>
      <w:r>
        <w:t>207</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_Toc32045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rPr>
        <w:t>8.6 建设项目环保“三同时”验收内容</w:t>
      </w:r>
      <w:r>
        <w:tab/>
      </w:r>
      <w:r>
        <w:fldChar w:fldCharType="begin"/>
      </w:r>
      <w:r>
        <w:instrText xml:space="preserve"> PAGEREF _Toc32045 \h </w:instrText>
      </w:r>
      <w:r>
        <w:fldChar w:fldCharType="separate"/>
      </w:r>
      <w:r>
        <w:t>207</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_Toc9688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bCs/>
          <w:szCs w:val="30"/>
        </w:rPr>
        <w:t>8.</w:t>
      </w:r>
      <w:r>
        <w:rPr>
          <w:rFonts w:hint="default" w:ascii="Times New Roman" w:hAnsi="Times New Roman" w:cs="Times New Roman" w:eastAsiaTheme="minorEastAsia"/>
          <w:bCs/>
          <w:szCs w:val="30"/>
          <w:lang w:val="en-US" w:eastAsia="zh-CN"/>
        </w:rPr>
        <w:t>7</w:t>
      </w:r>
      <w:r>
        <w:rPr>
          <w:rFonts w:hint="default" w:ascii="Times New Roman" w:hAnsi="Times New Roman" w:cs="Times New Roman" w:eastAsiaTheme="minorEastAsia"/>
          <w:bCs/>
          <w:szCs w:val="30"/>
        </w:rPr>
        <w:t>总量控制</w:t>
      </w:r>
      <w:r>
        <w:tab/>
      </w:r>
      <w:r>
        <w:fldChar w:fldCharType="begin"/>
      </w:r>
      <w:r>
        <w:instrText xml:space="preserve"> PAGEREF _Toc9688 \h </w:instrText>
      </w:r>
      <w:r>
        <w:fldChar w:fldCharType="separate"/>
      </w:r>
      <w:r>
        <w:t>210</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_Toc9713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bCs/>
          <w:szCs w:val="30"/>
        </w:rPr>
        <w:t>8.</w:t>
      </w:r>
      <w:r>
        <w:rPr>
          <w:rFonts w:hint="default" w:ascii="Times New Roman" w:hAnsi="Times New Roman" w:cs="Times New Roman" w:eastAsiaTheme="minorEastAsia"/>
          <w:bCs/>
          <w:szCs w:val="30"/>
          <w:lang w:val="en-US" w:eastAsia="zh-CN"/>
        </w:rPr>
        <w:t>8</w:t>
      </w:r>
      <w:r>
        <w:rPr>
          <w:rFonts w:hint="default" w:ascii="Times New Roman" w:hAnsi="Times New Roman" w:cs="Times New Roman" w:eastAsiaTheme="minorEastAsia"/>
          <w:bCs/>
          <w:szCs w:val="30"/>
        </w:rPr>
        <w:t>与排污许可证制度衔接</w:t>
      </w:r>
      <w:r>
        <w:tab/>
      </w:r>
      <w:r>
        <w:fldChar w:fldCharType="begin"/>
      </w:r>
      <w:r>
        <w:instrText xml:space="preserve"> PAGEREF _Toc9713 \h </w:instrText>
      </w:r>
      <w:r>
        <w:fldChar w:fldCharType="separate"/>
      </w:r>
      <w:r>
        <w:t>210</w:t>
      </w:r>
      <w:r>
        <w:fldChar w:fldCharType="end"/>
      </w:r>
      <w:r>
        <w:rPr>
          <w:rFonts w:hint="default" w:ascii="Times New Roman" w:hAnsi="Times New Roman" w:cs="Times New Roman" w:eastAsiaTheme="minorEastAsia"/>
          <w:color w:val="000000"/>
          <w:szCs w:val="32"/>
        </w:rPr>
        <w:fldChar w:fldCharType="end"/>
      </w:r>
    </w:p>
    <w:p>
      <w:pPr>
        <w:pStyle w:val="63"/>
        <w:tabs>
          <w:tab w:val="right" w:leader="dot" w:pos="8504"/>
          <w:tab w:val="clear" w:pos="8460"/>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_Toc8011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rPr>
        <w:t>9 环境影响评价结论</w:t>
      </w:r>
      <w:r>
        <w:tab/>
      </w:r>
      <w:r>
        <w:fldChar w:fldCharType="begin"/>
      </w:r>
      <w:r>
        <w:instrText xml:space="preserve"> PAGEREF _Toc8011 \h </w:instrText>
      </w:r>
      <w:r>
        <w:fldChar w:fldCharType="separate"/>
      </w:r>
      <w:r>
        <w:t>212</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_Toc20095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rPr>
        <w:t>9.1 建设项目概况</w:t>
      </w:r>
      <w:r>
        <w:tab/>
      </w:r>
      <w:r>
        <w:fldChar w:fldCharType="begin"/>
      </w:r>
      <w:r>
        <w:instrText xml:space="preserve"> PAGEREF _Toc20095 \h </w:instrText>
      </w:r>
      <w:r>
        <w:fldChar w:fldCharType="separate"/>
      </w:r>
      <w:r>
        <w:t>212</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_Toc5770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rPr>
        <w:t>9.2 规划及产业政策相符性结论</w:t>
      </w:r>
      <w:r>
        <w:tab/>
      </w:r>
      <w:r>
        <w:fldChar w:fldCharType="begin"/>
      </w:r>
      <w:r>
        <w:instrText xml:space="preserve"> PAGEREF _Toc5770 \h </w:instrText>
      </w:r>
      <w:r>
        <w:fldChar w:fldCharType="separate"/>
      </w:r>
      <w:r>
        <w:t>212</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_Toc1830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rPr>
        <w:t>9.3 环境质量现状评价结论</w:t>
      </w:r>
      <w:r>
        <w:tab/>
      </w:r>
      <w:r>
        <w:fldChar w:fldCharType="begin"/>
      </w:r>
      <w:r>
        <w:instrText xml:space="preserve"> PAGEREF _Toc1830 \h </w:instrText>
      </w:r>
      <w:r>
        <w:fldChar w:fldCharType="separate"/>
      </w:r>
      <w:r>
        <w:t>212</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_Toc15886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rPr>
        <w:t>9.4 环境保护措施</w:t>
      </w:r>
      <w:r>
        <w:tab/>
      </w:r>
      <w:r>
        <w:fldChar w:fldCharType="begin"/>
      </w:r>
      <w:r>
        <w:instrText xml:space="preserve"> PAGEREF _Toc15886 \h </w:instrText>
      </w:r>
      <w:r>
        <w:fldChar w:fldCharType="separate"/>
      </w:r>
      <w:r>
        <w:t>213</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_Toc5714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rPr>
        <w:t>9.5 环境影响评价结论</w:t>
      </w:r>
      <w:r>
        <w:tab/>
      </w:r>
      <w:r>
        <w:fldChar w:fldCharType="begin"/>
      </w:r>
      <w:r>
        <w:instrText xml:space="preserve"> PAGEREF _Toc5714 \h </w:instrText>
      </w:r>
      <w:r>
        <w:fldChar w:fldCharType="separate"/>
      </w:r>
      <w:r>
        <w:t>219</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_Toc4354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rPr>
        <w:t>9.6 环境经济损益分析结论</w:t>
      </w:r>
      <w:r>
        <w:tab/>
      </w:r>
      <w:r>
        <w:fldChar w:fldCharType="begin"/>
      </w:r>
      <w:r>
        <w:instrText xml:space="preserve"> PAGEREF _Toc4354 \h </w:instrText>
      </w:r>
      <w:r>
        <w:fldChar w:fldCharType="separate"/>
      </w:r>
      <w:r>
        <w:t>220</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_Toc26411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rPr>
        <w:t>9.7 环境管理与监测计划</w:t>
      </w:r>
      <w:r>
        <w:tab/>
      </w:r>
      <w:r>
        <w:fldChar w:fldCharType="begin"/>
      </w:r>
      <w:r>
        <w:instrText xml:space="preserve"> PAGEREF _Toc26411 \h </w:instrText>
      </w:r>
      <w:r>
        <w:fldChar w:fldCharType="separate"/>
      </w:r>
      <w:r>
        <w:t>221</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_Toc24559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rPr>
        <w:t>9.8 公众意见采纳情况</w:t>
      </w:r>
      <w:r>
        <w:tab/>
      </w:r>
      <w:r>
        <w:fldChar w:fldCharType="begin"/>
      </w:r>
      <w:r>
        <w:instrText xml:space="preserve"> PAGEREF _Toc24559 \h </w:instrText>
      </w:r>
      <w:r>
        <w:fldChar w:fldCharType="separate"/>
      </w:r>
      <w:r>
        <w:t>221</w:t>
      </w:r>
      <w:r>
        <w:fldChar w:fldCharType="end"/>
      </w:r>
      <w:r>
        <w:rPr>
          <w:rFonts w:hint="default" w:ascii="Times New Roman" w:hAnsi="Times New Roman" w:cs="Times New Roman" w:eastAsiaTheme="minorEastAsia"/>
          <w:color w:val="000000"/>
          <w:szCs w:val="32"/>
        </w:rPr>
        <w:fldChar w:fldCharType="end"/>
      </w:r>
    </w:p>
    <w:p>
      <w:pPr>
        <w:pStyle w:val="78"/>
        <w:tabs>
          <w:tab w:val="right" w:leader="dot" w:pos="8504"/>
        </w:tabs>
      </w:pPr>
      <w:r>
        <w:rPr>
          <w:rFonts w:hint="default" w:ascii="Times New Roman" w:hAnsi="Times New Roman" w:cs="Times New Roman" w:eastAsiaTheme="minorEastAsia"/>
          <w:color w:val="000000"/>
          <w:szCs w:val="32"/>
        </w:rPr>
        <w:fldChar w:fldCharType="begin"/>
      </w:r>
      <w:r>
        <w:rPr>
          <w:rFonts w:hint="default" w:ascii="Times New Roman" w:hAnsi="Times New Roman" w:cs="Times New Roman" w:eastAsiaTheme="minorEastAsia"/>
          <w:szCs w:val="32"/>
        </w:rPr>
        <w:instrText xml:space="preserve"> HYPERLINK \l _Toc23060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rPr>
        <w:t>9.9 环境影响可行性结论</w:t>
      </w:r>
      <w:r>
        <w:tab/>
      </w:r>
      <w:r>
        <w:fldChar w:fldCharType="begin"/>
      </w:r>
      <w:r>
        <w:instrText xml:space="preserve"> PAGEREF _Toc23060 \h </w:instrText>
      </w:r>
      <w:r>
        <w:fldChar w:fldCharType="separate"/>
      </w:r>
      <w:r>
        <w:t>221</w:t>
      </w:r>
      <w:r>
        <w:fldChar w:fldCharType="end"/>
      </w:r>
      <w:r>
        <w:rPr>
          <w:rFonts w:hint="default" w:ascii="Times New Roman" w:hAnsi="Times New Roman" w:cs="Times New Roman" w:eastAsiaTheme="minorEastAsia"/>
          <w:color w:val="000000"/>
          <w:szCs w:val="32"/>
        </w:rPr>
        <w:fldChar w:fldCharType="end"/>
      </w:r>
    </w:p>
    <w:p>
      <w:pPr>
        <w:pStyle w:val="63"/>
        <w:jc w:val="center"/>
        <w:rPr>
          <w:rFonts w:hint="default" w:ascii="Times New Roman" w:hAnsi="Times New Roman" w:cs="Times New Roman" w:eastAsiaTheme="minorEastAsia"/>
        </w:rPr>
      </w:pPr>
      <w:r>
        <w:rPr>
          <w:rFonts w:hint="default" w:ascii="Times New Roman" w:hAnsi="Times New Roman" w:cs="Times New Roman" w:eastAsiaTheme="minorEastAsia"/>
          <w:color w:val="000000"/>
          <w:sz w:val="32"/>
          <w:szCs w:val="32"/>
        </w:rPr>
        <w:fldChar w:fldCharType="end"/>
      </w:r>
    </w:p>
    <w:p>
      <w:pPr>
        <w:pStyle w:val="63"/>
        <w:rPr>
          <w:rFonts w:hint="default" w:ascii="Times New Roman" w:hAnsi="Times New Roman" w:cs="Times New Roman" w:eastAsiaTheme="minorEastAsia"/>
          <w:color w:val="000000" w:themeColor="text1"/>
          <w:sz w:val="32"/>
          <w:szCs w:val="32"/>
          <w14:textFill>
            <w14:solidFill>
              <w14:schemeClr w14:val="tx1"/>
            </w14:solidFill>
          </w14:textFill>
        </w:rPr>
        <w:sectPr>
          <w:footerReference r:id="rId16" w:type="first"/>
          <w:headerReference r:id="rId14" w:type="default"/>
          <w:footerReference r:id="rId15" w:type="default"/>
          <w:pgSz w:w="11906" w:h="16838"/>
          <w:pgMar w:top="1701" w:right="1701" w:bottom="1474" w:left="1701" w:header="1134" w:footer="1134" w:gutter="0"/>
          <w:pgBorders>
            <w:top w:val="none" w:sz="0" w:space="0"/>
            <w:left w:val="none" w:sz="0" w:space="0"/>
            <w:bottom w:val="none" w:sz="0" w:space="0"/>
            <w:right w:val="none" w:sz="0" w:space="0"/>
          </w:pgBorders>
          <w:pgNumType w:fmt="upperRoman" w:start="1"/>
          <w:cols w:space="720" w:num="1"/>
          <w:docGrid w:linePitch="312" w:charSpace="0"/>
        </w:sectPr>
      </w:pPr>
    </w:p>
    <w:p>
      <w:pPr>
        <w:pStyle w:val="63"/>
        <w:outlineLvl w:val="0"/>
        <w:rPr>
          <w:rFonts w:hint="default" w:ascii="Times New Roman" w:hAnsi="Times New Roman" w:cs="Times New Roman" w:eastAsiaTheme="minorEastAsia"/>
          <w:b w:val="0"/>
          <w:bCs/>
          <w:color w:val="000000" w:themeColor="text1"/>
          <w:sz w:val="30"/>
          <w:szCs w:val="30"/>
          <w14:textFill>
            <w14:solidFill>
              <w14:schemeClr w14:val="tx1"/>
            </w14:solidFill>
          </w14:textFill>
        </w:rPr>
      </w:pPr>
      <w:bookmarkStart w:id="1" w:name="_Toc11855"/>
      <w:r>
        <w:rPr>
          <w:rFonts w:hint="default" w:ascii="Times New Roman" w:hAnsi="Times New Roman" w:cs="Times New Roman" w:eastAsiaTheme="minorEastAsia"/>
          <w:b w:val="0"/>
          <w:bCs/>
          <w:color w:val="000000" w:themeColor="text1"/>
          <w:sz w:val="30"/>
          <w:szCs w:val="30"/>
          <w14:textFill>
            <w14:solidFill>
              <w14:schemeClr w14:val="tx1"/>
            </w14:solidFill>
          </w14:textFill>
        </w:rPr>
        <w:t>附件：</w:t>
      </w:r>
      <w:bookmarkEnd w:id="1"/>
    </w:p>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1、营业执照</w:t>
      </w:r>
    </w:p>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rPr>
        <w:t>2、</w:t>
      </w:r>
      <w:r>
        <w:rPr>
          <w:rFonts w:hint="default" w:ascii="Times New Roman" w:hAnsi="Times New Roman" w:cs="Times New Roman" w:eastAsiaTheme="minorEastAsia"/>
          <w:sz w:val="24"/>
          <w:szCs w:val="24"/>
          <w:lang w:eastAsia="zh-CN"/>
        </w:rPr>
        <w:t>安达市人民政府办公会议纪要</w:t>
      </w:r>
    </w:p>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3、黑龙江省设施农用地建设方案</w:t>
      </w:r>
    </w:p>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val="en-US" w:eastAsia="zh-CN"/>
        </w:rPr>
        <w:t>4</w:t>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eastAsia="zh-CN"/>
        </w:rPr>
        <w:t>土地使用合同</w:t>
      </w:r>
    </w:p>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val="en-US" w:eastAsia="zh-CN"/>
        </w:rPr>
        <w:t>5、</w:t>
      </w:r>
      <w:r>
        <w:rPr>
          <w:rFonts w:hint="default" w:ascii="Times New Roman" w:hAnsi="Times New Roman" w:cs="Times New Roman" w:eastAsiaTheme="minorEastAsia"/>
          <w:sz w:val="24"/>
          <w:szCs w:val="24"/>
        </w:rPr>
        <w:t>草</w:t>
      </w:r>
      <w:r>
        <w:rPr>
          <w:rFonts w:hint="default" w:ascii="Times New Roman" w:hAnsi="Times New Roman" w:cs="Times New Roman" w:eastAsiaTheme="minorEastAsia"/>
          <w:sz w:val="24"/>
          <w:szCs w:val="24"/>
          <w:lang w:eastAsia="zh-CN"/>
        </w:rPr>
        <w:t>原承包合同书</w:t>
      </w:r>
    </w:p>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val="en-US" w:eastAsia="zh-CN"/>
        </w:rPr>
        <w:t>6</w:t>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eastAsia="zh-CN"/>
        </w:rPr>
        <w:t>《关于安达市宝源现代示范奶牛场建设项目征占用草原的批复》</w:t>
      </w:r>
    </w:p>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7、动物防疫条件合格证</w:t>
      </w:r>
    </w:p>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8、病死动物无害化处理协议书</w:t>
      </w:r>
    </w:p>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9、粪便购销协议</w:t>
      </w:r>
    </w:p>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10</w:t>
      </w:r>
      <w:r>
        <w:rPr>
          <w:rFonts w:hint="default" w:ascii="Times New Roman" w:hAnsi="Times New Roman" w:cs="Times New Roman" w:eastAsiaTheme="minorEastAsia"/>
          <w:sz w:val="24"/>
          <w:szCs w:val="24"/>
        </w:rPr>
        <w:t>、大气环境影响评价自查表-地表水环境、大气环境、</w:t>
      </w:r>
      <w:r>
        <w:rPr>
          <w:rFonts w:hint="default" w:ascii="Times New Roman" w:hAnsi="Times New Roman" w:cs="Times New Roman" w:eastAsiaTheme="minorEastAsia"/>
          <w:sz w:val="24"/>
          <w:szCs w:val="24"/>
          <w:lang w:eastAsia="zh-CN"/>
        </w:rPr>
        <w:t>土壤环境、</w:t>
      </w:r>
      <w:r>
        <w:rPr>
          <w:rFonts w:hint="default" w:ascii="Times New Roman" w:hAnsi="Times New Roman" w:cs="Times New Roman" w:eastAsiaTheme="minorEastAsia"/>
          <w:sz w:val="24"/>
          <w:szCs w:val="24"/>
        </w:rPr>
        <w:t>环境风险</w:t>
      </w:r>
    </w:p>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default" w:ascii="Times New Roman" w:hAnsi="Times New Roman" w:cs="Times New Roman" w:eastAsiaTheme="minorEastAsia"/>
          <w:sz w:val="24"/>
          <w:szCs w:val="24"/>
          <w:highlight w:val="none"/>
        </w:rPr>
      </w:pPr>
      <w:r>
        <w:rPr>
          <w:rFonts w:hint="default" w:ascii="Times New Roman" w:hAnsi="Times New Roman" w:cs="Times New Roman" w:eastAsiaTheme="minorEastAsia"/>
          <w:sz w:val="24"/>
          <w:szCs w:val="24"/>
          <w:highlight w:val="none"/>
          <w:lang w:val="en-US" w:eastAsia="zh-CN"/>
        </w:rPr>
        <w:t>11</w:t>
      </w:r>
      <w:r>
        <w:rPr>
          <w:rFonts w:hint="default" w:ascii="Times New Roman" w:hAnsi="Times New Roman" w:cs="Times New Roman" w:eastAsiaTheme="minorEastAsia"/>
          <w:sz w:val="24"/>
          <w:szCs w:val="24"/>
          <w:highlight w:val="none"/>
        </w:rPr>
        <w:t>、环境现状监测报告</w:t>
      </w:r>
    </w:p>
    <w:p>
      <w:pPr>
        <w:spacing w:line="400" w:lineRule="exact"/>
        <w:ind w:firstLine="199" w:firstLineChars="83"/>
        <w:rPr>
          <w:rFonts w:hint="default" w:ascii="Times New Roman" w:hAnsi="Times New Roman" w:cs="Times New Roman" w:eastAsiaTheme="minorEastAsia"/>
          <w:bCs/>
          <w:color w:val="000000" w:themeColor="text1"/>
          <w:sz w:val="24"/>
          <w14:textFill>
            <w14:solidFill>
              <w14:schemeClr w14:val="tx1"/>
            </w14:solidFill>
          </w14:textFill>
        </w:rPr>
      </w:pPr>
    </w:p>
    <w:p>
      <w:pPr>
        <w:pStyle w:val="2"/>
        <w:ind w:left="0" w:leftChars="0" w:firstLine="0" w:firstLineChars="0"/>
        <w:jc w:val="left"/>
        <w:outlineLvl w:val="0"/>
        <w:rPr>
          <w:rFonts w:hint="default" w:ascii="Times New Roman" w:hAnsi="Times New Roman" w:cs="Times New Roman" w:eastAsiaTheme="minorEastAsia"/>
          <w:b w:val="0"/>
          <w:bCs w:val="0"/>
          <w:color w:val="000000" w:themeColor="text1"/>
          <w:sz w:val="30"/>
          <w:szCs w:val="30"/>
          <w:lang w:eastAsia="zh-CN"/>
          <w14:textFill>
            <w14:solidFill>
              <w14:schemeClr w14:val="tx1"/>
            </w14:solidFill>
          </w14:textFill>
        </w:rPr>
      </w:pPr>
      <w:bookmarkStart w:id="2" w:name="_Toc31260"/>
      <w:r>
        <w:rPr>
          <w:rFonts w:hint="default" w:ascii="Times New Roman" w:hAnsi="Times New Roman" w:cs="Times New Roman" w:eastAsiaTheme="minorEastAsia"/>
          <w:b w:val="0"/>
          <w:bCs w:val="0"/>
          <w:color w:val="000000" w:themeColor="text1"/>
          <w:sz w:val="30"/>
          <w:szCs w:val="30"/>
          <w:lang w:eastAsia="zh-CN"/>
          <w14:textFill>
            <w14:solidFill>
              <w14:schemeClr w14:val="tx1"/>
            </w14:solidFill>
          </w14:textFill>
        </w:rPr>
        <w:t>附图：</w:t>
      </w:r>
      <w:bookmarkEnd w:id="2"/>
    </w:p>
    <w:p>
      <w:pPr>
        <w:keepNext w:val="0"/>
        <w:keepLines w:val="0"/>
        <w:pageBreakBefore w:val="0"/>
        <w:widowControl/>
        <w:kinsoku/>
        <w:wordWrap/>
        <w:overflowPunct/>
        <w:topLinePunct w:val="0"/>
        <w:autoSpaceDE/>
        <w:autoSpaceDN/>
        <w:bidi w:val="0"/>
        <w:adjustRightInd w:val="0"/>
        <w:snapToGrid w:val="0"/>
        <w:spacing w:line="360" w:lineRule="exact"/>
        <w:textAlignment w:val="auto"/>
        <w:outlineLvl w:val="0"/>
        <w:rPr>
          <w:rFonts w:hint="default" w:ascii="Times New Roman" w:hAnsi="Times New Roman" w:cs="Times New Roman" w:eastAsiaTheme="minorEastAsia"/>
          <w:sz w:val="24"/>
          <w:szCs w:val="24"/>
          <w:lang w:val="en-US" w:eastAsia="zh-CN"/>
        </w:rPr>
      </w:pPr>
      <w:bookmarkStart w:id="3" w:name="_Toc20043"/>
      <w:r>
        <w:rPr>
          <w:rFonts w:hint="default" w:ascii="Times New Roman" w:hAnsi="Times New Roman" w:cs="Times New Roman" w:eastAsiaTheme="minorEastAsia"/>
          <w:sz w:val="24"/>
          <w:szCs w:val="24"/>
          <w:lang w:val="en-US" w:eastAsia="zh-CN"/>
        </w:rPr>
        <w:t>1、项目场区平面布置图</w:t>
      </w:r>
      <w:bookmarkEnd w:id="3"/>
    </w:p>
    <w:p>
      <w:pPr>
        <w:keepNext w:val="0"/>
        <w:keepLines w:val="0"/>
        <w:pageBreakBefore w:val="0"/>
        <w:widowControl/>
        <w:kinsoku/>
        <w:wordWrap/>
        <w:overflowPunct/>
        <w:topLinePunct w:val="0"/>
        <w:autoSpaceDE/>
        <w:autoSpaceDN/>
        <w:bidi w:val="0"/>
        <w:adjustRightInd w:val="0"/>
        <w:snapToGrid w:val="0"/>
        <w:spacing w:line="360" w:lineRule="exact"/>
        <w:textAlignment w:val="auto"/>
        <w:outlineLvl w:val="0"/>
        <w:rPr>
          <w:rFonts w:hint="default" w:ascii="Times New Roman" w:hAnsi="Times New Roman" w:cs="Times New Roman" w:eastAsiaTheme="minorEastAsia"/>
          <w:sz w:val="24"/>
          <w:szCs w:val="24"/>
          <w:lang w:val="en-US" w:eastAsia="zh-CN"/>
        </w:rPr>
      </w:pPr>
      <w:bookmarkStart w:id="4" w:name="_Toc8809"/>
      <w:r>
        <w:rPr>
          <w:rFonts w:hint="default" w:ascii="Times New Roman" w:hAnsi="Times New Roman" w:cs="Times New Roman" w:eastAsiaTheme="minorEastAsia"/>
          <w:sz w:val="24"/>
          <w:szCs w:val="24"/>
          <w:lang w:val="en-US" w:eastAsia="zh-CN"/>
        </w:rPr>
        <w:t>2、项目分区防渗图</w:t>
      </w:r>
      <w:bookmarkEnd w:id="4"/>
    </w:p>
    <w:p>
      <w:pPr>
        <w:numPr>
          <w:ilvl w:val="0"/>
          <w:numId w:val="0"/>
        </w:numPr>
        <w:adjustRightInd w:val="0"/>
        <w:snapToGrid w:val="0"/>
        <w:spacing w:line="520" w:lineRule="exact"/>
        <w:jc w:val="both"/>
        <w:rPr>
          <w:rFonts w:hint="default" w:ascii="Times New Roman" w:hAnsi="Times New Roman" w:cs="Times New Roman" w:eastAsiaTheme="minorEastAsia"/>
          <w:lang w:val="en-US" w:eastAsia="zh-CN"/>
        </w:rPr>
      </w:pPr>
    </w:p>
    <w:p>
      <w:pPr>
        <w:pStyle w:val="2"/>
        <w:jc w:val="left"/>
        <w:rPr>
          <w:rFonts w:hint="default" w:ascii="Times New Roman" w:hAnsi="Times New Roman" w:cs="Times New Roman" w:eastAsiaTheme="minorEastAsia"/>
          <w:lang w:val="en-US" w:eastAsia="zh-CN"/>
        </w:rPr>
        <w:sectPr>
          <w:headerReference r:id="rId17" w:type="first"/>
          <w:pgSz w:w="11906" w:h="16838"/>
          <w:pgMar w:top="1701" w:right="1701" w:bottom="1474" w:left="1701" w:header="1134" w:footer="1134" w:gutter="0"/>
          <w:pgBorders>
            <w:top w:val="none" w:sz="0" w:space="0"/>
            <w:left w:val="none" w:sz="0" w:space="0"/>
            <w:bottom w:val="none" w:sz="0" w:space="0"/>
            <w:right w:val="none" w:sz="0" w:space="0"/>
          </w:pgBorders>
          <w:pgNumType w:fmt="upperRoman"/>
          <w:cols w:space="720" w:num="1"/>
          <w:titlePg/>
          <w:docGrid w:linePitch="312" w:charSpace="0"/>
        </w:sectPr>
      </w:pPr>
      <w:r>
        <w:rPr>
          <w:rFonts w:hint="default" w:ascii="Times New Roman" w:hAnsi="Times New Roman" w:cs="Times New Roman" w:eastAsiaTheme="minorEastAsia"/>
          <w:lang w:val="en-US" w:eastAsia="zh-CN"/>
        </w:rPr>
        <w:t xml:space="preserve">  </w:t>
      </w:r>
    </w:p>
    <w:bookmarkEnd w:id="0"/>
    <w:p>
      <w:pPr>
        <w:pStyle w:val="641"/>
        <w:rPr>
          <w:rFonts w:hint="default" w:ascii="Times New Roman" w:hAnsi="Times New Roman" w:cs="Times New Roman" w:eastAsiaTheme="minorEastAsia"/>
          <w:color w:val="000000" w:themeColor="text1"/>
          <w14:textFill>
            <w14:solidFill>
              <w14:schemeClr w14:val="tx1"/>
            </w14:solidFill>
          </w14:textFill>
        </w:rPr>
      </w:pPr>
      <w:bookmarkStart w:id="5" w:name="_Toc243652740"/>
      <w:bookmarkStart w:id="6" w:name="_Toc288640016"/>
      <w:bookmarkStart w:id="7" w:name="_Toc245356564"/>
      <w:bookmarkStart w:id="8" w:name="_Toc246177203"/>
      <w:bookmarkStart w:id="9" w:name="_Toc3519"/>
      <w:r>
        <w:rPr>
          <w:rFonts w:hint="default" w:ascii="Times New Roman" w:hAnsi="Times New Roman" w:cs="Times New Roman" w:eastAsiaTheme="minorEastAsia"/>
          <w:color w:val="000000" w:themeColor="text1"/>
          <w14:textFill>
            <w14:solidFill>
              <w14:schemeClr w14:val="tx1"/>
            </w14:solidFill>
          </w14:textFill>
        </w:rPr>
        <w:t>1</w:t>
      </w:r>
      <w:bookmarkEnd w:id="5"/>
      <w:bookmarkEnd w:id="6"/>
      <w:bookmarkEnd w:id="7"/>
      <w:bookmarkEnd w:id="8"/>
      <w:r>
        <w:rPr>
          <w:rFonts w:hint="default" w:ascii="Times New Roman" w:hAnsi="Times New Roman" w:cs="Times New Roman" w:eastAsiaTheme="minorEastAsia"/>
          <w:color w:val="000000" w:themeColor="text1"/>
          <w14:textFill>
            <w14:solidFill>
              <w14:schemeClr w14:val="tx1"/>
            </w14:solidFill>
          </w14:textFill>
        </w:rPr>
        <w:t xml:space="preserve"> 概述</w:t>
      </w:r>
      <w:bookmarkEnd w:id="9"/>
      <w:bookmarkStart w:id="10" w:name="_Toc402168490"/>
    </w:p>
    <w:p>
      <w:pPr>
        <w:pStyle w:val="639"/>
        <w:rPr>
          <w:rFonts w:hint="default" w:ascii="Times New Roman" w:hAnsi="Times New Roman" w:cs="Times New Roman" w:eastAsiaTheme="minorEastAsia"/>
          <w:color w:val="000000" w:themeColor="text1"/>
          <w:sz w:val="24"/>
          <w:szCs w:val="24"/>
          <w14:textFill>
            <w14:solidFill>
              <w14:schemeClr w14:val="tx1"/>
            </w14:solidFill>
          </w14:textFill>
        </w:rPr>
      </w:pPr>
      <w:bookmarkStart w:id="11" w:name="_Toc18332"/>
      <w:r>
        <w:rPr>
          <w:rFonts w:hint="default" w:ascii="Times New Roman" w:hAnsi="Times New Roman" w:cs="Times New Roman" w:eastAsiaTheme="minorEastAsia"/>
          <w:color w:val="000000" w:themeColor="text1"/>
          <w:sz w:val="24"/>
          <w:szCs w:val="24"/>
          <w14:textFill>
            <w14:solidFill>
              <w14:schemeClr w14:val="tx1"/>
            </w14:solidFill>
          </w14:textFill>
        </w:rPr>
        <w:t>1.1 项目由来</w:t>
      </w:r>
      <w:bookmarkEnd w:id="11"/>
    </w:p>
    <w:p>
      <w:pPr>
        <w:pStyle w:val="84"/>
        <w:shd w:val="clear" w:color="auto" w:fill="FFFFFF"/>
        <w:spacing w:before="0" w:beforeAutospacing="0" w:after="0" w:afterAutospacing="0"/>
        <w:ind w:firstLine="560"/>
        <w:textAlignment w:val="baseline"/>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2018年6月，国务院办公厅印发《关于推进奶业振兴保障乳品质量安全的意见》(国办发〔2018〕43号)，从总体要求、加强优质奶源基地建设、完善乳制品加工和流通体系、强化乳品质量安全监管、加大乳制品消费引导和完善保障措施六个方面提出了22条指导性措施，要求各省区、各有关部门抓好贯彻落实。《意见》发布后，农业农村部、发改委等九部委又联合下发《关于进一步促进奶业振兴的若干意见》(农牧发〔2018〕18号)，进一步明确目标任务，提出扶持方向，分解工作任务。为深入贯彻落实国办意见精神，按照省委省政府的部署要求，黑龙江省出台了《关于推进奶业振兴保障乳品质量安全的实施意见》(黑政办规〔2019〕8号)。《实施意见》</w:t>
      </w:r>
      <w:r>
        <w:rPr>
          <w:rFonts w:hint="default" w:ascii="Times New Roman" w:hAnsi="Times New Roman" w:cs="Times New Roman" w:eastAsiaTheme="minorEastAsia"/>
          <w:color w:val="000000"/>
          <w:sz w:val="24"/>
          <w:szCs w:val="24"/>
          <w:shd w:val="clear" w:color="auto" w:fill="FFFFFF"/>
        </w:rPr>
        <w:t>的出台，标志着黑龙江省推进奶业振兴发展的帷幕已经拉开，必将加快龙江奶业率先实现振兴发展，成为全省经济发展的新引擎。</w:t>
      </w:r>
    </w:p>
    <w:p>
      <w:pPr>
        <w:ind w:firstLine="56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安达市位于黑龙江省西南部,松嫩平原腹地,是哈大齐工业走廊的重要节点城市.拥有草原272万亩,是世界三大优质草场之一,全国著名的"奶牛之乡",农产品加工,奶牛生产示范基地和牛奶生产强县。近年来,安达市提出了"举全市之力发展乳业,实现主导产业的战略升级"和"畜牧立市"的发展思路,使乳业逐渐发展成为市域经济的支柱性产业。安达市按照现代牧业发展要求,全力推进奶牛养殖业,努力实现分散饲养向规模饲养转变、规模饲养向园区转变,粗放饲养向科学饲养转变。制定了“1550工程”实施方案，即：在五年内新建15个万头奶牛牧场，新建50个奶牛千头牧场。</w:t>
      </w:r>
    </w:p>
    <w:p>
      <w:pPr>
        <w:ind w:firstLine="56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安达市宝源现代示范奶牛场主营奶牛养殖，拟投资520万元,在安达市东14公里、明沈公路南侧1000米处，先源乡红星村八屯南侧，建设奶牛养殖项目，年存栏1500头，其中泌乳牛1200头，育成牛300头。建设性质为新建，项目占地面积143000m</w:t>
      </w:r>
      <w:r>
        <w:rPr>
          <w:rFonts w:hint="default" w:ascii="Times New Roman" w:hAnsi="Times New Roman" w:cs="Times New Roman" w:eastAsiaTheme="minorEastAsia"/>
          <w:color w:val="auto"/>
          <w:sz w:val="24"/>
          <w:szCs w:val="24"/>
          <w:highlight w:val="none"/>
          <w:vertAlign w:val="superscript"/>
        </w:rPr>
        <w:t>2</w:t>
      </w:r>
      <w:r>
        <w:rPr>
          <w:rFonts w:hint="default" w:ascii="Times New Roman" w:hAnsi="Times New Roman" w:cs="Times New Roman" w:eastAsiaTheme="minorEastAsia"/>
          <w:color w:val="auto"/>
          <w:sz w:val="24"/>
          <w:szCs w:val="24"/>
          <w:highlight w:val="none"/>
        </w:rPr>
        <w:t>，建设牛舍4栋，挤奶厅1栋；饲料区建设青贮仓2栋，精料库1栋，饲草库1栋，料库1栋；无害化处理区包括固液分离间、黑膜沼气池、沼液储池；生活区包括办公楼、机械库、锅炉房、车库等配套设施，建筑面积共计40652m</w:t>
      </w:r>
      <w:r>
        <w:rPr>
          <w:rFonts w:hint="default" w:ascii="Times New Roman" w:hAnsi="Times New Roman" w:cs="Times New Roman" w:eastAsiaTheme="minorEastAsia"/>
          <w:color w:val="auto"/>
          <w:sz w:val="24"/>
          <w:szCs w:val="24"/>
          <w:highlight w:val="none"/>
          <w:vertAlign w:val="superscript"/>
        </w:rPr>
        <w:t>2</w:t>
      </w:r>
      <w:r>
        <w:rPr>
          <w:rFonts w:hint="default" w:ascii="Times New Roman" w:hAnsi="Times New Roman" w:cs="Times New Roman" w:eastAsiaTheme="minorEastAsia"/>
          <w:color w:val="auto"/>
          <w:sz w:val="24"/>
          <w:szCs w:val="24"/>
          <w:highlight w:val="none"/>
        </w:rPr>
        <w:t>。</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auto"/>
          <w:sz w:val="24"/>
          <w:szCs w:val="24"/>
          <w:highlight w:val="none"/>
        </w:rPr>
        <w:t>受建设单位委托，我公司承担了“安达市宝源现代示范奶牛场项</w:t>
      </w:r>
      <w:r>
        <w:rPr>
          <w:rFonts w:hint="default" w:ascii="Times New Roman" w:hAnsi="Times New Roman" w:cs="Times New Roman" w:eastAsiaTheme="minorEastAsia"/>
          <w:color w:val="000000" w:themeColor="text1"/>
          <w:sz w:val="24"/>
          <w:szCs w:val="24"/>
          <w14:textFill>
            <w14:solidFill>
              <w14:schemeClr w14:val="tx1"/>
            </w14:solidFill>
          </w14:textFill>
        </w:rPr>
        <w:t>目”环境影响报告书的编制工作。根据《中华人民共和国环境保护法》、《中华人民共和国环境影响评价法》、《建设项目环境保护管理条例》等有关规定的要求，评价单位在接受任务后，派相关技术人员进行了现场踏勘、资料收集调研、模式计算及统计分析，按环境影响评价技术导则、规范和要求，编制完成了本项目的环境影响报告书。</w:t>
      </w:r>
    </w:p>
    <w:p>
      <w:pPr>
        <w:pStyle w:val="639"/>
        <w:rPr>
          <w:rFonts w:hint="default" w:ascii="Times New Roman" w:hAnsi="Times New Roman" w:cs="Times New Roman" w:eastAsiaTheme="minorEastAsia"/>
          <w:color w:val="000000" w:themeColor="text1"/>
          <w:sz w:val="24"/>
          <w:szCs w:val="24"/>
          <w14:textFill>
            <w14:solidFill>
              <w14:schemeClr w14:val="tx1"/>
            </w14:solidFill>
          </w14:textFill>
        </w:rPr>
      </w:pPr>
      <w:bookmarkStart w:id="12" w:name="_Toc19862"/>
      <w:r>
        <w:rPr>
          <w:rFonts w:hint="default" w:ascii="Times New Roman" w:hAnsi="Times New Roman" w:cs="Times New Roman" w:eastAsiaTheme="minorEastAsia"/>
          <w:color w:val="000000" w:themeColor="text1"/>
          <w:sz w:val="24"/>
          <w:szCs w:val="24"/>
          <w14:textFill>
            <w14:solidFill>
              <w14:schemeClr w14:val="tx1"/>
            </w14:solidFill>
          </w14:textFill>
        </w:rPr>
        <w:t>1.2 建设项目特点</w:t>
      </w:r>
      <w:bookmarkEnd w:id="12"/>
    </w:p>
    <w:p>
      <w:pPr>
        <w:ind w:firstLine="56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000000" w:themeColor="text1"/>
          <w:sz w:val="24"/>
          <w:szCs w:val="24"/>
          <w14:textFill>
            <w14:solidFill>
              <w14:schemeClr w14:val="tx1"/>
            </w14:solidFill>
          </w14:textFill>
        </w:rPr>
        <w:t>本项目为新建项目，属于奶牛养殖业，</w:t>
      </w:r>
      <w:r>
        <w:rPr>
          <w:rFonts w:hint="default" w:ascii="Times New Roman" w:hAnsi="Times New Roman" w:cs="Times New Roman" w:eastAsiaTheme="minorEastAsia"/>
          <w:color w:val="auto"/>
          <w:sz w:val="24"/>
          <w:szCs w:val="24"/>
          <w:highlight w:val="none"/>
        </w:rPr>
        <w:t>选址位于</w:t>
      </w:r>
      <w:r>
        <w:rPr>
          <w:rFonts w:hint="eastAsia" w:ascii="Times New Roman" w:hAnsi="Times New Roman" w:cs="Times New Roman" w:eastAsiaTheme="minorEastAsia"/>
          <w:color w:val="auto"/>
          <w:sz w:val="24"/>
          <w:szCs w:val="24"/>
          <w:highlight w:val="none"/>
          <w:lang w:eastAsia="zh-CN"/>
        </w:rPr>
        <w:t>安达市东14公里，明沈公路南侧1000米处</w:t>
      </w:r>
      <w:r>
        <w:rPr>
          <w:rFonts w:hint="default" w:ascii="Times New Roman" w:hAnsi="Times New Roman" w:cs="Times New Roman" w:eastAsiaTheme="minorEastAsia"/>
          <w:color w:val="auto"/>
          <w:sz w:val="24"/>
          <w:szCs w:val="24"/>
          <w:highlight w:val="none"/>
        </w:rPr>
        <w:t>，土地现状为一般草地，建设单位与土地所有权人签订了土地承包协议书。</w:t>
      </w:r>
    </w:p>
    <w:p>
      <w:pPr>
        <w:ind w:firstLine="56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本项目年存栏奶牛1500头，其中泌乳牛1200头，育成牛300头。单头泌乳牛平均日产奶量为25kg，日产奶量约30t，挤奶厅设置储奶间，配备制冷系统及牛奶冷藏罐对牛奶进行储存。</w:t>
      </w:r>
    </w:p>
    <w:p>
      <w:pPr>
        <w:ind w:firstLine="56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本项目建成后，产生污水和粪便，粪便日产日清，减少产生的恶臭气体对环境影响。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产生沼气</w:t>
      </w:r>
      <w:r>
        <w:rPr>
          <w:rFonts w:hint="default" w:ascii="Times New Roman" w:hAnsi="Times New Roman" w:cs="Times New Roman" w:eastAsiaTheme="minorEastAsia"/>
          <w:sz w:val="24"/>
          <w:szCs w:val="24"/>
        </w:rPr>
        <w:t>通过火炬燃烧的方式消耗掉</w:t>
      </w:r>
      <w:r>
        <w:rPr>
          <w:rFonts w:hint="default" w:ascii="Times New Roman" w:hAnsi="Times New Roman" w:cs="Times New Roman" w:eastAsiaTheme="minorEastAsia"/>
          <w:color w:val="auto"/>
          <w:sz w:val="24"/>
          <w:szCs w:val="24"/>
          <w:highlight w:val="none"/>
        </w:rPr>
        <w:t>，沼液定期还田，沼渣外运处置堆肥，实现粪污资源化利用。</w:t>
      </w:r>
    </w:p>
    <w:p>
      <w:pPr>
        <w:ind w:firstLine="56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牛舍、粪污处理区（固液分离间）定期喷洒添加EM菌除臭剂，无组织氨、硫化氢排放厂界处最大浓度</w:t>
      </w:r>
      <w:r>
        <w:rPr>
          <w:rFonts w:hint="default" w:ascii="Times New Roman" w:hAnsi="Times New Roman" w:cs="Times New Roman" w:eastAsiaTheme="minorEastAsia"/>
          <w:bCs/>
          <w:color w:val="auto"/>
          <w:sz w:val="24"/>
          <w:szCs w:val="24"/>
          <w:highlight w:val="none"/>
        </w:rPr>
        <w:t>满足</w:t>
      </w:r>
      <w:r>
        <w:rPr>
          <w:rFonts w:hint="default" w:ascii="Times New Roman" w:hAnsi="Times New Roman" w:cs="Times New Roman" w:eastAsiaTheme="minorEastAsia"/>
          <w:color w:val="auto"/>
          <w:sz w:val="24"/>
          <w:szCs w:val="24"/>
          <w:highlight w:val="none"/>
        </w:rPr>
        <w:t>《恶臭污染物排放标准》（GB14554-93）表1中二级新改扩建标准值（氨为1.5mg/m</w:t>
      </w:r>
      <w:r>
        <w:rPr>
          <w:rFonts w:hint="default" w:ascii="Times New Roman" w:hAnsi="Times New Roman" w:cs="Times New Roman" w:eastAsiaTheme="minorEastAsia"/>
          <w:color w:val="auto"/>
          <w:sz w:val="24"/>
          <w:szCs w:val="24"/>
          <w:highlight w:val="none"/>
          <w:vertAlign w:val="superscript"/>
        </w:rPr>
        <w:t>3</w:t>
      </w:r>
      <w:r>
        <w:rPr>
          <w:rFonts w:hint="default" w:ascii="Times New Roman" w:hAnsi="Times New Roman" w:cs="Times New Roman" w:eastAsiaTheme="minorEastAsia"/>
          <w:color w:val="auto"/>
          <w:sz w:val="24"/>
          <w:szCs w:val="24"/>
          <w:highlight w:val="none"/>
        </w:rPr>
        <w:t>，硫化氢为0.06mg/m</w:t>
      </w:r>
      <w:r>
        <w:rPr>
          <w:rFonts w:hint="default" w:ascii="Times New Roman" w:hAnsi="Times New Roman" w:cs="Times New Roman" w:eastAsiaTheme="minorEastAsia"/>
          <w:color w:val="auto"/>
          <w:sz w:val="24"/>
          <w:szCs w:val="24"/>
          <w:highlight w:val="none"/>
          <w:vertAlign w:val="superscript"/>
        </w:rPr>
        <w:t>3</w:t>
      </w:r>
      <w:r>
        <w:rPr>
          <w:rFonts w:hint="default" w:ascii="Times New Roman" w:hAnsi="Times New Roman" w:cs="Times New Roman" w:eastAsiaTheme="minorEastAsia"/>
          <w:color w:val="auto"/>
          <w:sz w:val="24"/>
          <w:szCs w:val="24"/>
          <w:highlight w:val="none"/>
        </w:rPr>
        <w:t>），臭气浓度满足《畜禽养殖业污染物排放标准》（GB18596-2001）中表7标准限值。</w:t>
      </w:r>
    </w:p>
    <w:p>
      <w:pPr>
        <w:ind w:firstLine="56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本项目病死牛、胎盘委托安达市题桥环保科技有限公司安全处理。</w:t>
      </w:r>
    </w:p>
    <w:p>
      <w:pPr>
        <w:ind w:firstLine="56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本项目办公楼冬季供热采用生物质锅炉供暖，牛舍采用电采暖，供水来自厂区内新建自备水井。</w:t>
      </w:r>
    </w:p>
    <w:p>
      <w:pPr>
        <w:pStyle w:val="639"/>
        <w:rPr>
          <w:rFonts w:hint="default" w:ascii="Times New Roman" w:hAnsi="Times New Roman" w:cs="Times New Roman" w:eastAsiaTheme="minorEastAsia"/>
          <w:color w:val="000000" w:themeColor="text1"/>
          <w:sz w:val="24"/>
          <w:szCs w:val="24"/>
          <w14:textFill>
            <w14:solidFill>
              <w14:schemeClr w14:val="tx1"/>
            </w14:solidFill>
          </w14:textFill>
        </w:rPr>
      </w:pPr>
      <w:bookmarkStart w:id="13" w:name="_Toc27496"/>
      <w:r>
        <w:rPr>
          <w:rFonts w:hint="default" w:ascii="Times New Roman" w:hAnsi="Times New Roman" w:cs="Times New Roman" w:eastAsiaTheme="minorEastAsia"/>
          <w:color w:val="000000" w:themeColor="text1"/>
          <w:sz w:val="24"/>
          <w:szCs w:val="24"/>
          <w14:textFill>
            <w14:solidFill>
              <w14:schemeClr w14:val="tx1"/>
            </w14:solidFill>
          </w14:textFill>
        </w:rPr>
        <w:t>1.3 环境影响评价工作过程</w:t>
      </w:r>
      <w:bookmarkEnd w:id="13"/>
    </w:p>
    <w:p>
      <w:pPr>
        <w:spacing w:line="500" w:lineRule="exact"/>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依据《建设项目环境影响评价技术导则 总纲》（HJ2.1-2016）要求，本次环评工作分为三个阶段进行。</w:t>
      </w:r>
    </w:p>
    <w:p>
      <w:pPr>
        <w:spacing w:line="500" w:lineRule="exact"/>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一、确定建设项目环境影响评价文件类别。根据《畜禽养殖业污染物排放标准》（GB18596-2001），1头奶牛折算成10头猪；建设项目年存栏奶牛1500头，折算猪为1.5万头。依据《建设项目环境影响评价分类管理名录（2021年版）》（生态环境部令第16号），本项目属于“3、牲畜饲养”中“年存栏生猪2500头（其他畜禽种类折合猪的养殖规模）及以上无出栏量的规模化畜禽养殖”，应编制环境影响报告书。在研究相关技术及其他有关文件基础上进行初步工程分析，开展了初步环境现状调查，进行了环境影响识别和评价因子筛选。明确了评价重点为大气环境影响，确定了评价工作等级、范围，进一步确定了环境保护目标及评价标准，制定出相应工作方案。</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二、根据第一阶段工作成果，对环境现状进行了监测与评价，详细进行工程分析。对各环境要素影响进行了预测与评价。</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三、提出环境保护措施，进行经济技术可行性论证，给出污染物排放清单并给出评价结论。</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本项目环境影响评价的工作过程见图1-3-1。</w:t>
      </w:r>
    </w:p>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drawing>
          <wp:inline distT="0" distB="0" distL="0" distR="0">
            <wp:extent cx="5048885" cy="4724400"/>
            <wp:effectExtent l="0" t="0" r="0" b="0"/>
            <wp:docPr id="2" name="图片 1"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1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050885" cy="4726113"/>
                    </a:xfrm>
                    <a:prstGeom prst="rect">
                      <a:avLst/>
                    </a:prstGeom>
                    <a:noFill/>
                    <a:ln>
                      <a:noFill/>
                    </a:ln>
                  </pic:spPr>
                </pic:pic>
              </a:graphicData>
            </a:graphic>
          </wp:inline>
        </w:drawing>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图1-3-1 环境影响评价的工作过程</w:t>
      </w:r>
    </w:p>
    <w:p>
      <w:pPr>
        <w:pStyle w:val="639"/>
        <w:rPr>
          <w:rFonts w:hint="default" w:ascii="Times New Roman" w:hAnsi="Times New Roman" w:cs="Times New Roman" w:eastAsiaTheme="minorEastAsia"/>
          <w:color w:val="000000" w:themeColor="text1"/>
          <w14:textFill>
            <w14:solidFill>
              <w14:schemeClr w14:val="tx1"/>
            </w14:solidFill>
          </w14:textFill>
        </w:rPr>
      </w:pPr>
      <w:bookmarkStart w:id="14" w:name="_Toc25441"/>
      <w:bookmarkStart w:id="15" w:name="_Toc245057308"/>
      <w:bookmarkStart w:id="16" w:name="_Toc215564487"/>
      <w:bookmarkStart w:id="17" w:name="_Toc216838056"/>
      <w:bookmarkStart w:id="18" w:name="_Toc245544740"/>
      <w:r>
        <w:rPr>
          <w:rFonts w:hint="default" w:ascii="Times New Roman" w:hAnsi="Times New Roman" w:cs="Times New Roman" w:eastAsiaTheme="minorEastAsia"/>
          <w:color w:val="000000" w:themeColor="text1"/>
          <w14:textFill>
            <w14:solidFill>
              <w14:schemeClr w14:val="tx1"/>
            </w14:solidFill>
          </w14:textFill>
        </w:rPr>
        <w:t>1.4 项目分析判定</w:t>
      </w:r>
      <w:bookmarkEnd w:id="14"/>
    </w:p>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1.4.1 相关法律法规符合性分析</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（1）相关法律</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本项目与有关畜禽养殖污染物防治的法律符合性分析见表1-4-1。</w:t>
      </w:r>
    </w:p>
    <w:p>
      <w:pPr>
        <w:pStyle w:val="643"/>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表1-4-1 相关法律与项目内容对比分析一览表</w:t>
      </w:r>
    </w:p>
    <w:tbl>
      <w:tblPr>
        <w:tblStyle w:val="91"/>
        <w:tblW w:w="0" w:type="auto"/>
        <w:tblInd w:w="-28"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332"/>
        <w:gridCol w:w="3454"/>
        <w:gridCol w:w="3296"/>
        <w:gridCol w:w="447"/>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Pr>
        <w:tc>
          <w:tcPr>
            <w:tcW w:w="1332"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名称</w:t>
            </w:r>
          </w:p>
        </w:tc>
        <w:tc>
          <w:tcPr>
            <w:tcW w:w="345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相关要求</w:t>
            </w:r>
          </w:p>
        </w:tc>
        <w:tc>
          <w:tcPr>
            <w:tcW w:w="3296"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本项目对应内容</w:t>
            </w:r>
          </w:p>
        </w:tc>
        <w:tc>
          <w:tcPr>
            <w:tcW w:w="447"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结论</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Pr>
        <w:tc>
          <w:tcPr>
            <w:tcW w:w="1332" w:type="dxa"/>
            <w:vMerge w:val="restar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《中华人民共和国水污染防治法》（2018.1.1）</w:t>
            </w:r>
          </w:p>
        </w:tc>
        <w:tc>
          <w:tcPr>
            <w:tcW w:w="345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国家支持畜禽养殖场、养殖小区建设畜禽粪便、废水的综合利用或者无害化处理设施。</w:t>
            </w:r>
          </w:p>
        </w:tc>
        <w:tc>
          <w:tcPr>
            <w:tcW w:w="3296" w:type="dxa"/>
            <w:vMerge w:val="restar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本项目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产生沼气</w:t>
            </w:r>
            <w:r>
              <w:rPr>
                <w:rFonts w:hint="default" w:ascii="Times New Roman" w:hAnsi="Times New Roman" w:cs="Times New Roman" w:eastAsiaTheme="minorEastAsia"/>
                <w:sz w:val="21"/>
                <w:szCs w:val="21"/>
              </w:rPr>
              <w:t>通过火炬燃烧的方式消耗掉</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eastAsiaTheme="minorEastAsia"/>
                <w:color w:val="auto"/>
                <w:sz w:val="21"/>
                <w:szCs w:val="21"/>
                <w:highlight w:val="none"/>
              </w:rPr>
              <w:t>沼液定期还田，沼渣外运处置堆肥，实现粪污资源化利用，防治污染环境。</w:t>
            </w:r>
          </w:p>
        </w:tc>
        <w:tc>
          <w:tcPr>
            <w:tcW w:w="447" w:type="dxa"/>
            <w:vMerge w:val="restar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232" w:hRule="atLeast"/>
        </w:trPr>
        <w:tc>
          <w:tcPr>
            <w:tcW w:w="1332"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345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畜禽养殖场、养殖小区应当保证其畜禽粪便、废水的综合利用或者无害化处理设施正常运转，保证污水达标排放，防止污染水环境。</w:t>
            </w:r>
          </w:p>
        </w:tc>
        <w:tc>
          <w:tcPr>
            <w:tcW w:w="3296"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rPr>
            </w:pPr>
          </w:p>
        </w:tc>
        <w:tc>
          <w:tcPr>
            <w:tcW w:w="447"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Pr>
        <w:tc>
          <w:tcPr>
            <w:tcW w:w="1332"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《中华人民共和国固体废物污染防治法》（2020.9.1）</w:t>
            </w:r>
          </w:p>
        </w:tc>
        <w:tc>
          <w:tcPr>
            <w:tcW w:w="345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从事畜禽规模养殖应按照国家有关规定收集、贮存、利用或者处理养殖过程中产生的粪便，防止污染环境。</w:t>
            </w:r>
          </w:p>
        </w:tc>
        <w:tc>
          <w:tcPr>
            <w:tcW w:w="3296"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rPr>
            </w:pPr>
          </w:p>
        </w:tc>
        <w:tc>
          <w:tcPr>
            <w:tcW w:w="447"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Pr>
        <w:tc>
          <w:tcPr>
            <w:tcW w:w="1332"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《中华人民共和国畜牧法》（2015.4.24）</w:t>
            </w:r>
          </w:p>
        </w:tc>
        <w:tc>
          <w:tcPr>
            <w:tcW w:w="345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禁止在生活饮用水的水源保护区，风景名胜区，以及自然保护区的核心区和缓冲区；城镇居民区、文化教育科学研究区等人口集中区域；法律法规规定的其他禁养区域内建设畜禽养殖场、养殖小区。</w:t>
            </w:r>
          </w:p>
        </w:tc>
        <w:tc>
          <w:tcPr>
            <w:tcW w:w="3296"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本项目选址不在水源保护区、风景名胜区、自然保护区、居民区、文化教育科学研究区以及法律法规规定的其他禁养区等区域。</w:t>
            </w:r>
          </w:p>
        </w:tc>
        <w:tc>
          <w:tcPr>
            <w:tcW w:w="447"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bl>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由表1-4-1可知，本项目与有关畜禽养殖污染物防治的法律相符合。</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（2）相关法规</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sectPr>
          <w:footerReference r:id="rId18" w:type="default"/>
          <w:pgSz w:w="11906" w:h="16838"/>
          <w:pgMar w:top="1701" w:right="1701" w:bottom="1474" w:left="1701" w:header="1134" w:footer="1134" w:gutter="0"/>
          <w:pgBorders>
            <w:top w:val="none" w:sz="0" w:space="0"/>
            <w:left w:val="none" w:sz="0" w:space="0"/>
            <w:bottom w:val="none" w:sz="0" w:space="0"/>
            <w:right w:val="none" w:sz="0" w:space="0"/>
          </w:pgBorders>
          <w:pgNumType w:start="1"/>
          <w:cols w:space="720" w:num="1"/>
          <w:docGrid w:linePitch="381" w:charSpace="0"/>
        </w:sectPr>
      </w:pPr>
      <w:r>
        <w:rPr>
          <w:rFonts w:hint="default" w:ascii="Times New Roman" w:hAnsi="Times New Roman" w:cs="Times New Roman" w:eastAsiaTheme="minorEastAsia"/>
          <w:color w:val="000000" w:themeColor="text1"/>
          <w:sz w:val="24"/>
          <w:szCs w:val="22"/>
          <w14:textFill>
            <w14:solidFill>
              <w14:schemeClr w14:val="tx1"/>
            </w14:solidFill>
          </w14:textFill>
        </w:rPr>
        <w:t>本项目与有关畜禽养殖污染物防治的法规符合性分析见表1-4-2。</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表1-4-2 相关法规与项目内容对比分析一览表</w:t>
      </w:r>
    </w:p>
    <w:tbl>
      <w:tblPr>
        <w:tblStyle w:val="91"/>
        <w:tblW w:w="0" w:type="auto"/>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20"/>
        <w:gridCol w:w="8646"/>
        <w:gridCol w:w="3334"/>
        <w:gridCol w:w="719"/>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Pr>
        <w:tc>
          <w:tcPr>
            <w:tcW w:w="1020"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名称</w:t>
            </w:r>
          </w:p>
        </w:tc>
        <w:tc>
          <w:tcPr>
            <w:tcW w:w="8646"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相关要求</w:t>
            </w:r>
          </w:p>
        </w:tc>
        <w:tc>
          <w:tcPr>
            <w:tcW w:w="333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本项目</w:t>
            </w:r>
          </w:p>
        </w:tc>
        <w:tc>
          <w:tcPr>
            <w:tcW w:w="719"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结论</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Pr>
        <w:tc>
          <w:tcPr>
            <w:tcW w:w="1020" w:type="dxa"/>
            <w:vMerge w:val="restar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《畜禽规模养殖污染防治条例》（国令第643号令）</w:t>
            </w:r>
          </w:p>
        </w:tc>
        <w:tc>
          <w:tcPr>
            <w:tcW w:w="8646"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第十一条 禁止在下列区域内建设畜禽养殖场、养殖小区：</w:t>
            </w:r>
          </w:p>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（一）饮用水水源保护区，风景名胜区；</w:t>
            </w:r>
          </w:p>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（二）自然保护区的核心区和缓冲区；</w:t>
            </w:r>
          </w:p>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（三）城镇居民区、文化教育科学研究区等人口集中区域；</w:t>
            </w:r>
          </w:p>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（四）法律、法规规定的其他禁止养殖区域。</w:t>
            </w:r>
          </w:p>
        </w:tc>
        <w:tc>
          <w:tcPr>
            <w:tcW w:w="333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本项目选址位</w:t>
            </w:r>
            <w:r>
              <w:rPr>
                <w:rFonts w:hint="default" w:ascii="Times New Roman" w:hAnsi="Times New Roman" w:cs="Times New Roman" w:eastAsiaTheme="minorEastAsia"/>
                <w:color w:val="auto"/>
                <w:sz w:val="21"/>
                <w:szCs w:val="21"/>
                <w:highlight w:val="none"/>
              </w:rPr>
              <w:t>于</w:t>
            </w:r>
            <w:r>
              <w:rPr>
                <w:rFonts w:hint="eastAsia" w:ascii="Times New Roman" w:hAnsi="Times New Roman" w:cs="Times New Roman" w:eastAsiaTheme="minorEastAsia"/>
                <w:color w:val="auto"/>
                <w:sz w:val="21"/>
                <w:szCs w:val="21"/>
                <w:highlight w:val="none"/>
                <w:lang w:eastAsia="zh-CN"/>
              </w:rPr>
              <w:t>安达市东14公里，明沈公路南侧1000米处</w:t>
            </w:r>
            <w:r>
              <w:rPr>
                <w:rFonts w:hint="default" w:ascii="Times New Roman" w:hAnsi="Times New Roman" w:cs="Times New Roman" w:eastAsiaTheme="minorEastAsia"/>
                <w:color w:val="auto"/>
                <w:sz w:val="21"/>
                <w:szCs w:val="21"/>
                <w:highlight w:val="none"/>
              </w:rPr>
              <w:t>，土地现状为一般草地，建设单位与土地所有权人签订了土地承包协议书。周边为空地，不在饮用水水源保护区、风景</w:t>
            </w:r>
            <w:r>
              <w:rPr>
                <w:rFonts w:hint="default" w:ascii="Times New Roman" w:hAnsi="Times New Roman" w:cs="Times New Roman" w:eastAsiaTheme="minorEastAsia"/>
                <w:color w:val="000000" w:themeColor="text1"/>
                <w:sz w:val="21"/>
                <w:szCs w:val="21"/>
                <w14:textFill>
                  <w14:solidFill>
                    <w14:schemeClr w14:val="tx1"/>
                  </w14:solidFill>
                </w14:textFill>
              </w:rPr>
              <w:t>名胜区、自然保护区的核心区和缓冲区、城镇居民区、文化教育科学研究区等人口集中区域、法律、法规规定的其他禁止养殖区域。</w:t>
            </w:r>
          </w:p>
        </w:tc>
        <w:tc>
          <w:tcPr>
            <w:tcW w:w="719"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Pr>
        <w:tc>
          <w:tcPr>
            <w:tcW w:w="1020"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8646"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第十二条 新建、改建、扩建畜禽养殖场、养殖小区，应当符合畜牧业发展规划、畜禽养殖污染防治规划，满足动物防疫条件，并进行环境影响评价。对环境可能造成重大影响的大型畜禽养殖场、养殖小区，应当编制环境影响报告书；其他畜禽养殖场、养殖小区应当填报环境影响登记表。大型畜禽养殖场、养殖小区的管理目录，由国务院环境保护主管部门商国务院农牧主管部门确定。</w:t>
            </w:r>
          </w:p>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环境影响评价的重点应当包括：畜禽养殖产生的废弃物种类和数量，废弃物综合利用和无害化处理方案和措施，废弃物的消纳和处理情况以及向环境直接排放的情况，最终可能对水体、土壤等环境和人体健康产生的影响以及控制和减少影响的方案和措施等。</w:t>
            </w:r>
          </w:p>
        </w:tc>
        <w:tc>
          <w:tcPr>
            <w:tcW w:w="333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本项目为现代示范奶牛场，编制环境影响报告书，本项目环境影响评价的重点包括：畜禽养殖产生的废弃物种类和数量，废弃物综合利用和无害化处理方案和措施，废弃物的消纳和处理情况以及向环境直接排放的情况，最终可能对大气、声等环境以及控制和减少影响的方案和措施</w:t>
            </w:r>
          </w:p>
        </w:tc>
        <w:tc>
          <w:tcPr>
            <w:tcW w:w="719"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Pr>
        <w:tc>
          <w:tcPr>
            <w:tcW w:w="1020"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p>
        </w:tc>
        <w:tc>
          <w:tcPr>
            <w:tcW w:w="8646"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第十三条 畜禽养殖场、养殖小区应当根据养殖规模和污染防治需要，建设相应的畜禽粪便、污水与雨水分流设施，畜禽粪便、污水的贮存设施，粪污厌氧消化和堆沤、有机肥加工、制取沼气、沼渣沼液分离和输送、污水处理、畜禽尸体处理等综合利用和无害化处理设施。已经委托他人对畜禽养殖废弃物代为综合利用和无害化处理的，可以不自行建设综合利用和无害化处理设施。</w:t>
            </w:r>
          </w:p>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未建设污染防治配套设施、自行建设的配套设施不合格，或者未委托他人对畜禽养殖废弃物进行综合利用和无害化处理的，畜禽养殖场、养殖小区不得投入生产或者使用。畜禽养殖场、养殖小区自行建设污染防治配套设施的，应当确保其正常运行。</w:t>
            </w:r>
          </w:p>
        </w:tc>
        <w:tc>
          <w:tcPr>
            <w:tcW w:w="3334" w:type="dxa"/>
            <w:vMerge w:val="restar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本项目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产生沼气</w:t>
            </w:r>
            <w:r>
              <w:rPr>
                <w:rFonts w:hint="default" w:ascii="Times New Roman" w:hAnsi="Times New Roman" w:cs="Times New Roman" w:eastAsiaTheme="minorEastAsia"/>
                <w:sz w:val="21"/>
                <w:szCs w:val="21"/>
              </w:rPr>
              <w:t>通过火炬燃烧的方式消耗掉</w:t>
            </w:r>
            <w:r>
              <w:rPr>
                <w:rFonts w:hint="default" w:ascii="Times New Roman" w:hAnsi="Times New Roman" w:cs="Times New Roman" w:eastAsiaTheme="minorEastAsia"/>
                <w:color w:val="auto"/>
                <w:sz w:val="21"/>
                <w:szCs w:val="21"/>
                <w:highlight w:val="none"/>
              </w:rPr>
              <w:t>，沼液定期还田，沼渣外运处置堆肥，实现粪污资源化利用，防治污染环境。牛舍、粪污处理区（固液分离间）定期喷洒添加EM菌除臭剂，消除可能引起传染病的微生物，防止污染环境和传播疫病。</w:t>
            </w:r>
          </w:p>
        </w:tc>
        <w:tc>
          <w:tcPr>
            <w:tcW w:w="719"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95" w:hRule="atLeast"/>
        </w:trPr>
        <w:tc>
          <w:tcPr>
            <w:tcW w:w="1020"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p>
        </w:tc>
        <w:tc>
          <w:tcPr>
            <w:tcW w:w="8646"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第十四条 从事畜禽养殖活动，应当采取科学的饲养方式和废弃物处理工艺等有效措施，减少畜禽养殖废弃物的产生量和向环境的排放量。</w:t>
            </w:r>
          </w:p>
        </w:tc>
        <w:tc>
          <w:tcPr>
            <w:tcW w:w="3334"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p>
        </w:tc>
        <w:tc>
          <w:tcPr>
            <w:tcW w:w="719"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25" w:hRule="atLeast"/>
        </w:trPr>
        <w:tc>
          <w:tcPr>
            <w:tcW w:w="1020"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p>
        </w:tc>
        <w:tc>
          <w:tcPr>
            <w:tcW w:w="8646"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第十五条 国家鼓励和支持采取粪肥还田、制取沼气、制造有机肥等方法，对畜禽养殖废弃物进行综合利用。</w:t>
            </w:r>
          </w:p>
        </w:tc>
        <w:tc>
          <w:tcPr>
            <w:tcW w:w="3334"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p>
        </w:tc>
        <w:tc>
          <w:tcPr>
            <w:tcW w:w="719"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25" w:hRule="atLeast"/>
        </w:trPr>
        <w:tc>
          <w:tcPr>
            <w:tcW w:w="1020"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p>
        </w:tc>
        <w:tc>
          <w:tcPr>
            <w:tcW w:w="8646"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第十八条 将畜禽粪便、污水、沼渣、沼液等用作肥料的，应当与土地的消纳能力相适应，并采取有效措施，消除可能引起传染病的微生物，防止污染环境和传播疫病。</w:t>
            </w:r>
          </w:p>
        </w:tc>
        <w:tc>
          <w:tcPr>
            <w:tcW w:w="3334"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p>
        </w:tc>
        <w:tc>
          <w:tcPr>
            <w:tcW w:w="719"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25" w:hRule="atLeast"/>
        </w:trPr>
        <w:tc>
          <w:tcPr>
            <w:tcW w:w="1020"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p>
        </w:tc>
        <w:tc>
          <w:tcPr>
            <w:tcW w:w="8646"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第十九条 从事畜禽养殖活动和畜禽养殖废弃物处理活动，应当及时对畜禽粪便、畜禽尸体、污水等进行收集、贮存、清运，防止恶臭和畜禽养殖废弃物渗出、泄漏</w:t>
            </w:r>
          </w:p>
        </w:tc>
        <w:tc>
          <w:tcPr>
            <w:tcW w:w="3334"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p>
        </w:tc>
        <w:tc>
          <w:tcPr>
            <w:tcW w:w="719"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25" w:hRule="atLeast"/>
        </w:trPr>
        <w:tc>
          <w:tcPr>
            <w:tcW w:w="1020"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p>
        </w:tc>
        <w:tc>
          <w:tcPr>
            <w:tcW w:w="8646"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第二十条 向环境排放经过处理的畜禽养殖废弃物，应当符合国家和地方规定的污染物排放标准和总量控制指标。畜禽养殖废弃物未经处理，不得直接向环境排放。</w:t>
            </w:r>
          </w:p>
        </w:tc>
        <w:tc>
          <w:tcPr>
            <w:tcW w:w="3334"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p>
        </w:tc>
        <w:tc>
          <w:tcPr>
            <w:tcW w:w="719"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09" w:hRule="atLeast"/>
        </w:trPr>
        <w:tc>
          <w:tcPr>
            <w:tcW w:w="1020"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p>
        </w:tc>
        <w:tc>
          <w:tcPr>
            <w:tcW w:w="8646"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第二十一条 染疫畜禽以及染疫畜禽排泄物、染疫畜禽产品、病死或者死因不明的畜禽尸体等病害畜禽养殖废弃物，应当按照有关法律、法规和国务院农牧主管部门的规定，进行深埋、</w:t>
            </w:r>
          </w:p>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化制、焚烧等无害化处理，不得随意处置。</w:t>
            </w:r>
          </w:p>
        </w:tc>
        <w:tc>
          <w:tcPr>
            <w:tcW w:w="333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本项目病死牛应当在当地防疫部门监督下委托安达市题桥环保科技有限公司安全处置，防止了人畜共患疫病影响。</w:t>
            </w:r>
          </w:p>
        </w:tc>
        <w:tc>
          <w:tcPr>
            <w:tcW w:w="719"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1005" w:hRule="atLeast"/>
        </w:trPr>
        <w:tc>
          <w:tcPr>
            <w:tcW w:w="1020" w:type="dxa"/>
            <w:vMerge w:val="restar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《黑龙江省动物防疫条例》（黑龙江省第十二届人大常务委员会第二十九次会议）</w:t>
            </w:r>
          </w:p>
        </w:tc>
        <w:tc>
          <w:tcPr>
            <w:tcW w:w="8646"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第十五条 动物饲养场(养殖小区)应当承担动物防疫责任，建立健全动物防疫制度，做好免疫、消毒等动物疫病预防工作。</w:t>
            </w:r>
          </w:p>
        </w:tc>
        <w:tc>
          <w:tcPr>
            <w:tcW w:w="3334" w:type="dxa"/>
            <w:vMerge w:val="restar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本项目建设单位承担动物防疫责任，建立健全动物防疫制度，做好免疫、消毒等动物疫病预防工作，对其饲养的动物开展规定的动物疫病检测，并有完整的检测记录。</w:t>
            </w:r>
          </w:p>
        </w:tc>
        <w:tc>
          <w:tcPr>
            <w:tcW w:w="719"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1980" w:hRule="atLeast"/>
        </w:trPr>
        <w:tc>
          <w:tcPr>
            <w:tcW w:w="1020"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p>
        </w:tc>
        <w:tc>
          <w:tcPr>
            <w:tcW w:w="8646"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第十六条 动物饲养场(养殖小区)应当对其饲养的动物开展规定的动物疫病检测，并有完整的检测记录。</w:t>
            </w:r>
          </w:p>
        </w:tc>
        <w:tc>
          <w:tcPr>
            <w:tcW w:w="3334"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p>
        </w:tc>
        <w:tc>
          <w:tcPr>
            <w:tcW w:w="719"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60" w:hRule="atLeast"/>
        </w:trPr>
        <w:tc>
          <w:tcPr>
            <w:tcW w:w="1020"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p>
        </w:tc>
        <w:tc>
          <w:tcPr>
            <w:tcW w:w="8646"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第二十八条 从事畜禽饲养、屠宰、经营、运输等活动的单位和个人应当对病死畜禽进行无害化处理。任何单位和个人不得抛弃、收购、贩卖、屠宰加工病死畜禽。</w:t>
            </w:r>
          </w:p>
        </w:tc>
        <w:tc>
          <w:tcPr>
            <w:tcW w:w="3334" w:type="dxa"/>
            <w:vMerge w:val="restar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本项目病死牛委托有无害化处置资质单位安达市题桥环保科技有限公司安全处置。</w:t>
            </w:r>
          </w:p>
        </w:tc>
        <w:tc>
          <w:tcPr>
            <w:tcW w:w="719"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170" w:hRule="atLeast"/>
        </w:trPr>
        <w:tc>
          <w:tcPr>
            <w:tcW w:w="1020"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p>
        </w:tc>
        <w:tc>
          <w:tcPr>
            <w:tcW w:w="8646"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第二十九条动物饲养场（养殖小区）、屠宰加工场所、动物隔离场所应当具备无害化处理能力，设置相应的无害化处理设施，建立病死畜禽来源、数量、处置方式等无害化处理情况档案并保存三年。饲养畜禽的个人不具备无害化处理能力的，应当将病死畜禽送交无害化处理场所或者向无害化收集处理单位报告。</w:t>
            </w:r>
          </w:p>
        </w:tc>
        <w:tc>
          <w:tcPr>
            <w:tcW w:w="3334"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p>
        </w:tc>
        <w:tc>
          <w:tcPr>
            <w:tcW w:w="719"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符合</w:t>
            </w:r>
          </w:p>
        </w:tc>
      </w:tr>
    </w:tbl>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由表1-4-2可知，本项目与有关畜禽养殖污染物防治的法规相符合。</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sectPr>
          <w:footerReference r:id="rId19" w:type="default"/>
          <w:pgSz w:w="16838" w:h="11906" w:orient="landscape"/>
          <w:pgMar w:top="1701" w:right="1701" w:bottom="1701" w:left="1474" w:header="1134" w:footer="1134" w:gutter="0"/>
          <w:pgBorders>
            <w:top w:val="none" w:sz="0" w:space="0"/>
            <w:left w:val="none" w:sz="0" w:space="0"/>
            <w:bottom w:val="none" w:sz="0" w:space="0"/>
            <w:right w:val="none" w:sz="0" w:space="0"/>
          </w:pgBorders>
          <w:cols w:space="720" w:num="1"/>
          <w:docGrid w:linePitch="381" w:charSpace="0"/>
        </w:sectPr>
      </w:pPr>
    </w:p>
    <w:p>
      <w:pPr>
        <w:pStyle w:val="129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1.4.4.2 《畜禽养殖业污染治理工程技术规范》（HJ497-2009）</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本项目与《畜禽养殖业污染治理工程技术规范》（HJ497-2009）符合性分析见表1-4-5。</w:t>
      </w:r>
    </w:p>
    <w:p>
      <w:pPr>
        <w:pStyle w:val="643"/>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表1-4-5 本项目与《畜禽养殖业污染治理工程技术规范》（HJ 497-2009）符合性</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827"/>
        <w:gridCol w:w="3119"/>
        <w:gridCol w:w="9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44" w:type="dxa"/>
            <w:gridSpan w:val="2"/>
            <w:tcBorders>
              <w:top w:val="single" w:color="auto" w:sz="12" w:space="0"/>
            </w:tcBorders>
            <w:vAlign w:val="center"/>
          </w:tcPr>
          <w:p>
            <w:pPr>
              <w:pStyle w:val="666"/>
              <w:widowControl w:val="0"/>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《畜禽养殖业污染治理工程技术规范》（HJ 497-2009）</w:t>
            </w:r>
          </w:p>
        </w:tc>
        <w:tc>
          <w:tcPr>
            <w:tcW w:w="3119" w:type="dxa"/>
            <w:tcBorders>
              <w:top w:val="single" w:color="auto" w:sz="1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本项目</w:t>
            </w:r>
          </w:p>
        </w:tc>
        <w:tc>
          <w:tcPr>
            <w:tcW w:w="957" w:type="dxa"/>
            <w:tcBorders>
              <w:top w:val="single" w:color="auto" w:sz="1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bookmarkStart w:id="19" w:name="_Toc202855301"/>
            <w:bookmarkStart w:id="20" w:name="_Toc184462570"/>
            <w:bookmarkStart w:id="21" w:name="_Toc184713541"/>
            <w:bookmarkStart w:id="22" w:name="_Toc237145577"/>
            <w:bookmarkStart w:id="23" w:name="_Toc232251545"/>
            <w:bookmarkStart w:id="24" w:name="_Toc223621123"/>
            <w:bookmarkStart w:id="25" w:name="_Toc232251567"/>
            <w:r>
              <w:rPr>
                <w:rFonts w:hint="default" w:ascii="Times New Roman" w:hAnsi="Times New Roman" w:cs="Times New Roman" w:eastAsiaTheme="minorEastAsia"/>
                <w:color w:val="000000" w:themeColor="text1"/>
                <w14:textFill>
                  <w14:solidFill>
                    <w14:schemeClr w14:val="tx1"/>
                  </w14:solidFill>
                </w14:textFill>
              </w:rPr>
              <w:t>5  总体设计</w:t>
            </w:r>
            <w:bookmarkEnd w:id="19"/>
            <w:bookmarkEnd w:id="20"/>
            <w:bookmarkEnd w:id="21"/>
            <w:bookmarkEnd w:id="22"/>
            <w:bookmarkEnd w:id="23"/>
            <w:bookmarkEnd w:id="24"/>
            <w:bookmarkEnd w:id="25"/>
          </w:p>
        </w:tc>
        <w:tc>
          <w:tcPr>
            <w:tcW w:w="3827"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5.1.4  畜禽养殖业污染治理应从源头控制，严格执行雨污分离，通过优化饲料配方、提高饲养技术、管理水平、改善畜舍结构和通风供暖工艺、改进清粪工艺等措施减少养殖场环境污染。</w:t>
            </w:r>
          </w:p>
        </w:tc>
        <w:tc>
          <w:tcPr>
            <w:tcW w:w="3119" w:type="dxa"/>
            <w:vAlign w:val="center"/>
          </w:tcPr>
          <w:p>
            <w:pPr>
              <w:pStyle w:val="666"/>
              <w:widowControl w:val="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采取雨污分流，科学饲养，优化饲料配方，对牛舍定期通风，采取干清粪工艺，对牛粪污日产日清，减少养殖场环境污染。</w:t>
            </w:r>
          </w:p>
        </w:tc>
        <w:tc>
          <w:tcPr>
            <w:tcW w:w="957"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p>
        </w:tc>
        <w:tc>
          <w:tcPr>
            <w:tcW w:w="3827"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5.1.5  畜禽养殖业污染治理应按照资源化、减量化、无害化的原则，以综合利用为出发点，提高资源化利用率。</w:t>
            </w:r>
          </w:p>
        </w:tc>
        <w:tc>
          <w:tcPr>
            <w:tcW w:w="3119" w:type="dxa"/>
            <w:vMerge w:val="restart"/>
            <w:vAlign w:val="center"/>
          </w:tcPr>
          <w:p>
            <w:pPr>
              <w:pStyle w:val="666"/>
              <w:widowControl w:val="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本项目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产生沼气</w:t>
            </w:r>
            <w:r>
              <w:rPr>
                <w:rFonts w:hint="default" w:ascii="Times New Roman" w:hAnsi="Times New Roman" w:cs="Times New Roman" w:eastAsiaTheme="minorEastAsia"/>
              </w:rPr>
              <w:t>通过火炬燃烧的方式消耗掉</w:t>
            </w:r>
            <w:r>
              <w:rPr>
                <w:rFonts w:hint="default" w:ascii="Times New Roman" w:hAnsi="Times New Roman" w:cs="Times New Roman" w:eastAsiaTheme="minorEastAsia"/>
                <w:color w:val="auto"/>
                <w:highlight w:val="none"/>
              </w:rPr>
              <w:t>，沼液定期还田，沼渣外运处置堆肥，实现粪污资源化利用，防止污染环境。</w:t>
            </w:r>
          </w:p>
        </w:tc>
        <w:tc>
          <w:tcPr>
            <w:tcW w:w="957"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0" w:hRule="atLeast"/>
        </w:trPr>
        <w:tc>
          <w:tcPr>
            <w:tcW w:w="817" w:type="dxa"/>
            <w:vMerge w:val="continue"/>
            <w:tcBorders>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p>
        </w:tc>
        <w:tc>
          <w:tcPr>
            <w:tcW w:w="3827" w:type="dxa"/>
            <w:tcBorders>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5.1.6  畜禽粪污资源化时应经无害化处理后方可还田利用，无害化处理应满足下列要求：</w:t>
            </w:r>
          </w:p>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a）液态畜禽粪污宜采用厌氧工艺进行无害化处理；沼液、沼渣不得作为同等动物的饲料，不得在动物之间进行循环。</w:t>
            </w:r>
          </w:p>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b）固体畜禽粪便宜采用好氧堆肥技术进行无害化处理。</w:t>
            </w:r>
          </w:p>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c）无害化处理后的卫生学指标应符合GB7959的有关规定。</w:t>
            </w:r>
          </w:p>
        </w:tc>
        <w:tc>
          <w:tcPr>
            <w:tcW w:w="3119"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57" w:type="dxa"/>
            <w:tcBorders>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817" w:type="dxa"/>
            <w:tcBorders>
              <w:top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p>
        </w:tc>
        <w:tc>
          <w:tcPr>
            <w:tcW w:w="3827" w:type="dxa"/>
            <w:tcBorders>
              <w:top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5.1.9  畜禽养殖废水不得排入敏感水域和有特殊功能的水域，排放去向应符合国家和地方的有关规定。排放水质应满足GB 18596—2001或有关地方污染物排放标准的规定；处理后用于农田灌溉的，出水水质应满足GB 5084的规定。</w:t>
            </w:r>
          </w:p>
        </w:tc>
        <w:tc>
          <w:tcPr>
            <w:tcW w:w="3119" w:type="dxa"/>
            <w:vMerge w:val="continue"/>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p>
        </w:tc>
        <w:tc>
          <w:tcPr>
            <w:tcW w:w="957" w:type="dxa"/>
            <w:tcBorders>
              <w:top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 工艺选择</w:t>
            </w:r>
          </w:p>
        </w:tc>
        <w:tc>
          <w:tcPr>
            <w:tcW w:w="3827"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6.1.1.1  新建、改建、扩建的畜禽养殖场宜采用干清粪工艺。现有采用水冲粪、水泡粪清粪工艺的养殖场，应逐步改为干清粪工艺。</w:t>
            </w:r>
          </w:p>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6.1.1.2  畜禽粪污应日产日清。</w:t>
            </w:r>
          </w:p>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6.1.1.3  畜禽养殖场应建立排水系统，并实行雨污分流。</w:t>
            </w:r>
          </w:p>
        </w:tc>
        <w:tc>
          <w:tcPr>
            <w:tcW w:w="3119"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57"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 固体粪便处理</w:t>
            </w:r>
          </w:p>
        </w:tc>
        <w:tc>
          <w:tcPr>
            <w:tcW w:w="3827"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8.1.1 畜禽固体粪便宜采用好氧堆肥技术进行无害化处理。</w:t>
            </w:r>
          </w:p>
        </w:tc>
        <w:tc>
          <w:tcPr>
            <w:tcW w:w="3119" w:type="dxa"/>
            <w:vMerge w:val="continue"/>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p>
        </w:tc>
        <w:tc>
          <w:tcPr>
            <w:tcW w:w="957"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p>
        </w:tc>
        <w:tc>
          <w:tcPr>
            <w:tcW w:w="3827"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8.1.2  不具备堆肥条件的养殖场，可根据畜禽养殖场地理位置、养殖种类、养殖规模及经济情况，选用其他方法对固体粪便进行资源回收利用，但不得对环境造成二次污染。</w:t>
            </w:r>
          </w:p>
        </w:tc>
        <w:tc>
          <w:tcPr>
            <w:tcW w:w="3119" w:type="dxa"/>
            <w:vMerge w:val="continue"/>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p>
        </w:tc>
        <w:tc>
          <w:tcPr>
            <w:tcW w:w="957"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bl>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本项目与《畜禽养殖业污染治理工程技术规范》（HJ497-2009）相符合。</w:t>
      </w: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1.4.2 产业政策符合性分析</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本项目为奶牛规模养殖基地建设项目，根据《产业结构调整指导目录（2019年本）》，本项目属于“第一类 鼓励类”中“一、农林业”、“4、畜禽标准化规模养殖技术开发与应用”，属于鼓励类项目，本项目符合国家产业政策。</w:t>
      </w: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1.4.3 与环境功能区划相符性分析</w:t>
      </w:r>
    </w:p>
    <w:p>
      <w:pPr>
        <w:pStyle w:val="1167"/>
        <w:rPr>
          <w:rFonts w:hint="default" w:ascii="Times New Roman" w:hAnsi="Times New Roman" w:cs="Times New Roman" w:eastAsiaTheme="minorEastAsia"/>
          <w:b w:val="0"/>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14:textFill>
            <w14:solidFill>
              <w14:schemeClr w14:val="tx1"/>
            </w14:solidFill>
          </w14:textFill>
        </w:rPr>
        <w:t xml:space="preserve"> </w:t>
      </w:r>
      <w:r>
        <w:rPr>
          <w:rFonts w:hint="default" w:ascii="Times New Roman" w:hAnsi="Times New Roman" w:cs="Times New Roman" w:eastAsiaTheme="minorEastAsia"/>
          <w:b w:val="0"/>
          <w:color w:val="000000" w:themeColor="text1"/>
          <w:sz w:val="24"/>
          <w:szCs w:val="24"/>
          <w14:textFill>
            <w14:solidFill>
              <w14:schemeClr w14:val="tx1"/>
            </w14:solidFill>
          </w14:textFill>
        </w:rPr>
        <w:t xml:space="preserve"> 本项目建设地点为</w:t>
      </w:r>
      <w:r>
        <w:rPr>
          <w:rFonts w:hint="eastAsia" w:ascii="Times New Roman" w:hAnsi="Times New Roman" w:cs="Times New Roman" w:eastAsiaTheme="minorEastAsia"/>
          <w:b w:val="0"/>
          <w:color w:val="000000" w:themeColor="text1"/>
          <w:sz w:val="24"/>
          <w:szCs w:val="24"/>
          <w:lang w:eastAsia="zh-CN"/>
          <w14:textFill>
            <w14:solidFill>
              <w14:schemeClr w14:val="tx1"/>
            </w14:solidFill>
          </w14:textFill>
        </w:rPr>
        <w:t>安达市东14公里，明沈公路南侧1000米处</w:t>
      </w:r>
      <w:r>
        <w:rPr>
          <w:rFonts w:hint="default" w:ascii="Times New Roman" w:hAnsi="Times New Roman" w:cs="Times New Roman" w:eastAsiaTheme="minorEastAsia"/>
          <w:b w:val="0"/>
          <w:color w:val="000000" w:themeColor="text1"/>
          <w:sz w:val="24"/>
          <w:szCs w:val="24"/>
          <w14:textFill>
            <w14:solidFill>
              <w14:schemeClr w14:val="tx1"/>
            </w14:solidFill>
          </w14:textFill>
        </w:rPr>
        <w:t>，项目用地农业设施用地，四周均为一般草地，</w:t>
      </w:r>
      <w:r>
        <w:rPr>
          <w:rFonts w:hint="default" w:ascii="Times New Roman" w:hAnsi="Times New Roman" w:cs="Times New Roman" w:eastAsiaTheme="minorEastAsia"/>
          <w:b w:val="0"/>
          <w:color w:val="auto"/>
          <w:sz w:val="24"/>
          <w:szCs w:val="24"/>
          <w:highlight w:val="none"/>
        </w:rPr>
        <w:t>总用地面积143000m</w:t>
      </w:r>
      <w:r>
        <w:rPr>
          <w:rFonts w:hint="default" w:ascii="Times New Roman" w:hAnsi="Times New Roman" w:cs="Times New Roman" w:eastAsiaTheme="minorEastAsia"/>
          <w:b w:val="0"/>
          <w:color w:val="auto"/>
          <w:sz w:val="24"/>
          <w:szCs w:val="24"/>
          <w:highlight w:val="none"/>
          <w:vertAlign w:val="superscript"/>
        </w:rPr>
        <w:t>2</w:t>
      </w:r>
      <w:r>
        <w:rPr>
          <w:rFonts w:hint="default" w:ascii="Times New Roman" w:hAnsi="Times New Roman" w:cs="Times New Roman" w:eastAsiaTheme="minorEastAsia"/>
          <w:b w:val="0"/>
          <w:color w:val="auto"/>
          <w:sz w:val="24"/>
          <w:szCs w:val="24"/>
          <w:highlight w:val="none"/>
        </w:rPr>
        <w:t>。</w:t>
      </w:r>
      <w:r>
        <w:rPr>
          <w:rFonts w:hint="default" w:ascii="Times New Roman" w:hAnsi="Times New Roman" w:cs="Times New Roman" w:eastAsiaTheme="minorEastAsia"/>
          <w:b w:val="0"/>
          <w:color w:val="000000" w:themeColor="text1"/>
          <w:sz w:val="24"/>
          <w:szCs w:val="24"/>
          <w14:textFill>
            <w14:solidFill>
              <w14:schemeClr w14:val="tx1"/>
            </w14:solidFill>
          </w14:textFill>
        </w:rPr>
        <w:t xml:space="preserve">项目所在区域声环境功能区为2类，大气环境功能区为二类，地下水环境功能区为 </w:t>
      </w:r>
      <w:r>
        <w:rPr>
          <w:rFonts w:hint="default" w:ascii="Times New Roman" w:hAnsi="Times New Roman" w:cs="Times New Roman" w:eastAsiaTheme="minorEastAsia"/>
          <w:b w:val="0"/>
          <w:color w:val="000000" w:themeColor="text1"/>
          <w:sz w:val="24"/>
          <w:szCs w:val="24"/>
          <w14:textFill>
            <w14:solidFill>
              <w14:schemeClr w14:val="tx1"/>
            </w14:solidFill>
          </w14:textFill>
        </w:rPr>
        <w:fldChar w:fldCharType="begin"/>
      </w:r>
      <w:r>
        <w:rPr>
          <w:rFonts w:hint="default" w:ascii="Times New Roman" w:hAnsi="Times New Roman" w:cs="Times New Roman" w:eastAsiaTheme="minorEastAsia"/>
          <w:b w:val="0"/>
          <w:color w:val="000000" w:themeColor="text1"/>
          <w:sz w:val="24"/>
          <w:szCs w:val="24"/>
          <w14:textFill>
            <w14:solidFill>
              <w14:schemeClr w14:val="tx1"/>
            </w14:solidFill>
          </w14:textFill>
        </w:rPr>
        <w:instrText xml:space="preserve"> = 3 \* ROMAN </w:instrText>
      </w:r>
      <w:r>
        <w:rPr>
          <w:rFonts w:hint="default" w:ascii="Times New Roman" w:hAnsi="Times New Roman" w:cs="Times New Roman" w:eastAsiaTheme="minorEastAsia"/>
          <w:b w:val="0"/>
          <w:color w:val="000000" w:themeColor="text1"/>
          <w:sz w:val="24"/>
          <w:szCs w:val="24"/>
          <w14:textFill>
            <w14:solidFill>
              <w14:schemeClr w14:val="tx1"/>
            </w14:solidFill>
          </w14:textFill>
        </w:rPr>
        <w:fldChar w:fldCharType="separate"/>
      </w:r>
      <w:r>
        <w:rPr>
          <w:rFonts w:hint="default" w:ascii="Times New Roman" w:hAnsi="Times New Roman" w:cs="Times New Roman" w:eastAsiaTheme="minorEastAsia"/>
          <w:b w:val="0"/>
          <w:color w:val="000000" w:themeColor="text1"/>
          <w:sz w:val="24"/>
          <w:szCs w:val="24"/>
          <w14:textFill>
            <w14:solidFill>
              <w14:schemeClr w14:val="tx1"/>
            </w14:solidFill>
          </w14:textFill>
        </w:rPr>
        <w:t>III</w:t>
      </w:r>
      <w:r>
        <w:rPr>
          <w:rFonts w:hint="default" w:ascii="Times New Roman" w:hAnsi="Times New Roman" w:cs="Times New Roman" w:eastAsiaTheme="minorEastAsia"/>
          <w:b w:val="0"/>
          <w:color w:val="000000" w:themeColor="text1"/>
          <w:sz w:val="24"/>
          <w:szCs w:val="24"/>
          <w14:textFill>
            <w14:solidFill>
              <w14:schemeClr w14:val="tx1"/>
            </w14:solidFill>
          </w14:textFill>
        </w:rPr>
        <w:fldChar w:fldCharType="end"/>
      </w:r>
      <w:r>
        <w:rPr>
          <w:rFonts w:hint="default" w:ascii="Times New Roman" w:hAnsi="Times New Roman" w:cs="Times New Roman" w:eastAsiaTheme="minorEastAsia"/>
          <w:b w:val="0"/>
          <w:color w:val="000000" w:themeColor="text1"/>
          <w:sz w:val="24"/>
          <w:szCs w:val="24"/>
          <w14:textFill>
            <w14:solidFill>
              <w14:schemeClr w14:val="tx1"/>
            </w14:solidFill>
          </w14:textFill>
        </w:rPr>
        <w:t xml:space="preserve">类 。本项目对环境的主要影响时期为施工期及运营期的大气、地下水、噪声及固体废物，只要严格控制，采取有效的防治措施，并严格落实各项环境保护措施，本项目的建设符合环境功能区划的规定。   </w:t>
      </w: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1.4.4相关规范符合性分析</w:t>
      </w:r>
    </w:p>
    <w:p>
      <w:pPr>
        <w:pStyle w:val="129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1.4.4.1 《畜禽养殖业污染防治技术规范》（HJ/T81-2001）</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本项目与《畜禽养殖业污染防治技术规范》（HJ/T81-2001）符合性分析见表1-4-4。</w:t>
      </w:r>
    </w:p>
    <w:p>
      <w:pPr>
        <w:pStyle w:val="643"/>
        <w:rPr>
          <w:rFonts w:hint="default" w:ascii="Times New Roman" w:hAnsi="Times New Roman" w:cs="Times New Roman" w:eastAsiaTheme="minorEastAsia"/>
          <w:color w:val="000000" w:themeColor="text1"/>
          <w:sz w:val="24"/>
          <w:szCs w:val="24"/>
          <w14:textFill>
            <w14:solidFill>
              <w14:schemeClr w14:val="tx1"/>
            </w14:solidFill>
          </w14:textFill>
        </w:rPr>
      </w:pPr>
    </w:p>
    <w:p>
      <w:pPr>
        <w:pStyle w:val="643"/>
        <w:rPr>
          <w:rFonts w:hint="default" w:ascii="Times New Roman" w:hAnsi="Times New Roman" w:cs="Times New Roman" w:eastAsiaTheme="minorEastAsia"/>
          <w:color w:val="000000" w:themeColor="text1"/>
          <w:sz w:val="24"/>
          <w:szCs w:val="24"/>
          <w14:textFill>
            <w14:solidFill>
              <w14:schemeClr w14:val="tx1"/>
            </w14:solidFill>
          </w14:textFill>
        </w:rPr>
      </w:pPr>
    </w:p>
    <w:p>
      <w:pPr>
        <w:pStyle w:val="643"/>
        <w:rPr>
          <w:rFonts w:hint="default" w:ascii="Times New Roman" w:hAnsi="Times New Roman" w:cs="Times New Roman" w:eastAsiaTheme="minorEastAsia"/>
          <w:color w:val="000000" w:themeColor="text1"/>
          <w:sz w:val="24"/>
          <w:szCs w:val="24"/>
          <w14:textFill>
            <w14:solidFill>
              <w14:schemeClr w14:val="tx1"/>
            </w14:solidFill>
          </w14:textFill>
        </w:rPr>
      </w:pPr>
    </w:p>
    <w:p>
      <w:pPr>
        <w:pStyle w:val="643"/>
        <w:rPr>
          <w:rFonts w:hint="default" w:ascii="Times New Roman" w:hAnsi="Times New Roman" w:cs="Times New Roman" w:eastAsiaTheme="minorEastAsia"/>
          <w:color w:val="000000" w:themeColor="text1"/>
          <w:sz w:val="24"/>
          <w:szCs w:val="24"/>
          <w14:textFill>
            <w14:solidFill>
              <w14:schemeClr w14:val="tx1"/>
            </w14:solidFill>
          </w14:textFill>
        </w:rPr>
      </w:pPr>
    </w:p>
    <w:p>
      <w:pPr>
        <w:pStyle w:val="643"/>
        <w:rPr>
          <w:rFonts w:hint="default" w:ascii="Times New Roman" w:hAnsi="Times New Roman" w:cs="Times New Roman" w:eastAsiaTheme="minorEastAsia"/>
          <w:color w:val="000000" w:themeColor="text1"/>
          <w:sz w:val="24"/>
          <w:szCs w:val="24"/>
          <w14:textFill>
            <w14:solidFill>
              <w14:schemeClr w14:val="tx1"/>
            </w14:solidFill>
          </w14:textFill>
        </w:rPr>
      </w:pPr>
    </w:p>
    <w:p>
      <w:pPr>
        <w:pStyle w:val="643"/>
        <w:rPr>
          <w:rFonts w:hint="default" w:ascii="Times New Roman" w:hAnsi="Times New Roman" w:cs="Times New Roman" w:eastAsiaTheme="minorEastAsia"/>
          <w:color w:val="000000" w:themeColor="text1"/>
          <w:sz w:val="24"/>
          <w:szCs w:val="24"/>
          <w14:textFill>
            <w14:solidFill>
              <w14:schemeClr w14:val="tx1"/>
            </w14:solidFill>
          </w14:textFill>
        </w:rPr>
      </w:pPr>
    </w:p>
    <w:p>
      <w:pPr>
        <w:pStyle w:val="643"/>
        <w:rPr>
          <w:rFonts w:hint="default" w:ascii="Times New Roman" w:hAnsi="Times New Roman" w:cs="Times New Roman" w:eastAsiaTheme="minorEastAsia"/>
          <w:color w:val="000000" w:themeColor="text1"/>
          <w:sz w:val="24"/>
          <w:szCs w:val="24"/>
          <w14:textFill>
            <w14:solidFill>
              <w14:schemeClr w14:val="tx1"/>
            </w14:solidFill>
          </w14:textFill>
        </w:rPr>
      </w:pPr>
    </w:p>
    <w:p>
      <w:pPr>
        <w:pStyle w:val="643"/>
        <w:rPr>
          <w:rFonts w:hint="default" w:ascii="Times New Roman" w:hAnsi="Times New Roman" w:cs="Times New Roman" w:eastAsiaTheme="minorEastAsia"/>
          <w:color w:val="000000" w:themeColor="text1"/>
          <w:sz w:val="24"/>
          <w:szCs w:val="24"/>
          <w14:textFill>
            <w14:solidFill>
              <w14:schemeClr w14:val="tx1"/>
            </w14:solidFill>
          </w14:textFill>
        </w:rPr>
      </w:pPr>
    </w:p>
    <w:p>
      <w:pPr>
        <w:pStyle w:val="643"/>
        <w:rPr>
          <w:rFonts w:hint="default" w:ascii="Times New Roman" w:hAnsi="Times New Roman" w:cs="Times New Roman" w:eastAsiaTheme="minorEastAsia"/>
          <w:color w:val="000000" w:themeColor="text1"/>
          <w:sz w:val="24"/>
          <w:szCs w:val="24"/>
          <w14:textFill>
            <w14:solidFill>
              <w14:schemeClr w14:val="tx1"/>
            </w14:solidFill>
          </w14:textFill>
        </w:rPr>
      </w:pPr>
    </w:p>
    <w:p>
      <w:pPr>
        <w:pStyle w:val="643"/>
        <w:rPr>
          <w:rFonts w:hint="default" w:ascii="Times New Roman" w:hAnsi="Times New Roman" w:cs="Times New Roman" w:eastAsiaTheme="minorEastAsia"/>
          <w:color w:val="000000" w:themeColor="text1"/>
          <w:sz w:val="24"/>
          <w:szCs w:val="24"/>
          <w14:textFill>
            <w14:solidFill>
              <w14:schemeClr w14:val="tx1"/>
            </w14:solidFill>
          </w14:textFill>
        </w:rPr>
      </w:pPr>
    </w:p>
    <w:p>
      <w:pPr>
        <w:pStyle w:val="643"/>
        <w:rPr>
          <w:rFonts w:hint="default" w:ascii="Times New Roman" w:hAnsi="Times New Roman" w:cs="Times New Roman" w:eastAsiaTheme="minorEastAsia"/>
          <w:color w:val="000000" w:themeColor="text1"/>
          <w:sz w:val="24"/>
          <w:szCs w:val="24"/>
          <w14:textFill>
            <w14:solidFill>
              <w14:schemeClr w14:val="tx1"/>
            </w14:solidFill>
          </w14:textFill>
        </w:rPr>
      </w:pPr>
    </w:p>
    <w:p>
      <w:pPr>
        <w:pStyle w:val="643"/>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表1-4-4 本项目与《畜禽养殖业污染防治技术规范》（HJ/T81-2001）符合性</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3262"/>
        <w:gridCol w:w="3259"/>
        <w:gridCol w:w="9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504" w:type="dxa"/>
            <w:gridSpan w:val="2"/>
            <w:tcBorders>
              <w:top w:val="single" w:color="auto" w:sz="1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《畜禽养殖业污染防治技术规范》（HJ/T81-2001）</w:t>
            </w:r>
          </w:p>
        </w:tc>
        <w:tc>
          <w:tcPr>
            <w:tcW w:w="3259" w:type="dxa"/>
            <w:tcBorders>
              <w:top w:val="single" w:color="auto" w:sz="1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本项目</w:t>
            </w:r>
          </w:p>
        </w:tc>
        <w:tc>
          <w:tcPr>
            <w:tcW w:w="957" w:type="dxa"/>
            <w:tcBorders>
              <w:top w:val="single" w:color="auto" w:sz="1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0" w:hRule="atLeast"/>
        </w:trPr>
        <w:tc>
          <w:tcPr>
            <w:tcW w:w="1242" w:type="dxa"/>
            <w:vMerge w:val="restart"/>
            <w:tcBorders>
              <w:top w:val="single" w:color="auto" w:sz="4"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3选址要求</w:t>
            </w:r>
          </w:p>
        </w:tc>
        <w:tc>
          <w:tcPr>
            <w:tcW w:w="3262" w:type="dxa"/>
            <w:tcBorders>
              <w:top w:val="single" w:color="auto" w:sz="4"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3.1禁止在下列区域内建设畜禽养殖场:</w:t>
            </w:r>
          </w:p>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3.1.1生活饮用水水源保护区、风景名胜区,自然保护区的核心区及缓冲区;</w:t>
            </w:r>
          </w:p>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3.1.2城市和城镇居民区,包括文教科研区、医疗区、商业区、工业区、游览区等人口集中地区;</w:t>
            </w:r>
          </w:p>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3.1.3县级人民政府依法划定的禁养区域;</w:t>
            </w:r>
          </w:p>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3.1.4国家或地方法律、法规规定需特殊保护的其它区域</w:t>
            </w:r>
          </w:p>
        </w:tc>
        <w:tc>
          <w:tcPr>
            <w:tcW w:w="3259" w:type="dxa"/>
            <w:vMerge w:val="restart"/>
            <w:tcBorders>
              <w:top w:val="single" w:color="auto" w:sz="4"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本项目选址位于</w:t>
            </w:r>
            <w:r>
              <w:rPr>
                <w:rFonts w:hint="eastAsia" w:ascii="Times New Roman" w:hAnsi="Times New Roman" w:cs="Times New Roman" w:eastAsiaTheme="minorEastAsia"/>
                <w:color w:val="auto"/>
                <w:sz w:val="21"/>
                <w:szCs w:val="21"/>
                <w:highlight w:val="none"/>
                <w:lang w:eastAsia="zh-CN"/>
              </w:rPr>
              <w:t>安达市东14公里，明沈公路南侧1000米处</w:t>
            </w:r>
            <w:r>
              <w:rPr>
                <w:rFonts w:hint="default" w:ascii="Times New Roman" w:hAnsi="Times New Roman" w:cs="Times New Roman" w:eastAsiaTheme="minorEastAsia"/>
                <w:color w:val="auto"/>
                <w:sz w:val="21"/>
                <w:szCs w:val="21"/>
                <w:highlight w:val="none"/>
              </w:rPr>
              <w:t>，土地现状为一般草地，，不属于生活饮用水水源保护区、风景名胜区,自然保护区的核心区及缓冲区;不属于城市和城镇居民区,包括文教科研区、医疗区、商业区、工业区、游览区等人口集中地区;不属于县级人民政府依法划定的禁养区域;不属于国家或地方法律、法规规定需特殊保护的其它区域</w:t>
            </w:r>
          </w:p>
        </w:tc>
        <w:tc>
          <w:tcPr>
            <w:tcW w:w="957" w:type="dxa"/>
            <w:vMerge w:val="restart"/>
            <w:tcBorders>
              <w:top w:val="single" w:color="auto" w:sz="4"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 w:hRule="atLeast"/>
        </w:trPr>
        <w:tc>
          <w:tcPr>
            <w:tcW w:w="1242" w:type="dxa"/>
            <w:vMerge w:val="continue"/>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3262" w:type="dxa"/>
            <w:tcBorders>
              <w:top w:val="single" w:color="auto" w:sz="4"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3.2新建、改建、扩建的畜禽养殖场选址应避开3.1规定的禁建区域,在禁建区域附近建设的，应设在3.1规定的禁建区域常年主导风向的下风向或侧风向处，场界与禁建区域边界的最小距离不得小于500m。</w:t>
            </w:r>
          </w:p>
        </w:tc>
        <w:tc>
          <w:tcPr>
            <w:tcW w:w="3259" w:type="dxa"/>
            <w:vMerge w:val="continue"/>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rPr>
            </w:pPr>
          </w:p>
        </w:tc>
        <w:tc>
          <w:tcPr>
            <w:tcW w:w="957" w:type="dxa"/>
            <w:vMerge w:val="continue"/>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4场区布局与清粪工艺</w:t>
            </w:r>
          </w:p>
        </w:tc>
        <w:tc>
          <w:tcPr>
            <w:tcW w:w="3262"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4.1新建、改建、扩建的畜禽养殖场应实现生产区、生活管理区的隔离，粪便污水处理设施和禽畜尸体焚烧炉应设在养殖场的生产区、生活管理区的常年主导风向的下风向或侧风向处。</w:t>
            </w:r>
          </w:p>
        </w:tc>
        <w:tc>
          <w:tcPr>
            <w:tcW w:w="3259"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实现了生产区、生活管理区的隔离，固液分离间位于南侧，处于生产区、生活管理区的常年主导风向的侧下风向</w:t>
            </w:r>
          </w:p>
        </w:tc>
        <w:tc>
          <w:tcPr>
            <w:tcW w:w="957"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3262"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4.2养殖场的排水系统应实行雨水和污水收集输送系统分离,在场区内外设置的污水收集输送系统,不得采取明沟布设。</w:t>
            </w:r>
          </w:p>
        </w:tc>
        <w:tc>
          <w:tcPr>
            <w:tcW w:w="3259"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雨污分流，雨水汇流后排至厂区外边沟；产生的粪尿、牛舍冲洗废水、牛舍喷淋废水一同进行固液分离，固液分离后液体与生活污水进入黑膜沼气池发酵处理，定期还田</w:t>
            </w:r>
          </w:p>
        </w:tc>
        <w:tc>
          <w:tcPr>
            <w:tcW w:w="957"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3262"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4.3新建、改建、扩建的畜禽养殖场应采取干去清粪工艺,采取有效措施将粪及时、单独清出,不可与尿、污水混合排出,并将产生的粪渣及时运至贮存或处理场所,实现日产日清。采用水冲粪、水泡粪湿法清粪工艺的养殖场,要逐步改为干法清粪工艺。</w:t>
            </w:r>
          </w:p>
        </w:tc>
        <w:tc>
          <w:tcPr>
            <w:tcW w:w="3259"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采取科学的饲养方式，本项目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w:t>
            </w:r>
            <w:r>
              <w:rPr>
                <w:rFonts w:hint="default" w:ascii="Times New Roman" w:hAnsi="Times New Roman" w:cs="Times New Roman" w:eastAsiaTheme="minorEastAsia"/>
                <w:color w:val="auto"/>
                <w:sz w:val="21"/>
                <w:szCs w:val="21"/>
                <w:highlight w:val="none"/>
              </w:rPr>
              <w:t>产生沼气</w:t>
            </w:r>
            <w:r>
              <w:rPr>
                <w:rFonts w:hint="default" w:ascii="Times New Roman" w:hAnsi="Times New Roman" w:cs="Times New Roman" w:eastAsiaTheme="minorEastAsia"/>
                <w:color w:val="auto"/>
                <w:sz w:val="21"/>
                <w:szCs w:val="21"/>
              </w:rPr>
              <w:t>通过火炬燃烧的方式消耗掉</w:t>
            </w:r>
            <w:r>
              <w:rPr>
                <w:rFonts w:hint="default" w:ascii="Times New Roman" w:hAnsi="Times New Roman" w:cs="Times New Roman" w:eastAsiaTheme="minorEastAsia"/>
                <w:color w:val="auto"/>
                <w:sz w:val="21"/>
                <w:szCs w:val="21"/>
                <w:highlight w:val="none"/>
              </w:rPr>
              <w:t>，沼液定期还田，沼渣外运处置堆肥，实现粪污资源化利用，防止污</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染环境。</w:t>
            </w:r>
          </w:p>
        </w:tc>
        <w:tc>
          <w:tcPr>
            <w:tcW w:w="957"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5畜禽粪便的贮存</w:t>
            </w:r>
          </w:p>
        </w:tc>
        <w:tc>
          <w:tcPr>
            <w:tcW w:w="3262"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5.1畜禽养殖场产生的畜禽粪便应设置专门的贮存设施,其恶臭及污染物排放应符合《畜禽养殖业污染物排放标准》。</w:t>
            </w:r>
          </w:p>
        </w:tc>
        <w:tc>
          <w:tcPr>
            <w:tcW w:w="3259"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牛舍、粪污处理区（固液分离间）定期喷洒添加EM菌除臭剂，厂区种植高大树木减少恶臭无组织逸散，恶臭气体满足《畜禽养殖业污染物排放标准》（GB18596-2001）中表7标准</w:t>
            </w:r>
          </w:p>
        </w:tc>
        <w:tc>
          <w:tcPr>
            <w:tcW w:w="957"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3262"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5.2贮存设施的位置必须远离各类功能地表水体(距离不得小于400m)，并应设在养殖场生产及生活管理区的常年主导风向的下风向或侧风向处。</w:t>
            </w:r>
          </w:p>
        </w:tc>
        <w:tc>
          <w:tcPr>
            <w:tcW w:w="3259"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auto"/>
                <w:sz w:val="21"/>
                <w:szCs w:val="21"/>
                <w:highlight w:val="none"/>
              </w:rPr>
              <w:t>距离本项目最近地表水体为东湖水库，位于本项目东北侧8km，大于400m，固液分离间、黑膜沼气池及沼液储存池位于生产及生活管理区的常年主导风向的侧下风向</w:t>
            </w:r>
          </w:p>
        </w:tc>
        <w:tc>
          <w:tcPr>
            <w:tcW w:w="957"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3262"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5.3贮存设施应采取有效的防渗处理工艺,防止畜禽粪便污染地下水。</w:t>
            </w:r>
          </w:p>
        </w:tc>
        <w:tc>
          <w:tcPr>
            <w:tcW w:w="3259"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黑膜沼气池、固液分离间、沼液储存池采用25cm厚度的防渗混凝土（防渗等级P6），K≤10</w:t>
            </w:r>
            <w:r>
              <w:rPr>
                <w:rFonts w:hint="default" w:ascii="Times New Roman" w:hAnsi="Times New Roman" w:cs="Times New Roman" w:eastAsiaTheme="minorEastAsia"/>
                <w:color w:val="000000" w:themeColor="text1"/>
                <w:sz w:val="21"/>
                <w:szCs w:val="21"/>
                <w:highlight w:val="none"/>
                <w:vertAlign w:val="superscript"/>
                <w14:textFill>
                  <w14:solidFill>
                    <w14:schemeClr w14:val="tx1"/>
                  </w14:solidFill>
                </w14:textFill>
              </w:rPr>
              <w:t>-8</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cm/s，防渗技术满足等效粘土防渗层Mb≥1.5m、K≤1.0×10</w:t>
            </w:r>
            <w:r>
              <w:rPr>
                <w:rFonts w:hint="default" w:ascii="Times New Roman" w:hAnsi="Times New Roman" w:cs="Times New Roman" w:eastAsiaTheme="minorEastAsia"/>
                <w:color w:val="000000" w:themeColor="text1"/>
                <w:sz w:val="21"/>
                <w:szCs w:val="21"/>
                <w:highlight w:val="none"/>
                <w:vertAlign w:val="superscript"/>
                <w14:textFill>
                  <w14:solidFill>
                    <w14:schemeClr w14:val="tx1"/>
                  </w14:solidFill>
                </w14:textFill>
              </w:rPr>
              <w:t>-7</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cm/s要求。</w:t>
            </w:r>
          </w:p>
        </w:tc>
        <w:tc>
          <w:tcPr>
            <w:tcW w:w="957"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242" w:type="dxa"/>
            <w:vMerge w:val="continue"/>
            <w:tcBorders>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3262" w:type="dxa"/>
            <w:tcBorders>
              <w:top w:val="single" w:color="auto" w:sz="2" w:space="0"/>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5.5贮存设施应采取设置顶盖等防止降雨(水)进入的措施。</w:t>
            </w:r>
          </w:p>
        </w:tc>
        <w:tc>
          <w:tcPr>
            <w:tcW w:w="3259" w:type="dxa"/>
            <w:tcBorders>
              <w:top w:val="single" w:color="auto" w:sz="2" w:space="0"/>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危废暂存间、黑膜沼气池、固液分离间密闭。</w:t>
            </w:r>
          </w:p>
        </w:tc>
        <w:tc>
          <w:tcPr>
            <w:tcW w:w="957" w:type="dxa"/>
            <w:tcBorders>
              <w:top w:val="single" w:color="auto" w:sz="2" w:space="0"/>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1242" w:type="dxa"/>
            <w:vMerge w:val="restart"/>
            <w:tcBorders>
              <w:top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6污水的处理</w:t>
            </w:r>
          </w:p>
        </w:tc>
        <w:tc>
          <w:tcPr>
            <w:tcW w:w="3262" w:type="dxa"/>
            <w:tcBorders>
              <w:top w:val="single" w:color="auto" w:sz="2" w:space="0"/>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61畜禽养殖过程中产生的污水应坚持种养结合的原则,经无害化处理后尽量充分还田,实现污水资源化利用。</w:t>
            </w:r>
          </w:p>
        </w:tc>
        <w:tc>
          <w:tcPr>
            <w:tcW w:w="3259" w:type="dxa"/>
            <w:vMerge w:val="restart"/>
            <w:tcBorders>
              <w:top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根据养殖种类、养殖规模、清粪方式和当地的自然地理条件，本项目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w:t>
            </w:r>
            <w:r>
              <w:rPr>
                <w:rFonts w:hint="default" w:ascii="Times New Roman" w:hAnsi="Times New Roman" w:cs="Times New Roman" w:eastAsiaTheme="minorEastAsia"/>
                <w:color w:val="auto"/>
                <w:sz w:val="21"/>
                <w:szCs w:val="21"/>
                <w:highlight w:val="none"/>
              </w:rPr>
              <w:t>产生沼气</w:t>
            </w:r>
            <w:r>
              <w:rPr>
                <w:rFonts w:hint="default" w:ascii="Times New Roman" w:hAnsi="Times New Roman" w:cs="Times New Roman" w:eastAsiaTheme="minorEastAsia"/>
                <w:color w:val="auto"/>
                <w:sz w:val="21"/>
                <w:szCs w:val="21"/>
              </w:rPr>
              <w:t>通过火炬燃烧的方式消耗掉</w:t>
            </w:r>
            <w:r>
              <w:rPr>
                <w:rFonts w:hint="default" w:ascii="Times New Roman" w:hAnsi="Times New Roman" w:cs="Times New Roman" w:eastAsiaTheme="minorEastAsia"/>
                <w:color w:val="auto"/>
                <w:sz w:val="21"/>
                <w:szCs w:val="21"/>
                <w:highlight w:val="none"/>
              </w:rPr>
              <w:t>，沼液定期还田，沼渣外运处置堆肥，实现粪污资源化利用，防</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止污染环境。</w:t>
            </w:r>
          </w:p>
        </w:tc>
        <w:tc>
          <w:tcPr>
            <w:tcW w:w="957" w:type="dxa"/>
            <w:tcBorders>
              <w:top w:val="single" w:color="auto" w:sz="2" w:space="0"/>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242" w:type="dxa"/>
            <w:vMerge w:val="continue"/>
            <w:tcBorders>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3262" w:type="dxa"/>
            <w:tcBorders>
              <w:top w:val="single" w:color="auto" w:sz="2" w:space="0"/>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6.4污水的净化处理应根据养殖种类、养殖规模、清粪方式和当地的自然地理条件,选择合理、适用的污水净化处理工艺和技术路线,尽可能采用自然生物处理的方法,达到回用标准或排放标准。</w:t>
            </w:r>
          </w:p>
        </w:tc>
        <w:tc>
          <w:tcPr>
            <w:tcW w:w="3259" w:type="dxa"/>
            <w:vMerge w:val="continue"/>
            <w:tcBorders>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957" w:type="dxa"/>
            <w:tcBorders>
              <w:top w:val="single" w:color="auto" w:sz="2" w:space="0"/>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42" w:type="dxa"/>
            <w:tcBorders>
              <w:top w:val="single" w:color="auto" w:sz="2" w:space="0"/>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7固体粪肥的处理利用</w:t>
            </w:r>
          </w:p>
        </w:tc>
        <w:tc>
          <w:tcPr>
            <w:tcW w:w="3262" w:type="dxa"/>
            <w:tcBorders>
              <w:top w:val="single" w:color="auto" w:sz="2" w:space="0"/>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7.1.1畜禽粪便必须经过无害化处理,并须符合《粪便无害化卫生标准》后,才能进行土地利用。禁止未经处理的畜禽粪便直接施入农田。</w:t>
            </w:r>
          </w:p>
        </w:tc>
        <w:tc>
          <w:tcPr>
            <w:tcW w:w="3259" w:type="dxa"/>
            <w:tcBorders>
              <w:top w:val="single" w:color="auto" w:sz="2" w:space="0"/>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采用干请粪工艺，对产生的牛尿、牛舍冲洗废水、牛舍喷淋水经牛舍粪沟统一收集，与挤奶厅清洗废水一同运至固液分离间进行固液分离，牛粪污处置满足《畜禽粪便无害化处理技术规范》（GB/T36195-2018）管理要求，牛粪及分离后干物质外运处置堆肥。</w:t>
            </w:r>
          </w:p>
        </w:tc>
        <w:tc>
          <w:tcPr>
            <w:tcW w:w="957" w:type="dxa"/>
            <w:tcBorders>
              <w:top w:val="single" w:color="auto" w:sz="2" w:space="0"/>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42" w:type="dxa"/>
            <w:vMerge w:val="restart"/>
            <w:tcBorders>
              <w:top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8饲料和饲养管理</w:t>
            </w:r>
          </w:p>
        </w:tc>
        <w:tc>
          <w:tcPr>
            <w:tcW w:w="3262" w:type="dxa"/>
            <w:tcBorders>
              <w:top w:val="single" w:color="auto" w:sz="2" w:space="0"/>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8.1畜禽养殖饲料应采用合理配方如理想蛋白质体系配方等,提高蛋白质及其它营养的吸收效率,减</w:t>
            </w:r>
          </w:p>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少氮的排放量和粪的产生量。</w:t>
            </w:r>
          </w:p>
        </w:tc>
        <w:tc>
          <w:tcPr>
            <w:tcW w:w="3259" w:type="dxa"/>
            <w:tcBorders>
              <w:top w:val="single" w:color="auto" w:sz="2" w:space="0"/>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合理配合日粮和使用添加剂以减少有害气体的排放量。降低粪尿中有害气体的产生量。</w:t>
            </w:r>
          </w:p>
        </w:tc>
        <w:tc>
          <w:tcPr>
            <w:tcW w:w="957" w:type="dxa"/>
            <w:tcBorders>
              <w:top w:val="single" w:color="auto" w:sz="2" w:space="0"/>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42" w:type="dxa"/>
            <w:vMerge w:val="continue"/>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3262" w:type="dxa"/>
            <w:tcBorders>
              <w:top w:val="single" w:color="auto" w:sz="2" w:space="0"/>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8.2提倡使用微生物制剂、酶制剂和植物是取液等活性物质,减少污染物排放和恶臭气体的产生。</w:t>
            </w:r>
          </w:p>
        </w:tc>
        <w:tc>
          <w:tcPr>
            <w:tcW w:w="3259" w:type="dxa"/>
            <w:tcBorders>
              <w:top w:val="single" w:color="auto" w:sz="2" w:space="0"/>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在牛舍、粪污处理区（固液分离间）内投放EM菌剂等有益微生物复合制剂，能有效地降解NH</w:t>
            </w:r>
            <w:r>
              <w:rPr>
                <w:rFonts w:hint="default" w:ascii="Times New Roman" w:hAnsi="Times New Roman" w:cs="Times New Roman" w:eastAsiaTheme="minorEastAsia"/>
                <w:color w:val="000000" w:themeColor="text1"/>
                <w:sz w:val="21"/>
                <w:szCs w:val="21"/>
                <w:highlight w:val="none"/>
                <w:vertAlign w:val="subscript"/>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、H</w:t>
            </w:r>
            <w:r>
              <w:rPr>
                <w:rFonts w:hint="default" w:ascii="Times New Roman" w:hAnsi="Times New Roman" w:cs="Times New Roman" w:eastAsiaTheme="minorEastAsia"/>
                <w:color w:val="000000" w:themeColor="text1"/>
                <w:sz w:val="21"/>
                <w:szCs w:val="21"/>
                <w:highlight w:val="none"/>
                <w:vertAlign w:val="subscript"/>
                <w14:textFill>
                  <w14:solidFill>
                    <w14:schemeClr w14:val="tx1"/>
                  </w14:solidFill>
                </w14:textFill>
              </w:rPr>
              <w:t>2</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S等有害气体，EM菌剂中含有多种有效微生物菌群，其中的好气和光合微生物能利用H</w:t>
            </w:r>
            <w:r>
              <w:rPr>
                <w:rFonts w:hint="default" w:ascii="Times New Roman" w:hAnsi="Times New Roman" w:cs="Times New Roman" w:eastAsiaTheme="minorEastAsia"/>
                <w:color w:val="000000" w:themeColor="text1"/>
                <w:sz w:val="21"/>
                <w:szCs w:val="21"/>
                <w:highlight w:val="none"/>
                <w:vertAlign w:val="subscript"/>
                <w14:textFill>
                  <w14:solidFill>
                    <w14:schemeClr w14:val="tx1"/>
                  </w14:solidFill>
                </w14:textFill>
              </w:rPr>
              <w:t>2</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S进行光合作用，放线菌产生的分泌物对病原微生物有抑制作用等；一方面抑制臭气成分的产生，另一方面对上述有害成分直接利用，从而达到净化空气的目的</w:t>
            </w:r>
          </w:p>
        </w:tc>
        <w:tc>
          <w:tcPr>
            <w:tcW w:w="957" w:type="dxa"/>
            <w:tcBorders>
              <w:top w:val="single" w:color="auto" w:sz="2" w:space="0"/>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242" w:type="dxa"/>
            <w:vMerge w:val="continue"/>
            <w:tcBorders>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3262" w:type="dxa"/>
            <w:tcBorders>
              <w:top w:val="single" w:color="auto" w:sz="2" w:space="0"/>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8.3养殖场场区、畜禽舍、器械等消毒应采用环境友好的消毒剂和消毒措施(包括紫外、臭氧、双氧</w:t>
            </w:r>
          </w:p>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水等方法),防止产生氯代有机物及其它的二次污染物。</w:t>
            </w:r>
          </w:p>
        </w:tc>
        <w:tc>
          <w:tcPr>
            <w:tcW w:w="3259" w:type="dxa"/>
            <w:tcBorders>
              <w:top w:val="single" w:color="auto" w:sz="2" w:space="0"/>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采用环境友好的消毒剂来苏尔对厂区进行消毒，防止产生氯代有机物及其它的二次污染物</w:t>
            </w:r>
          </w:p>
        </w:tc>
        <w:tc>
          <w:tcPr>
            <w:tcW w:w="957" w:type="dxa"/>
            <w:tcBorders>
              <w:top w:val="single" w:color="auto" w:sz="2" w:space="0"/>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242" w:type="dxa"/>
            <w:vMerge w:val="restart"/>
            <w:tcBorders>
              <w:top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9病死畜禽尸体的处理与处置</w:t>
            </w:r>
          </w:p>
        </w:tc>
        <w:tc>
          <w:tcPr>
            <w:tcW w:w="3262" w:type="dxa"/>
            <w:tcBorders>
              <w:top w:val="single" w:color="auto" w:sz="2" w:space="0"/>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9.1病死禽畜尸体要及时处理,严禁随意丢弃,严禁出售或作为饲料再利用。</w:t>
            </w:r>
          </w:p>
        </w:tc>
        <w:tc>
          <w:tcPr>
            <w:tcW w:w="3259" w:type="dxa"/>
            <w:vMerge w:val="restart"/>
            <w:tcBorders>
              <w:top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本项目病死牛应当在当地防疫部门监督下委托安达市题桥环保科技有限公司安全处置，防止了人畜共患疫病影响。</w:t>
            </w:r>
          </w:p>
        </w:tc>
        <w:tc>
          <w:tcPr>
            <w:tcW w:w="957" w:type="dxa"/>
            <w:tcBorders>
              <w:top w:val="single" w:color="auto" w:sz="2" w:space="0"/>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42" w:type="dxa"/>
            <w:vMerge w:val="continue"/>
            <w:tcBorders>
              <w:bottom w:val="single" w:color="auto" w:sz="1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3262" w:type="dxa"/>
            <w:tcBorders>
              <w:top w:val="single" w:color="auto" w:sz="2" w:space="0"/>
              <w:bottom w:val="single" w:color="auto" w:sz="1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9.3不具备焚烧条件的养殖场应设置两个以上安全填埋井填埋井应为混凝土结构,深度大于2m,直径1m,井口加盖密封。进行填埋时,在每次入畜禽尸体后,应覆盖一层厚度大于10cm的熟石灰.井填满后,须用粘土填埋压实并封口。</w:t>
            </w:r>
          </w:p>
        </w:tc>
        <w:tc>
          <w:tcPr>
            <w:tcW w:w="3259" w:type="dxa"/>
            <w:vMerge w:val="continue"/>
            <w:tcBorders>
              <w:bottom w:val="single" w:color="auto" w:sz="1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957" w:type="dxa"/>
            <w:tcBorders>
              <w:top w:val="single" w:color="auto" w:sz="2" w:space="0"/>
              <w:bottom w:val="single" w:color="auto" w:sz="1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bl>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本项目与《畜禽养殖业污染防治技术规范》（HJ/T81-2001）相符合。</w:t>
      </w:r>
    </w:p>
    <w:p>
      <w:pPr>
        <w:pStyle w:val="129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1.4.4.3 《畜禽养殖业污染防治技术政策》（环发[2010]151号）</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本项目与《畜禽养殖业污染防治技术政策》（环发[2010]151号）符合性分析见表1-4-6。</w:t>
      </w:r>
    </w:p>
    <w:p>
      <w:pPr>
        <w:pStyle w:val="643"/>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表1-4-6 本项目与《畜禽养殖业污染防治技术政策》（环发[2010]151号）符合性</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3969"/>
        <w:gridCol w:w="2693"/>
        <w:gridCol w:w="9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70" w:type="dxa"/>
            <w:gridSpan w:val="2"/>
            <w:tcBorders>
              <w:top w:val="single" w:color="auto" w:sz="1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《畜禽养殖业污染防治技术政策》（环发[2010]151号）</w:t>
            </w:r>
          </w:p>
        </w:tc>
        <w:tc>
          <w:tcPr>
            <w:tcW w:w="2693" w:type="dxa"/>
            <w:tcBorders>
              <w:top w:val="single" w:color="auto" w:sz="1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本项目</w:t>
            </w:r>
          </w:p>
        </w:tc>
        <w:tc>
          <w:tcPr>
            <w:tcW w:w="957" w:type="dxa"/>
            <w:tcBorders>
              <w:top w:val="single" w:color="auto" w:sz="1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1" w:type="dxa"/>
            <w:tcBorders>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二、清洁养殖与废弃物收集</w:t>
            </w:r>
          </w:p>
        </w:tc>
        <w:tc>
          <w:tcPr>
            <w:tcW w:w="3969"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（二）规模化畜禽养殖场排放的粪污应实行固液分离，粪便应与废水分开处理和处置；应逐步推行干清粪方式，最大限度地减少废水的产生和排放，降低废水的污染负荷。</w:t>
            </w:r>
          </w:p>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五）畜禽粪便、垫料等畜禽养殖废弃物应定期清运，外运畜禽养殖废弃物的贮存、运输器具应采取可靠的密闭、防泄漏等卫生、环保措施；临时储存畜禽养殖废弃物，应设置专用堆场，周边应设置围挡，具有可靠的防渗、防漏、防冲刷、防流失等功能。</w:t>
            </w:r>
          </w:p>
        </w:tc>
        <w:tc>
          <w:tcPr>
            <w:tcW w:w="2693" w:type="dxa"/>
            <w:vMerge w:val="restart"/>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本项目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产生沼气</w:t>
            </w:r>
            <w:r>
              <w:rPr>
                <w:rFonts w:hint="default" w:ascii="Times New Roman" w:hAnsi="Times New Roman" w:cs="Times New Roman" w:eastAsiaTheme="minorEastAsia"/>
              </w:rPr>
              <w:t>通过火炬燃烧的方式消耗掉</w:t>
            </w:r>
            <w:r>
              <w:rPr>
                <w:rFonts w:hint="default" w:ascii="Times New Roman" w:hAnsi="Times New Roman" w:cs="Times New Roman" w:eastAsiaTheme="minorEastAsia"/>
                <w:color w:val="auto"/>
                <w:highlight w:val="none"/>
              </w:rPr>
              <w:t>，沼液定期还田，沼渣外运处置堆肥，实现粪污资源化利用，防止污染环境。</w:t>
            </w:r>
          </w:p>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黑膜沼气池、固液分离间、密闭，黑膜沼气池、固液分离间、沼气储存池采用25cm厚度的防渗混凝土（防渗等级P6），K≤10</w:t>
            </w:r>
            <w:r>
              <w:rPr>
                <w:rFonts w:hint="default" w:ascii="Times New Roman" w:hAnsi="Times New Roman" w:cs="Times New Roman" w:eastAsiaTheme="minorEastAsia"/>
                <w:color w:val="auto"/>
                <w:highlight w:val="none"/>
                <w:vertAlign w:val="superscript"/>
              </w:rPr>
              <w:t>-8</w:t>
            </w:r>
            <w:r>
              <w:rPr>
                <w:rFonts w:hint="default" w:ascii="Times New Roman" w:hAnsi="Times New Roman" w:cs="Times New Roman" w:eastAsiaTheme="minorEastAsia"/>
                <w:color w:val="auto"/>
                <w:highlight w:val="none"/>
              </w:rPr>
              <w:t>cm/s，防渗技术满足等效粘土防渗层Mb≥1.5m、K≤6.0×10</w:t>
            </w:r>
            <w:r>
              <w:rPr>
                <w:rFonts w:hint="default" w:ascii="Times New Roman" w:hAnsi="Times New Roman" w:cs="Times New Roman" w:eastAsiaTheme="minorEastAsia"/>
                <w:color w:val="auto"/>
                <w:highlight w:val="none"/>
                <w:vertAlign w:val="superscript"/>
              </w:rPr>
              <w:t>-7</w:t>
            </w:r>
            <w:r>
              <w:rPr>
                <w:rFonts w:hint="default" w:ascii="Times New Roman" w:hAnsi="Times New Roman" w:cs="Times New Roman" w:eastAsiaTheme="minorEastAsia"/>
                <w:color w:val="auto"/>
                <w:highlight w:val="none"/>
              </w:rPr>
              <w:t>cm/s要求。</w:t>
            </w:r>
          </w:p>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auto"/>
                <w:highlight w:val="none"/>
              </w:rPr>
              <w:t>本项目病死牛在当地防疫部门监督下委托安达市题桥环保科技有限公司安全处置，防止了人畜共患疫病影响。</w:t>
            </w:r>
          </w:p>
        </w:tc>
        <w:tc>
          <w:tcPr>
            <w:tcW w:w="957"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2" w:space="0"/>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三、废弃物无害化处理与综合利用</w:t>
            </w:r>
          </w:p>
        </w:tc>
        <w:tc>
          <w:tcPr>
            <w:tcW w:w="3969"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（一）应根据养殖种类、养殖规模、粪污收集方式、当地的自然地理环境条件以及废水排放去向等因素，确定畜禽养殖废弃物无害化处理与资源化综合利用模式，并择优选用低成本的处理处置技术。</w:t>
            </w:r>
          </w:p>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（二）鼓励发展专业化集中式畜禽养殖废弃物无害化处理模式，实现畜禽养殖废弃物的社会化集中处理与规模化利用。鼓励畜禽养殖废弃物的能源化利用和肥料化利用。</w:t>
            </w:r>
          </w:p>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（三）大型规模化畜禽养殖场和集中式畜禽养殖废弃物处理处置工厂宜采用“堆肥发酵—（发酵后固体物）好氧堆肥工艺”和“高温好氧堆肥工艺”回收沼气能源或生产高肥效、高附加值复合有机肥。</w:t>
            </w:r>
          </w:p>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（七）畜禽尸体应按照有关卫生防疫规定单独进行妥善处置。染疫畜禽及其排泄物、染疫畜禽产品，病死或者死因不明的畜禽尸体等污染物，应就地进行无害化处理。</w:t>
            </w:r>
          </w:p>
        </w:tc>
        <w:tc>
          <w:tcPr>
            <w:tcW w:w="2693" w:type="dxa"/>
            <w:vMerge w:val="continue"/>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p>
        </w:tc>
        <w:tc>
          <w:tcPr>
            <w:tcW w:w="957"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101" w:type="dxa"/>
            <w:tcBorders>
              <w:top w:val="single" w:color="auto" w:sz="2" w:space="0"/>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四、畜禽养殖废水处理</w:t>
            </w:r>
          </w:p>
        </w:tc>
        <w:tc>
          <w:tcPr>
            <w:tcW w:w="3969" w:type="dxa"/>
            <w:tcBorders>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（一）规模化畜禽养殖场（小区）应建立完备的排水设施并保持畅通，其废水收集输送系统不得采取明沟布设；排水系统应实行雨污分流制。</w:t>
            </w:r>
          </w:p>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（二）布局集中的规模化畜禽养殖场（小区）和畜禽散养密集区宜采取废水集中处理模式，布局分散的规模化畜禽养殖场（小区）宜单独进行就地处理。鼓励废水回用于场区园林绿化和周边农田灌溉。</w:t>
            </w:r>
          </w:p>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三）应根据畜禽养殖场的清粪方式、废水水质、排放去向、外排水应达到的环境要求等因素，选择适宜的畜禽养殖废水处理工艺；处理后的水质应符合相应的环境标准，回用于农田灌溉的水质应达到农田灌溉水质标准。</w:t>
            </w:r>
          </w:p>
        </w:tc>
        <w:tc>
          <w:tcPr>
            <w:tcW w:w="2693" w:type="dxa"/>
            <w:vMerge w:val="continue"/>
            <w:tcBorders>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p>
        </w:tc>
        <w:tc>
          <w:tcPr>
            <w:tcW w:w="957" w:type="dxa"/>
            <w:tcBorders>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101" w:type="dxa"/>
            <w:tcBorders>
              <w:top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五、畜禽养殖空气污染防治</w:t>
            </w:r>
          </w:p>
        </w:tc>
        <w:tc>
          <w:tcPr>
            <w:tcW w:w="3969" w:type="dxa"/>
            <w:tcBorders>
              <w:top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（一）规模化畜禽养殖场（小区）应加强恶臭气体净化处理并覆盖所有恶臭发生源，排放的气体应符合国家或地方恶臭污染物排放标准。</w:t>
            </w:r>
          </w:p>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（二）专业化集中式畜禽养殖废弃物无害化处理工厂产生的恶臭气体，宜采用生物吸附和生物过滤等除臭技术进行集中处理。</w:t>
            </w:r>
          </w:p>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（三）大型规模化畜禽养殖场应针对畜禽养殖废弃物处理与利用过程的关键环节，采取场所密闭、喷洒除臭剂等措施，减少恶臭气体扩散，降低恶臭气体对场区空气质量和周边居民生活的影响。</w:t>
            </w:r>
          </w:p>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（四）中小型规模化畜禽养殖场（小区）宜通过科学选址、合理布局、加强圈舍通风、建设绿化隔离带、及时清理畜禽养殖废弃物等手段，减少恶臭气体的污染。</w:t>
            </w:r>
          </w:p>
        </w:tc>
        <w:tc>
          <w:tcPr>
            <w:tcW w:w="2693" w:type="dxa"/>
            <w:tcBorders>
              <w:top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在牛舍、粪污处理区（固液分离间）投放EM菌剂等有益微生物复合制剂，能有效地降解NH</w:t>
            </w:r>
            <w:r>
              <w:rPr>
                <w:rFonts w:hint="default" w:ascii="Times New Roman" w:hAnsi="Times New Roman" w:cs="Times New Roman" w:eastAsiaTheme="minorEastAsia"/>
                <w:color w:val="auto"/>
                <w:highlight w:val="none"/>
                <w:vertAlign w:val="subscript"/>
              </w:rPr>
              <w:t>3</w:t>
            </w:r>
            <w:r>
              <w:rPr>
                <w:rFonts w:hint="default" w:ascii="Times New Roman" w:hAnsi="Times New Roman" w:cs="Times New Roman" w:eastAsiaTheme="minorEastAsia"/>
                <w:color w:val="auto"/>
                <w:highlight w:val="none"/>
              </w:rPr>
              <w:t>、H</w:t>
            </w:r>
            <w:r>
              <w:rPr>
                <w:rFonts w:hint="default" w:ascii="Times New Roman" w:hAnsi="Times New Roman" w:cs="Times New Roman" w:eastAsiaTheme="minorEastAsia"/>
                <w:color w:val="auto"/>
                <w:highlight w:val="none"/>
                <w:vertAlign w:val="subscript"/>
              </w:rPr>
              <w:t>2</w:t>
            </w:r>
            <w:r>
              <w:rPr>
                <w:rFonts w:hint="default" w:ascii="Times New Roman" w:hAnsi="Times New Roman" w:cs="Times New Roman" w:eastAsiaTheme="minorEastAsia"/>
                <w:color w:val="auto"/>
                <w:highlight w:val="none"/>
              </w:rPr>
              <w:t>S等有害气体，EM菌剂中含有多种有效微生物菌群，其中的好气和光合微生物能利用H</w:t>
            </w:r>
            <w:r>
              <w:rPr>
                <w:rFonts w:hint="default" w:ascii="Times New Roman" w:hAnsi="Times New Roman" w:cs="Times New Roman" w:eastAsiaTheme="minorEastAsia"/>
                <w:color w:val="auto"/>
                <w:highlight w:val="none"/>
                <w:vertAlign w:val="subscript"/>
              </w:rPr>
              <w:t>2</w:t>
            </w:r>
            <w:r>
              <w:rPr>
                <w:rFonts w:hint="default" w:ascii="Times New Roman" w:hAnsi="Times New Roman" w:cs="Times New Roman" w:eastAsiaTheme="minorEastAsia"/>
                <w:color w:val="auto"/>
                <w:highlight w:val="none"/>
              </w:rPr>
              <w:t>S进行光合作用，放线菌产生的分泌物对病原微生物有抑制作用等；一方面抑制臭气成分的产生，另一方面对上述有害成分直接利用，从而达到净化空气的目的。</w:t>
            </w:r>
          </w:p>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厂区种植高大树木减少恶臭无组织逸散，臭气浓度满足《畜禽养殖业污染物排放标准》（GB18596-2001）中表7标准</w:t>
            </w:r>
          </w:p>
        </w:tc>
        <w:tc>
          <w:tcPr>
            <w:tcW w:w="957" w:type="dxa"/>
            <w:tcBorders>
              <w:top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符合</w:t>
            </w:r>
          </w:p>
        </w:tc>
      </w:tr>
    </w:tbl>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auto"/>
          <w:sz w:val="24"/>
          <w:szCs w:val="24"/>
          <w:highlight w:val="none"/>
        </w:rPr>
        <w:t>本项目与《畜禽养殖业污染防治技术政策》（环发[2010]151号）相符合。</w:t>
      </w:r>
    </w:p>
    <w:p>
      <w:pPr>
        <w:pStyle w:val="129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1.4.4.4 《畜禽养殖禁养区划定技术指南》（环办水体[2016]99号）</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本项目与《畜禽养殖禁养区划定技术指南》（环办水体[2016]99号）符合性分析见表1-4-7。</w:t>
      </w:r>
    </w:p>
    <w:p>
      <w:pPr>
        <w:pStyle w:val="643"/>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 xml:space="preserve">表1-4-7 </w:t>
      </w:r>
      <w:r>
        <w:rPr>
          <w:rFonts w:hint="default" w:ascii="Times New Roman" w:hAnsi="Times New Roman" w:cs="Times New Roman" w:eastAsiaTheme="minorEastAsia"/>
          <w:color w:val="000000" w:themeColor="text1"/>
          <w:spacing w:val="-10"/>
          <w:sz w:val="24"/>
          <w:szCs w:val="24"/>
          <w14:textFill>
            <w14:solidFill>
              <w14:schemeClr w14:val="tx1"/>
            </w14:solidFill>
          </w14:textFill>
        </w:rPr>
        <w:t>本项目与《畜禽养殖禁养区划定技术指南》（环办水体[2016]99号）符合性</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4"/>
        <w:gridCol w:w="5103"/>
        <w:gridCol w:w="2126"/>
        <w:gridCol w:w="9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37" w:type="dxa"/>
            <w:gridSpan w:val="2"/>
            <w:tcBorders>
              <w:top w:val="single" w:color="auto" w:sz="1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《畜禽养殖禁养区划定技术指南》（环办水体[2016]99号）</w:t>
            </w:r>
          </w:p>
        </w:tc>
        <w:tc>
          <w:tcPr>
            <w:tcW w:w="2126" w:type="dxa"/>
            <w:tcBorders>
              <w:top w:val="single" w:color="auto" w:sz="1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本项目</w:t>
            </w:r>
          </w:p>
        </w:tc>
        <w:tc>
          <w:tcPr>
            <w:tcW w:w="957" w:type="dxa"/>
            <w:tcBorders>
              <w:top w:val="single" w:color="auto" w:sz="1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534" w:type="dxa"/>
            <w:tcBorders>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c>
          <w:tcPr>
            <w:tcW w:w="5103" w:type="dxa"/>
            <w:tcBorders>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饮水水源保护一级保护区内禁止建设养殖场。饮用水水源二级保护区禁止建设有污染物排放的养殖场。</w:t>
            </w:r>
          </w:p>
        </w:tc>
        <w:tc>
          <w:tcPr>
            <w:tcW w:w="2126" w:type="dxa"/>
            <w:vMerge w:val="restart"/>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本项目选址不在饮水水源保护一级保护区、饮用水水源二级保护区、自然保护区核心区和缓冲区、风景名胜区的核心景区、其他禁止建设有污染物排放的养殖场的区域</w:t>
            </w:r>
          </w:p>
        </w:tc>
        <w:tc>
          <w:tcPr>
            <w:tcW w:w="957" w:type="dxa"/>
            <w:tcBorders>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534" w:type="dxa"/>
            <w:tcBorders>
              <w:top w:val="single" w:color="auto" w:sz="2" w:space="0"/>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c>
          <w:tcPr>
            <w:tcW w:w="5103" w:type="dxa"/>
            <w:tcBorders>
              <w:top w:val="single" w:color="auto" w:sz="2" w:space="0"/>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自然保护区核心区和缓冲区范围内，禁止建设养殖场。</w:t>
            </w:r>
          </w:p>
        </w:tc>
        <w:tc>
          <w:tcPr>
            <w:tcW w:w="2126" w:type="dxa"/>
            <w:vMerge w:val="continue"/>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p>
        </w:tc>
        <w:tc>
          <w:tcPr>
            <w:tcW w:w="957" w:type="dxa"/>
            <w:tcBorders>
              <w:top w:val="single" w:color="auto" w:sz="2" w:space="0"/>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534" w:type="dxa"/>
            <w:tcBorders>
              <w:top w:val="single" w:color="auto" w:sz="2" w:space="0"/>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w:t>
            </w:r>
          </w:p>
        </w:tc>
        <w:tc>
          <w:tcPr>
            <w:tcW w:w="5103" w:type="dxa"/>
            <w:tcBorders>
              <w:top w:val="single" w:color="auto" w:sz="2" w:space="0"/>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风景名胜区的核心景区禁止建设养殖场；其他区域禁止建设有污染物排放的养殖场。</w:t>
            </w:r>
          </w:p>
        </w:tc>
        <w:tc>
          <w:tcPr>
            <w:tcW w:w="2126" w:type="dxa"/>
            <w:vMerge w:val="continue"/>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p>
        </w:tc>
        <w:tc>
          <w:tcPr>
            <w:tcW w:w="957" w:type="dxa"/>
            <w:tcBorders>
              <w:top w:val="single" w:color="auto" w:sz="2" w:space="0"/>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4" w:hRule="atLeast"/>
        </w:trPr>
        <w:tc>
          <w:tcPr>
            <w:tcW w:w="534" w:type="dxa"/>
            <w:tcBorders>
              <w:top w:val="single" w:color="auto" w:sz="2" w:space="0"/>
              <w:bottom w:val="single" w:color="auto" w:sz="1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w:t>
            </w:r>
          </w:p>
        </w:tc>
        <w:tc>
          <w:tcPr>
            <w:tcW w:w="5103" w:type="dxa"/>
            <w:tcBorders>
              <w:top w:val="single" w:color="auto" w:sz="2" w:space="0"/>
              <w:bottom w:val="single" w:color="auto" w:sz="1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根据城镇现行总体规划，动物防疫条件、卫生防护和环境保护要求等，因地制宜，兼顾城镇发展，科学设置边界范围。边界范围内，禁止建设养殖场。</w:t>
            </w:r>
          </w:p>
        </w:tc>
        <w:tc>
          <w:tcPr>
            <w:tcW w:w="2126" w:type="dxa"/>
            <w:vMerge w:val="continue"/>
            <w:tcBorders>
              <w:bottom w:val="single" w:color="auto" w:sz="1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p>
        </w:tc>
        <w:tc>
          <w:tcPr>
            <w:tcW w:w="957" w:type="dxa"/>
            <w:tcBorders>
              <w:top w:val="single" w:color="auto" w:sz="2" w:space="0"/>
              <w:bottom w:val="single" w:color="auto" w:sz="1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bl>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本项目与《畜禽养殖禁养区划定技术指南》（环办水体[2016]99号）相符合。</w:t>
      </w:r>
    </w:p>
    <w:p>
      <w:pPr>
        <w:pStyle w:val="129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1.4.4.5 《畜禽粪便无害化处理技术规范》（GB/T36195-2018）</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本项目与《畜禽粪便无害化处理技术规范》（GB/T36195-2018）符合性分析见表1-4-8。</w:t>
      </w:r>
    </w:p>
    <w:p>
      <w:pPr>
        <w:pStyle w:val="643"/>
        <w:rPr>
          <w:rFonts w:hint="default" w:ascii="Times New Roman" w:hAnsi="Times New Roman" w:cs="Times New Roman" w:eastAsiaTheme="minorEastAsia"/>
          <w:color w:val="000000" w:themeColor="text1"/>
          <w14:textFill>
            <w14:solidFill>
              <w14:schemeClr w14:val="tx1"/>
            </w14:solidFill>
          </w14:textFill>
        </w:rPr>
      </w:pP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表1-4-8 本项目与《畜禽粪便无害化处理技术规范》（GB/T36195-2018）符合性</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253"/>
        <w:gridCol w:w="2693"/>
        <w:gridCol w:w="9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70" w:type="dxa"/>
            <w:gridSpan w:val="2"/>
            <w:tcBorders>
              <w:top w:val="single" w:color="auto" w:sz="1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《畜禽粪便无害化处理技术规范》（GB/T36195-2018）</w:t>
            </w:r>
          </w:p>
        </w:tc>
        <w:tc>
          <w:tcPr>
            <w:tcW w:w="2693" w:type="dxa"/>
            <w:tcBorders>
              <w:top w:val="single" w:color="auto" w:sz="1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本项目</w:t>
            </w:r>
          </w:p>
        </w:tc>
        <w:tc>
          <w:tcPr>
            <w:tcW w:w="957" w:type="dxa"/>
            <w:tcBorders>
              <w:top w:val="single" w:color="auto" w:sz="1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17" w:type="dxa"/>
            <w:tcBorders>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4基本要求</w:t>
            </w:r>
          </w:p>
        </w:tc>
        <w:tc>
          <w:tcPr>
            <w:tcW w:w="4253" w:type="dxa"/>
            <w:tcBorders>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4.1新建、扩建和改建畜禽养殖场和养殖小区应设置粪污处理区，建设畜禽粪便处理设施；畜禽粪便处理应坚持减量化、资源化和无害化的原则。畜禽粪便处理过程应满足安全和卫生要求，避免二次污染发生。</w:t>
            </w:r>
          </w:p>
        </w:tc>
        <w:tc>
          <w:tcPr>
            <w:tcW w:w="2693" w:type="dxa"/>
            <w:tcBorders>
              <w:bottom w:val="single" w:color="auto" w:sz="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对产生的牛粪污采用干清粪方式进行清粪，牛尿、牛舍冲洗废水、牛舍喷淋水经牛舍粪沟统一收集，与挤奶厅清洗废水一同运至固液分离间进行固液分离，牛粪及分离后干物质外运处置堆肥。</w:t>
            </w:r>
          </w:p>
        </w:tc>
        <w:tc>
          <w:tcPr>
            <w:tcW w:w="957" w:type="dxa"/>
            <w:tcBorders>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3" w:hRule="atLeast"/>
        </w:trPr>
        <w:tc>
          <w:tcPr>
            <w:tcW w:w="817" w:type="dxa"/>
            <w:tcBorders>
              <w:top w:val="single" w:color="auto" w:sz="2" w:space="0"/>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 粪便处理场选址及布局</w:t>
            </w:r>
          </w:p>
        </w:tc>
        <w:tc>
          <w:tcPr>
            <w:tcW w:w="4253" w:type="dxa"/>
            <w:tcBorders>
              <w:top w:val="single" w:color="auto" w:sz="2" w:space="0"/>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5.1不应在下列区域内建设畜禽粪便处理场：</w:t>
            </w:r>
          </w:p>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a）生活饮用水水源保护区、风景名胜区、自然保护区的核心区及缓冲区；b）城市和城镇居民区，包括文教科研、医疗、商业和工业等人口集中地区；c）县级及县级以上人民政府依法划定的禁养区域；d）国家或地方法律、法规规定需特殊保护的其他区域。</w:t>
            </w:r>
          </w:p>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5.4畜禽粪便处理场地应距离功能地表水体400m以上。</w:t>
            </w:r>
          </w:p>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5.5畜禽粪便处理场区应采取地面硬化、防渗漏、防径流和雨污分流等措施。</w:t>
            </w:r>
          </w:p>
        </w:tc>
        <w:tc>
          <w:tcPr>
            <w:tcW w:w="2693" w:type="dxa"/>
            <w:tcBorders>
              <w:top w:val="single" w:color="auto" w:sz="2" w:space="0"/>
              <w:bottom w:val="single" w:color="auto" w:sz="2" w:space="0"/>
            </w:tcBorders>
            <w:vAlign w:val="center"/>
          </w:tcPr>
          <w:p>
            <w:pPr>
              <w:pStyle w:val="666"/>
              <w:widowControl w:val="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本项目选址不在生活饮用水水源保护区、风景名胜区、自然保护区的核心区及缓冲区、城市和城镇居民区、包括文教科研、医疗、商业和工业等人口集中地区、县级及县级以上人民政府依法划定的禁养区域、国家或地方法律、法规规定需特殊保护的其他区域。距离本项目最近地表水体为东湖水库，位于本项目北侧8km，大于400m，黑膜沼气池、固液分离间密闭，黑膜沼气池、固液分离间、沼液储存池采用25cm厚度的防渗混凝土（防渗等级P6），K≤10</w:t>
            </w:r>
            <w:r>
              <w:rPr>
                <w:rFonts w:hint="default" w:ascii="Times New Roman" w:hAnsi="Times New Roman" w:cs="Times New Roman" w:eastAsiaTheme="minorEastAsia"/>
                <w:color w:val="auto"/>
                <w:highlight w:val="none"/>
                <w:vertAlign w:val="superscript"/>
              </w:rPr>
              <w:t>-8</w:t>
            </w:r>
            <w:r>
              <w:rPr>
                <w:rFonts w:hint="default" w:ascii="Times New Roman" w:hAnsi="Times New Roman" w:cs="Times New Roman" w:eastAsiaTheme="minorEastAsia"/>
                <w:color w:val="auto"/>
                <w:highlight w:val="none"/>
              </w:rPr>
              <w:t>cm/s，防渗技术满足等效粘土防渗层Mb≥1.5m、K≤6.0×10</w:t>
            </w:r>
            <w:r>
              <w:rPr>
                <w:rFonts w:hint="default" w:ascii="Times New Roman" w:hAnsi="Times New Roman" w:cs="Times New Roman" w:eastAsiaTheme="minorEastAsia"/>
                <w:color w:val="auto"/>
                <w:highlight w:val="none"/>
                <w:vertAlign w:val="superscript"/>
              </w:rPr>
              <w:t>-7</w:t>
            </w:r>
            <w:r>
              <w:rPr>
                <w:rFonts w:hint="default" w:ascii="Times New Roman" w:hAnsi="Times New Roman" w:cs="Times New Roman" w:eastAsiaTheme="minorEastAsia"/>
                <w:color w:val="auto"/>
                <w:highlight w:val="none"/>
              </w:rPr>
              <w:t>cm/s要求。</w:t>
            </w:r>
          </w:p>
        </w:tc>
        <w:tc>
          <w:tcPr>
            <w:tcW w:w="957" w:type="dxa"/>
            <w:tcBorders>
              <w:top w:val="single" w:color="auto" w:sz="2" w:space="0"/>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817" w:type="dxa"/>
            <w:tcBorders>
              <w:top w:val="single" w:color="auto" w:sz="2" w:space="0"/>
              <w:bottom w:val="single" w:color="auto" w:sz="1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6粪便收集、贮存和运输</w:t>
            </w:r>
          </w:p>
        </w:tc>
        <w:tc>
          <w:tcPr>
            <w:tcW w:w="4253" w:type="dxa"/>
            <w:tcBorders>
              <w:top w:val="single" w:color="auto" w:sz="2" w:space="0"/>
              <w:bottom w:val="single" w:color="auto" w:sz="1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6.1畜禽生产过程宜采用干清粪工艺，实施雨污分流，减少污染物排放量。</w:t>
            </w:r>
          </w:p>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6.2畜禽粪便贮存设施应符合GB/T27622的规定。</w:t>
            </w:r>
          </w:p>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6.3畜禽养殖污水贮存设施应符合GB/T26624的规定。</w:t>
            </w:r>
          </w:p>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6.4畜禽粪便收集、运输过程中，应采取防遗洒、防渗漏等措施。</w:t>
            </w:r>
          </w:p>
        </w:tc>
        <w:tc>
          <w:tcPr>
            <w:tcW w:w="2693" w:type="dxa"/>
            <w:tcBorders>
              <w:top w:val="single" w:color="auto" w:sz="2" w:space="0"/>
              <w:bottom w:val="single" w:color="auto" w:sz="12" w:space="0"/>
            </w:tcBorders>
            <w:vAlign w:val="center"/>
          </w:tcPr>
          <w:p>
            <w:pPr>
              <w:pStyle w:val="666"/>
              <w:widowControl w:val="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牛粪污采用干清粪方式进行清粪，牛尿、牛舍冲洗废水、牛舍喷淋水经牛舍粪沟统一收集，与挤奶厅清洗废水一同运至固液分离间进行固液分离，牛粪及分离后干物质外运处置堆肥。</w:t>
            </w:r>
          </w:p>
          <w:p>
            <w:pPr>
              <w:pStyle w:val="666"/>
              <w:widowControl w:val="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黑膜沼气池容积5400m</w:t>
            </w:r>
            <w:r>
              <w:rPr>
                <w:rFonts w:hint="default" w:ascii="Times New Roman" w:hAnsi="Times New Roman" w:cs="Times New Roman" w:eastAsiaTheme="minorEastAsia"/>
                <w:color w:val="auto"/>
                <w:highlight w:val="none"/>
                <w:vertAlign w:val="superscript"/>
              </w:rPr>
              <w:t>3</w:t>
            </w:r>
            <w:r>
              <w:rPr>
                <w:rFonts w:hint="default" w:ascii="Times New Roman" w:hAnsi="Times New Roman" w:cs="Times New Roman" w:eastAsiaTheme="minorEastAsia"/>
                <w:color w:val="auto"/>
                <w:highlight w:val="none"/>
              </w:rPr>
              <w:t>，满足GB/T26624的规定，雨污分流，固液分离间满足《畜禽粪便贮存设施设计要求》（GB∕T 27622-2011），畜禽粪便收集、运输过程中，采取防遗洒、防渗漏措施</w:t>
            </w:r>
          </w:p>
        </w:tc>
        <w:tc>
          <w:tcPr>
            <w:tcW w:w="957" w:type="dxa"/>
            <w:tcBorders>
              <w:top w:val="single" w:color="auto" w:sz="2" w:space="0"/>
              <w:bottom w:val="single" w:color="auto" w:sz="1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bl>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本项目与《畜禽粪便无害化处理技术规范》（GB/T36195-2018）相符合。</w:t>
      </w:r>
    </w:p>
    <w:p>
      <w:pPr>
        <w:pStyle w:val="129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1.4.4.6 《黑龙江省畜禽禁养区划定技术指南》（黑环函[2016]67号）</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本项目与《黑龙江省畜禽禁养区划定技术指南》（黑环函[2016]67号）符合性分析见表1-4-9。</w:t>
      </w:r>
    </w:p>
    <w:p>
      <w:pPr>
        <w:pStyle w:val="643"/>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 xml:space="preserve">表1-4-9 </w:t>
      </w:r>
      <w:r>
        <w:rPr>
          <w:rFonts w:hint="default" w:ascii="Times New Roman" w:hAnsi="Times New Roman" w:cs="Times New Roman" w:eastAsiaTheme="minorEastAsia"/>
          <w:color w:val="000000" w:themeColor="text1"/>
          <w:spacing w:val="-10"/>
          <w:sz w:val="24"/>
          <w:szCs w:val="24"/>
          <w14:textFill>
            <w14:solidFill>
              <w14:schemeClr w14:val="tx1"/>
            </w14:solidFill>
          </w14:textFill>
        </w:rPr>
        <w:t>本项目与《黑龙江省畜禽禁养区划定技术指南》（黑环函[2016]67号）符合性</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4819"/>
        <w:gridCol w:w="1701"/>
        <w:gridCol w:w="10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20" w:type="dxa"/>
            <w:gridSpan w:val="2"/>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《黑龙江省畜禽禁养区划定技术指南》（黑环函[2016]67号）</w:t>
            </w:r>
          </w:p>
        </w:tc>
        <w:tc>
          <w:tcPr>
            <w:tcW w:w="1701"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本项目</w:t>
            </w:r>
          </w:p>
        </w:tc>
        <w:tc>
          <w:tcPr>
            <w:tcW w:w="1099"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1101"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以下区域应依法划定为禁养区：</w:t>
            </w:r>
          </w:p>
        </w:tc>
        <w:tc>
          <w:tcPr>
            <w:tcW w:w="4819"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5.2.1饮用水水源保护区，包括饮用水源一级保护区和二级保护区的陆域范围。已经完成饮用水水源保护区划分的，按照现有陆域边界范围执行，未完成饮用水水源保护区划分的，按照《饮用水水源保护区划分技术规范》中各类饮用水水源保护区划分方法执行。</w:t>
            </w:r>
          </w:p>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5.2.2风景名胜区，包括国家级和省级风景名胜区。风景名胜区以国务院及各省级人民政府批准公布的名单为准，范围按照其规划确定的范围执行。5.2.3自然保护区，包括国家级和地方级自然保护区的核心区和缓冲区，按照国务院及县级以上地方人民政府公布的自然保护区范围执行。</w:t>
            </w:r>
          </w:p>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5.2.4城镇居民区和文化教育科学研究区，根据城镇现行总体规划，动物防疫条件、卫生防护和大气环境保护距离等要求，因地制宜，兼顾城镇发展，科学设置边界范围。</w:t>
            </w:r>
          </w:p>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5.2.5其他法律、法规、行政规章规定禁止畜禽养殖的区域以及确需纳入禁养区范围进行特殊保护的区域，各地根据城乡发展规划和区域污染物总量控制要求和政策规定，科学、可行的划定边界范围</w:t>
            </w:r>
          </w:p>
        </w:tc>
        <w:tc>
          <w:tcPr>
            <w:tcW w:w="1701"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本项目选址不在饮用水水源保护区、风景名胜区、自然保护区、城镇居民区和文化教育科学研究区、其他法律、法规、行政规章规定禁止畜禽养殖的区域以及确需纳入禁养区范围进行特殊保护的区域内</w:t>
            </w:r>
          </w:p>
        </w:tc>
        <w:tc>
          <w:tcPr>
            <w:tcW w:w="1099"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bl>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本项目与《黑龙江省畜禽禁养区划定技术指南》（黑环函[2016]67号）相符合。</w:t>
      </w:r>
    </w:p>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1.4.5 环境管理政策符合性分析</w:t>
      </w:r>
    </w:p>
    <w:p>
      <w:pPr>
        <w:pStyle w:val="129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1.4.5.1 《国务院办公厅关于加快推进畜禽养殖废弃物资源化利用的意见》（国办发[2017]48号）</w:t>
      </w:r>
    </w:p>
    <w:p>
      <w:pPr>
        <w:pStyle w:val="643"/>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表1-4-10 本项目与《国务院办公厅关于加快推进畜禽养殖废弃物资源化利用的意见》（国办发[2017]48号）符合性分析</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4110"/>
        <w:gridCol w:w="2694"/>
        <w:gridCol w:w="8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11" w:type="dxa"/>
            <w:gridSpan w:val="2"/>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《国务院办公厅关于加快推进畜禽养殖 废弃物资源化利用的意见》（国办发[2017]48号）</w:t>
            </w:r>
          </w:p>
        </w:tc>
        <w:tc>
          <w:tcPr>
            <w:tcW w:w="2694"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本项目</w:t>
            </w:r>
          </w:p>
        </w:tc>
        <w:tc>
          <w:tcPr>
            <w:tcW w:w="815"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01" w:type="dxa"/>
            <w:tcBorders>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（四）严格落实畜禽规模养殖环评制度。</w:t>
            </w:r>
          </w:p>
        </w:tc>
        <w:tc>
          <w:tcPr>
            <w:tcW w:w="4110" w:type="dxa"/>
            <w:tcBorders>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规范环评内容和要求。对畜禽规模养殖相关规划依法依规开展环境影响评价，调整优化畜牧业生产布局，协调畜禽规模养殖和环境保护的关系。新建或改扩建畜禽规模养殖场，应突出养分综合利用，配套与养殖规模和处理工艺相适应的粪污消纳用地，配备必要的粪污收集、贮存、处理、利用设施，依法进行环境影响评价。加强畜禽规模养殖场建设项目环评分类管理和相关技术标准研究，合理确定编制环境影响报告书和登记表的畜禽规模养殖场规模标准。对未依法进行环境影响评价的畜禽规模养殖场，环保部门予以处罚。</w:t>
            </w:r>
          </w:p>
        </w:tc>
        <w:tc>
          <w:tcPr>
            <w:tcW w:w="2694" w:type="dxa"/>
            <w:tcBorders>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本项目建设奶牛养殖基地，对项目依法进行环境影响评价，根据《建设项目环境影响评价分类管理名录（2021年版）》（生态环境部令 第16号）规定，本项目属于“3、牲畜饲养”中“年存栏生猪2500头（其他畜禽种类折合猪的养殖规模）及以上无出栏量的规模化畜禽养殖”，编制环境影响报告书</w:t>
            </w:r>
          </w:p>
        </w:tc>
        <w:tc>
          <w:tcPr>
            <w:tcW w:w="815" w:type="dxa"/>
            <w:tcBorders>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101" w:type="dxa"/>
            <w:tcBorders>
              <w:top w:val="single" w:color="auto" w:sz="2" w:space="0"/>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（十二）加快畜牧业转型升级。</w:t>
            </w:r>
          </w:p>
        </w:tc>
        <w:tc>
          <w:tcPr>
            <w:tcW w:w="4110" w:type="dxa"/>
            <w:tcBorders>
              <w:top w:val="single" w:color="auto" w:sz="2" w:space="0"/>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大力发展标准化规模养殖，建设自动喂料、自动饮水、环境控制等现代化装备，推广节水、节料等清洁养殖工艺和干清粪、微生物发酵等实用技术，实现源头减量。加强规模养殖场精细化管理，推行标准化、规范化饲养，推广散装饲料和精准配方，提高饲料转化效率。加快畜禽品种遗传改良进程，提升母畜繁殖性能，提高综合生产能力。落实畜禽疫病综合防控措施，降低发病率和死亡率。以畜牧大县为重点，支持规模养殖场圈舍标准化改造和设备更新，配套建设粪污资源化利用设施。以生态养殖场为重点，继续开展畜禽养殖标准化示范创建。</w:t>
            </w:r>
          </w:p>
        </w:tc>
        <w:tc>
          <w:tcPr>
            <w:tcW w:w="2694" w:type="dxa"/>
            <w:vMerge w:val="restart"/>
            <w:tcBorders>
              <w:top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auto"/>
                <w:highlight w:val="none"/>
              </w:rPr>
              <w:t>本项目牛尿、牛舍冲洗废本项目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产生沼气</w:t>
            </w:r>
            <w:r>
              <w:rPr>
                <w:rFonts w:hint="default" w:ascii="Times New Roman" w:hAnsi="Times New Roman" w:cs="Times New Roman" w:eastAsiaTheme="minorEastAsia"/>
              </w:rPr>
              <w:t>通过火炬燃烧的方式消耗掉</w:t>
            </w:r>
            <w:r>
              <w:rPr>
                <w:rFonts w:hint="default" w:ascii="Times New Roman" w:hAnsi="Times New Roman" w:cs="Times New Roman" w:eastAsiaTheme="minorEastAsia"/>
                <w:color w:val="auto"/>
                <w:highlight w:val="none"/>
              </w:rPr>
              <w:t>，沼液定期还田，沼渣外运处置堆肥，实现粪污资源化利用，防止污染环境。合理配合日粮和使用添加剂以减少有害气体的排放量。降低粪尿中有害气体的产生量。</w:t>
            </w:r>
          </w:p>
        </w:tc>
        <w:tc>
          <w:tcPr>
            <w:tcW w:w="815" w:type="dxa"/>
            <w:tcBorders>
              <w:top w:val="single" w:color="auto" w:sz="2" w:space="0"/>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101" w:type="dxa"/>
            <w:tcBorders>
              <w:top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（十三）加强科技及装备支撑。</w:t>
            </w:r>
          </w:p>
        </w:tc>
        <w:tc>
          <w:tcPr>
            <w:tcW w:w="4110" w:type="dxa"/>
            <w:tcBorders>
              <w:top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组织开展畜禽粪污资源化利用先进工艺、技术和装备研发，制修订相关标准，提高资源转化利用效率。开发安全、高效、环保新型饲料产品，引导矿物元素类饲料添加剂减量使用。加强畜禽粪污资源化利用技术集成，根据不同资源条件、不同畜种、不同规模，推广粪污全量收集还田利用、专业化能源利用、固体粪便肥料化利用、异位发酵床、粪便垫料回用、污水肥料化利用、污水达标排放等经济实用技术模式。集成推广应用有机肥、水肥一体化等关键技术。以畜牧大县为重点，加大技术培训力度，加强示范引领，提升养殖场粪污资源化利用水平。</w:t>
            </w:r>
          </w:p>
        </w:tc>
        <w:tc>
          <w:tcPr>
            <w:tcW w:w="2694" w:type="dxa"/>
            <w:vMerge w:val="continue"/>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p>
        </w:tc>
        <w:tc>
          <w:tcPr>
            <w:tcW w:w="815" w:type="dxa"/>
            <w:tcBorders>
              <w:top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bl>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本项目与《国务院办公厅关于加快推进畜禽养殖废弃物资源化利用的意见》（国办发[2017]48号）相符合。</w:t>
      </w:r>
    </w:p>
    <w:p>
      <w:pPr>
        <w:pStyle w:val="129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1.4.5.2 《关于做好畜禽规模养殖项目环境影响评价管理工作的通知》（环办环评[2018]31号）</w:t>
      </w:r>
    </w:p>
    <w:p>
      <w:pPr>
        <w:pStyle w:val="643"/>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表1-4-11 本项目与《关于做好畜禽规模养殖项目环境影响评价管理工作的通知》（环办环评[2018]31号）符合性分析</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3686"/>
        <w:gridCol w:w="2835"/>
        <w:gridCol w:w="9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28" w:type="dxa"/>
            <w:gridSpan w:val="2"/>
            <w:tcBorders>
              <w:top w:val="single" w:color="auto" w:sz="1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《关于做好畜禽规模养殖项目环境影响评价管理工作的通知》（环办环评[2018]31号）</w:t>
            </w:r>
          </w:p>
        </w:tc>
        <w:tc>
          <w:tcPr>
            <w:tcW w:w="2835" w:type="dxa"/>
            <w:tcBorders>
              <w:top w:val="single" w:color="auto" w:sz="1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本项目</w:t>
            </w:r>
          </w:p>
        </w:tc>
        <w:tc>
          <w:tcPr>
            <w:tcW w:w="957" w:type="dxa"/>
            <w:tcBorders>
              <w:top w:val="single" w:color="auto" w:sz="1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242" w:type="dxa"/>
            <w:vMerge w:val="restart"/>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一、优化项目选址，合理布置养殖场区</w:t>
            </w:r>
          </w:p>
        </w:tc>
        <w:tc>
          <w:tcPr>
            <w:tcW w:w="3686" w:type="dxa"/>
            <w:tcBorders>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项目环评应充分论证选址的环境合理性，选址应避开当地划定的禁止养殖区域，并与区域主体功能区规划、环境功能区划、土地利用规划、城乡规划、畜牧业发展规划、畜禽养殖污染防治规划等规划相协调。当地未划定禁止养殖区域的，应避开饮用水水源保护区、风景名胜区、自然保护区的核心区和缓冲区、村镇人口集中区域，以及法律、法规规定的禁止养殖区域。</w:t>
            </w:r>
          </w:p>
        </w:tc>
        <w:tc>
          <w:tcPr>
            <w:tcW w:w="2835" w:type="dxa"/>
            <w:tcBorders>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本项目选址不在当地划定的禁止养殖区域，并与区域主体功能区规划、环境功能区划、土地利用规划、城乡规划、畜牧业发展规划、畜禽养殖污染防治规划等规划相协调。</w:t>
            </w:r>
          </w:p>
        </w:tc>
        <w:tc>
          <w:tcPr>
            <w:tcW w:w="957" w:type="dxa"/>
            <w:tcBorders>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3" w:hRule="atLeast"/>
        </w:trPr>
        <w:tc>
          <w:tcPr>
            <w:tcW w:w="1242" w:type="dxa"/>
            <w:vMerge w:val="continue"/>
            <w:tcBorders>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p>
        </w:tc>
        <w:tc>
          <w:tcPr>
            <w:tcW w:w="3686" w:type="dxa"/>
            <w:tcBorders>
              <w:top w:val="single" w:color="auto" w:sz="2" w:space="0"/>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项目环评应结合环境保护要求优化养殖场区内部布置。畜禽养殖区及畜禽粪污贮存、处理和畜禽尸体无害化处理等产生恶臭影响的设施，应位于养殖场区主导风向的下风向位置，并尽量远离周边环境保护目标。参照《畜禽养殖业污染防治技术规范》，并根据恶臭污染物无组织排放源强，以及当地的环境及气象等因素，按照《环境影响评价技术导则 大气环境》要求计算大气环境防护距离，作为养殖场选址以及周边规划控制的依据，减轻对周围环境保护目标的不利影响。</w:t>
            </w:r>
          </w:p>
        </w:tc>
        <w:tc>
          <w:tcPr>
            <w:tcW w:w="2835" w:type="dxa"/>
            <w:tcBorders>
              <w:top w:val="single" w:color="auto" w:sz="2" w:space="0"/>
              <w:bottom w:val="single" w:color="auto" w:sz="2" w:space="0"/>
            </w:tcBorders>
            <w:vAlign w:val="center"/>
          </w:tcPr>
          <w:p>
            <w:pPr>
              <w:pStyle w:val="666"/>
              <w:widowControl w:val="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固液分离间、黑膜沼气池位于生产及生活管理区的常年主导风向的侧下风向，距离最近环境保护目标先源乡500m，远离周边环境保护目标。根据《环境影响评价技术导则 大气环境》（HJ2.2-2018），通过AERSCREEN模型估算结果，项目各污染物最大落地浓度占标率均低于10%，不进行进一步预测与评价，项目不设置大气环境防护距离</w:t>
            </w:r>
          </w:p>
        </w:tc>
        <w:tc>
          <w:tcPr>
            <w:tcW w:w="957" w:type="dxa"/>
            <w:tcBorders>
              <w:top w:val="single" w:color="auto" w:sz="2" w:space="0"/>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242" w:type="dxa"/>
            <w:tcBorders>
              <w:top w:val="single" w:color="auto" w:sz="2" w:space="0"/>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二、加强粪污减量控制，促进畜禽养殖粪污资源化利用</w:t>
            </w:r>
          </w:p>
        </w:tc>
        <w:tc>
          <w:tcPr>
            <w:tcW w:w="3686" w:type="dxa"/>
            <w:tcBorders>
              <w:top w:val="single" w:color="auto" w:sz="2" w:space="0"/>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项目环评应以农业绿色发展为导向，优化工艺，通过采取优化饲料配方、提高饲养技术等措施，从源头减少粪污的产生量。鼓励采取干清粪方式，采取水泡粪工艺的应最大限度降低用水量。场区应采取雨污分离措施，防止雨水进入粪污收集系统。</w:t>
            </w:r>
          </w:p>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项目环评应结合地域、畜种、规模等特点以及地方相关部门制定的畜禽粪污综合利用目标等要求，加强畜禽养殖粪污资源化利用，因地制宜选择经济高效适用的处理利用模式，采取粪污全量收集还田利用、污水肥料化利用、粪便垫料回用、异位发酵床、粪污专业化能源利用等模式处理利用畜禽粪污，促进畜禽规模养殖项目“种养结合”绿色发展。</w:t>
            </w:r>
          </w:p>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鼓励根据土地承载能力确定畜禽养殖场的适宜养殖规模，土地承载能力可采用农业农村主管部门发布的测算技术方法确定。耕地面积大、土地消纳能力相对较高的区域，畜禽养殖场产生的粪污应力争实现全部就地就近资源化利用或委托第三方处理;当土地消纳能力不足时，应进一步提高资源化利用能力或适当减少养殖规模。鼓励依托符合环保要求的专业化粪污处理利用企业，提高畜禽养殖粪污集中收集利用能力。</w:t>
            </w:r>
          </w:p>
        </w:tc>
        <w:tc>
          <w:tcPr>
            <w:tcW w:w="2835"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本项目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产生沼气</w:t>
            </w:r>
            <w:r>
              <w:rPr>
                <w:rFonts w:hint="default" w:ascii="Times New Roman" w:hAnsi="Times New Roman" w:cs="Times New Roman" w:eastAsiaTheme="minorEastAsia"/>
              </w:rPr>
              <w:t>通过火炬燃烧的方式消耗掉</w:t>
            </w:r>
            <w:r>
              <w:rPr>
                <w:rFonts w:hint="default" w:ascii="Times New Roman" w:hAnsi="Times New Roman" w:cs="Times New Roman" w:eastAsiaTheme="minorEastAsia"/>
                <w:color w:val="auto"/>
                <w:highlight w:val="none"/>
              </w:rPr>
              <w:t>，沼液定期还田，沼渣外运处置堆肥，实现粪污资源化利用，防止污染环境。合理配合日粮和使用添加剂以减少有害气体的排放量。降低粪尿中有害气体的产生量。在牛舍内、粪污处理区（固液分离间）投放EM菌剂等有益微生物复合制剂，能有效地降解NH</w:t>
            </w:r>
            <w:r>
              <w:rPr>
                <w:rFonts w:hint="default" w:ascii="Times New Roman" w:hAnsi="Times New Roman" w:cs="Times New Roman" w:eastAsiaTheme="minorEastAsia"/>
                <w:color w:val="auto"/>
                <w:highlight w:val="none"/>
                <w:vertAlign w:val="subscript"/>
              </w:rPr>
              <w:t>3</w:t>
            </w:r>
            <w:r>
              <w:rPr>
                <w:rFonts w:hint="default" w:ascii="Times New Roman" w:hAnsi="Times New Roman" w:cs="Times New Roman" w:eastAsiaTheme="minorEastAsia"/>
                <w:color w:val="auto"/>
                <w:highlight w:val="none"/>
              </w:rPr>
              <w:t>、H</w:t>
            </w:r>
            <w:r>
              <w:rPr>
                <w:rFonts w:hint="default" w:ascii="Times New Roman" w:hAnsi="Times New Roman" w:cs="Times New Roman" w:eastAsiaTheme="minorEastAsia"/>
                <w:color w:val="auto"/>
                <w:highlight w:val="none"/>
                <w:vertAlign w:val="subscript"/>
              </w:rPr>
              <w:t>2</w:t>
            </w:r>
            <w:r>
              <w:rPr>
                <w:rFonts w:hint="default" w:ascii="Times New Roman" w:hAnsi="Times New Roman" w:cs="Times New Roman" w:eastAsiaTheme="minorEastAsia"/>
                <w:color w:val="auto"/>
                <w:highlight w:val="none"/>
              </w:rPr>
              <w:t>S等有害气体，EM菌剂中含有多种有效微生物菌群，其中的好气和光合微生物能利用H</w:t>
            </w:r>
            <w:r>
              <w:rPr>
                <w:rFonts w:hint="default" w:ascii="Times New Roman" w:hAnsi="Times New Roman" w:cs="Times New Roman" w:eastAsiaTheme="minorEastAsia"/>
                <w:color w:val="auto"/>
                <w:highlight w:val="none"/>
                <w:vertAlign w:val="subscript"/>
              </w:rPr>
              <w:t>2</w:t>
            </w:r>
            <w:r>
              <w:rPr>
                <w:rFonts w:hint="default" w:ascii="Times New Roman" w:hAnsi="Times New Roman" w:cs="Times New Roman" w:eastAsiaTheme="minorEastAsia"/>
                <w:color w:val="auto"/>
                <w:highlight w:val="none"/>
              </w:rPr>
              <w:t>S进行光合作用，放线菌产生的分泌物对病原微生物有抑制作用等；一方面抑制臭气成分的产生，另一方面对上述有害成分直接利用，从而达到净化空气的目的。</w:t>
            </w:r>
          </w:p>
          <w:p>
            <w:pPr>
              <w:pStyle w:val="666"/>
              <w:widowControl w:val="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采取雨污分流，雨水汇流后排至厂区外边沟；分离后液体排入黑膜沼气池发酵，生活污水进入化粪池后利用吸污车定期抽运至黑膜沼气池，经处理后定期还田，实现粪污资源化利用，保证防止污染水环境。</w:t>
            </w:r>
          </w:p>
        </w:tc>
        <w:tc>
          <w:tcPr>
            <w:tcW w:w="957" w:type="dxa"/>
            <w:tcBorders>
              <w:top w:val="single" w:color="auto" w:sz="2" w:space="0"/>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242" w:type="dxa"/>
            <w:tcBorders>
              <w:top w:val="single" w:color="auto" w:sz="2" w:space="0"/>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三、强化粪污治理措施，做好污染防治</w:t>
            </w:r>
          </w:p>
        </w:tc>
        <w:tc>
          <w:tcPr>
            <w:tcW w:w="3686" w:type="dxa"/>
            <w:tcBorders>
              <w:top w:val="single" w:color="auto" w:sz="2" w:space="0"/>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项目环评应强化对粪污的治理措施，加强畜禽养殖粪污资源化利用过程中的污染控制，推进粪污资源的良性利用，应对无法资源化利用的粪污采取治理措施确保达标排放。畜禽规模养殖项目应配套建设与养殖规模相匹配的雨污分离设施，以及粪污贮存、处理和利用设施等，委托满足相关环保要求的第三方代为利用或者处理的，可不自行建设粪污处理或利用设施。</w:t>
            </w:r>
          </w:p>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项目环评应明确畜禽粪污贮存、处理和利用措施。贮存池应采取有效的防雨、防渗和防溢流措施，防止畜禽粪污污染地下水。贮存池总有效容积应根据贮存期确定。进行资源化利用的畜禽粪污须处理并达到畜禽粪便还田、无害化处理等技术规范要求。</w:t>
            </w:r>
          </w:p>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畜禽养殖粪污作为肥料还田利用的，应明确畜禽养殖场与还田利用的林地、农田之间的输送系统及环境管理措施，严格控制肥水输送沿途的弃、撒和跑冒滴漏，防止进入外部水体。对无法采取资源化利用的畜禽养殖废水应明确处理措施及工艺，确保达标排放或消毒回用，排放去向应符合国家和地方的有关规定，不得排入敏感水域和有特殊功能的水域。</w:t>
            </w:r>
          </w:p>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依据相关法律法规和技术规范，制定明确的病死畜禽处理、处置方案，及时处理病死畜禽。针对畜禽规模养殖项目的恶臭影响，可采取控制饲养密度、改善舍内通风、及时清粪、采用除臭剂、集中收集处理等措施，确保项目恶臭污染物达标排放。</w:t>
            </w:r>
          </w:p>
        </w:tc>
        <w:tc>
          <w:tcPr>
            <w:tcW w:w="2835" w:type="dxa"/>
            <w:tcBorders>
              <w:top w:val="single" w:color="auto" w:sz="2" w:space="0"/>
              <w:bottom w:val="single" w:color="auto" w:sz="2" w:space="0"/>
            </w:tcBorders>
            <w:vAlign w:val="center"/>
          </w:tcPr>
          <w:p>
            <w:pPr>
              <w:pStyle w:val="666"/>
              <w:widowControl w:val="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本项目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产生沼气</w:t>
            </w:r>
            <w:r>
              <w:rPr>
                <w:rFonts w:hint="default" w:ascii="Times New Roman" w:hAnsi="Times New Roman" w:cs="Times New Roman" w:eastAsiaTheme="minorEastAsia"/>
              </w:rPr>
              <w:t>通过火炬燃烧的方式消耗掉</w:t>
            </w:r>
            <w:r>
              <w:rPr>
                <w:rFonts w:hint="default" w:ascii="Times New Roman" w:hAnsi="Times New Roman" w:cs="Times New Roman" w:eastAsiaTheme="minorEastAsia"/>
                <w:color w:val="auto"/>
                <w:highlight w:val="none"/>
              </w:rPr>
              <w:t>，沼液定期还田，沼渣外运处置堆肥，实现粪污资源化利用，防止污染环境。</w:t>
            </w:r>
          </w:p>
          <w:p>
            <w:pPr>
              <w:pStyle w:val="666"/>
              <w:widowControl w:val="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本项目病死牛在当地防疫部门监督下委托安达市题桥环保科技有限公司安全处置，防止了人畜共患疫病影响。</w:t>
            </w:r>
          </w:p>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在牛舍内、粪便和日粮中投放EM菌剂等有益微生物复合制剂，能有效地降解NH</w:t>
            </w:r>
            <w:r>
              <w:rPr>
                <w:rFonts w:hint="default" w:ascii="Times New Roman" w:hAnsi="Times New Roman" w:cs="Times New Roman" w:eastAsiaTheme="minorEastAsia"/>
                <w:color w:val="auto"/>
                <w:highlight w:val="none"/>
                <w:vertAlign w:val="subscript"/>
              </w:rPr>
              <w:t>3</w:t>
            </w:r>
            <w:r>
              <w:rPr>
                <w:rFonts w:hint="default" w:ascii="Times New Roman" w:hAnsi="Times New Roman" w:cs="Times New Roman" w:eastAsiaTheme="minorEastAsia"/>
                <w:color w:val="auto"/>
                <w:highlight w:val="none"/>
              </w:rPr>
              <w:t>、H</w:t>
            </w:r>
            <w:r>
              <w:rPr>
                <w:rFonts w:hint="default" w:ascii="Times New Roman" w:hAnsi="Times New Roman" w:cs="Times New Roman" w:eastAsiaTheme="minorEastAsia"/>
                <w:color w:val="auto"/>
                <w:highlight w:val="none"/>
                <w:vertAlign w:val="subscript"/>
              </w:rPr>
              <w:t>2</w:t>
            </w:r>
            <w:r>
              <w:rPr>
                <w:rFonts w:hint="default" w:ascii="Times New Roman" w:hAnsi="Times New Roman" w:cs="Times New Roman" w:eastAsiaTheme="minorEastAsia"/>
                <w:color w:val="auto"/>
                <w:highlight w:val="none"/>
              </w:rPr>
              <w:t>S等有害气体，EM菌剂中含有多种有效微生物菌群，其中的好气和光合微生物能利用H</w:t>
            </w:r>
            <w:r>
              <w:rPr>
                <w:rFonts w:hint="default" w:ascii="Times New Roman" w:hAnsi="Times New Roman" w:cs="Times New Roman" w:eastAsiaTheme="minorEastAsia"/>
                <w:color w:val="auto"/>
                <w:highlight w:val="none"/>
                <w:vertAlign w:val="subscript"/>
              </w:rPr>
              <w:t>2</w:t>
            </w:r>
            <w:r>
              <w:rPr>
                <w:rFonts w:hint="default" w:ascii="Times New Roman" w:hAnsi="Times New Roman" w:cs="Times New Roman" w:eastAsiaTheme="minorEastAsia"/>
                <w:color w:val="auto"/>
                <w:highlight w:val="none"/>
              </w:rPr>
              <w:t>S进行光合作用，放线菌产生的分泌物对病原微生物有抑制作用等；一方面抑制臭气成分的产生，另一方面对上述有害成分直接利用，从而达到净化空气的目的。</w:t>
            </w:r>
          </w:p>
          <w:p>
            <w:pPr>
              <w:pStyle w:val="666"/>
              <w:widowControl w:val="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厂区种植高大树木减少恶臭无组织逸散，臭气浓度满足《畜禽养殖业污染物排放标准》（GB18596-2001）中表7标准</w:t>
            </w:r>
          </w:p>
        </w:tc>
        <w:tc>
          <w:tcPr>
            <w:tcW w:w="957" w:type="dxa"/>
            <w:tcBorders>
              <w:top w:val="single" w:color="auto" w:sz="2" w:space="0"/>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242" w:type="dxa"/>
            <w:tcBorders>
              <w:top w:val="single" w:color="auto" w:sz="2" w:space="0"/>
              <w:bottom w:val="single" w:color="auto" w:sz="1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四、落实环评信息公开要求，发挥公众参与的监督作用</w:t>
            </w:r>
          </w:p>
        </w:tc>
        <w:tc>
          <w:tcPr>
            <w:tcW w:w="3686" w:type="dxa"/>
            <w:tcBorders>
              <w:top w:val="single" w:color="auto" w:sz="2" w:space="0"/>
              <w:bottom w:val="single" w:color="auto" w:sz="1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建设单位在项目环评报告书报送审批前，应采取适当形式，遵循依法、有序、公开、便利的原则，公开征求意见并对真实性和结果负责。</w:t>
            </w:r>
          </w:p>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地方生态环境部门应按照相关要求，主动公开项目环评报告书受理情况、拟作出的审批意见和审批情况，保障公众环境保护知情权、参与权和监督权。强化对建设单位的监督约束，落实建设项目环评信息的全过程、全覆盖公开，确保公众能够方便获取建设项目环评信息。</w:t>
            </w:r>
          </w:p>
        </w:tc>
        <w:tc>
          <w:tcPr>
            <w:tcW w:w="2835" w:type="dxa"/>
            <w:tcBorders>
              <w:top w:val="single" w:color="auto" w:sz="2" w:space="0"/>
              <w:bottom w:val="single" w:color="auto" w:sz="12" w:space="0"/>
            </w:tcBorders>
            <w:vAlign w:val="center"/>
          </w:tcPr>
          <w:p>
            <w:pPr>
              <w:pStyle w:val="666"/>
              <w:widowControl w:val="0"/>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highlight w:val="yellow"/>
              </w:rPr>
              <w:t>建设单位对本项目于2021年</w:t>
            </w:r>
            <w:r>
              <w:rPr>
                <w:rFonts w:hint="eastAsia" w:ascii="Times New Roman" w:hAnsi="Times New Roman" w:cs="Times New Roman" w:eastAsiaTheme="minorEastAsia"/>
                <w:color w:val="FF0000"/>
                <w:highlight w:val="yellow"/>
                <w:lang w:val="en-US" w:eastAsia="zh-CN"/>
              </w:rPr>
              <w:t>9</w:t>
            </w:r>
            <w:r>
              <w:rPr>
                <w:rFonts w:hint="default" w:ascii="Times New Roman" w:hAnsi="Times New Roman" w:cs="Times New Roman" w:eastAsiaTheme="minorEastAsia"/>
                <w:color w:val="FF0000"/>
                <w:highlight w:val="yellow"/>
              </w:rPr>
              <w:t>月</w:t>
            </w:r>
            <w:r>
              <w:rPr>
                <w:rFonts w:hint="eastAsia" w:ascii="Times New Roman" w:hAnsi="Times New Roman" w:cs="Times New Roman" w:eastAsiaTheme="minorEastAsia"/>
                <w:color w:val="FF0000"/>
                <w:highlight w:val="yellow"/>
                <w:lang w:val="en-US" w:eastAsia="zh-CN"/>
              </w:rPr>
              <w:t>1</w:t>
            </w:r>
            <w:r>
              <w:rPr>
                <w:rFonts w:hint="default" w:ascii="Times New Roman" w:hAnsi="Times New Roman" w:cs="Times New Roman" w:eastAsiaTheme="minorEastAsia"/>
                <w:color w:val="FF0000"/>
                <w:highlight w:val="yellow"/>
              </w:rPr>
              <w:t>日-</w:t>
            </w:r>
            <w:r>
              <w:rPr>
                <w:rFonts w:hint="eastAsia" w:ascii="Times New Roman" w:hAnsi="Times New Roman" w:cs="Times New Roman" w:eastAsiaTheme="minorEastAsia"/>
                <w:color w:val="FF0000"/>
                <w:highlight w:val="yellow"/>
                <w:lang w:val="en-US" w:eastAsia="zh-CN"/>
              </w:rPr>
              <w:t>9</w:t>
            </w:r>
            <w:r>
              <w:rPr>
                <w:rFonts w:hint="default" w:ascii="Times New Roman" w:hAnsi="Times New Roman" w:cs="Times New Roman" w:eastAsiaTheme="minorEastAsia"/>
                <w:color w:val="FF0000"/>
                <w:highlight w:val="yellow"/>
              </w:rPr>
              <w:t>月</w:t>
            </w:r>
            <w:r>
              <w:rPr>
                <w:rFonts w:hint="eastAsia" w:ascii="Times New Roman" w:hAnsi="Times New Roman" w:cs="Times New Roman" w:eastAsiaTheme="minorEastAsia"/>
                <w:color w:val="FF0000"/>
                <w:highlight w:val="yellow"/>
                <w:lang w:val="en-US" w:eastAsia="zh-CN"/>
              </w:rPr>
              <w:t>10</w:t>
            </w:r>
            <w:r>
              <w:rPr>
                <w:rFonts w:hint="default" w:ascii="Times New Roman" w:hAnsi="Times New Roman" w:cs="Times New Roman" w:eastAsiaTheme="minorEastAsia"/>
                <w:color w:val="FF0000"/>
                <w:highlight w:val="yellow"/>
              </w:rPr>
              <w:t>日（10个工作日）http://www.hljhbjsfw.cn/NewsDetail.aspx?ID=445进行一次网络公示；于2021年8月16日-8月27日（10个工作日）在</w:t>
            </w:r>
            <w:r>
              <w:rPr>
                <w:rFonts w:hint="default" w:ascii="Times New Roman" w:hAnsi="Times New Roman" w:cs="Times New Roman" w:eastAsiaTheme="minorEastAsia"/>
                <w:color w:val="FF0000"/>
                <w:highlight w:val="yellow"/>
                <w:lang w:val="en-US" w:eastAsia="zh-CN"/>
              </w:rPr>
              <w:t xml:space="preserve">    </w:t>
            </w:r>
            <w:r>
              <w:rPr>
                <w:rFonts w:hint="default" w:ascii="Times New Roman" w:hAnsi="Times New Roman" w:cs="Times New Roman" w:eastAsiaTheme="minorEastAsia"/>
                <w:color w:val="FF0000"/>
                <w:highlight w:val="yellow"/>
              </w:rPr>
              <w:t>网进行征求意见稿网络公示。征求意见稿网络公示期间，于2021年8月18日和8月19日在《大庆日报》进行两次报纸公示，同时在评价范围内村屯进行了张贴公告公示；于2021年8月28日在</w:t>
            </w:r>
            <w:r>
              <w:rPr>
                <w:rFonts w:hint="default" w:ascii="Times New Roman" w:hAnsi="Times New Roman" w:cs="Times New Roman" w:eastAsiaTheme="minorEastAsia"/>
                <w:color w:val="FF0000"/>
                <w:highlight w:val="yellow"/>
                <w:lang w:val="en-US" w:eastAsia="zh-CN"/>
              </w:rPr>
              <w:t xml:space="preserve">    </w:t>
            </w:r>
            <w:r>
              <w:rPr>
                <w:rFonts w:hint="default" w:ascii="Times New Roman" w:hAnsi="Times New Roman" w:cs="Times New Roman" w:eastAsiaTheme="minorEastAsia"/>
                <w:color w:val="FF0000"/>
                <w:highlight w:val="yellow"/>
              </w:rPr>
              <w:t>网（http://www.zgzy.gov.cn/）进行拟报批全本及公众参与说明网络公示，公众参与期间未收到公众反馈意见。</w:t>
            </w:r>
          </w:p>
        </w:tc>
        <w:tc>
          <w:tcPr>
            <w:tcW w:w="957" w:type="dxa"/>
            <w:tcBorders>
              <w:top w:val="single" w:color="auto" w:sz="2" w:space="0"/>
              <w:bottom w:val="single" w:color="auto" w:sz="1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bl>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本项目与《关于做好畜禽规模养殖项目环境影响评价管理工作的通知》（环办环评[2018]31号）相符合。</w:t>
      </w:r>
    </w:p>
    <w:p>
      <w:pPr>
        <w:pStyle w:val="129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1.4.5.3 《畜禽粪污资源化利用行动方案（2017-2020年）》（农牧发[2017]11号）</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方案指出：东北地区：包括内蒙古、辽宁、吉林和黑龙江4省。该区域土地面积大，冬季气温低，环境承载力和土地消纳能力相对较高，重点推广的技术模式：一是“粪污全量收集还田利用”模式。对于养殖密集区或大规模养殖场，依托专业化粪污处理利用企业，集中收集并通过氧化塘贮存对粪污进行无害化处理，在作物收割后或播种前利用专业化施肥机械施用到农田，减少化肥施用量。二是“污水肥料化利用”模式。对于有配套农田的规模养殖场，养殖污水通过氧化塘贮存或沼气工程进行无害化处理，在作物收获后或播种前作为底肥施用。三是“粪污专业化能源利用”模式。依托大规模养殖场或第三方粪污处理企业，对一定区域内的粪污进行集中收集，通过大型沼气工程或生物天然气工程，沼渣生产有机肥，沼液通过农田利用或浓缩使用。</w:t>
      </w:r>
    </w:p>
    <w:p>
      <w:pPr>
        <w:ind w:firstLine="56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本项目采取“污水肥料化利用”模式，采用干清粪工艺，本项目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产生沼气</w:t>
      </w:r>
      <w:r>
        <w:rPr>
          <w:rFonts w:hint="default" w:ascii="Times New Roman" w:hAnsi="Times New Roman" w:cs="Times New Roman" w:eastAsiaTheme="minorEastAsia"/>
          <w:sz w:val="24"/>
          <w:szCs w:val="24"/>
        </w:rPr>
        <w:t>通过火炬燃烧的方式消耗掉</w:t>
      </w:r>
      <w:r>
        <w:rPr>
          <w:rFonts w:hint="default" w:ascii="Times New Roman" w:hAnsi="Times New Roman" w:cs="Times New Roman" w:eastAsiaTheme="minorEastAsia"/>
          <w:color w:val="auto"/>
          <w:sz w:val="24"/>
          <w:szCs w:val="24"/>
          <w:highlight w:val="none"/>
        </w:rPr>
        <w:t>，沼液定期还田，沼渣外运处置堆肥，实现粪污资源化利用，保证防止污染水环境。本项目与《畜禽粪污资源化利用行动方案（2017-2020年）》（农牧发[2017]11号）相符合。</w:t>
      </w:r>
    </w:p>
    <w:p>
      <w:pPr>
        <w:pStyle w:val="129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1.4.5.4 《农业农村部办公厅 生态环境部办公厅关于进一步明确畜禽粪污还田利用要求强化养殖污染监管的通知》（农办牧[2020]23号）</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本项目与《农业农村部办公厅 生态环境部办公厅关于进一步明确畜禽粪污还田利用要求强化养殖污染监管的通知》（农办牧[2020]23号）符合性分析见表1-4-12。</w:t>
      </w:r>
    </w:p>
    <w:p>
      <w:pPr>
        <w:pStyle w:val="643"/>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表1-4-12与《农业农村部办公厅 生态环境部办公厅关于进一步明确畜禽粪污还田利用要求强化养殖污染监管的通知》（农办牧[2020]23号）符合性分析</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28"/>
        <w:gridCol w:w="2693"/>
        <w:gridCol w:w="10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《农业农村部办公厅 生态环境部办公厅关于进一步明确畜禽粪污还田利用要求强化养殖污染监管的通知》（农办牧[2020]23号）</w:t>
            </w:r>
          </w:p>
        </w:tc>
        <w:tc>
          <w:tcPr>
            <w:tcW w:w="2693"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本项目</w:t>
            </w:r>
          </w:p>
        </w:tc>
        <w:tc>
          <w:tcPr>
            <w:tcW w:w="1099"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（一）鼓励畜禽粪污还田利用。国家支持畜禽养殖场户建设畜禽粪污无害化处理和资源化利用设施，鼓励采取粪肥还田、制取沼气、生产有机肥等方式进行资源化利用。</w:t>
            </w:r>
          </w:p>
        </w:tc>
        <w:tc>
          <w:tcPr>
            <w:tcW w:w="2693"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采取科学的饲养方式，本项目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产生沼气</w:t>
            </w:r>
            <w:r>
              <w:rPr>
                <w:rFonts w:hint="default" w:ascii="Times New Roman" w:hAnsi="Times New Roman" w:cs="Times New Roman" w:eastAsiaTheme="minorEastAsia"/>
                <w:sz w:val="21"/>
                <w:szCs w:val="21"/>
              </w:rPr>
              <w:t>通过火炬燃烧的方式消耗掉</w:t>
            </w:r>
            <w:r>
              <w:rPr>
                <w:rFonts w:hint="default" w:ascii="Times New Roman" w:hAnsi="Times New Roman" w:cs="Times New Roman" w:eastAsiaTheme="minorEastAsia"/>
                <w:color w:val="auto"/>
                <w:sz w:val="21"/>
                <w:szCs w:val="21"/>
                <w:highlight w:val="none"/>
              </w:rPr>
              <w:t>，沼液定期还田，沼渣外运处置堆肥，实现粪污资源化利用，防止污染环境。</w:t>
            </w:r>
          </w:p>
        </w:tc>
        <w:tc>
          <w:tcPr>
            <w:tcW w:w="1099"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二）明确还田利用标准规范。畜禽粪污的处理应根据排放去向或利用方式的不同执行相应的标准规范。对配套土地充足的养殖场户，粪污经无害化处理后还田利用具体要求及限量应符合《畜禽粪便无害化处理技术规范》（GB/T 36195）和《畜禽粪便还田技术规范》（GB/T 25246），配套土地面积应达到《畜禽粪污土地承载力测算技术指南》（以下简称《指南》）要求的最小面积。</w:t>
            </w:r>
          </w:p>
        </w:tc>
        <w:tc>
          <w:tcPr>
            <w:tcW w:w="2693"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本项目牛尿以及其他废水经黑膜沼气池发酵后定期还田，本项目粪污配套消纳土地最小面积为1428亩，本项目已与安达市先源乡政府，签订粪污还田协议书，签订还田面积为1500亩，满足土地消纳要求。</w:t>
            </w:r>
          </w:p>
        </w:tc>
        <w:tc>
          <w:tcPr>
            <w:tcW w:w="1099"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符合</w:t>
            </w:r>
          </w:p>
        </w:tc>
      </w:tr>
    </w:tbl>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auto"/>
          <w:sz w:val="24"/>
          <w:szCs w:val="24"/>
          <w:highlight w:val="none"/>
        </w:rPr>
        <w:t>本项目与《农业农村部办公厅 生态环境部办公厅关</w:t>
      </w:r>
      <w:r>
        <w:rPr>
          <w:rFonts w:hint="default" w:ascii="Times New Roman" w:hAnsi="Times New Roman" w:cs="Times New Roman" w:eastAsiaTheme="minorEastAsia"/>
          <w:color w:val="000000" w:themeColor="text1"/>
          <w:sz w:val="24"/>
          <w:szCs w:val="24"/>
          <w14:textFill>
            <w14:solidFill>
              <w14:schemeClr w14:val="tx1"/>
            </w14:solidFill>
          </w14:textFill>
        </w:rPr>
        <w:t>于进一步明确畜禽粪污还田利用要求强化养殖污染监管的通知》（农办牧[2020]23号）相符合。</w:t>
      </w:r>
    </w:p>
    <w:p>
      <w:pPr>
        <w:pStyle w:val="129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1.4.5.5 《农业部关于加快推进畜禽标准化规模养殖的意见》（农牧发[2010]6号）</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意见指出：各地要坚持一手抓畜牧业发展，一手抓畜禽养殖污染防治，正确处理好发展和环境保护的关系。抓紧出台畜禽养殖废弃物综合防治规划，突出减量化、无害化和资源化的原则，把畜禽养殖废弃物防治作为标准化规模养殖的重要内容，总结推广养殖废弃物综合防治和资源化利用的有效模式。要结合各地实际情况，采取不同处理工艺，对养殖场实施干清粪、雨污分流改造，从源头上减少污水产生量；对于具备粪污消纳能力的畜禽养殖区域，按照生态农业理念统一筹划，以综合利用为主，推广种养结合生态模式，实现粪污资源化利用，发展循环农业；对于畜禽规模养殖相对集中的地区，可规划建设畜禽粪便处理中心（厂），生产有机肥料，变废为宝；对于粪污量大而周边耕地面积少，土地消纳能力有限的畜禽养殖场，采取工业化处理实现达标排放。各地在抓好畜禽粪污治理的同时，要按有关规定做好病死动物的无害化处理。</w:t>
      </w:r>
    </w:p>
    <w:p>
      <w:pPr>
        <w:ind w:firstLine="56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本项目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产生沼气</w:t>
      </w:r>
      <w:r>
        <w:rPr>
          <w:rFonts w:hint="default" w:ascii="Times New Roman" w:hAnsi="Times New Roman" w:cs="Times New Roman" w:eastAsiaTheme="minorEastAsia"/>
          <w:sz w:val="24"/>
          <w:szCs w:val="24"/>
        </w:rPr>
        <w:t>通过火炬燃烧的方式消耗掉</w:t>
      </w:r>
      <w:r>
        <w:rPr>
          <w:rFonts w:hint="default" w:ascii="Times New Roman" w:hAnsi="Times New Roman" w:cs="Times New Roman" w:eastAsiaTheme="minorEastAsia"/>
          <w:color w:val="auto"/>
          <w:sz w:val="24"/>
          <w:szCs w:val="24"/>
          <w:highlight w:val="none"/>
        </w:rPr>
        <w:t>，沼液定期还田，沼渣外运处置堆肥，实现粪污资源化利用，保证防止污染水环境。</w:t>
      </w:r>
    </w:p>
    <w:p>
      <w:pPr>
        <w:ind w:firstLine="56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在牛舍内、粪污处理区（固液分离间）投放EM菌剂等有益微生物复合制剂，能有效地降解NH</w:t>
      </w:r>
      <w:r>
        <w:rPr>
          <w:rFonts w:hint="default" w:ascii="Times New Roman" w:hAnsi="Times New Roman" w:cs="Times New Roman" w:eastAsiaTheme="minorEastAsia"/>
          <w:color w:val="auto"/>
          <w:sz w:val="24"/>
          <w:szCs w:val="24"/>
          <w:highlight w:val="none"/>
          <w:vertAlign w:val="subscript"/>
        </w:rPr>
        <w:t>3</w:t>
      </w:r>
      <w:r>
        <w:rPr>
          <w:rFonts w:hint="default" w:ascii="Times New Roman" w:hAnsi="Times New Roman" w:cs="Times New Roman" w:eastAsiaTheme="minorEastAsia"/>
          <w:color w:val="auto"/>
          <w:sz w:val="24"/>
          <w:szCs w:val="24"/>
          <w:highlight w:val="none"/>
        </w:rPr>
        <w:t>、H</w:t>
      </w:r>
      <w:r>
        <w:rPr>
          <w:rFonts w:hint="default" w:ascii="Times New Roman" w:hAnsi="Times New Roman" w:cs="Times New Roman" w:eastAsiaTheme="minorEastAsia"/>
          <w:color w:val="auto"/>
          <w:sz w:val="24"/>
          <w:szCs w:val="24"/>
          <w:highlight w:val="none"/>
          <w:vertAlign w:val="subscript"/>
        </w:rPr>
        <w:t>2</w:t>
      </w:r>
      <w:r>
        <w:rPr>
          <w:rFonts w:hint="default" w:ascii="Times New Roman" w:hAnsi="Times New Roman" w:cs="Times New Roman" w:eastAsiaTheme="minorEastAsia"/>
          <w:color w:val="auto"/>
          <w:sz w:val="24"/>
          <w:szCs w:val="24"/>
          <w:highlight w:val="none"/>
        </w:rPr>
        <w:t>S等有害气体，EM菌剂中含有多种有效微生物菌群，其中的好气和光合微生物能利用H</w:t>
      </w:r>
      <w:r>
        <w:rPr>
          <w:rFonts w:hint="default" w:ascii="Times New Roman" w:hAnsi="Times New Roman" w:cs="Times New Roman" w:eastAsiaTheme="minorEastAsia"/>
          <w:color w:val="auto"/>
          <w:sz w:val="24"/>
          <w:szCs w:val="24"/>
          <w:highlight w:val="none"/>
          <w:vertAlign w:val="subscript"/>
        </w:rPr>
        <w:t>2</w:t>
      </w:r>
      <w:r>
        <w:rPr>
          <w:rFonts w:hint="default" w:ascii="Times New Roman" w:hAnsi="Times New Roman" w:cs="Times New Roman" w:eastAsiaTheme="minorEastAsia"/>
          <w:color w:val="auto"/>
          <w:sz w:val="24"/>
          <w:szCs w:val="24"/>
          <w:highlight w:val="none"/>
        </w:rPr>
        <w:t>S进行光合作用，放线菌产生的分泌物对病原微生物有抑制作用等；一方面抑制臭气成分的产生，另一方面对上述有害成分直接利用，从而达到净化空气的目的。厂区种植高大树木减少恶臭无组织逸散，臭气浓度满足《畜禽养殖业污染物排放标准》（GB18596-2001）中表7标准。本项目病死牛、胎盘在当地防疫部门监督下委托安达市题桥环保科技有限公司安全处置，防止了人畜共患疫病影响。本项目与《农业部关于加快推进畜禽标准化规模养殖的意见》（农牧发[2010]6号）相符合。</w:t>
      </w:r>
    </w:p>
    <w:p>
      <w:pPr>
        <w:pStyle w:val="129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1.4.5.6 《黑龙江省人民政府办公厅关于印发黑龙江省畜禽养殖废弃物资源化利用工作方案的通知》（黑政办规[2017]77号）</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通知指出：依法依规对畜禽规模养殖相关规划开展环境影响评价，规范环境影响评价内容和要求。新（改、扩）建畜禽规模养殖场粪污资源化利用要以还田模式为重点，配套与养殖规模和处理工艺相适应的粪污消纳用地，配备必要的粪污收集、贮存、处理、运输、利用设施，依法进行环境影响评价。严格落实环境保护部《建设项目环境影响评价分类管理目录》有关规定，年出栏生猪2500头（其他畜禽种类折合成猪的养殖规模）及以上、涉及环境敏感区的畜禽养殖项目须编制环境影响报告书，其他的填报环境影响登记表。对未依法进行环境影响评价的畜禽规模养殖场（区），环保部门依法予以处罚。</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落实规模养殖场主体责任制度。严格执行《中华人民共和国环境保护法》《畜禽规模养殖污染防治条例》（国务院令第643号）和《黑龙江省水污染防治工作方案》（黑政发〔2016〕3号）、《黑龙江省土壤污染防治实施方案》（黑政发〔2016〕46号）等法律法规和规定，切实履行“谁养殖、谁治理”的污染防治主体责任。畜禽养殖场（区）未建设污染防治配套设施，或自行建设的配套设施不合格，或未委托第三方对畜禽养殖废弃物进行无害化处理和综合利用的，不得投入生产或使用。</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为现代示范奶牛场，对项目依法进行环境影响评价，根据《建设项目环境影响评价分类管理名录（2021年版）》（生态环境部令第16号）规定，本项目属于“3、牲畜饲养”中“存栏生猪2500头（其他畜禽种类折合猪的养殖规模）及以上无出栏量的规模化畜禽养殖”，编制环境影响报告书。建设单位严格执行《中华人民共和国环境保护法》《畜禽规模养殖污染防治条例》（国务院令第643号）和《黑龙江省水污染防治工作方案》（黑政发〔2016〕3号）、《黑龙江省土壤污染防治实施方案》（黑政发〔2016〕46号）等法律法规和规定，切实履行“谁养殖、谁治理”的污染防治主体责任。本项目符合通知要求。</w:t>
      </w:r>
    </w:p>
    <w:p>
      <w:pPr>
        <w:pStyle w:val="1297"/>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 xml:space="preserve">1.4.4.7 《安达市畜禽禁养区划定方案》 </w:t>
      </w:r>
    </w:p>
    <w:p>
      <w:pPr>
        <w:ind w:firstLine="56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方案指出：依法划定的禁养区区域分五大类，第一类为饮用水水源保护区，包括饮用水水源一级保护区和二级保护区的陆域范围。第二类为风景名胜区。第三类为自然保护区的核心区、缓冲区，包括国家级和地方级自然保护区。第四类为城镇居民区，包括文化教育科学研究区。第五类为法律、法规、规章规定禁止畜禽养殖的区域以及确需纳入禁养区范围内进行特殊保护的区域。</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auto"/>
          <w:sz w:val="24"/>
          <w:szCs w:val="24"/>
          <w:highlight w:val="none"/>
        </w:rPr>
        <w:t>本项目选址位于</w:t>
      </w:r>
      <w:r>
        <w:rPr>
          <w:rFonts w:hint="eastAsia" w:ascii="Times New Roman" w:hAnsi="Times New Roman" w:cs="Times New Roman" w:eastAsiaTheme="minorEastAsia"/>
          <w:color w:val="auto"/>
          <w:sz w:val="24"/>
          <w:szCs w:val="24"/>
          <w:highlight w:val="none"/>
          <w:lang w:eastAsia="zh-CN"/>
        </w:rPr>
        <w:t>安达市东14公里，明沈公路南侧1000米处</w:t>
      </w:r>
      <w:r>
        <w:rPr>
          <w:rFonts w:hint="default" w:ascii="Times New Roman" w:hAnsi="Times New Roman" w:cs="Times New Roman" w:eastAsiaTheme="minorEastAsia"/>
          <w:color w:val="auto"/>
          <w:sz w:val="24"/>
          <w:szCs w:val="24"/>
          <w:highlight w:val="none"/>
        </w:rPr>
        <w:t>，不在饮用水水源保护区、风景名胜区、自然保护区的核心区、缓冲区、城镇居民区，包括文化教育科学研究区、法律、法规、规章规定禁止畜禽养殖的区</w:t>
      </w:r>
      <w:r>
        <w:rPr>
          <w:rFonts w:hint="default" w:ascii="Times New Roman" w:hAnsi="Times New Roman" w:cs="Times New Roman" w:eastAsiaTheme="minorEastAsia"/>
          <w:color w:val="000000" w:themeColor="text1"/>
          <w:sz w:val="24"/>
          <w:szCs w:val="24"/>
          <w14:textFill>
            <w14:solidFill>
              <w14:schemeClr w14:val="tx1"/>
            </w14:solidFill>
          </w14:textFill>
        </w:rPr>
        <w:t>域以及确需纳入禁养区范围内，不在方案划定的禁养区区域内，符合方案要求。</w:t>
      </w:r>
    </w:p>
    <w:p>
      <w:pPr>
        <w:pStyle w:val="2"/>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b w:val="0"/>
          <w:bCs/>
          <w:sz w:val="24"/>
          <w:szCs w:val="24"/>
        </w:rPr>
        <w:t>项目区与禁养区位置关系见图1-4-1。</w:t>
      </w:r>
    </w:p>
    <w:p>
      <w:pPr>
        <w:pStyle w:val="2"/>
        <w:rPr>
          <w:rFonts w:hint="default" w:ascii="Times New Roman" w:hAnsi="Times New Roman" w:cs="Times New Roman" w:eastAsiaTheme="minorEastAsia"/>
          <w:color w:val="000000" w:themeColor="text1"/>
          <w14:textFill>
            <w14:solidFill>
              <w14:schemeClr w14:val="tx1"/>
            </w14:solidFill>
          </w14:textFill>
        </w:rPr>
      </w:pPr>
    </w:p>
    <w:p>
      <w:pPr>
        <w:rPr>
          <w:rFonts w:hint="default" w:ascii="Times New Roman" w:hAnsi="Times New Roman" w:cs="Times New Roman" w:eastAsiaTheme="minorEastAsia"/>
          <w:color w:val="000000" w:themeColor="text1"/>
          <w14:textFill>
            <w14:solidFill>
              <w14:schemeClr w14:val="tx1"/>
            </w14:solidFill>
          </w14:textFill>
        </w:rPr>
      </w:pPr>
    </w:p>
    <w:p>
      <w:pPr>
        <w:pStyle w:val="2"/>
        <w:keepNext w:val="0"/>
        <w:keepLines w:val="0"/>
        <w:pageBreakBefore w:val="0"/>
        <w:kinsoku/>
        <w:wordWrap/>
        <w:overflowPunct/>
        <w:topLinePunct w:val="0"/>
        <w:bidi w:val="0"/>
        <w:adjustRightInd w:val="0"/>
        <w:snapToGrid w:val="0"/>
        <w:spacing w:line="480" w:lineRule="auto"/>
        <w:ind w:left="0" w:leftChars="0" w:firstLine="0" w:firstLineChars="0"/>
        <w:jc w:val="both"/>
        <w:rPr>
          <w:rFonts w:hint="default" w:ascii="Times New Roman" w:hAnsi="Times New Roman" w:cs="Times New Roman" w:eastAsiaTheme="minorEastAsia"/>
        </w:rPr>
      </w:pPr>
      <w:r>
        <w:rPr>
          <w:rFonts w:hint="default" w:ascii="Times New Roman" w:hAnsi="Times New Roman" w:cs="Times New Roman" w:eastAsiaTheme="minorEastAsia"/>
        </w:rPr>
        <mc:AlternateContent>
          <mc:Choice Requires="wps">
            <w:drawing>
              <wp:anchor distT="0" distB="0" distL="114300" distR="114300" simplePos="0" relativeHeight="251671552" behindDoc="0" locked="0" layoutInCell="1" allowOverlap="1">
                <wp:simplePos x="0" y="0"/>
                <wp:positionH relativeFrom="column">
                  <wp:posOffset>3076575</wp:posOffset>
                </wp:positionH>
                <wp:positionV relativeFrom="paragraph">
                  <wp:posOffset>4162425</wp:posOffset>
                </wp:positionV>
                <wp:extent cx="90805" cy="104775"/>
                <wp:effectExtent l="4445" t="4445" r="19050" b="5080"/>
                <wp:wrapNone/>
                <wp:docPr id="1246" name="矩形 1246"/>
                <wp:cNvGraphicFramePr/>
                <a:graphic xmlns:a="http://schemas.openxmlformats.org/drawingml/2006/main">
                  <a:graphicData uri="http://schemas.microsoft.com/office/word/2010/wordprocessingShape">
                    <wps:wsp>
                      <wps:cNvSpPr>
                        <a:spLocks noChangeArrowheads="1"/>
                      </wps:cNvSpPr>
                      <wps:spPr bwMode="auto">
                        <a:xfrm>
                          <a:off x="0" y="0"/>
                          <a:ext cx="90805" cy="104775"/>
                        </a:xfrm>
                        <a:prstGeom prst="rect">
                          <a:avLst/>
                        </a:prstGeom>
                        <a:solidFill>
                          <a:srgbClr val="FF0000"/>
                        </a:solidFill>
                        <a:ln w="9525" algn="ctr">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2.25pt;margin-top:327.75pt;height:8.25pt;width:7.15pt;z-index:251671552;mso-width-relative:page;mso-height-relative:page;" fillcolor="#FF0000" filled="t" stroked="t" coordsize="21600,21600" o:gfxdata="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ScrjdoAAAALAQAADwAAAAAAAAABACAAAAAi&#10;AAAAZHJzL2Rvd25yZXYueG1sUEsBAhQAFAAAAAgAh07iQDMU/75BAgAAjAQAAA4AAAAAAAAAAQAg&#10;AAAAKQEAAGRycy9lMm9Eb2MueG1sUEsFBgAAAAAGAAYAWQEAANwFAAAAAA==&#10;">
                <v:fill on="t" focussize="0,0"/>
                <v:stroke color="#000000" miterlimit="8" joinstyle="miter"/>
                <v:imagedata o:title=""/>
                <o:lock v:ext="edit" aspectratio="f"/>
              </v:rect>
            </w:pict>
          </mc:Fallback>
        </mc:AlternateContent>
      </w:r>
      <w:r>
        <w:rPr>
          <w:rFonts w:hint="default" w:ascii="Times New Roman" w:hAnsi="Times New Roman" w:cs="Times New Roman" w:eastAsiaTheme="minorEastAsia"/>
        </w:rPr>
        <w:drawing>
          <wp:inline distT="0" distB="0" distL="0" distR="0">
            <wp:extent cx="5267325" cy="7429500"/>
            <wp:effectExtent l="0" t="0" r="9525" b="0"/>
            <wp:docPr id="5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267325" cy="7429500"/>
                    </a:xfrm>
                    <a:prstGeom prst="rect">
                      <a:avLst/>
                    </a:prstGeom>
                    <a:noFill/>
                    <a:ln>
                      <a:noFill/>
                    </a:ln>
                  </pic:spPr>
                </pic:pic>
              </a:graphicData>
            </a:graphic>
          </wp:inline>
        </w:drawing>
      </w:r>
    </w:p>
    <w:p>
      <w:pPr>
        <w:pStyle w:val="1167"/>
        <w:keepNext w:val="0"/>
        <w:keepLines w:val="0"/>
        <w:pageBreakBefore w:val="0"/>
        <w:kinsoku/>
        <w:wordWrap/>
        <w:overflowPunct/>
        <w:topLinePunct w:val="0"/>
        <w:bidi w:val="0"/>
        <w:adjustRightInd w:val="0"/>
        <w:snapToGrid w:val="0"/>
        <w:spacing w:line="480" w:lineRule="auto"/>
        <w:ind w:firstLine="960" w:firstLineChars="400"/>
        <w:rPr>
          <w:rFonts w:hint="default" w:ascii="Times New Roman" w:hAnsi="Times New Roman" w:cs="Times New Roman" w:eastAsiaTheme="minorEastAsia"/>
          <w:b w:val="0"/>
          <w:bCs/>
          <w:sz w:val="24"/>
          <w:szCs w:val="24"/>
          <w:lang w:eastAsia="zh-CN"/>
        </w:rPr>
      </w:pPr>
      <w:r>
        <w:rPr>
          <w:rFonts w:hint="default" w:ascii="Times New Roman" w:hAnsi="Times New Roman" w:cs="Times New Roman" w:eastAsiaTheme="minorEastAsia"/>
          <w:b w:val="0"/>
          <w:bCs/>
          <w:sz w:val="24"/>
          <w:szCs w:val="24"/>
        </w:rPr>
        <w:t>图1-4-</w:t>
      </w:r>
      <w:r>
        <w:rPr>
          <w:rFonts w:hint="default" w:ascii="Times New Roman" w:hAnsi="Times New Roman" w:cs="Times New Roman" w:eastAsiaTheme="minorEastAsia"/>
          <w:b w:val="0"/>
          <w:bCs/>
          <w:sz w:val="24"/>
          <w:szCs w:val="24"/>
          <w:lang w:val="en-US" w:eastAsia="zh-CN"/>
        </w:rPr>
        <w:t xml:space="preserve">1      </w:t>
      </w:r>
      <w:r>
        <w:rPr>
          <w:rFonts w:hint="default" w:ascii="Times New Roman" w:hAnsi="Times New Roman" w:cs="Times New Roman" w:eastAsiaTheme="minorEastAsia"/>
          <w:b w:val="0"/>
          <w:bCs/>
          <w:sz w:val="24"/>
          <w:szCs w:val="24"/>
        </w:rPr>
        <w:t>项目区与禁养区位置关系</w:t>
      </w:r>
      <w:r>
        <w:rPr>
          <w:rFonts w:hint="default" w:ascii="Times New Roman" w:hAnsi="Times New Roman" w:cs="Times New Roman" w:eastAsiaTheme="minorEastAsia"/>
          <w:b w:val="0"/>
          <w:bCs/>
          <w:sz w:val="24"/>
          <w:szCs w:val="24"/>
          <w:lang w:eastAsia="zh-CN"/>
        </w:rPr>
        <w:t>图</w:t>
      </w:r>
    </w:p>
    <w:p>
      <w:pPr>
        <w:pStyle w:val="1167"/>
        <w:keepNext w:val="0"/>
        <w:keepLines w:val="0"/>
        <w:pageBreakBefore w:val="0"/>
        <w:widowControl/>
        <w:kinsoku/>
        <w:wordWrap/>
        <w:overflowPunct/>
        <w:topLinePunct w:val="0"/>
        <w:autoSpaceDE/>
        <w:autoSpaceDN/>
        <w:bidi w:val="0"/>
        <w:adjustRightInd w:val="0"/>
        <w:snapToGrid w:val="0"/>
        <w:spacing w:line="500" w:lineRule="exact"/>
        <w:textAlignment w:val="auto"/>
        <w:outlineLvl w:val="9"/>
        <w:rPr>
          <w:rFonts w:hint="default" w:ascii="Times New Roman" w:hAnsi="Times New Roman" w:cs="Times New Roman" w:eastAsiaTheme="minorEastAsia"/>
          <w:color w:val="000000" w:themeColor="text1"/>
          <w14:textFill>
            <w14:solidFill>
              <w14:schemeClr w14:val="tx1"/>
            </w14:solidFill>
          </w14:textFill>
        </w:rPr>
      </w:pPr>
    </w:p>
    <w:p>
      <w:pPr>
        <w:pStyle w:val="1167"/>
        <w:keepNext w:val="0"/>
        <w:keepLines w:val="0"/>
        <w:pageBreakBefore w:val="0"/>
        <w:widowControl/>
        <w:kinsoku/>
        <w:wordWrap/>
        <w:overflowPunct/>
        <w:topLinePunct w:val="0"/>
        <w:autoSpaceDE/>
        <w:autoSpaceDN/>
        <w:bidi w:val="0"/>
        <w:adjustRightInd w:val="0"/>
        <w:snapToGrid w:val="0"/>
        <w:spacing w:line="500" w:lineRule="exact"/>
        <w:textAlignment w:val="auto"/>
        <w:outlineLvl w:val="9"/>
        <w:rPr>
          <w:rFonts w:hint="default" w:ascii="Times New Roman" w:hAnsi="Times New Roman" w:cs="Times New Roman" w:eastAsiaTheme="minorEastAsia"/>
          <w:color w:val="000000" w:themeColor="text1"/>
          <w14:textFill>
            <w14:solidFill>
              <w14:schemeClr w14:val="tx1"/>
            </w14:solidFill>
          </w14:textFill>
        </w:rPr>
      </w:pPr>
    </w:p>
    <w:p>
      <w:pPr>
        <w:pStyle w:val="1167"/>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1.4.6 相关规划符合性分析</w:t>
      </w:r>
    </w:p>
    <w:p>
      <w:pPr>
        <w:pStyle w:val="1297"/>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1.4.6.1《中华人民共和国国民经济和社会发展第十四个五年规划和2035年远景目标纲要》</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规划纲要中第二十三章、提高农业质量效益和竞争力，第二节、深化农业结构调整要求：优化农业生产布局，建设优势农产品产业带和特色农产品优势区。推进粮经饲统筹、农林牧渔协调，优化种植业结构，大力发展现代畜牧业，促进水产生态健康养殖。积极发展设施农业，因地制宜发展林果业。深入推进优质粮食工程。推进农业绿色转型，加强产地环境保护治理，发展节水农业和旱作农业，深入实施农药化肥减量行动，治理农膜污染，提升农膜回收利用率，推进秸秆综合利用和畜禽粪污资源化利用。完善绿色农业标准体系，加强绿色食品、有机农产品和地理标志农产品认证管理。强化全过程农产品质量安全监管，健全追溯体系。建设现代农业产业园区和农业现代化示范区。</w:t>
      </w:r>
    </w:p>
    <w:p>
      <w:pPr>
        <w:ind w:firstLine="56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本项目为奶牛养殖项目，建成后存栏1500头奶牛，采取科学的饲养方式，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产生沼气</w:t>
      </w:r>
      <w:r>
        <w:rPr>
          <w:rFonts w:hint="default" w:ascii="Times New Roman" w:hAnsi="Times New Roman" w:cs="Times New Roman" w:eastAsiaTheme="minorEastAsia"/>
          <w:sz w:val="24"/>
          <w:szCs w:val="24"/>
        </w:rPr>
        <w:t>通过火炬燃烧的方式消耗掉</w:t>
      </w:r>
      <w:r>
        <w:rPr>
          <w:rFonts w:hint="default" w:ascii="Times New Roman" w:hAnsi="Times New Roman" w:cs="Times New Roman" w:eastAsiaTheme="minorEastAsia"/>
          <w:color w:val="auto"/>
          <w:sz w:val="24"/>
          <w:szCs w:val="24"/>
          <w:highlight w:val="none"/>
        </w:rPr>
        <w:t>，沼液定期还田，沼渣外运处置堆肥，实现粪污资源化利用，保证防止污染水环境，与《中华人民共和国国民经济和社会发展第十四个五年规划和2035年远景目标纲要》相符合。</w:t>
      </w:r>
    </w:p>
    <w:p>
      <w:pPr>
        <w:pStyle w:val="129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1.4.6.2 国家《“十三五”生态环境保护规划》</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十三五”生态环境保护规划》中指出“大力推进畜禽养殖污染防治”。划定禁止建设畜禽规模养殖场（小区）区域，加强分区分类管理，以废弃物资源化利用为途径，整县推进畜禽养殖污染防治。养殖密集区推行粪污集中处理和资源化综合利用。2017年底前，各地区依法关闭或搬迁禁养区内的畜禽养殖场（小区）和养殖专业户。大力支持畜禽规模养殖场（小区）标准化改造和建设。</w:t>
      </w:r>
    </w:p>
    <w:p>
      <w:pPr>
        <w:ind w:firstLine="56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本项目为奶牛养殖项目，建成后存栏1500头奶牛，采取科学的饲养方式，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产生沼气</w:t>
      </w:r>
      <w:r>
        <w:rPr>
          <w:rFonts w:hint="default" w:ascii="Times New Roman" w:hAnsi="Times New Roman" w:cs="Times New Roman" w:eastAsiaTheme="minorEastAsia"/>
          <w:sz w:val="24"/>
          <w:szCs w:val="24"/>
        </w:rPr>
        <w:t>通过火炬燃烧的方式消耗掉</w:t>
      </w:r>
      <w:r>
        <w:rPr>
          <w:rFonts w:hint="default" w:ascii="Times New Roman" w:hAnsi="Times New Roman" w:cs="Times New Roman" w:eastAsiaTheme="minorEastAsia"/>
          <w:color w:val="auto"/>
          <w:sz w:val="24"/>
          <w:szCs w:val="24"/>
          <w:highlight w:val="none"/>
        </w:rPr>
        <w:t>，沼液定期还田，沼渣外运处置堆肥，实现粪污资源化利用，保证防止污染水环境，与国家《“十三五”生态环境保护规划》相符合。</w:t>
      </w:r>
    </w:p>
    <w:p>
      <w:pPr>
        <w:pStyle w:val="1297"/>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1.4.6.3 《黑龙江省生态环境保护“十三五“规划》</w:t>
      </w:r>
    </w:p>
    <w:p>
      <w:pPr>
        <w:ind w:firstLine="56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本项目与《黑龙江省生态环境保护“十三五“规划》符合性分析见表1-4-13。</w:t>
      </w:r>
    </w:p>
    <w:p>
      <w:pPr>
        <w:pStyle w:val="643"/>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auto"/>
          <w:sz w:val="24"/>
          <w:szCs w:val="24"/>
          <w:highlight w:val="none"/>
        </w:rPr>
        <w:t>表1-4-13 本项目与《黑龙江省生态环境保护“十三五“规划》符合性分</w:t>
      </w:r>
      <w:r>
        <w:rPr>
          <w:rFonts w:hint="default" w:ascii="Times New Roman" w:hAnsi="Times New Roman" w:cs="Times New Roman" w:eastAsiaTheme="minorEastAsia"/>
          <w:color w:val="000000" w:themeColor="text1"/>
          <w:sz w:val="24"/>
          <w:szCs w:val="24"/>
          <w14:textFill>
            <w14:solidFill>
              <w14:schemeClr w14:val="tx1"/>
            </w14:solidFill>
          </w14:textFill>
        </w:rPr>
        <w:t>析</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835"/>
        <w:gridCol w:w="4111"/>
        <w:gridCol w:w="9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序号</w:t>
            </w:r>
          </w:p>
        </w:tc>
        <w:tc>
          <w:tcPr>
            <w:tcW w:w="2835"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《黑龙江省生态环境保护“十三五“规划》</w:t>
            </w:r>
          </w:p>
        </w:tc>
        <w:tc>
          <w:tcPr>
            <w:tcW w:w="4111"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本项目</w:t>
            </w:r>
          </w:p>
        </w:tc>
        <w:tc>
          <w:tcPr>
            <w:tcW w:w="957"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w:t>
            </w:r>
          </w:p>
        </w:tc>
        <w:tc>
          <w:tcPr>
            <w:tcW w:w="2835"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严格治理畜禽养殖污染”。加强畜禽养殖环境监管。进一步提高规模化养殖比例，统一建立污染治理设施，有效改善农村生产生活环境。</w:t>
            </w:r>
          </w:p>
        </w:tc>
        <w:tc>
          <w:tcPr>
            <w:tcW w:w="4111" w:type="dxa"/>
            <w:vMerge w:val="restart"/>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本项目为奶牛养殖项目，建成后存栏1500头奶牛，采取科学的饲养方式，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产生沼气</w:t>
            </w:r>
            <w:r>
              <w:rPr>
                <w:rFonts w:hint="default" w:ascii="Times New Roman" w:hAnsi="Times New Roman" w:cs="Times New Roman" w:eastAsiaTheme="minorEastAsia"/>
                <w:sz w:val="21"/>
                <w:szCs w:val="21"/>
              </w:rPr>
              <w:t>通过火炬燃烧的方式消耗掉</w:t>
            </w:r>
            <w:r>
              <w:rPr>
                <w:rFonts w:hint="default" w:ascii="Times New Roman" w:hAnsi="Times New Roman" w:cs="Times New Roman" w:eastAsiaTheme="minorEastAsia"/>
                <w:color w:val="auto"/>
                <w:sz w:val="21"/>
                <w:szCs w:val="21"/>
                <w:highlight w:val="none"/>
              </w:rPr>
              <w:t>，沼液定期还田，沼渣外运处置堆肥，实现粪污资源化利用，保证防止污染水环境。</w:t>
            </w:r>
          </w:p>
        </w:tc>
        <w:tc>
          <w:tcPr>
            <w:tcW w:w="957" w:type="dxa"/>
            <w:vMerge w:val="restart"/>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w:t>
            </w:r>
          </w:p>
        </w:tc>
        <w:tc>
          <w:tcPr>
            <w:tcW w:w="2835"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推进畜禽养殖污染减排工程建设。以规模化畜禽养殖场污染防治为重点，推进畜禽养殖全过程综合治理、各类治污设施建设或升级改造、改进养殖方式和提高规模化养殖场(小区)管理水平，实施污染减排。</w:t>
            </w:r>
          </w:p>
        </w:tc>
        <w:tc>
          <w:tcPr>
            <w:tcW w:w="4111" w:type="dxa"/>
            <w:vMerge w:val="continue"/>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rPr>
            </w:pPr>
          </w:p>
        </w:tc>
        <w:tc>
          <w:tcPr>
            <w:tcW w:w="957" w:type="dxa"/>
            <w:vMerge w:val="continue"/>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3</w:t>
            </w:r>
          </w:p>
        </w:tc>
        <w:tc>
          <w:tcPr>
            <w:tcW w:w="2835"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2017 年底前，各地区依法关闭或搬迁禁养区内的畜禽养殖场（小区）和养殖专业户。</w:t>
            </w:r>
          </w:p>
        </w:tc>
        <w:tc>
          <w:tcPr>
            <w:tcW w:w="4111"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本项目的选址不属于当地政府划定的禁养</w:t>
            </w:r>
          </w:p>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区，本项目属于新建规模化养殖项目</w:t>
            </w:r>
          </w:p>
        </w:tc>
        <w:tc>
          <w:tcPr>
            <w:tcW w:w="957"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4</w:t>
            </w:r>
          </w:p>
        </w:tc>
        <w:tc>
          <w:tcPr>
            <w:tcW w:w="2835"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到2020年，规模化畜禽养殖场(小区)配套建设固体废弃物和污水贮存、处理设施的比例达到75%以上</w:t>
            </w:r>
          </w:p>
        </w:tc>
        <w:tc>
          <w:tcPr>
            <w:tcW w:w="4111"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本项目为奶牛养殖项目，建成后存栏1500头奶牛，采取科学的饲养方式，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产生沼气</w:t>
            </w:r>
            <w:r>
              <w:rPr>
                <w:rFonts w:hint="default" w:ascii="Times New Roman" w:hAnsi="Times New Roman" w:cs="Times New Roman" w:eastAsiaTheme="minorEastAsia"/>
                <w:sz w:val="21"/>
                <w:szCs w:val="21"/>
              </w:rPr>
              <w:t>通过火炬燃烧的方式消耗掉</w:t>
            </w:r>
            <w:r>
              <w:rPr>
                <w:rFonts w:hint="default" w:ascii="Times New Roman" w:hAnsi="Times New Roman" w:cs="Times New Roman" w:eastAsiaTheme="minorEastAsia"/>
                <w:color w:val="auto"/>
                <w:sz w:val="21"/>
                <w:szCs w:val="21"/>
                <w:highlight w:val="none"/>
              </w:rPr>
              <w:t>，沼液、沼渣废物定期还田，实现粪污资源化利用，保证防止污染水环境，各污染物排放均建立污染治理设施</w:t>
            </w:r>
          </w:p>
        </w:tc>
        <w:tc>
          <w:tcPr>
            <w:tcW w:w="957"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bl>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本项目与《黑龙江省生态环境保护“十三五“规划》相符合性。</w:t>
      </w:r>
    </w:p>
    <w:p>
      <w:pPr>
        <w:pStyle w:val="129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1.4.6.4 《黑龙江省畜牧业发展规划（2003-2020年）》</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本项目与《黑龙江省畜牧业发展规划（2003-2020年）》符合性分析见表1-4-12。</w:t>
      </w:r>
    </w:p>
    <w:p>
      <w:pPr>
        <w:pStyle w:val="643"/>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表1-4-12 本项目与《黑龙江省畜牧业发展规划（2003-2020年）》符合性分析</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28"/>
        <w:gridCol w:w="2693"/>
        <w:gridCol w:w="10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《黑龙江省畜牧业发展规划（2003-2020年）》</w:t>
            </w:r>
          </w:p>
        </w:tc>
        <w:tc>
          <w:tcPr>
            <w:tcW w:w="2693"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本项目</w:t>
            </w:r>
          </w:p>
        </w:tc>
        <w:tc>
          <w:tcPr>
            <w:tcW w:w="1099"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2011~2020年，预期畜牧业产值达到1590亿元，年增长18.2%，占农业总产值的70%。畜产品产量达到3420吨，农民人均牧业纯收入达到4000元，占农民人均纯收入的50%。</w:t>
            </w:r>
          </w:p>
        </w:tc>
        <w:tc>
          <w:tcPr>
            <w:tcW w:w="2693"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本项目建成后存栏1500头奶牛，将进一步推动安达市及黑龙江省畜牧业的发展，加大畜牧业的产值，与此同时也将带动牛奶、乳制品加工等产业的发展。</w:t>
            </w:r>
          </w:p>
        </w:tc>
        <w:tc>
          <w:tcPr>
            <w:tcW w:w="1099"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根据我省的资源状况、基础条件、市场潜力等因素，确定奶牛、肉牛、生猪为主导品种，积极发展肉羊、蛋禽、肉禽、绒山羊、水产养殖和特种养殖品种。松嫩平原以奶牛、生猪为重点；东部山区、半山区以肉牛、肉羊为重点；三江平原以肉羊、大鹅为重点；大、小兴安岭以毛皮动物特种养殖为重点。</w:t>
            </w:r>
          </w:p>
        </w:tc>
        <w:tc>
          <w:tcPr>
            <w:tcW w:w="2693"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本</w:t>
            </w:r>
            <w:r>
              <w:rPr>
                <w:rFonts w:hint="default" w:ascii="Times New Roman" w:hAnsi="Times New Roman" w:cs="Times New Roman" w:eastAsiaTheme="minorEastAsia"/>
                <w:color w:val="auto"/>
                <w:highlight w:val="none"/>
              </w:rPr>
              <w:t>项目位于</w:t>
            </w:r>
            <w:r>
              <w:rPr>
                <w:rFonts w:hint="eastAsia" w:ascii="Times New Roman" w:hAnsi="Times New Roman" w:cs="Times New Roman" w:eastAsiaTheme="minorEastAsia"/>
                <w:color w:val="auto"/>
                <w:highlight w:val="none"/>
                <w:lang w:eastAsia="zh-CN"/>
              </w:rPr>
              <w:t>安达市东14公里，明沈公路南侧1000米处</w:t>
            </w:r>
            <w:r>
              <w:rPr>
                <w:rFonts w:hint="default" w:ascii="Times New Roman" w:hAnsi="Times New Roman" w:cs="Times New Roman" w:eastAsiaTheme="minorEastAsia"/>
                <w:color w:val="auto"/>
                <w:highlight w:val="none"/>
              </w:rPr>
              <w:t>，松嫩平原腹地。本项目为奶牛养殖项</w:t>
            </w:r>
            <w:r>
              <w:rPr>
                <w:rFonts w:hint="default" w:ascii="Times New Roman" w:hAnsi="Times New Roman" w:cs="Times New Roman" w:eastAsiaTheme="minorEastAsia"/>
                <w:color w:val="000000" w:themeColor="text1"/>
                <w14:textFill>
                  <w14:solidFill>
                    <w14:schemeClr w14:val="tx1"/>
                  </w14:solidFill>
                </w14:textFill>
              </w:rPr>
              <w:t>目，属于我省养殖主导品种</w:t>
            </w:r>
          </w:p>
        </w:tc>
        <w:tc>
          <w:tcPr>
            <w:tcW w:w="1099"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坚持畜牧产业与环境协调发展，防止疫病传播。一是加强畜禽粪便的综合开发利用。在每个专业养殖村屯建立与生活区分离的畜禽粪便集中处理区，把畜禽粪便转化为农家肥料，减少环境污染。鼓励和支持专业小区、现代化养殖场（园区）建立专业化、标准化的畜禽粪便处理场，生产优质、高效、无公害有机肥料。到2010年，专业养殖村屯、养殖专业小区和现代化养殖场（园区）全部实现畜禽粪便的无害化处理。二是加强对畜禽病害肉尸及其产品的无害化处理。在专业小区、畜禽养殖场、屠宰加工厂等地建设畜禽病害肉尸及其产品无害化处理厂（间），提高无害化处理能力，使畜禽病害肉尸及其产品无害化处理水平达到国家标准。</w:t>
            </w:r>
          </w:p>
        </w:tc>
        <w:tc>
          <w:tcPr>
            <w:tcW w:w="2693"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auto"/>
                <w:highlight w:val="none"/>
              </w:rPr>
              <w:t>本项目为奶牛养殖项目，建成后存栏1500头奶牛，采取科学的饲养方式，牛粪污采用干清粪方式进行清粪，牛尿、牛舍冲洗废水、牛舍喷淋水经牛舍粪沟统一收集，与挤奶厅清洗废水一同运至固液分离间进行固液分离，牛粪及分离后干物质外运处置堆肥。分离后液体排入黑膜沼气池发酵，生活污水进入化粪池后利用吸污车定期抽运至黑膜沼气池，产生沼气</w:t>
            </w:r>
            <w:r>
              <w:rPr>
                <w:rFonts w:hint="default" w:ascii="Times New Roman" w:hAnsi="Times New Roman" w:cs="Times New Roman" w:eastAsiaTheme="minorEastAsia"/>
              </w:rPr>
              <w:t>通过火炬燃烧的方式消耗掉</w:t>
            </w:r>
            <w:r>
              <w:rPr>
                <w:rFonts w:hint="default" w:ascii="Times New Roman" w:hAnsi="Times New Roman" w:cs="Times New Roman" w:eastAsiaTheme="minorEastAsia"/>
                <w:color w:val="auto"/>
                <w:highlight w:val="none"/>
              </w:rPr>
              <w:t>，沼液定期还田，沼渣外运处置堆肥，实现粪污资源化利用，保证防止污染水环境。本项目病死牛应当在当地防疫部门监督下委托安达市题桥环保科技有限公司安全处置，防止了人畜共患疫病影响。</w:t>
            </w:r>
          </w:p>
        </w:tc>
        <w:tc>
          <w:tcPr>
            <w:tcW w:w="1099"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bl>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本项目与《黑龙江省畜牧业发展规划（2003-2020年）》相符合。</w:t>
      </w: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1.4.7 “三线一单”符合性分析</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根据《关于以改善环境质量为核心加强环境影响评价管理的通知》（环环评[2016]150号）要求：为适应以改善环境质量为核心的环境管理要求，切实加强环境影响评价管理，落实“生态保护红线、环境质量底线、资源利用上线和环境准入负面清单”（以下简称“三线一单”）约束，建立项目环评审批与规划环评、现有项目环境管理、区域环境质量联动机制（以下简称“三挂钩”机制），更好地发挥环评制度从源头防范环境污染和生态破坏的作用，加快推进改善环境质量。本项目位于绥化市</w:t>
      </w:r>
      <w:r>
        <w:rPr>
          <w:rFonts w:hint="default" w:ascii="Times New Roman" w:hAnsi="Times New Roman" w:cs="Times New Roman" w:eastAsiaTheme="minorEastAsia"/>
          <w:color w:val="auto"/>
          <w:sz w:val="24"/>
          <w:szCs w:val="22"/>
          <w:highlight w:val="none"/>
        </w:rPr>
        <w:t>安达市先源乡红星村八屯，结合《黑龙江省人民政府关于实施“三线一单”生态环境分区管控的意见》（黑政发[2020]14号）和《绥化市人民政府关于实施“三线一单”生态环境分区管控的意见》（绥政发〔2021〕10号）相关管理要求进行本项目与“三线一单”符</w:t>
      </w:r>
      <w:r>
        <w:rPr>
          <w:rFonts w:hint="default" w:ascii="Times New Roman" w:hAnsi="Times New Roman" w:cs="Times New Roman" w:eastAsiaTheme="minorEastAsia"/>
          <w:color w:val="000000" w:themeColor="text1"/>
          <w:sz w:val="24"/>
          <w:szCs w:val="22"/>
          <w14:textFill>
            <w14:solidFill>
              <w14:schemeClr w14:val="tx1"/>
            </w14:solidFill>
          </w14:textFill>
        </w:rPr>
        <w:t>合性分析，具体见表1-4-15。</w:t>
      </w:r>
    </w:p>
    <w:p>
      <w:pPr>
        <w:ind w:firstLine="0" w:firstLineChars="0"/>
        <w:jc w:val="center"/>
        <w:rPr>
          <w:rFonts w:hint="default" w:ascii="Times New Roman" w:hAnsi="Times New Roman" w:cs="Times New Roman" w:eastAsiaTheme="minorEastAsia"/>
          <w:bCs/>
          <w:color w:val="000000" w:themeColor="text1"/>
          <w:sz w:val="24"/>
          <w14:textFill>
            <w14:solidFill>
              <w14:schemeClr w14:val="tx1"/>
            </w14:solidFill>
          </w14:textFill>
        </w:rPr>
      </w:pPr>
      <w:r>
        <w:rPr>
          <w:rFonts w:hint="default" w:ascii="Times New Roman" w:hAnsi="Times New Roman" w:cs="Times New Roman" w:eastAsiaTheme="minorEastAsia"/>
          <w:bCs/>
          <w:color w:val="000000" w:themeColor="text1"/>
          <w:sz w:val="24"/>
          <w14:textFill>
            <w14:solidFill>
              <w14:schemeClr w14:val="tx1"/>
            </w14:solidFill>
          </w14:textFill>
        </w:rPr>
        <w:t>表1-4-15 本项目与“三线一单”符合性</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89"/>
        <w:gridCol w:w="1158"/>
        <w:gridCol w:w="1096"/>
        <w:gridCol w:w="2099"/>
        <w:gridCol w:w="2611"/>
        <w:gridCol w:w="106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89" w:type="dxa"/>
            <w:tcBorders>
              <w:top w:val="single" w:color="auto" w:sz="12" w:space="0"/>
            </w:tcBorders>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序号</w:t>
            </w:r>
          </w:p>
        </w:tc>
        <w:tc>
          <w:tcPr>
            <w:tcW w:w="1158" w:type="dxa"/>
            <w:tcBorders>
              <w:top w:val="single" w:color="auto" w:sz="12" w:space="0"/>
            </w:tcBorders>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内容</w:t>
            </w:r>
          </w:p>
        </w:tc>
        <w:tc>
          <w:tcPr>
            <w:tcW w:w="3195" w:type="dxa"/>
            <w:gridSpan w:val="2"/>
            <w:tcBorders>
              <w:top w:val="single" w:color="auto" w:sz="12" w:space="0"/>
            </w:tcBorders>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要求</w:t>
            </w:r>
          </w:p>
        </w:tc>
        <w:tc>
          <w:tcPr>
            <w:tcW w:w="2611" w:type="dxa"/>
            <w:tcBorders>
              <w:top w:val="single" w:color="auto" w:sz="12" w:space="0"/>
            </w:tcBorders>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本项目</w:t>
            </w:r>
          </w:p>
        </w:tc>
        <w:tc>
          <w:tcPr>
            <w:tcW w:w="1067" w:type="dxa"/>
            <w:tcBorders>
              <w:top w:val="single" w:color="auto" w:sz="12" w:space="0"/>
            </w:tcBorders>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89" w:type="dxa"/>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1</w:t>
            </w:r>
          </w:p>
        </w:tc>
        <w:tc>
          <w:tcPr>
            <w:tcW w:w="1158" w:type="dxa"/>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生态保护红线</w:t>
            </w:r>
          </w:p>
        </w:tc>
        <w:tc>
          <w:tcPr>
            <w:tcW w:w="3195" w:type="dxa"/>
            <w:gridSpan w:val="2"/>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生态保护红线是生态空间范围内具有特殊重要生态功能必须实行强制性严格保护的区域。在生态保护红线范围内，严控各类开发建设活动，依法不予审批新建工业项目和矿产开发项目的环评文件</w:t>
            </w:r>
          </w:p>
        </w:tc>
        <w:tc>
          <w:tcPr>
            <w:tcW w:w="2611" w:type="dxa"/>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auto"/>
                <w:kern w:val="0"/>
                <w:sz w:val="21"/>
                <w:szCs w:val="21"/>
              </w:rPr>
              <w:t>本项目位于</w:t>
            </w:r>
            <w:r>
              <w:rPr>
                <w:rFonts w:hint="default" w:ascii="Times New Roman" w:hAnsi="Times New Roman" w:cs="Times New Roman" w:eastAsiaTheme="minorEastAsia"/>
                <w:color w:val="auto"/>
                <w:sz w:val="21"/>
                <w:szCs w:val="21"/>
                <w:highlight w:val="none"/>
              </w:rPr>
              <w:t>安达市先源乡红星村八屯，</w:t>
            </w:r>
            <w:r>
              <w:rPr>
                <w:rFonts w:hint="default" w:ascii="Times New Roman" w:hAnsi="Times New Roman" w:cs="Times New Roman" w:eastAsiaTheme="minorEastAsia"/>
                <w:bCs/>
                <w:color w:val="auto"/>
                <w:kern w:val="0"/>
                <w:sz w:val="21"/>
                <w:szCs w:val="21"/>
                <w:highlight w:val="none"/>
              </w:rPr>
              <w:t>土地现状为一般草地，不在生态保</w:t>
            </w:r>
            <w:r>
              <w:rPr>
                <w:rFonts w:hint="default" w:ascii="Times New Roman" w:hAnsi="Times New Roman" w:cs="Times New Roman" w:eastAsiaTheme="minorEastAsia"/>
                <w:bCs/>
                <w:color w:val="auto"/>
                <w:kern w:val="0"/>
                <w:sz w:val="21"/>
                <w:szCs w:val="21"/>
              </w:rPr>
              <w:t>护红线范围内</w:t>
            </w:r>
            <w:r>
              <w:rPr>
                <w:rFonts w:hint="default" w:ascii="Times New Roman" w:hAnsi="Times New Roman" w:cs="Times New Roman" w:eastAsiaTheme="minorEastAsia"/>
                <w:bCs/>
                <w:color w:val="000000" w:themeColor="text1"/>
                <w:kern w:val="0"/>
                <w:sz w:val="21"/>
                <w:szCs w:val="21"/>
                <w14:textFill>
                  <w14:solidFill>
                    <w14:schemeClr w14:val="tx1"/>
                  </w14:solidFill>
                </w14:textFill>
              </w:rPr>
              <w:t>。</w:t>
            </w:r>
          </w:p>
        </w:tc>
        <w:tc>
          <w:tcPr>
            <w:tcW w:w="1067" w:type="dxa"/>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89" w:type="dxa"/>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2</w:t>
            </w:r>
          </w:p>
        </w:tc>
        <w:tc>
          <w:tcPr>
            <w:tcW w:w="1158" w:type="dxa"/>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环境质量底线</w:t>
            </w:r>
          </w:p>
        </w:tc>
        <w:tc>
          <w:tcPr>
            <w:tcW w:w="3195" w:type="dxa"/>
            <w:gridSpan w:val="2"/>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环境质量现状超标地区以及未达环境质量目标考核要求的地区上新项目将受到限制；对环境质量现状超标的地区，项目拟采取的措施不能满足区域环境质量改善管理要求的，依法不予审批其环评文件</w:t>
            </w:r>
          </w:p>
        </w:tc>
        <w:tc>
          <w:tcPr>
            <w:tcW w:w="2611" w:type="dxa"/>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项目区域环境空气、地表水、声、地下水、土壤环境质量均可满足相关质量标准要求，项目所采取污染防治措施合理可行，各污染物达标排放，根据影响预测结果，不会造成环境质量超标。</w:t>
            </w:r>
          </w:p>
        </w:tc>
        <w:tc>
          <w:tcPr>
            <w:tcW w:w="1067" w:type="dxa"/>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3" w:hRule="atLeast"/>
        </w:trPr>
        <w:tc>
          <w:tcPr>
            <w:tcW w:w="689" w:type="dxa"/>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3</w:t>
            </w:r>
          </w:p>
        </w:tc>
        <w:tc>
          <w:tcPr>
            <w:tcW w:w="1158" w:type="dxa"/>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资源利用上线</w:t>
            </w:r>
          </w:p>
        </w:tc>
        <w:tc>
          <w:tcPr>
            <w:tcW w:w="3195" w:type="dxa"/>
            <w:gridSpan w:val="2"/>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依据有关资源利用上线要求，即各地区能源、水、土地等资源消耗是不得突破的“天花板”</w:t>
            </w:r>
          </w:p>
        </w:tc>
        <w:tc>
          <w:tcPr>
            <w:tcW w:w="2611" w:type="dxa"/>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auto"/>
                <w:kern w:val="0"/>
                <w:sz w:val="21"/>
                <w:szCs w:val="21"/>
                <w:highlight w:val="none"/>
              </w:rPr>
              <w:t>项目采用市政供电。项目用水由自打水井提供，用量较小，能够满足本项目新鲜水使用要求，本项目不属于高污染、高能耗、高水耗的建设项目，符合资源利用上线的要求</w:t>
            </w:r>
            <w:r>
              <w:rPr>
                <w:rFonts w:hint="default" w:ascii="Times New Roman" w:hAnsi="Times New Roman" w:cs="Times New Roman" w:eastAsiaTheme="minorEastAsia"/>
                <w:bCs/>
                <w:color w:val="000000" w:themeColor="text1"/>
                <w:kern w:val="0"/>
                <w:sz w:val="21"/>
                <w:szCs w:val="21"/>
                <w14:textFill>
                  <w14:solidFill>
                    <w14:schemeClr w14:val="tx1"/>
                  </w14:solidFill>
                </w14:textFill>
              </w:rPr>
              <w:t>。</w:t>
            </w:r>
          </w:p>
        </w:tc>
        <w:tc>
          <w:tcPr>
            <w:tcW w:w="1067" w:type="dxa"/>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6" w:hRule="atLeast"/>
        </w:trPr>
        <w:tc>
          <w:tcPr>
            <w:tcW w:w="689" w:type="dxa"/>
            <w:tcBorders>
              <w:bottom w:val="single" w:color="auto" w:sz="4" w:space="0"/>
            </w:tcBorders>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4</w:t>
            </w:r>
          </w:p>
        </w:tc>
        <w:tc>
          <w:tcPr>
            <w:tcW w:w="1158" w:type="dxa"/>
            <w:tcBorders>
              <w:bottom w:val="single" w:color="auto" w:sz="4" w:space="0"/>
            </w:tcBorders>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生态环境准入清单</w:t>
            </w:r>
          </w:p>
        </w:tc>
        <w:tc>
          <w:tcPr>
            <w:tcW w:w="3195" w:type="dxa"/>
            <w:gridSpan w:val="2"/>
            <w:tcBorders>
              <w:bottom w:val="single" w:color="auto" w:sz="4" w:space="0"/>
            </w:tcBorders>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生态环境准入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黑龙江省重点生态功能区产业准入负面清单(试行版)》（黑发改规〔2017〕4号）规划了省内限制类和禁止类区域</w:t>
            </w:r>
          </w:p>
        </w:tc>
        <w:tc>
          <w:tcPr>
            <w:tcW w:w="2611" w:type="dxa"/>
            <w:tcBorders>
              <w:bottom w:val="single" w:color="auto" w:sz="4" w:space="0"/>
            </w:tcBorders>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项目不属于《黑龙江省重点生态功能区产业准入负面清单(试行版)》（黑发改规〔2017〕4号）中负面清单范围，因此不在中限制类及禁止类。本项目为新建项目，项目符合国家产业政策。</w:t>
            </w:r>
          </w:p>
        </w:tc>
        <w:tc>
          <w:tcPr>
            <w:tcW w:w="1067" w:type="dxa"/>
            <w:tcBorders>
              <w:bottom w:val="single" w:color="auto" w:sz="4" w:space="0"/>
            </w:tcBorders>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20" w:hRule="atLeast"/>
        </w:trPr>
        <w:tc>
          <w:tcPr>
            <w:tcW w:w="689" w:type="dxa"/>
            <w:tcBorders>
              <w:top w:val="single" w:color="auto" w:sz="4" w:space="0"/>
              <w:bottom w:val="single" w:color="auto" w:sz="4" w:space="0"/>
            </w:tcBorders>
            <w:vAlign w:val="center"/>
          </w:tcPr>
          <w:p>
            <w:pPr>
              <w:spacing w:line="440" w:lineRule="exact"/>
              <w:ind w:firstLine="0" w:firstLineChars="0"/>
              <w:jc w:val="center"/>
              <w:rPr>
                <w:rFonts w:hint="default" w:ascii="Times New Roman" w:hAnsi="Times New Roman" w:cs="Times New Roman" w:eastAsiaTheme="minorEastAsia"/>
                <w:bCs/>
                <w:color w:val="auto"/>
                <w:kern w:val="0"/>
                <w:sz w:val="21"/>
                <w:szCs w:val="21"/>
                <w:highlight w:val="none"/>
              </w:rPr>
            </w:pPr>
            <w:r>
              <w:rPr>
                <w:rFonts w:hint="default" w:ascii="Times New Roman" w:hAnsi="Times New Roman" w:cs="Times New Roman" w:eastAsiaTheme="minorEastAsia"/>
                <w:bCs/>
                <w:color w:val="auto"/>
                <w:kern w:val="0"/>
                <w:sz w:val="21"/>
                <w:szCs w:val="21"/>
                <w:highlight w:val="none"/>
              </w:rPr>
              <w:t>5</w:t>
            </w:r>
          </w:p>
        </w:tc>
        <w:tc>
          <w:tcPr>
            <w:tcW w:w="1158" w:type="dxa"/>
            <w:tcBorders>
              <w:top w:val="single" w:color="auto" w:sz="4" w:space="0"/>
              <w:bottom w:val="single" w:color="auto" w:sz="4" w:space="0"/>
            </w:tcBorders>
            <w:vAlign w:val="center"/>
          </w:tcPr>
          <w:p>
            <w:pPr>
              <w:spacing w:line="440" w:lineRule="exact"/>
              <w:ind w:firstLine="0" w:firstLineChars="0"/>
              <w:jc w:val="center"/>
              <w:rPr>
                <w:rFonts w:hint="default" w:ascii="Times New Roman" w:hAnsi="Times New Roman" w:cs="Times New Roman" w:eastAsiaTheme="minorEastAsia"/>
                <w:bCs/>
                <w:color w:val="auto"/>
                <w:kern w:val="0"/>
                <w:sz w:val="21"/>
                <w:szCs w:val="21"/>
                <w:highlight w:val="none"/>
              </w:rPr>
            </w:pPr>
            <w:r>
              <w:rPr>
                <w:rFonts w:hint="default" w:ascii="Times New Roman" w:hAnsi="Times New Roman" w:cs="Times New Roman" w:eastAsiaTheme="minorEastAsia"/>
                <w:bCs/>
                <w:color w:val="auto"/>
                <w:kern w:val="0"/>
                <w:sz w:val="21"/>
                <w:szCs w:val="21"/>
                <w:highlight w:val="none"/>
              </w:rPr>
              <w:t>《黑龙江省人民政府关于实施“三线一单”生态环境分区管控的意见》（黑政发[2020]14号）</w:t>
            </w:r>
          </w:p>
        </w:tc>
        <w:tc>
          <w:tcPr>
            <w:tcW w:w="3195" w:type="dxa"/>
            <w:gridSpan w:val="2"/>
            <w:tcBorders>
              <w:top w:val="single" w:color="auto" w:sz="4" w:space="0"/>
              <w:bottom w:val="single" w:color="auto" w:sz="4" w:space="0"/>
            </w:tcBorders>
            <w:vAlign w:val="center"/>
          </w:tcPr>
          <w:p>
            <w:pPr>
              <w:spacing w:line="440" w:lineRule="exact"/>
              <w:ind w:firstLine="0" w:firstLineChars="0"/>
              <w:jc w:val="center"/>
              <w:rPr>
                <w:rFonts w:hint="default" w:ascii="Times New Roman" w:hAnsi="Times New Roman" w:cs="Times New Roman" w:eastAsiaTheme="minorEastAsia"/>
                <w:bCs/>
                <w:color w:val="auto"/>
                <w:kern w:val="0"/>
                <w:sz w:val="21"/>
                <w:szCs w:val="21"/>
                <w:highlight w:val="none"/>
              </w:rPr>
            </w:pPr>
            <w:r>
              <w:rPr>
                <w:rFonts w:hint="default" w:ascii="Times New Roman" w:hAnsi="Times New Roman" w:cs="Times New Roman" w:eastAsiaTheme="minorEastAsia"/>
                <w:bCs/>
                <w:color w:val="auto"/>
                <w:kern w:val="0"/>
                <w:sz w:val="21"/>
                <w:szCs w:val="21"/>
                <w:highlight w:val="none"/>
              </w:rPr>
              <w:t>绥化市划分环境管控单元共71个，其中优先保护单元20个、一般管控单元20个、重点管控单元38个。</w:t>
            </w:r>
          </w:p>
        </w:tc>
        <w:tc>
          <w:tcPr>
            <w:tcW w:w="2611" w:type="dxa"/>
            <w:tcBorders>
              <w:top w:val="single" w:color="auto" w:sz="4" w:space="0"/>
              <w:bottom w:val="single" w:color="auto" w:sz="4" w:space="0"/>
            </w:tcBorders>
            <w:vAlign w:val="center"/>
          </w:tcPr>
          <w:p>
            <w:pPr>
              <w:spacing w:line="440" w:lineRule="exact"/>
              <w:ind w:firstLine="0" w:firstLineChars="0"/>
              <w:jc w:val="center"/>
              <w:rPr>
                <w:rFonts w:hint="default" w:ascii="Times New Roman" w:hAnsi="Times New Roman" w:cs="Times New Roman" w:eastAsiaTheme="minorEastAsia"/>
                <w:bCs/>
                <w:color w:val="auto"/>
                <w:kern w:val="0"/>
                <w:sz w:val="21"/>
                <w:szCs w:val="21"/>
                <w:highlight w:val="none"/>
              </w:rPr>
            </w:pPr>
            <w:r>
              <w:rPr>
                <w:rFonts w:hint="default" w:ascii="Times New Roman" w:hAnsi="Times New Roman" w:cs="Times New Roman" w:eastAsiaTheme="minorEastAsia"/>
                <w:bCs/>
                <w:color w:val="auto"/>
                <w:kern w:val="0"/>
                <w:sz w:val="21"/>
                <w:szCs w:val="21"/>
                <w:highlight w:val="none"/>
              </w:rPr>
              <w:t>本项目位于绥化</w:t>
            </w:r>
            <w:r>
              <w:rPr>
                <w:rFonts w:hint="default" w:ascii="Times New Roman" w:hAnsi="Times New Roman" w:cs="Times New Roman" w:eastAsiaTheme="minorEastAsia"/>
                <w:color w:val="auto"/>
                <w:sz w:val="21"/>
                <w:szCs w:val="21"/>
                <w:highlight w:val="none"/>
              </w:rPr>
              <w:t>安达市先源乡红星村八屯，</w:t>
            </w:r>
            <w:r>
              <w:rPr>
                <w:rFonts w:hint="default" w:ascii="Times New Roman" w:hAnsi="Times New Roman" w:cs="Times New Roman" w:eastAsiaTheme="minorEastAsia"/>
                <w:bCs/>
                <w:color w:val="auto"/>
                <w:kern w:val="0"/>
                <w:sz w:val="21"/>
                <w:szCs w:val="21"/>
                <w:highlight w:val="none"/>
              </w:rPr>
              <w:t>，属于一般管控单元，项目区域环境空气、地表水、声、地下水、土壤环境质量均可满足相关质量标准要求，项目所采取污染防治措施合理可行，各污染物达标排放，根据影响预测结果，不会造成环境质量超标。</w:t>
            </w:r>
          </w:p>
        </w:tc>
        <w:tc>
          <w:tcPr>
            <w:tcW w:w="1067" w:type="dxa"/>
            <w:tcBorders>
              <w:top w:val="single" w:color="auto" w:sz="4" w:space="0"/>
              <w:bottom w:val="single" w:color="auto" w:sz="4" w:space="0"/>
            </w:tcBorders>
            <w:vAlign w:val="center"/>
          </w:tcPr>
          <w:p>
            <w:pPr>
              <w:spacing w:line="440" w:lineRule="exact"/>
              <w:ind w:firstLine="0" w:firstLineChars="0"/>
              <w:jc w:val="center"/>
              <w:rPr>
                <w:rFonts w:hint="default" w:ascii="Times New Roman" w:hAnsi="Times New Roman" w:cs="Times New Roman" w:eastAsiaTheme="minorEastAsia"/>
                <w:bCs/>
                <w:color w:val="auto"/>
                <w:kern w:val="0"/>
                <w:sz w:val="21"/>
                <w:szCs w:val="21"/>
                <w:highlight w:val="none"/>
              </w:rPr>
            </w:pPr>
            <w:r>
              <w:rPr>
                <w:rFonts w:hint="default" w:ascii="Times New Roman" w:hAnsi="Times New Roman" w:cs="Times New Roman" w:eastAsiaTheme="minorEastAsia"/>
                <w:bCs/>
                <w:color w:val="auto"/>
                <w:kern w:val="0"/>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0" w:hRule="atLeast"/>
        </w:trPr>
        <w:tc>
          <w:tcPr>
            <w:tcW w:w="689" w:type="dxa"/>
            <w:vMerge w:val="restart"/>
            <w:tcBorders>
              <w:top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6</w:t>
            </w:r>
          </w:p>
        </w:tc>
        <w:tc>
          <w:tcPr>
            <w:tcW w:w="1158" w:type="dxa"/>
            <w:vMerge w:val="restart"/>
            <w:tcBorders>
              <w:top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《绥化市人民政府关于实施“三线一单”生态环境分区管控的意见》（绥政发〔2021〕10号）</w:t>
            </w:r>
          </w:p>
        </w:tc>
        <w:tc>
          <w:tcPr>
            <w:tcW w:w="3195" w:type="dxa"/>
            <w:gridSpan w:val="2"/>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bCs w:val="0"/>
                <w:color w:val="auto"/>
                <w:highlight w:val="none"/>
              </w:rPr>
              <w:t>绥化市划分环境管控单元共71个，其中优先保护单元20个、一般管控单元20个、重点管控单元38个。</w:t>
            </w:r>
          </w:p>
        </w:tc>
        <w:tc>
          <w:tcPr>
            <w:tcW w:w="2611"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本项目位于绥化市安达市先源乡红星村八屯，属于一般管控单元，不属于优先保护单元，不在安达市生态保护红线区域范围内</w:t>
            </w:r>
          </w:p>
        </w:tc>
        <w:tc>
          <w:tcPr>
            <w:tcW w:w="1067"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0" w:hRule="atLeast"/>
        </w:trPr>
        <w:tc>
          <w:tcPr>
            <w:tcW w:w="689" w:type="dxa"/>
            <w:vMerge w:val="continue"/>
            <w:vAlign w:val="center"/>
          </w:tcPr>
          <w:p>
            <w:pPr>
              <w:spacing w:line="440" w:lineRule="exact"/>
              <w:ind w:firstLine="420"/>
              <w:jc w:val="center"/>
              <w:rPr>
                <w:rFonts w:hint="default" w:ascii="Times New Roman" w:hAnsi="Times New Roman" w:cs="Times New Roman" w:eastAsiaTheme="minorEastAsia"/>
                <w:bCs/>
                <w:color w:val="auto"/>
                <w:kern w:val="0"/>
                <w:sz w:val="21"/>
                <w:szCs w:val="21"/>
                <w:highlight w:val="none"/>
              </w:rPr>
            </w:pPr>
          </w:p>
        </w:tc>
        <w:tc>
          <w:tcPr>
            <w:tcW w:w="1158" w:type="dxa"/>
            <w:vMerge w:val="continue"/>
            <w:vAlign w:val="center"/>
          </w:tcPr>
          <w:p>
            <w:pPr>
              <w:spacing w:line="440" w:lineRule="exact"/>
              <w:ind w:firstLine="420"/>
              <w:jc w:val="center"/>
              <w:rPr>
                <w:rFonts w:hint="default" w:ascii="Times New Roman" w:hAnsi="Times New Roman" w:cs="Times New Roman" w:eastAsiaTheme="minorEastAsia"/>
                <w:bCs/>
                <w:color w:val="auto"/>
                <w:kern w:val="0"/>
                <w:sz w:val="21"/>
                <w:szCs w:val="21"/>
                <w:highlight w:val="none"/>
              </w:rPr>
            </w:pPr>
          </w:p>
        </w:tc>
        <w:tc>
          <w:tcPr>
            <w:tcW w:w="1096" w:type="dxa"/>
            <w:tcBorders>
              <w:top w:val="single" w:color="auto" w:sz="4" w:space="0"/>
              <w:bottom w:val="single" w:color="auto" w:sz="4" w:space="0"/>
              <w:right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空间布局约束</w:t>
            </w:r>
          </w:p>
        </w:tc>
        <w:tc>
          <w:tcPr>
            <w:tcW w:w="2099" w:type="dxa"/>
            <w:tcBorders>
              <w:top w:val="single" w:color="auto" w:sz="4" w:space="0"/>
              <w:left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贯彻实施国家与黑龙江省大气、水污染相关各项标准，深化重点行业污染治理，推进国家和地方确定的各项产业结构调整措施。引导工业项目向开发区集中，促进产业集聚、资源集约、绿色发展。对电力、钢铁、建材、有色、化工、石油石化、煤炭、印染等行业中，环保、能耗等不达标或生产、使用淘汰类产品的企业和产能，依法依规改造升级或有序退出。</w:t>
            </w:r>
          </w:p>
        </w:tc>
        <w:tc>
          <w:tcPr>
            <w:tcW w:w="2611"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本项目为奶牛养殖项目，不属于工业类项目，大气、水污染物排放满足各项标准</w:t>
            </w:r>
          </w:p>
        </w:tc>
        <w:tc>
          <w:tcPr>
            <w:tcW w:w="1067"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0" w:hRule="atLeast"/>
        </w:trPr>
        <w:tc>
          <w:tcPr>
            <w:tcW w:w="689" w:type="dxa"/>
            <w:vMerge w:val="continue"/>
            <w:vAlign w:val="center"/>
          </w:tcPr>
          <w:p>
            <w:pPr>
              <w:spacing w:line="440" w:lineRule="exact"/>
              <w:ind w:firstLine="420"/>
              <w:jc w:val="center"/>
              <w:rPr>
                <w:rFonts w:hint="default" w:ascii="Times New Roman" w:hAnsi="Times New Roman" w:cs="Times New Roman" w:eastAsiaTheme="minorEastAsia"/>
                <w:bCs/>
                <w:color w:val="auto"/>
                <w:kern w:val="0"/>
                <w:sz w:val="21"/>
                <w:szCs w:val="21"/>
                <w:highlight w:val="none"/>
              </w:rPr>
            </w:pPr>
          </w:p>
        </w:tc>
        <w:tc>
          <w:tcPr>
            <w:tcW w:w="1158" w:type="dxa"/>
            <w:vMerge w:val="continue"/>
            <w:vAlign w:val="center"/>
          </w:tcPr>
          <w:p>
            <w:pPr>
              <w:spacing w:line="440" w:lineRule="exact"/>
              <w:ind w:firstLine="420"/>
              <w:jc w:val="center"/>
              <w:rPr>
                <w:rFonts w:hint="default" w:ascii="Times New Roman" w:hAnsi="Times New Roman" w:cs="Times New Roman" w:eastAsiaTheme="minorEastAsia"/>
                <w:bCs/>
                <w:color w:val="auto"/>
                <w:kern w:val="0"/>
                <w:sz w:val="21"/>
                <w:szCs w:val="21"/>
                <w:highlight w:val="none"/>
              </w:rPr>
            </w:pPr>
          </w:p>
        </w:tc>
        <w:tc>
          <w:tcPr>
            <w:tcW w:w="1096" w:type="dxa"/>
            <w:tcBorders>
              <w:top w:val="single" w:color="auto" w:sz="4" w:space="0"/>
              <w:bottom w:val="single" w:color="auto" w:sz="12" w:space="0"/>
              <w:right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环境风险防控</w:t>
            </w:r>
          </w:p>
        </w:tc>
        <w:tc>
          <w:tcPr>
            <w:tcW w:w="2099" w:type="dxa"/>
            <w:tcBorders>
              <w:top w:val="single" w:color="auto" w:sz="4" w:space="0"/>
              <w:left w:val="single" w:color="auto" w:sz="4" w:space="0"/>
              <w:bottom w:val="single" w:color="auto" w:sz="1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各级自然资源等部门在编制土地利用总体规划、城市总体规划、控制性详细规划等相关规划时，应充分考虑污染地块的环境风险，合理确定土地用途。</w:t>
            </w:r>
          </w:p>
        </w:tc>
        <w:tc>
          <w:tcPr>
            <w:tcW w:w="2611" w:type="dxa"/>
            <w:tcBorders>
              <w:top w:val="single" w:color="auto" w:sz="4" w:space="0"/>
              <w:bottom w:val="single" w:color="auto" w:sz="1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本项目为奶牛养殖项目，项目占地性质为一般农牧草地，项目用地符合绥化市安达市土地利用总体规划</w:t>
            </w:r>
          </w:p>
        </w:tc>
        <w:tc>
          <w:tcPr>
            <w:tcW w:w="1067" w:type="dxa"/>
            <w:tcBorders>
              <w:top w:val="single" w:color="auto" w:sz="4" w:space="0"/>
              <w:bottom w:val="single" w:color="auto" w:sz="1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符合</w:t>
            </w:r>
          </w:p>
        </w:tc>
      </w:tr>
    </w:tbl>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根据表1-4-15，可以看出，本项目与“三线一单”相关管理要求相符合。</w:t>
      </w:r>
    </w:p>
    <w:p>
      <w:pPr>
        <w:pStyle w:val="1167"/>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1.4.8项目选址合理性分析</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auto"/>
          <w:sz w:val="24"/>
          <w:szCs w:val="22"/>
          <w:highlight w:val="none"/>
        </w:rPr>
        <w:t>本项目位于绥化市安达市先源乡红星村八屯，土地现状为一般草地，建设单位与土地所有权人签订了土地承包协议书，本项目选址合理性分析见表1-4-16。</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表1-4-16 本项目选址合理性分析一览表</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767"/>
        <w:gridCol w:w="2835"/>
        <w:gridCol w:w="2410"/>
        <w:gridCol w:w="9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1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序号</w:t>
            </w:r>
          </w:p>
        </w:tc>
        <w:tc>
          <w:tcPr>
            <w:tcW w:w="1767" w:type="dxa"/>
            <w:tcBorders>
              <w:top w:val="single" w:color="auto" w:sz="1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文件</w:t>
            </w:r>
          </w:p>
        </w:tc>
        <w:tc>
          <w:tcPr>
            <w:tcW w:w="2835" w:type="dxa"/>
            <w:tcBorders>
              <w:top w:val="single" w:color="auto" w:sz="1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要求</w:t>
            </w:r>
          </w:p>
        </w:tc>
        <w:tc>
          <w:tcPr>
            <w:tcW w:w="2410" w:type="dxa"/>
            <w:tcBorders>
              <w:top w:val="single" w:color="auto" w:sz="1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本项目</w:t>
            </w:r>
          </w:p>
        </w:tc>
        <w:tc>
          <w:tcPr>
            <w:tcW w:w="957" w:type="dxa"/>
            <w:tcBorders>
              <w:top w:val="single" w:color="auto" w:sz="1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c>
          <w:tcPr>
            <w:tcW w:w="1767"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《畜禽养殖业污染防治技术规范》（HJ/T81-2001）</w:t>
            </w:r>
          </w:p>
        </w:tc>
        <w:tc>
          <w:tcPr>
            <w:tcW w:w="2835" w:type="dxa"/>
            <w:vAlign w:val="center"/>
          </w:tcPr>
          <w:p>
            <w:pPr>
              <w:pStyle w:val="666"/>
              <w:widowControl w:val="0"/>
              <w:jc w:val="both"/>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3选址要求</w:t>
            </w:r>
          </w:p>
          <w:p>
            <w:pPr>
              <w:pStyle w:val="666"/>
              <w:widowControl w:val="0"/>
              <w:jc w:val="both"/>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3.1禁止在下列区域内建设畜禽养殖场:</w:t>
            </w:r>
          </w:p>
          <w:p>
            <w:pPr>
              <w:pStyle w:val="666"/>
              <w:widowControl w:val="0"/>
              <w:jc w:val="both"/>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3.1.1生活饮用水水源保护区、风景名胜区,自然保护区的核心区及缓冲区;</w:t>
            </w:r>
          </w:p>
          <w:p>
            <w:pPr>
              <w:pStyle w:val="666"/>
              <w:widowControl w:val="0"/>
              <w:jc w:val="both"/>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3.1.2城市和城镇居民区,包括文教科研区、医疗区、商业区、工业区、游览区等人口集中地区;</w:t>
            </w:r>
          </w:p>
          <w:p>
            <w:pPr>
              <w:pStyle w:val="666"/>
              <w:widowControl w:val="0"/>
              <w:jc w:val="both"/>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3.1.3县级人民政府依法划定的禁养区域;</w:t>
            </w:r>
          </w:p>
          <w:p>
            <w:pPr>
              <w:pStyle w:val="666"/>
              <w:widowControl w:val="0"/>
              <w:jc w:val="both"/>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3.1.4国家或地方法律、法规规定需特殊保护的其它区域</w:t>
            </w:r>
          </w:p>
        </w:tc>
        <w:tc>
          <w:tcPr>
            <w:tcW w:w="2410"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本</w:t>
            </w:r>
            <w:r>
              <w:rPr>
                <w:rFonts w:hint="default" w:ascii="Times New Roman" w:hAnsi="Times New Roman" w:cs="Times New Roman" w:eastAsiaTheme="minorEastAsia"/>
                <w:color w:val="auto"/>
                <w:highlight w:val="none"/>
              </w:rPr>
              <w:t>项目选址位于绥化市安达市先源乡红星村八屯，不属于生活饮用水水源保护区、风景名胜区,自然保护区的</w:t>
            </w:r>
            <w:r>
              <w:rPr>
                <w:rFonts w:hint="default" w:ascii="Times New Roman" w:hAnsi="Times New Roman" w:cs="Times New Roman" w:eastAsiaTheme="minorEastAsia"/>
                <w:color w:val="000000" w:themeColor="text1"/>
                <w14:textFill>
                  <w14:solidFill>
                    <w14:schemeClr w14:val="tx1"/>
                  </w14:solidFill>
                </w14:textFill>
              </w:rPr>
              <w:t>核心区及缓冲区;不属于城市和城镇居民区,包括文教科研区、医疗区、商业区、工业区、游览区等人口集中地区;不属于县级人民政府依法划定的禁养区域;不属于国家或地方法律、法规规定需特殊保护的其它区域</w:t>
            </w:r>
          </w:p>
        </w:tc>
        <w:tc>
          <w:tcPr>
            <w:tcW w:w="957"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c>
          <w:tcPr>
            <w:tcW w:w="1767"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《畜禽养殖禁养区划定技术指南》（环办水体[2016]99号）</w:t>
            </w:r>
          </w:p>
        </w:tc>
        <w:tc>
          <w:tcPr>
            <w:tcW w:w="2835" w:type="dxa"/>
            <w:vAlign w:val="center"/>
          </w:tcPr>
          <w:p>
            <w:pPr>
              <w:pStyle w:val="666"/>
              <w:widowControl w:val="0"/>
              <w:jc w:val="both"/>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r>
              <w:rPr>
                <w:rFonts w:hint="default" w:ascii="Times New Roman" w:hAnsi="Times New Roman" w:cs="Times New Roman" w:eastAsiaTheme="minorEastAsia"/>
                <w:color w:val="000000" w:themeColor="text1"/>
                <w14:textFill>
                  <w14:solidFill>
                    <w14:schemeClr w14:val="tx1"/>
                  </w14:solidFill>
                </w14:textFill>
              </w:rPr>
              <w:tab/>
            </w:r>
            <w:r>
              <w:rPr>
                <w:rFonts w:hint="default" w:ascii="Times New Roman" w:hAnsi="Times New Roman" w:cs="Times New Roman" w:eastAsiaTheme="minorEastAsia"/>
                <w:color w:val="000000" w:themeColor="text1"/>
                <w14:textFill>
                  <w14:solidFill>
                    <w14:schemeClr w14:val="tx1"/>
                  </w14:solidFill>
                </w14:textFill>
              </w:rPr>
              <w:t>饮水水源保护一级保护区内禁止建设养殖场。饮用水水源二级保护区禁止建设有污染物排放的养殖场。</w:t>
            </w:r>
          </w:p>
          <w:p>
            <w:pPr>
              <w:pStyle w:val="666"/>
              <w:widowControl w:val="0"/>
              <w:jc w:val="both"/>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r>
              <w:rPr>
                <w:rFonts w:hint="default" w:ascii="Times New Roman" w:hAnsi="Times New Roman" w:cs="Times New Roman" w:eastAsiaTheme="minorEastAsia"/>
                <w:color w:val="000000" w:themeColor="text1"/>
                <w14:textFill>
                  <w14:solidFill>
                    <w14:schemeClr w14:val="tx1"/>
                  </w14:solidFill>
                </w14:textFill>
              </w:rPr>
              <w:tab/>
            </w:r>
            <w:r>
              <w:rPr>
                <w:rFonts w:hint="default" w:ascii="Times New Roman" w:hAnsi="Times New Roman" w:cs="Times New Roman" w:eastAsiaTheme="minorEastAsia"/>
                <w:color w:val="000000" w:themeColor="text1"/>
                <w14:textFill>
                  <w14:solidFill>
                    <w14:schemeClr w14:val="tx1"/>
                  </w14:solidFill>
                </w14:textFill>
              </w:rPr>
              <w:t>自然保护区核心区和缓冲区范围内，禁止建设养殖场。</w:t>
            </w:r>
          </w:p>
          <w:p>
            <w:pPr>
              <w:pStyle w:val="666"/>
              <w:widowControl w:val="0"/>
              <w:jc w:val="both"/>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w:t>
            </w:r>
            <w:r>
              <w:rPr>
                <w:rFonts w:hint="default" w:ascii="Times New Roman" w:hAnsi="Times New Roman" w:cs="Times New Roman" w:eastAsiaTheme="minorEastAsia"/>
                <w:color w:val="000000" w:themeColor="text1"/>
                <w14:textFill>
                  <w14:solidFill>
                    <w14:schemeClr w14:val="tx1"/>
                  </w14:solidFill>
                </w14:textFill>
              </w:rPr>
              <w:tab/>
            </w:r>
            <w:r>
              <w:rPr>
                <w:rFonts w:hint="default" w:ascii="Times New Roman" w:hAnsi="Times New Roman" w:cs="Times New Roman" w:eastAsiaTheme="minorEastAsia"/>
                <w:color w:val="000000" w:themeColor="text1"/>
                <w14:textFill>
                  <w14:solidFill>
                    <w14:schemeClr w14:val="tx1"/>
                  </w14:solidFill>
                </w14:textFill>
              </w:rPr>
              <w:t>风景名胜区的核心景区禁止建设养殖场；其他区域禁止建设有污染物排放的养殖场。</w:t>
            </w:r>
          </w:p>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w:t>
            </w:r>
            <w:r>
              <w:rPr>
                <w:rFonts w:hint="default" w:ascii="Times New Roman" w:hAnsi="Times New Roman" w:cs="Times New Roman" w:eastAsiaTheme="minorEastAsia"/>
                <w:color w:val="000000" w:themeColor="text1"/>
                <w14:textFill>
                  <w14:solidFill>
                    <w14:schemeClr w14:val="tx1"/>
                  </w14:solidFill>
                </w14:textFill>
              </w:rPr>
              <w:tab/>
            </w:r>
            <w:r>
              <w:rPr>
                <w:rFonts w:hint="default" w:ascii="Times New Roman" w:hAnsi="Times New Roman" w:cs="Times New Roman" w:eastAsiaTheme="minorEastAsia"/>
                <w:color w:val="000000" w:themeColor="text1"/>
                <w14:textFill>
                  <w14:solidFill>
                    <w14:schemeClr w14:val="tx1"/>
                  </w14:solidFill>
                </w14:textFill>
              </w:rPr>
              <w:t>根据城镇现行总体规划，动物防疫条件、卫生防护和环境保护要求等，因地制宜，兼顾城镇发展，科学设置边界范围。边界范围内，禁止建设养殖场。</w:t>
            </w:r>
          </w:p>
        </w:tc>
        <w:tc>
          <w:tcPr>
            <w:tcW w:w="2410" w:type="dxa"/>
            <w:vAlign w:val="center"/>
          </w:tcPr>
          <w:p>
            <w:pPr>
              <w:pStyle w:val="666"/>
              <w:widowControl w:val="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本项目选址位于绥化市安达市先源乡红星村八屯不在饮水水源保护一级保护区、饮用水水源二级保护区、自然保护区核心区和缓冲区、风景名胜区的核心景区、其他禁止建设有污染物排放的养殖场的区域</w:t>
            </w:r>
          </w:p>
        </w:tc>
        <w:tc>
          <w:tcPr>
            <w:tcW w:w="957"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w:t>
            </w:r>
          </w:p>
        </w:tc>
        <w:tc>
          <w:tcPr>
            <w:tcW w:w="1767"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《畜禽粪便无害化处理技术规范》（GB/T36195-2018）</w:t>
            </w:r>
          </w:p>
        </w:tc>
        <w:tc>
          <w:tcPr>
            <w:tcW w:w="2835" w:type="dxa"/>
            <w:vAlign w:val="center"/>
          </w:tcPr>
          <w:p>
            <w:pPr>
              <w:pStyle w:val="666"/>
              <w:widowControl w:val="0"/>
              <w:jc w:val="both"/>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 粪便处理场选址及布5.1不应在下列区域内建设畜禽粪便处理场：</w:t>
            </w:r>
          </w:p>
          <w:p>
            <w:pPr>
              <w:pStyle w:val="666"/>
              <w:widowControl w:val="0"/>
              <w:jc w:val="lef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a）生活饮用水水源保护区、风景名胜区、自然保护区的核心区及缓冲区；b）城市和城镇居民区，包括文教科研、医疗、商业和工业等人口集中地区；c）县级及县级以上人民政府依法划定的禁养区域；d）国家或地方法律、法规规定需特殊保护的其他区域。</w:t>
            </w:r>
          </w:p>
          <w:p>
            <w:pPr>
              <w:pStyle w:val="666"/>
              <w:widowControl w:val="0"/>
              <w:jc w:val="both"/>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5.4畜禽粪便处理场地应距离功能地表水体400m以上。</w:t>
            </w:r>
          </w:p>
          <w:p>
            <w:pPr>
              <w:pStyle w:val="666"/>
              <w:widowControl w:val="0"/>
              <w:jc w:val="both"/>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5.5畜禽粪便处理场区应采取地面硬化、防渗漏、防径流和雨污分流等措施。</w:t>
            </w:r>
          </w:p>
        </w:tc>
        <w:tc>
          <w:tcPr>
            <w:tcW w:w="2410" w:type="dxa"/>
            <w:vAlign w:val="center"/>
          </w:tcPr>
          <w:p>
            <w:pPr>
              <w:pStyle w:val="666"/>
              <w:widowControl w:val="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本项目选址位于绥化市安达市先源乡红星村八屯，不在生活饮用水水源保护区、风景名胜区、自然保护区的核心区及缓冲区、城市和城镇居民区、包括文教科研、医疗、商业和工业等人口集中地区、县级及县级以上人民政府依法划定的禁养区域、国家或地方法律、法规规定需特殊保护的其他区域。距离本项目最近地表水体为东湖水库，位于本项目北侧8km，大于400m，黑膜沼气池、固液分离间密闭，黑膜沼气池、固液分离间、沼气储存池采用25cm防渗混凝土（防渗等级P6），渗透系数不大于10</w:t>
            </w:r>
            <w:r>
              <w:rPr>
                <w:rFonts w:hint="default" w:ascii="Times New Roman" w:hAnsi="Times New Roman" w:cs="Times New Roman" w:eastAsiaTheme="minorEastAsia"/>
                <w:color w:val="auto"/>
                <w:highlight w:val="none"/>
                <w:vertAlign w:val="superscript"/>
              </w:rPr>
              <w:t>-8</w:t>
            </w:r>
            <w:r>
              <w:rPr>
                <w:rFonts w:hint="default" w:ascii="Times New Roman" w:hAnsi="Times New Roman" w:cs="Times New Roman" w:eastAsiaTheme="minorEastAsia"/>
                <w:color w:val="auto"/>
                <w:highlight w:val="none"/>
              </w:rPr>
              <w:t>cm/s，防渗技术满足等效粘土防渗层Mb≥1.5m、K≤1.0×10</w:t>
            </w:r>
            <w:r>
              <w:rPr>
                <w:rFonts w:hint="default" w:ascii="Times New Roman" w:hAnsi="Times New Roman" w:cs="Times New Roman" w:eastAsiaTheme="minorEastAsia"/>
                <w:color w:val="auto"/>
                <w:highlight w:val="none"/>
                <w:vertAlign w:val="superscript"/>
              </w:rPr>
              <w:t>-7</w:t>
            </w:r>
            <w:r>
              <w:rPr>
                <w:rFonts w:hint="default" w:ascii="Times New Roman" w:hAnsi="Times New Roman" w:cs="Times New Roman" w:eastAsiaTheme="minorEastAsia"/>
                <w:color w:val="auto"/>
                <w:highlight w:val="none"/>
              </w:rPr>
              <w:t>cm/s要求</w:t>
            </w:r>
          </w:p>
        </w:tc>
        <w:tc>
          <w:tcPr>
            <w:tcW w:w="957"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w:t>
            </w:r>
          </w:p>
        </w:tc>
        <w:tc>
          <w:tcPr>
            <w:tcW w:w="1767"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《黑龙江省畜禽禁养区划定技术指南》（黑环函[2016]67号）</w:t>
            </w:r>
          </w:p>
        </w:tc>
        <w:tc>
          <w:tcPr>
            <w:tcW w:w="2835"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以下区域应依法划定为禁养区：</w:t>
            </w:r>
            <w:r>
              <w:rPr>
                <w:rFonts w:hint="default" w:ascii="Times New Roman" w:hAnsi="Times New Roman" w:cs="Times New Roman" w:eastAsiaTheme="minorEastAsia"/>
                <w:color w:val="000000" w:themeColor="text1"/>
                <w14:textFill>
                  <w14:solidFill>
                    <w14:schemeClr w14:val="tx1"/>
                  </w14:solidFill>
                </w14:textFill>
              </w:rPr>
              <w:tab/>
            </w:r>
            <w:r>
              <w:rPr>
                <w:rFonts w:hint="default" w:ascii="Times New Roman" w:hAnsi="Times New Roman" w:cs="Times New Roman" w:eastAsiaTheme="minorEastAsia"/>
                <w:color w:val="000000" w:themeColor="text1"/>
                <w14:textFill>
                  <w14:solidFill>
                    <w14:schemeClr w14:val="tx1"/>
                  </w14:solidFill>
                </w14:textFill>
              </w:rPr>
              <w:t>5.2.1饮用水水源保护区，包括饮用水源一级保护区和二级保护区的陆域范围。已经完成饮用水水源保护区划分的，按照现有陆域边界范围执行，未完成饮用水水源保护区划分的，按照《饮用水水源保护区划分技术规范》中各类饮用水水源保护区划分方法执行。</w:t>
            </w:r>
          </w:p>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5.2.2风景名胜区，包括国家级和省级风景名胜区。风景名胜区以国务院及各省级人民政府批准公布的名单为准，范围按照其规划确定的范围执行。5.2.3自然保护区，包括国家级和地方级自然保护区的核心区和缓冲区，按照国务院及县级以上地方人民政府公布的自然保护区范围执行。</w:t>
            </w:r>
          </w:p>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5.2.4城镇居民区和文化教育科学研究区，根据城镇现行总体规划，动物防疫条件、卫生防护和大气环境保护距离等要求，因地制宜，兼顾城镇发展，科学设置边界范围。</w:t>
            </w:r>
          </w:p>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5.2.5其他法律、法规、行政规章规定禁止畜禽养殖的区域以及确需纳入禁养区范围进行特殊保护的区域，各地根据城乡发展规划和区域污染物总量控制要求和政策规定，科学、可行的划定边界范围</w:t>
            </w:r>
          </w:p>
        </w:tc>
        <w:tc>
          <w:tcPr>
            <w:tcW w:w="2410" w:type="dxa"/>
            <w:vAlign w:val="center"/>
          </w:tcPr>
          <w:p>
            <w:pPr>
              <w:pStyle w:val="666"/>
              <w:widowControl w:val="0"/>
              <w:jc w:val="lef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本项目选址位于绥化市</w:t>
            </w:r>
            <w:r>
              <w:rPr>
                <w:rFonts w:hint="eastAsia" w:ascii="Times New Roman" w:hAnsi="Times New Roman" w:cs="Times New Roman" w:eastAsiaTheme="minorEastAsia"/>
                <w:color w:val="auto"/>
                <w:highlight w:val="none"/>
                <w:lang w:eastAsia="zh-CN"/>
              </w:rPr>
              <w:t>安达市东14公里，明沈公路南侧1000米处</w:t>
            </w:r>
            <w:r>
              <w:rPr>
                <w:rFonts w:hint="default" w:ascii="Times New Roman" w:hAnsi="Times New Roman" w:cs="Times New Roman" w:eastAsiaTheme="minorEastAsia"/>
                <w:color w:val="auto"/>
                <w:highlight w:val="none"/>
              </w:rPr>
              <w:t>，不在饮用水水源保护区、风景名胜区、自然保护区</w:t>
            </w:r>
            <w:r>
              <w:rPr>
                <w:rFonts w:hint="default" w:ascii="Times New Roman" w:hAnsi="Times New Roman" w:cs="Times New Roman" w:eastAsiaTheme="minorEastAsia"/>
                <w:color w:val="000000" w:themeColor="text1"/>
                <w14:textFill>
                  <w14:solidFill>
                    <w14:schemeClr w14:val="tx1"/>
                  </w14:solidFill>
                </w14:textFill>
              </w:rPr>
              <w:t>、城镇居民区和文化教育科学研究区、其他法律、法规、行政规章规定禁止畜禽养殖的区域以及确需纳入禁养区范围进行特殊保护的区域内</w:t>
            </w:r>
          </w:p>
        </w:tc>
        <w:tc>
          <w:tcPr>
            <w:tcW w:w="957"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w:t>
            </w:r>
          </w:p>
        </w:tc>
        <w:tc>
          <w:tcPr>
            <w:tcW w:w="1767"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《关于做好畜禽规模养殖项目环境影响评价管理工作的通知》（环办环评[2018]31号）</w:t>
            </w:r>
          </w:p>
        </w:tc>
        <w:tc>
          <w:tcPr>
            <w:tcW w:w="2835"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项目环评应充分论证选址的环境合理性，选址应避开当地划定的禁止养殖区域，并与区域主体功能区规划、环境功能区划、土地利用规划、城乡规划、畜牧业发展规划、畜禽养殖污染防治规划等规划相协调。当地未划定禁止养殖区域的，应避开饮用水水源保护区、风景名胜区、自然保护区的核心区和缓冲区、村镇人口集中区域，以及法律、法规规定的禁止养殖区域。</w:t>
            </w:r>
          </w:p>
        </w:tc>
        <w:tc>
          <w:tcPr>
            <w:tcW w:w="2410" w:type="dxa"/>
            <w:vAlign w:val="center"/>
          </w:tcPr>
          <w:p>
            <w:pPr>
              <w:pStyle w:val="666"/>
              <w:widowControl w:val="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本项目选址位于绥化市</w:t>
            </w:r>
            <w:r>
              <w:rPr>
                <w:rFonts w:hint="eastAsia" w:ascii="Times New Roman" w:hAnsi="Times New Roman" w:cs="Times New Roman" w:eastAsiaTheme="minorEastAsia"/>
                <w:color w:val="auto"/>
                <w:highlight w:val="none"/>
                <w:lang w:eastAsia="zh-CN"/>
              </w:rPr>
              <w:t>安达市东14公里，明沈公路南侧1000米处</w:t>
            </w:r>
            <w:r>
              <w:rPr>
                <w:rFonts w:hint="default" w:ascii="Times New Roman" w:hAnsi="Times New Roman" w:cs="Times New Roman" w:eastAsiaTheme="minorEastAsia"/>
                <w:color w:val="auto"/>
                <w:highlight w:val="none"/>
              </w:rPr>
              <w:t>，不在当地划定的禁止养殖区域，并与区域主体功能区规划、环境功能区划、土地利用规划、城乡规划、畜牧业发展规划、畜禽养殖污染防治规划等规划相协调。</w:t>
            </w:r>
          </w:p>
        </w:tc>
        <w:tc>
          <w:tcPr>
            <w:tcW w:w="957"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751" w:type="dxa"/>
            <w:tcBorders>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w:t>
            </w:r>
          </w:p>
        </w:tc>
        <w:tc>
          <w:tcPr>
            <w:tcW w:w="1767" w:type="dxa"/>
            <w:tcBorders>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《安达市畜禽禁养区划定方案》</w:t>
            </w:r>
          </w:p>
        </w:tc>
        <w:tc>
          <w:tcPr>
            <w:tcW w:w="2835" w:type="dxa"/>
            <w:tcBorders>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方案指出：依法划定的禁养区区域分五大类，第一类为饮用水水源保护区，包括饮用水水源一级保护区和二级保护区的陆域范围。第二类为风景名胜区。第三类为自然保护区的核心区、缓冲区，包括国家级和地方级自然保护区。第四类为城镇居民区，包括文化教育科学研究区。第五类为法律、法规、规章规定禁止畜禽养殖的区域以及确需纳入禁养区范围内进行特殊保护的区域。</w:t>
            </w:r>
          </w:p>
        </w:tc>
        <w:tc>
          <w:tcPr>
            <w:tcW w:w="2410" w:type="dxa"/>
            <w:tcBorders>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本项目选址位于绥化市</w:t>
            </w:r>
            <w:r>
              <w:rPr>
                <w:rFonts w:hint="eastAsia" w:ascii="Times New Roman" w:hAnsi="Times New Roman" w:cs="Times New Roman" w:eastAsiaTheme="minorEastAsia"/>
                <w:color w:val="auto"/>
                <w:highlight w:val="none"/>
                <w:lang w:eastAsia="zh-CN"/>
              </w:rPr>
              <w:t>安达市东14公里，明沈公路南侧1000米处</w:t>
            </w:r>
            <w:r>
              <w:rPr>
                <w:rFonts w:hint="default" w:ascii="Times New Roman" w:hAnsi="Times New Roman" w:cs="Times New Roman" w:eastAsiaTheme="minorEastAsia"/>
                <w:color w:val="auto"/>
                <w:highlight w:val="none"/>
              </w:rPr>
              <w:t>，不在饮用水水源保护区、</w:t>
            </w:r>
            <w:r>
              <w:rPr>
                <w:rFonts w:hint="default" w:ascii="Times New Roman" w:hAnsi="Times New Roman" w:cs="Times New Roman" w:eastAsiaTheme="minorEastAsia"/>
                <w:color w:val="000000" w:themeColor="text1"/>
                <w14:textFill>
                  <w14:solidFill>
                    <w14:schemeClr w14:val="tx1"/>
                  </w14:solidFill>
                </w14:textFill>
              </w:rPr>
              <w:t>风景名胜区、自然保护区的核心区、缓冲区、城镇居民区，包括文化教育科学研究区、法律、法规、规章规定禁止畜禽养殖的区域以及确需纳入禁养区范围内，不在方案划定的禁养区区域内，符合方案要求。</w:t>
            </w:r>
          </w:p>
        </w:tc>
        <w:tc>
          <w:tcPr>
            <w:tcW w:w="957" w:type="dxa"/>
            <w:tcBorders>
              <w:bottom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751" w:type="dxa"/>
            <w:tcBorders>
              <w:top w:val="single" w:color="auto" w:sz="2" w:space="0"/>
              <w:bottom w:val="single" w:color="auto" w:sz="1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w:t>
            </w:r>
          </w:p>
        </w:tc>
        <w:tc>
          <w:tcPr>
            <w:tcW w:w="1767" w:type="dxa"/>
            <w:tcBorders>
              <w:top w:val="single" w:color="auto" w:sz="2" w:space="0"/>
              <w:bottom w:val="single" w:color="auto" w:sz="1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《动物防疫条件审查办法》（农业部令2010年第7号）</w:t>
            </w:r>
          </w:p>
        </w:tc>
        <w:tc>
          <w:tcPr>
            <w:tcW w:w="2835" w:type="dxa"/>
            <w:tcBorders>
              <w:top w:val="single" w:color="auto" w:sz="2" w:space="0"/>
              <w:bottom w:val="single" w:color="auto" w:sz="1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第五条第（三）项规定:动物饲养场、养殖小区选址应当距离城镇居民区、文化教育科研等人口集中区域及公路、铁路等主要交通干线500米以上</w:t>
            </w:r>
          </w:p>
        </w:tc>
        <w:tc>
          <w:tcPr>
            <w:tcW w:w="2410" w:type="dxa"/>
            <w:tcBorders>
              <w:top w:val="single" w:color="auto" w:sz="2" w:space="0"/>
              <w:bottom w:val="single" w:color="auto" w:sz="1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本项目与最近环境保护</w:t>
            </w:r>
            <w:r>
              <w:rPr>
                <w:rFonts w:hint="default" w:ascii="Times New Roman" w:hAnsi="Times New Roman" w:cs="Times New Roman" w:eastAsiaTheme="minorEastAsia"/>
                <w:color w:val="auto"/>
                <w:highlight w:val="none"/>
              </w:rPr>
              <w:t>目标</w:t>
            </w:r>
            <w:r>
              <w:rPr>
                <w:rFonts w:hint="default" w:ascii="Times New Roman" w:hAnsi="Times New Roman" w:cs="Times New Roman" w:eastAsiaTheme="minorEastAsia"/>
                <w:color w:val="auto"/>
                <w:highlight w:val="none"/>
                <w:lang w:eastAsia="zh-CN"/>
              </w:rPr>
              <w:t>鞠家窑屯</w:t>
            </w:r>
            <w:r>
              <w:rPr>
                <w:rFonts w:hint="default" w:ascii="Times New Roman" w:hAnsi="Times New Roman" w:cs="Times New Roman" w:eastAsiaTheme="minorEastAsia"/>
                <w:color w:val="auto"/>
                <w:highlight w:val="none"/>
              </w:rPr>
              <w:t>为</w:t>
            </w:r>
            <w:r>
              <w:rPr>
                <w:rFonts w:hint="default" w:ascii="Times New Roman" w:hAnsi="Times New Roman" w:cs="Times New Roman" w:eastAsiaTheme="minorEastAsia"/>
                <w:color w:val="auto"/>
                <w:highlight w:val="none"/>
                <w:lang w:val="en-US" w:eastAsia="zh-CN"/>
              </w:rPr>
              <w:t>863</w:t>
            </w:r>
            <w:r>
              <w:rPr>
                <w:rFonts w:hint="default" w:ascii="Times New Roman" w:hAnsi="Times New Roman" w:cs="Times New Roman" w:eastAsiaTheme="minorEastAsia"/>
                <w:color w:val="auto"/>
                <w:highlight w:val="none"/>
              </w:rPr>
              <w:t>m，</w:t>
            </w:r>
            <w:r>
              <w:rPr>
                <w:rFonts w:hint="default" w:ascii="Times New Roman" w:hAnsi="Times New Roman" w:cs="Times New Roman" w:eastAsiaTheme="minorEastAsia"/>
                <w:color w:val="000000" w:themeColor="text1"/>
                <w14:textFill>
                  <w14:solidFill>
                    <w14:schemeClr w14:val="tx1"/>
                  </w14:solidFill>
                </w14:textFill>
              </w:rPr>
              <w:t>符合办法要求</w:t>
            </w:r>
          </w:p>
        </w:tc>
        <w:tc>
          <w:tcPr>
            <w:tcW w:w="957" w:type="dxa"/>
            <w:tcBorders>
              <w:top w:val="single" w:color="auto" w:sz="2" w:space="0"/>
              <w:bottom w:val="single" w:color="auto" w:sz="1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符合</w:t>
            </w:r>
          </w:p>
        </w:tc>
      </w:tr>
    </w:tbl>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000000" w:themeColor="text1"/>
          <w:sz w:val="24"/>
          <w:szCs w:val="22"/>
          <w14:textFill>
            <w14:solidFill>
              <w14:schemeClr w14:val="tx1"/>
            </w14:solidFill>
          </w14:textFill>
        </w:rPr>
        <w:t>本项目选址与《畜禽养殖业污染防治技术规范》（HJ/T81-2001）、《畜禽养殖禁养区划定技术指南》（环办水体[2016]99号）、《畜禽粪便无害化处理技术规范》（GB/T36195-2018）、《黑龙江省畜禽禁养区划定技术指南》（黑环函[2016]67号）、《关于做好畜禽规模养殖项目环境影响评价管理工作的通知》（环办环评[2018]31号）、</w:t>
      </w:r>
      <w:r>
        <w:rPr>
          <w:rFonts w:hint="default" w:ascii="Times New Roman" w:hAnsi="Times New Roman" w:cs="Times New Roman" w:eastAsiaTheme="minorEastAsia"/>
          <w:color w:val="auto"/>
          <w:sz w:val="24"/>
          <w:szCs w:val="22"/>
          <w:highlight w:val="none"/>
        </w:rPr>
        <w:t>《安达市畜禽禁养区划定方案》、《动物防疫条件审查办法》（农业部令2010年第7号）相符合，不在禁养区范围内；本项目占地面积143000m</w:t>
      </w:r>
      <w:r>
        <w:rPr>
          <w:rFonts w:hint="default" w:ascii="Times New Roman" w:hAnsi="Times New Roman" w:cs="Times New Roman" w:eastAsiaTheme="minorEastAsia"/>
          <w:color w:val="auto"/>
          <w:sz w:val="24"/>
          <w:szCs w:val="22"/>
          <w:highlight w:val="none"/>
          <w:vertAlign w:val="superscript"/>
        </w:rPr>
        <w:t>2</w:t>
      </w:r>
      <w:r>
        <w:rPr>
          <w:rFonts w:hint="default" w:ascii="Times New Roman" w:hAnsi="Times New Roman" w:cs="Times New Roman" w:eastAsiaTheme="minorEastAsia"/>
          <w:color w:val="auto"/>
          <w:sz w:val="24"/>
          <w:szCs w:val="22"/>
          <w:highlight w:val="none"/>
        </w:rPr>
        <w:t>，周边为一般草地，不存在国家公园、自然保护区、风景名胜区、世界文化和自然遗产地、海洋特别保护区、饮用水水源保护区，以居住、医疗卫生、文化教育、科研、行政办公为主要功能的区域，以及文物保护单位，符合《黑龙江省人民政府关于实施“三线一单”生态环境分区管控的意见》（黑政发[2020]14号）、《绥化市市人民政府关于实施“三线一单”生态环境分区管控的意见（绥政发〔2021〕10号）中“三线一单”选址要求，项目选址合理。</w:t>
      </w:r>
    </w:p>
    <w:p>
      <w:pPr>
        <w:pStyle w:val="639"/>
        <w:rPr>
          <w:rFonts w:hint="default" w:ascii="Times New Roman" w:hAnsi="Times New Roman" w:cs="Times New Roman" w:eastAsiaTheme="minorEastAsia"/>
          <w:b/>
          <w:bCs w:val="0"/>
          <w:color w:val="auto"/>
          <w:highlight w:val="none"/>
        </w:rPr>
      </w:pPr>
      <w:bookmarkStart w:id="26" w:name="_Toc9496"/>
      <w:r>
        <w:rPr>
          <w:rFonts w:hint="default" w:ascii="Times New Roman" w:hAnsi="Times New Roman" w:cs="Times New Roman" w:eastAsiaTheme="minorEastAsia"/>
          <w:b/>
          <w:bCs w:val="0"/>
          <w:color w:val="auto"/>
          <w:highlight w:val="none"/>
        </w:rPr>
        <w:t>1.5 主要关注环境问题</w:t>
      </w:r>
      <w:bookmarkEnd w:id="26"/>
    </w:p>
    <w:p>
      <w:pPr>
        <w:pStyle w:val="1167"/>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1.5.1 废气对环境的影响</w:t>
      </w:r>
    </w:p>
    <w:p>
      <w:pPr>
        <w:spacing w:line="520" w:lineRule="atLeast"/>
        <w:ind w:firstLine="56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项目主要废气包括生物质锅炉燃烧废气、沼气燃烧废气、牛舍及粪污处理区产生的无组织恶臭气体、饲料加工粉尘等，主要污染物为TSP、PM</w:t>
      </w:r>
      <w:r>
        <w:rPr>
          <w:rFonts w:hint="default" w:ascii="Times New Roman" w:hAnsi="Times New Roman" w:cs="Times New Roman" w:eastAsiaTheme="minorEastAsia"/>
          <w:color w:val="auto"/>
          <w:sz w:val="24"/>
          <w:szCs w:val="24"/>
          <w:highlight w:val="none"/>
          <w:vertAlign w:val="subscript"/>
        </w:rPr>
        <w:t>10</w:t>
      </w:r>
      <w:r>
        <w:rPr>
          <w:rFonts w:hint="default" w:ascii="Times New Roman" w:hAnsi="Times New Roman" w:cs="Times New Roman" w:eastAsiaTheme="minorEastAsia"/>
          <w:color w:val="auto"/>
          <w:sz w:val="24"/>
          <w:szCs w:val="24"/>
          <w:highlight w:val="none"/>
        </w:rPr>
        <w:t>、SO</w:t>
      </w:r>
      <w:r>
        <w:rPr>
          <w:rFonts w:hint="default" w:ascii="Times New Roman" w:hAnsi="Times New Roman" w:cs="Times New Roman" w:eastAsiaTheme="minorEastAsia"/>
          <w:color w:val="auto"/>
          <w:sz w:val="24"/>
          <w:szCs w:val="24"/>
          <w:highlight w:val="none"/>
          <w:vertAlign w:val="subscript"/>
        </w:rPr>
        <w:t>2</w:t>
      </w:r>
      <w:r>
        <w:rPr>
          <w:rFonts w:hint="default" w:ascii="Times New Roman" w:hAnsi="Times New Roman" w:cs="Times New Roman" w:eastAsiaTheme="minorEastAsia"/>
          <w:color w:val="auto"/>
          <w:sz w:val="24"/>
          <w:szCs w:val="24"/>
          <w:highlight w:val="none"/>
        </w:rPr>
        <w:t>、NO</w:t>
      </w:r>
      <w:r>
        <w:rPr>
          <w:rFonts w:hint="default" w:ascii="Times New Roman" w:hAnsi="Times New Roman" w:cs="Times New Roman" w:eastAsiaTheme="minorEastAsia"/>
          <w:color w:val="auto"/>
          <w:sz w:val="24"/>
          <w:szCs w:val="24"/>
          <w:highlight w:val="none"/>
          <w:vertAlign w:val="subscript"/>
        </w:rPr>
        <w:t>X</w:t>
      </w:r>
      <w:r>
        <w:rPr>
          <w:rFonts w:hint="default" w:ascii="Times New Roman" w:hAnsi="Times New Roman" w:cs="Times New Roman" w:eastAsiaTheme="minorEastAsia"/>
          <w:color w:val="auto"/>
          <w:sz w:val="24"/>
          <w:szCs w:val="24"/>
          <w:highlight w:val="none"/>
        </w:rPr>
        <w:t>、NH</w:t>
      </w:r>
      <w:r>
        <w:rPr>
          <w:rFonts w:hint="default" w:ascii="Times New Roman" w:hAnsi="Times New Roman" w:cs="Times New Roman" w:eastAsiaTheme="minorEastAsia"/>
          <w:color w:val="auto"/>
          <w:sz w:val="24"/>
          <w:szCs w:val="24"/>
          <w:highlight w:val="none"/>
          <w:vertAlign w:val="subscript"/>
        </w:rPr>
        <w:t>3</w:t>
      </w:r>
      <w:r>
        <w:rPr>
          <w:rFonts w:hint="default" w:ascii="Times New Roman" w:hAnsi="Times New Roman" w:cs="Times New Roman" w:eastAsiaTheme="minorEastAsia"/>
          <w:color w:val="auto"/>
          <w:sz w:val="24"/>
          <w:szCs w:val="24"/>
          <w:highlight w:val="none"/>
        </w:rPr>
        <w:t>和H</w:t>
      </w:r>
      <w:r>
        <w:rPr>
          <w:rFonts w:hint="default" w:ascii="Times New Roman" w:hAnsi="Times New Roman" w:cs="Times New Roman" w:eastAsiaTheme="minorEastAsia"/>
          <w:color w:val="auto"/>
          <w:sz w:val="24"/>
          <w:szCs w:val="24"/>
          <w:highlight w:val="none"/>
          <w:vertAlign w:val="subscript"/>
        </w:rPr>
        <w:t>2</w:t>
      </w:r>
      <w:r>
        <w:rPr>
          <w:rFonts w:hint="default" w:ascii="Times New Roman" w:hAnsi="Times New Roman" w:cs="Times New Roman" w:eastAsiaTheme="minorEastAsia"/>
          <w:color w:val="auto"/>
          <w:sz w:val="24"/>
          <w:szCs w:val="24"/>
          <w:highlight w:val="none"/>
        </w:rPr>
        <w:t>S。</w:t>
      </w:r>
    </w:p>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1.5.2 废水对环境的影响</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项目运营期废水污染源主要为牛尿、牛舍冲洗废水、牛舍喷淋水、挤奶厅清洗废水、生活污水等。废水污染因子为COD、BOD</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5</w:t>
      </w:r>
      <w:r>
        <w:rPr>
          <w:rFonts w:hint="default" w:ascii="Times New Roman" w:hAnsi="Times New Roman" w:cs="Times New Roman" w:eastAsiaTheme="minorEastAsia"/>
          <w:color w:val="000000" w:themeColor="text1"/>
          <w:sz w:val="24"/>
          <w:szCs w:val="24"/>
          <w14:textFill>
            <w14:solidFill>
              <w14:schemeClr w14:val="tx1"/>
            </w14:solidFill>
          </w14:textFill>
        </w:rPr>
        <w:t>、氨氮、悬浮物等。</w:t>
      </w:r>
    </w:p>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1.5.3 地下水环境影响</w:t>
      </w:r>
    </w:p>
    <w:p>
      <w:pPr>
        <w:ind w:firstLine="56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本项目对地下水环境产生影响的包括固液分离间、黑膜沼气池、沼气储存池等，废水污染物浓度最高的单元为固液分离间，因此将固液分离间内集污池作为渗漏预测对象，预测项目建设对区域地下水环境影响。</w:t>
      </w:r>
    </w:p>
    <w:p>
      <w:pPr>
        <w:pStyle w:val="1167"/>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1.5.4 噪声对环境的影响</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本项目噪声源为水泵、风机等产生的设备噪声，预测项目噪声对周围声环境影响。</w:t>
      </w:r>
    </w:p>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p>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p>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1.5.5 固体废物对环境的影响</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本项目固体废物主要关注牛粪、病死牛、医疗废物、沼渣、废沼气脱硫剂、生活垃圾等。</w:t>
      </w:r>
    </w:p>
    <w:bookmarkEnd w:id="15"/>
    <w:bookmarkEnd w:id="16"/>
    <w:bookmarkEnd w:id="17"/>
    <w:bookmarkEnd w:id="18"/>
    <w:p>
      <w:pPr>
        <w:ind w:firstLine="0" w:firstLineChars="0"/>
        <w:outlineLvl w:val="2"/>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1.5.6 环境风险</w:t>
      </w:r>
    </w:p>
    <w:p>
      <w:pPr>
        <w:spacing w:line="500" w:lineRule="exact"/>
        <w:ind w:firstLine="560"/>
        <w:rPr>
          <w:rFonts w:hint="default" w:ascii="Times New Roman" w:hAnsi="Times New Roman" w:cs="Times New Roman" w:eastAsiaTheme="minorEastAsia"/>
          <w:color w:val="auto"/>
          <w:sz w:val="24"/>
          <w:szCs w:val="24"/>
          <w:highlight w:val="none"/>
          <w:lang w:val="en-GB"/>
        </w:rPr>
      </w:pPr>
      <w:r>
        <w:rPr>
          <w:rFonts w:hint="default" w:ascii="Times New Roman" w:hAnsi="Times New Roman" w:cs="Times New Roman" w:eastAsiaTheme="minorEastAsia"/>
          <w:color w:val="auto"/>
          <w:kern w:val="24"/>
          <w:sz w:val="24"/>
          <w:szCs w:val="24"/>
          <w:highlight w:val="none"/>
        </w:rPr>
        <w:t>根据《建设项目环境风险评价技术导则》（HJ169-2018）附录B进行</w:t>
      </w:r>
      <w:r>
        <w:rPr>
          <w:rFonts w:hint="default" w:ascii="Times New Roman" w:hAnsi="Times New Roman" w:cs="Times New Roman" w:eastAsiaTheme="minorEastAsia"/>
          <w:color w:val="auto"/>
          <w:sz w:val="24"/>
          <w:szCs w:val="24"/>
          <w:highlight w:val="none"/>
          <w:lang w:val="en-GB"/>
        </w:rPr>
        <w:t>分析判定，</w:t>
      </w:r>
      <w:r>
        <w:rPr>
          <w:rFonts w:hint="default" w:ascii="Times New Roman" w:hAnsi="Times New Roman" w:cs="Times New Roman" w:eastAsiaTheme="minorEastAsia"/>
          <w:color w:val="auto"/>
          <w:sz w:val="24"/>
          <w:szCs w:val="24"/>
          <w:highlight w:val="none"/>
        </w:rPr>
        <w:t>本项目涉及危险物质主要</w:t>
      </w:r>
      <w:r>
        <w:rPr>
          <w:rFonts w:hint="default" w:ascii="Times New Roman" w:hAnsi="Times New Roman" w:cs="Times New Roman" w:eastAsiaTheme="minorEastAsia"/>
          <w:color w:val="auto"/>
          <w:sz w:val="24"/>
          <w:szCs w:val="24"/>
          <w:highlight w:val="none"/>
          <w:lang w:val="en-GB"/>
        </w:rPr>
        <w:t>为甲烷（沼气），</w:t>
      </w:r>
      <w:r>
        <w:rPr>
          <w:rFonts w:hint="default" w:ascii="Times New Roman" w:hAnsi="Times New Roman" w:cs="Times New Roman" w:eastAsiaTheme="minorEastAsia"/>
          <w:color w:val="auto"/>
          <w:sz w:val="24"/>
          <w:szCs w:val="24"/>
          <w:highlight w:val="none"/>
        </w:rPr>
        <w:t>可能扩散途径为发生火灾、爆炸事故产生污染物污染大气环境，因此环境风险类型主要为大气环境风险。</w:t>
      </w:r>
    </w:p>
    <w:p>
      <w:pPr>
        <w:ind w:firstLine="0" w:firstLineChars="0"/>
        <w:outlineLvl w:val="2"/>
        <w:rPr>
          <w:rFonts w:hint="default" w:ascii="Times New Roman" w:hAnsi="Times New Roman" w:cs="Times New Roman" w:eastAsiaTheme="minorEastAsia"/>
          <w:b/>
          <w:color w:val="auto"/>
          <w:sz w:val="24"/>
          <w:szCs w:val="24"/>
          <w:highlight w:val="none"/>
        </w:rPr>
      </w:pPr>
      <w:r>
        <w:rPr>
          <w:rFonts w:hint="default" w:ascii="Times New Roman" w:hAnsi="Times New Roman" w:cs="Times New Roman" w:eastAsiaTheme="minorEastAsia"/>
          <w:b/>
          <w:color w:val="auto"/>
          <w:sz w:val="24"/>
          <w:szCs w:val="24"/>
          <w:highlight w:val="none"/>
        </w:rPr>
        <w:t>1.5.7 土壤环境的影响</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auto"/>
          <w:sz w:val="24"/>
          <w:szCs w:val="24"/>
          <w:highlight w:val="none"/>
        </w:rPr>
        <w:t>本项目产生的污染物可通过多</w:t>
      </w:r>
      <w:r>
        <w:rPr>
          <w:rFonts w:hint="default" w:ascii="Times New Roman" w:hAnsi="Times New Roman" w:cs="Times New Roman" w:eastAsiaTheme="minorEastAsia"/>
          <w:color w:val="000000" w:themeColor="text1"/>
          <w:sz w:val="24"/>
          <w:szCs w:val="24"/>
          <w14:textFill>
            <w14:solidFill>
              <w14:schemeClr w14:val="tx1"/>
            </w14:solidFill>
          </w14:textFill>
        </w:rPr>
        <w:t>种途径进入土壤，主要以垂直入渗为主，通过降水、扩散和重力作用降落至地面，渗透进入土壤，进而污染土壤环境。废水涉及COD、氨氮等污染因子，通过垂直入渗下渗进入土壤。企业暂存的固废、危废等在运输、贮存或堆放过程中通过扩散、降水淋洗等直接或间接地影响土壤。</w:t>
      </w:r>
    </w:p>
    <w:p>
      <w:pPr>
        <w:pStyle w:val="639"/>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bookmarkStart w:id="27" w:name="_Toc18744"/>
      <w:r>
        <w:rPr>
          <w:rFonts w:hint="default" w:ascii="Times New Roman" w:hAnsi="Times New Roman" w:cs="Times New Roman" w:eastAsiaTheme="minorEastAsia"/>
          <w:color w:val="000000" w:themeColor="text1"/>
          <w:sz w:val="24"/>
          <w:szCs w:val="24"/>
          <w14:textFill>
            <w14:solidFill>
              <w14:schemeClr w14:val="tx1"/>
            </w14:solidFill>
          </w14:textFill>
        </w:rPr>
        <w:t>1.6 环境影响评价结论</w:t>
      </w:r>
      <w:bookmarkEnd w:id="27"/>
    </w:p>
    <w:p>
      <w:pPr>
        <w:ind w:firstLine="560"/>
        <w:rPr>
          <w:rFonts w:hint="default" w:ascii="Times New Roman" w:hAnsi="Times New Roman" w:cs="Times New Roman" w:eastAsiaTheme="minorEastAsia"/>
          <w:color w:val="000000" w:themeColor="text1"/>
          <w:szCs w:val="28"/>
          <w14:textFill>
            <w14:solidFill>
              <w14:schemeClr w14:val="tx1"/>
            </w14:solidFill>
          </w14:textFill>
        </w:rPr>
        <w:sectPr>
          <w:footerReference r:id="rId20" w:type="default"/>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81" w:charSpace="0"/>
        </w:sectPr>
      </w:pPr>
      <w:r>
        <w:rPr>
          <w:rFonts w:hint="default" w:ascii="Times New Roman" w:hAnsi="Times New Roman" w:cs="Times New Roman" w:eastAsiaTheme="minorEastAsia"/>
          <w:color w:val="000000" w:themeColor="text1"/>
          <w:sz w:val="24"/>
          <w:szCs w:val="24"/>
          <w14:textFill>
            <w14:solidFill>
              <w14:schemeClr w14:val="tx1"/>
            </w14:solidFill>
          </w14:textFill>
        </w:rPr>
        <w:t>本项目的建设符合国家产业政策；项目选址符合规划，选址可行；拟采用的各项环保设施合理、可靠、有效，可以保证各项污染物长期稳定达标排放，总体上对评价区域环境影响较小，不会造成区域环境功能的改变。因此在下一步工程设计和建设中，在严格落实环评中的污染控制措施和各项环境保护对策建议的前提下，从环保角度来讲，本项目建设是可行的</w:t>
      </w:r>
      <w:r>
        <w:rPr>
          <w:rFonts w:hint="default" w:ascii="Times New Roman" w:hAnsi="Times New Roman" w:cs="Times New Roman" w:eastAsiaTheme="minorEastAsia"/>
          <w:color w:val="000000" w:themeColor="text1"/>
          <w:szCs w:val="28"/>
          <w14:textFill>
            <w14:solidFill>
              <w14:schemeClr w14:val="tx1"/>
            </w14:solidFill>
          </w14:textFill>
        </w:rPr>
        <w:t>。</w:t>
      </w:r>
    </w:p>
    <w:p>
      <w:pPr>
        <w:pStyle w:val="641"/>
        <w:rPr>
          <w:rFonts w:hint="default" w:ascii="Times New Roman" w:hAnsi="Times New Roman" w:cs="Times New Roman" w:eastAsiaTheme="minorEastAsia"/>
          <w:color w:val="000000" w:themeColor="text1"/>
          <w14:textFill>
            <w14:solidFill>
              <w14:schemeClr w14:val="tx1"/>
            </w14:solidFill>
          </w14:textFill>
        </w:rPr>
      </w:pPr>
      <w:bookmarkStart w:id="28" w:name="_Toc11899"/>
      <w:r>
        <w:rPr>
          <w:rFonts w:hint="default" w:ascii="Times New Roman" w:hAnsi="Times New Roman" w:cs="Times New Roman" w:eastAsiaTheme="minorEastAsia"/>
          <w:color w:val="000000" w:themeColor="text1"/>
          <w14:textFill>
            <w14:solidFill>
              <w14:schemeClr w14:val="tx1"/>
            </w14:solidFill>
          </w14:textFill>
        </w:rPr>
        <w:t>2 总则</w:t>
      </w:r>
      <w:bookmarkEnd w:id="28"/>
    </w:p>
    <w:p>
      <w:pPr>
        <w:pStyle w:val="639"/>
        <w:rPr>
          <w:rFonts w:hint="default" w:ascii="Times New Roman" w:hAnsi="Times New Roman" w:cs="Times New Roman" w:eastAsiaTheme="minorEastAsia"/>
          <w:color w:val="000000" w:themeColor="text1"/>
          <w:sz w:val="24"/>
          <w:szCs w:val="24"/>
          <w14:textFill>
            <w14:solidFill>
              <w14:schemeClr w14:val="tx1"/>
            </w14:solidFill>
          </w14:textFill>
        </w:rPr>
      </w:pPr>
      <w:bookmarkStart w:id="29" w:name="_Toc472338477"/>
      <w:bookmarkStart w:id="30" w:name="_Toc8572"/>
      <w:r>
        <w:rPr>
          <w:rFonts w:hint="default" w:ascii="Times New Roman" w:hAnsi="Times New Roman" w:cs="Times New Roman" w:eastAsiaTheme="minorEastAsia"/>
          <w:color w:val="000000" w:themeColor="text1"/>
          <w:sz w:val="24"/>
          <w:szCs w:val="24"/>
          <w14:textFill>
            <w14:solidFill>
              <w14:schemeClr w14:val="tx1"/>
            </w14:solidFill>
          </w14:textFill>
        </w:rPr>
        <w:t>2.1 编制依据</w:t>
      </w:r>
      <w:bookmarkEnd w:id="29"/>
      <w:bookmarkEnd w:id="30"/>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本项目的编制依据见表2-1-1。</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表2-1-1 本项目编制依据一览表</w:t>
      </w:r>
    </w:p>
    <w:tbl>
      <w:tblPr>
        <w:tblStyle w:val="91"/>
        <w:tblW w:w="0" w:type="auto"/>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612"/>
        <w:gridCol w:w="4963"/>
        <w:gridCol w:w="1984"/>
        <w:gridCol w:w="103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6" w:hRule="atLeast"/>
          <w:jc w:val="center"/>
        </w:trPr>
        <w:tc>
          <w:tcPr>
            <w:tcW w:w="612"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类别</w:t>
            </w:r>
          </w:p>
        </w:tc>
        <w:tc>
          <w:tcPr>
            <w:tcW w:w="4963"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名       称</w:t>
            </w:r>
          </w:p>
        </w:tc>
        <w:tc>
          <w:tcPr>
            <w:tcW w:w="1984"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文    号</w:t>
            </w:r>
          </w:p>
        </w:tc>
        <w:tc>
          <w:tcPr>
            <w:tcW w:w="1037"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时间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82" w:hRule="atLeast"/>
          <w:jc w:val="center"/>
        </w:trPr>
        <w:tc>
          <w:tcPr>
            <w:tcW w:w="612" w:type="dxa"/>
            <w:vMerge w:val="restart"/>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法</w:t>
            </w:r>
          </w:p>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律</w:t>
            </w:r>
          </w:p>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法</w:t>
            </w:r>
          </w:p>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规</w:t>
            </w:r>
          </w:p>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依</w:t>
            </w:r>
          </w:p>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据</w:t>
            </w:r>
          </w:p>
        </w:tc>
        <w:tc>
          <w:tcPr>
            <w:tcW w:w="4963"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《中华人民共和国环境影响评价法》（2018修订）</w:t>
            </w:r>
          </w:p>
        </w:tc>
        <w:tc>
          <w:tcPr>
            <w:tcW w:w="1984"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1037"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2018.12.29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6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kern w:val="2"/>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《中华人民共和国环境保护法》（2014修订）</w:t>
            </w:r>
          </w:p>
        </w:tc>
        <w:tc>
          <w:tcPr>
            <w:tcW w:w="1984"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1037"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2015.1.1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6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《中华人民共和国清洁生产促进法》（2012修正）</w:t>
            </w:r>
          </w:p>
        </w:tc>
        <w:tc>
          <w:tcPr>
            <w:tcW w:w="1984"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1037"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2012.7.1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6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《中华人民共和国大气污染防治法》（2018年修订）</w:t>
            </w:r>
          </w:p>
        </w:tc>
        <w:tc>
          <w:tcPr>
            <w:tcW w:w="1984"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1037"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2018.10.26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6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《中华人民共和国水污染防治法》（2017年修订）</w:t>
            </w:r>
          </w:p>
        </w:tc>
        <w:tc>
          <w:tcPr>
            <w:tcW w:w="1984"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1037"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2018.1.1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6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《中华人民共和国环境噪声污染防治法》（2018年修订）</w:t>
            </w:r>
          </w:p>
        </w:tc>
        <w:tc>
          <w:tcPr>
            <w:tcW w:w="1984"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1037"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2018.12.29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12"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《中华人民共和国固体废物污染环境防治法》（2020年修订）</w:t>
            </w:r>
          </w:p>
        </w:tc>
        <w:tc>
          <w:tcPr>
            <w:tcW w:w="1984"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1037"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2020.9.1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1"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《中华人民共和国土壤污染防治法》</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2019.1.1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55"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《中华人民共和国畜牧法》（2015年修正）</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2015.4.24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7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《中华人民共和国动物防疫法》（2021年修订）</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2021.5.1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0" w:hRule="atLeast"/>
          <w:jc w:val="center"/>
        </w:trPr>
        <w:tc>
          <w:tcPr>
            <w:tcW w:w="612" w:type="dxa"/>
            <w:vMerge w:val="restart"/>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技</w:t>
            </w:r>
          </w:p>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术</w:t>
            </w:r>
          </w:p>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依</w:t>
            </w:r>
          </w:p>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据</w:t>
            </w:r>
          </w:p>
        </w:tc>
        <w:tc>
          <w:tcPr>
            <w:tcW w:w="4963"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《建设项目环境影响评价技术导则 总纲》</w:t>
            </w:r>
          </w:p>
        </w:tc>
        <w:tc>
          <w:tcPr>
            <w:tcW w:w="1984"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HJ2.1-2016</w:t>
            </w:r>
          </w:p>
        </w:tc>
        <w:tc>
          <w:tcPr>
            <w:tcW w:w="1037"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2017.1.1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《环境影响评价技术导则 大气环境》</w:t>
            </w:r>
          </w:p>
        </w:tc>
        <w:tc>
          <w:tcPr>
            <w:tcW w:w="1984"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HJ2.2-2018</w:t>
            </w:r>
          </w:p>
        </w:tc>
        <w:tc>
          <w:tcPr>
            <w:tcW w:w="1037"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2018.12.1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15"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《环境影响评价技术导则 地表水环境》</w:t>
            </w:r>
          </w:p>
        </w:tc>
        <w:tc>
          <w:tcPr>
            <w:tcW w:w="1984"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HJ2.3-2018</w:t>
            </w:r>
          </w:p>
        </w:tc>
        <w:tc>
          <w:tcPr>
            <w:tcW w:w="1037"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2019.3.1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2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《环境影响评价技术导则 声环境》</w:t>
            </w:r>
          </w:p>
        </w:tc>
        <w:tc>
          <w:tcPr>
            <w:tcW w:w="1984" w:type="dxa"/>
            <w:tcBorders>
              <w:top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HJ2.4-2009</w:t>
            </w:r>
          </w:p>
        </w:tc>
        <w:tc>
          <w:tcPr>
            <w:tcW w:w="1037" w:type="dxa"/>
            <w:tcBorders>
              <w:top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2010.4.1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85"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《环境影响评价技术导则 地下水环境》</w:t>
            </w:r>
          </w:p>
        </w:tc>
        <w:tc>
          <w:tcPr>
            <w:tcW w:w="1984"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HJ610-2016</w:t>
            </w:r>
          </w:p>
        </w:tc>
        <w:tc>
          <w:tcPr>
            <w:tcW w:w="1037"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2016.1.7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4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《环境影响评价技术导则-土壤环境（试行）》</w:t>
            </w:r>
          </w:p>
        </w:tc>
        <w:tc>
          <w:tcPr>
            <w:tcW w:w="1984" w:type="dxa"/>
            <w:tcBorders>
              <w:top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HJ964-2018</w:t>
            </w:r>
          </w:p>
        </w:tc>
        <w:tc>
          <w:tcPr>
            <w:tcW w:w="1037" w:type="dxa"/>
            <w:tcBorders>
              <w:top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2019.7.1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《环境影响评价技术导则 生态影响》</w:t>
            </w:r>
          </w:p>
        </w:tc>
        <w:tc>
          <w:tcPr>
            <w:tcW w:w="1984"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HJ19-2011</w:t>
            </w:r>
          </w:p>
        </w:tc>
        <w:tc>
          <w:tcPr>
            <w:tcW w:w="1037"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2011.9.1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85"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《建设项目环境风险评价技术导则》</w:t>
            </w:r>
          </w:p>
        </w:tc>
        <w:tc>
          <w:tcPr>
            <w:tcW w:w="1984"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HJ169-2018</w:t>
            </w:r>
          </w:p>
        </w:tc>
        <w:tc>
          <w:tcPr>
            <w:tcW w:w="1037"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2019.3.1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72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《建设项目危险废物环境影响评价指南》</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环境保护部公告 2017年 第43号</w:t>
            </w: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2017.10.1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《畜禽养殖产地环境评价规范》</w:t>
            </w:r>
          </w:p>
        </w:tc>
        <w:tc>
          <w:tcPr>
            <w:tcW w:w="1984" w:type="dxa"/>
            <w:tcBorders>
              <w:top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HJ568-2010</w:t>
            </w:r>
          </w:p>
        </w:tc>
        <w:tc>
          <w:tcPr>
            <w:tcW w:w="1037" w:type="dxa"/>
            <w:tcBorders>
              <w:top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2010.7.1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《畜禽养殖业污染防治技术规范》</w:t>
            </w:r>
          </w:p>
        </w:tc>
        <w:tc>
          <w:tcPr>
            <w:tcW w:w="1984"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HJ/T81-2001</w:t>
            </w:r>
          </w:p>
        </w:tc>
        <w:tc>
          <w:tcPr>
            <w:tcW w:w="1037" w:type="dxa"/>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2002.4.1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29"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《畜禽养殖业污染治理工程技术规范》</w:t>
            </w:r>
          </w:p>
        </w:tc>
        <w:tc>
          <w:tcPr>
            <w:tcW w:w="1984"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HJ497-2009</w:t>
            </w:r>
          </w:p>
        </w:tc>
        <w:tc>
          <w:tcPr>
            <w:tcW w:w="1037"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2009.12.1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7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《规模畜禽养殖场污染防治最佳可行技术指南（试行）》</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HJ-BAT-10</w:t>
            </w: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2013.7.17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《畜禽粪便无害化处理技术规范》</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GB/T36195-2018</w:t>
            </w: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2018.12.1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4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《粪便无害化卫生要求》</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GB7959-2012</w:t>
            </w: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2013.5.1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4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《畜禽粪便还田技术规范》</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GB/T25246-2010</w:t>
            </w: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2011.3.1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85"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《畜禽产品消毒规范》</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GB/T16569-1996</w:t>
            </w: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1997.2.1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《畜禽场环境污染控制技术规范》</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NY/T1169-2006</w:t>
            </w: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2006.10.1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85"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《病死及病害动物无害化处理技术规范》</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农医发〔2017〕25号</w:t>
            </w: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2017.7.3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4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《污染源源强核算技术指南 准则》</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HJ884-2018</w:t>
            </w: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2018.3.27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0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《排污许可证申请与核发技术规范 畜禽养殖行业》</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HJ1029-2019</w:t>
            </w: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2019.6.14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8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《排污位自行监测技术指南 总则》</w:t>
            </w:r>
          </w:p>
        </w:tc>
        <w:tc>
          <w:tcPr>
            <w:tcW w:w="1984" w:type="dxa"/>
            <w:tcBorders>
              <w:top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HJ819-2017</w:t>
            </w:r>
          </w:p>
        </w:tc>
        <w:tc>
          <w:tcPr>
            <w:tcW w:w="1037" w:type="dxa"/>
            <w:tcBorders>
              <w:top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2017.6.1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85" w:hRule="atLeast"/>
          <w:jc w:val="center"/>
        </w:trPr>
        <w:tc>
          <w:tcPr>
            <w:tcW w:w="612" w:type="dxa"/>
            <w:vMerge w:val="restart"/>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国</w:t>
            </w:r>
          </w:p>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家</w:t>
            </w:r>
          </w:p>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与</w:t>
            </w:r>
          </w:p>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地</w:t>
            </w:r>
          </w:p>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方</w:t>
            </w:r>
          </w:p>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规</w:t>
            </w:r>
          </w:p>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定</w:t>
            </w:r>
          </w:p>
        </w:tc>
        <w:tc>
          <w:tcPr>
            <w:tcW w:w="4963"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《重大动物疫情应急条例》</w:t>
            </w:r>
          </w:p>
        </w:tc>
        <w:tc>
          <w:tcPr>
            <w:tcW w:w="1984"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国令第687号令</w:t>
            </w:r>
          </w:p>
        </w:tc>
        <w:tc>
          <w:tcPr>
            <w:tcW w:w="1037"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2017.10.7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0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《建设项目环境保护管理条例》</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国令第682号令</w:t>
            </w: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2017.10.1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15"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《畜禽规模养殖污染防治条例》</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国令第643号令</w:t>
            </w: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2014.1.1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《国务院关于印发打赢蓝天保卫战三年行动计划的通知》</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国发[2018]22号</w:t>
            </w: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2018.7.3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85"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《国务院关于印发土壤污染防治行动计划的通知》</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国发[2016]31号</w:t>
            </w: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2016.5.31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4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《国务院关于印发水污染防治行动计划的通知》</w:t>
            </w:r>
          </w:p>
        </w:tc>
        <w:tc>
          <w:tcPr>
            <w:tcW w:w="1984" w:type="dxa"/>
            <w:tcBorders>
              <w:top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国发[2015]17号</w:t>
            </w:r>
          </w:p>
        </w:tc>
        <w:tc>
          <w:tcPr>
            <w:tcW w:w="1037" w:type="dxa"/>
            <w:tcBorders>
              <w:top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2015.4.2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95"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《国务院关于加强环境保护重点工作的意见》</w:t>
            </w:r>
          </w:p>
        </w:tc>
        <w:tc>
          <w:tcPr>
            <w:tcW w:w="1984"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国发[2011]35号</w:t>
            </w:r>
          </w:p>
        </w:tc>
        <w:tc>
          <w:tcPr>
            <w:tcW w:w="1037"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2011.10.20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4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《国务院关于落实科学发展观加强环境保护的规定》</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国发[2005]39号</w:t>
            </w: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2005.12.3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5"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《国务院办公厅关于加快推进畜禽养殖 废弃物资源化利用的意见》</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国办发[2017]48号</w:t>
            </w: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2017.6.12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《产业结构调整指导目录（2019年本）》</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国家发展和改革委员会令第29号</w:t>
            </w: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2020.1.1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68"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《关于促进规模化畜禽养殖有关用地政策的通知》</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国土资发[2007]220号</w:t>
            </w: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2007.9.21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5"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《农业农村部办公厅 生态环境部办公厅 关于进一步明确畜禽粪污还田利用要求强化养殖污染监管的通知》</w:t>
            </w:r>
          </w:p>
        </w:tc>
        <w:tc>
          <w:tcPr>
            <w:tcW w:w="1984" w:type="dxa"/>
            <w:tcBorders>
              <w:top w:val="single" w:color="auto" w:sz="4" w:space="0"/>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农办牧[2020]23号</w:t>
            </w:r>
          </w:p>
        </w:tc>
        <w:tc>
          <w:tcPr>
            <w:tcW w:w="1037" w:type="dxa"/>
            <w:tcBorders>
              <w:top w:val="single" w:color="auto" w:sz="4" w:space="0"/>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2020.6.16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765"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2"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《农业部办公厅关于印发&lt;畜禽粪污土地承载力测算技术指南&gt;的通知》</w:t>
            </w:r>
          </w:p>
        </w:tc>
        <w:tc>
          <w:tcPr>
            <w:tcW w:w="1984" w:type="dxa"/>
            <w:tcBorders>
              <w:top w:val="single" w:color="auto" w:sz="2"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农办牧[2018]1号</w:t>
            </w:r>
          </w:p>
        </w:tc>
        <w:tc>
          <w:tcPr>
            <w:tcW w:w="1037" w:type="dxa"/>
            <w:tcBorders>
              <w:top w:val="single" w:color="auto" w:sz="2"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2018.1.15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05"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《农业部办公厅关于印发&lt;畜禽规模养殖场粪污资源化利用设施建设规范（试行）&gt;的通知》</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农办牧[2018]2号</w:t>
            </w: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2018.1.9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85"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《农业部关于加快推进畜禽标准化规模养殖的意见》</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农牧发[2010]6号</w:t>
            </w: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2010.3.29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8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《环境影响评价公众参与办法》</w:t>
            </w:r>
          </w:p>
        </w:tc>
        <w:tc>
          <w:tcPr>
            <w:tcW w:w="1984" w:type="dxa"/>
            <w:tcBorders>
              <w:top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生态环境部令第4号</w:t>
            </w:r>
          </w:p>
        </w:tc>
        <w:tc>
          <w:tcPr>
            <w:tcW w:w="1037" w:type="dxa"/>
            <w:tcBorders>
              <w:top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2019.1.1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7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《建设项目环境影响评价分类管理名录（2021年版）》</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生态环境部令第16号</w:t>
            </w: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2021.1.1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5"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《国家危险废物名录（2021年版）》</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生态环境部令第15号</w:t>
            </w: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2021.1.1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关于印发《建设项目环境影响评价信息公开机制方案》的通知</w:t>
            </w:r>
          </w:p>
        </w:tc>
        <w:tc>
          <w:tcPr>
            <w:tcW w:w="1984" w:type="dxa"/>
            <w:tcBorders>
              <w:top w:val="single" w:color="auto" w:sz="4" w:space="0"/>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环发[2015]162号</w:t>
            </w:r>
          </w:p>
        </w:tc>
        <w:tc>
          <w:tcPr>
            <w:tcW w:w="1037" w:type="dxa"/>
            <w:tcBorders>
              <w:top w:val="single" w:color="auto" w:sz="4" w:space="0"/>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2015.12.10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5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2"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 xml:space="preserve">《企业事业单位突发环境事件应急预案备案管理办法（试行）》 </w:t>
            </w:r>
          </w:p>
        </w:tc>
        <w:tc>
          <w:tcPr>
            <w:tcW w:w="1984" w:type="dxa"/>
            <w:tcBorders>
              <w:top w:val="single" w:color="auto" w:sz="2"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环发[2015]4号</w:t>
            </w:r>
          </w:p>
        </w:tc>
        <w:tc>
          <w:tcPr>
            <w:tcW w:w="1037" w:type="dxa"/>
            <w:tcBorders>
              <w:top w:val="single" w:color="auto" w:sz="2"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2015.1.8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95"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《关于印发建设项目主要污染物排放总量指标审核及管理暂行办法的通知》</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环发[2014]197号</w:t>
            </w: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2014.12.30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4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《关于进一步加强环境影响评价管理防范环境风险的通知》</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环发[2012]77号</w:t>
            </w: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2012.7.1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85"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《关于切实加强风险防范严格环境影响评价管理的通知》</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环发[2012] 98号</w:t>
            </w: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2012.8.7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4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《关于发布&lt;畜禽养殖业污染防治技术政策&gt;的通知》</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环发[2010]151号</w:t>
            </w: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2010.12.30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25"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《建设项目环境影响评价政府信息公开指南（试行）》</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环办[2013]103号</w:t>
            </w: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2014.1.1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4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《关于做好畜禽规模养殖项目环境影响评价管理工作的通知》</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环办环评[2018]31号</w:t>
            </w: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2018.10.12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85"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《关于做好环境影响评价制度与排污许可制衔接相关工作的通知》</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环办环评[2017]84号</w:t>
            </w: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2017.11.15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69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《关于规划环境影响评价加强空间管制、总量管控和环境准入的指导意见（试行）》</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环办环评[2016]14号</w:t>
            </w: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2016.2.24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75"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《环境保护部、农业部关于进一步加强畜禽养殖污染防治工作的通知》</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环水体[2016]144号</w:t>
            </w: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2016.10.19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95"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《关于印发&lt;畜禽养殖禁养区划定技术指南&gt;的通知》</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环办水体[2016]99号</w:t>
            </w: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2016.10.28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525"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《关于以改善环境质量为核心加强环境影响评价管理的通知》</w:t>
            </w:r>
          </w:p>
        </w:tc>
        <w:tc>
          <w:tcPr>
            <w:tcW w:w="198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环环评[2016]150号</w:t>
            </w:r>
          </w:p>
        </w:tc>
        <w:tc>
          <w:tcPr>
            <w:tcW w:w="1037"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2016.10.26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5"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《黑龙江省环境保护条例》</w:t>
            </w:r>
          </w:p>
        </w:tc>
        <w:tc>
          <w:tcPr>
            <w:tcW w:w="1984" w:type="dxa"/>
            <w:tcBorders>
              <w:top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黑龙江人大常委会</w:t>
            </w:r>
          </w:p>
        </w:tc>
        <w:tc>
          <w:tcPr>
            <w:tcW w:w="1037" w:type="dxa"/>
            <w:tcBorders>
              <w:top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2018.4.26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757"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《黑龙江省大气污染防治条例》</w:t>
            </w:r>
          </w:p>
        </w:tc>
        <w:tc>
          <w:tcPr>
            <w:tcW w:w="1984"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黑龙江省第十三届人民代表大会第八次会议</w:t>
            </w:r>
          </w:p>
        </w:tc>
        <w:tc>
          <w:tcPr>
            <w:tcW w:w="1037"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2018.12.27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55"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bookmarkStart w:id="31" w:name="_Toc8884"/>
            <w:bookmarkStart w:id="32" w:name="_Toc9495"/>
            <w:bookmarkStart w:id="33" w:name="_Toc483"/>
            <w:r>
              <w:rPr>
                <w:rFonts w:hint="default" w:ascii="Times New Roman" w:hAnsi="Times New Roman" w:cs="Times New Roman" w:eastAsiaTheme="minorEastAsia"/>
                <w:color w:val="000000" w:themeColor="text1"/>
                <w:spacing w:val="0"/>
                <w14:textFill>
                  <w14:solidFill>
                    <w14:schemeClr w14:val="tx1"/>
                  </w14:solidFill>
                </w14:textFill>
              </w:rPr>
              <w:t>《黑龙江省打赢蓝天保卫战三年行动计划》</w:t>
            </w:r>
            <w:bookmarkEnd w:id="31"/>
            <w:bookmarkEnd w:id="32"/>
            <w:bookmarkEnd w:id="33"/>
          </w:p>
        </w:tc>
        <w:tc>
          <w:tcPr>
            <w:tcW w:w="1984" w:type="dxa"/>
            <w:tcBorders>
              <w:top w:val="single" w:color="auto" w:sz="4" w:space="0"/>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bookmarkStart w:id="34" w:name="_Toc7143"/>
            <w:bookmarkStart w:id="35" w:name="_Toc28676"/>
            <w:bookmarkStart w:id="36" w:name="_Toc26186"/>
            <w:r>
              <w:rPr>
                <w:rFonts w:hint="default" w:ascii="Times New Roman" w:hAnsi="Times New Roman" w:cs="Times New Roman" w:eastAsiaTheme="minorEastAsia"/>
                <w:color w:val="000000" w:themeColor="text1"/>
                <w:spacing w:val="0"/>
                <w14:textFill>
                  <w14:solidFill>
                    <w14:schemeClr w14:val="tx1"/>
                  </w14:solidFill>
                </w14:textFill>
              </w:rPr>
              <w:t>黑政规[2018]19</w:t>
            </w:r>
            <w:bookmarkEnd w:id="34"/>
            <w:bookmarkEnd w:id="35"/>
            <w:bookmarkEnd w:id="36"/>
          </w:p>
        </w:tc>
        <w:tc>
          <w:tcPr>
            <w:tcW w:w="1037" w:type="dxa"/>
            <w:tcBorders>
              <w:top w:val="single" w:color="auto" w:sz="4" w:space="0"/>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2018.11.17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12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2" w:space="0"/>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《黑龙江省防沙治沙条例》</w:t>
            </w:r>
          </w:p>
        </w:tc>
        <w:tc>
          <w:tcPr>
            <w:tcW w:w="1984" w:type="dxa"/>
            <w:tcBorders>
              <w:top w:val="single" w:color="auto" w:sz="2" w:space="0"/>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黑龙江省第十三届人民代表大会常务委员会公告第7号</w:t>
            </w:r>
          </w:p>
        </w:tc>
        <w:tc>
          <w:tcPr>
            <w:tcW w:w="1037" w:type="dxa"/>
            <w:tcBorders>
              <w:top w:val="single" w:color="auto" w:sz="2" w:space="0"/>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2018.6.28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0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《黑龙江省人民政府关于实施“三线一单”生态环境分区管控的意见》</w:t>
            </w:r>
          </w:p>
        </w:tc>
        <w:tc>
          <w:tcPr>
            <w:tcW w:w="1984" w:type="dxa"/>
            <w:tcBorders>
              <w:top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黑政发[2020]14号</w:t>
            </w:r>
          </w:p>
        </w:tc>
        <w:tc>
          <w:tcPr>
            <w:tcW w:w="1037" w:type="dxa"/>
            <w:tcBorders>
              <w:top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2020.12.16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69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《黑龙江省人民政府关于印发黑龙江省水污染防治工作方案的通知》</w:t>
            </w:r>
          </w:p>
        </w:tc>
        <w:tc>
          <w:tcPr>
            <w:tcW w:w="1984"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黑政发[2016]3号</w:t>
            </w:r>
          </w:p>
        </w:tc>
        <w:tc>
          <w:tcPr>
            <w:tcW w:w="1037"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2016.1.10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8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spacing w:line="320" w:lineRule="exact"/>
              <w:ind w:firstLine="0" w:firstLineChars="0"/>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《黑龙江省人民政府关于印发黑龙江省土壤污染防治实施方案的通知》</w:t>
            </w:r>
          </w:p>
        </w:tc>
        <w:tc>
          <w:tcPr>
            <w:tcW w:w="1984" w:type="dxa"/>
            <w:tcBorders>
              <w:top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spacing w:line="320" w:lineRule="exact"/>
              <w:ind w:firstLine="0" w:firstLineChars="0"/>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黑政发[2016]46号</w:t>
            </w:r>
          </w:p>
        </w:tc>
        <w:tc>
          <w:tcPr>
            <w:tcW w:w="1037" w:type="dxa"/>
            <w:tcBorders>
              <w:top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spacing w:line="320" w:lineRule="exact"/>
              <w:ind w:firstLine="0" w:firstLineChars="0"/>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2016.12.30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690"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spacing w:line="320" w:lineRule="exact"/>
              <w:ind w:firstLine="0" w:firstLineChars="0"/>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《黑龙江省动物防疫条例》</w:t>
            </w:r>
          </w:p>
        </w:tc>
        <w:tc>
          <w:tcPr>
            <w:tcW w:w="1984"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spacing w:line="320" w:lineRule="exact"/>
              <w:ind w:firstLine="0" w:firstLineChars="0"/>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黑龙江省第十二届人民代表大会常务委员会第二十九次会议</w:t>
            </w:r>
          </w:p>
        </w:tc>
        <w:tc>
          <w:tcPr>
            <w:tcW w:w="1037"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spacing w:line="320" w:lineRule="exact"/>
              <w:ind w:firstLine="0" w:firstLineChars="0"/>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2017.1.1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28"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vAlign w:val="center"/>
          </w:tcPr>
          <w:p>
            <w:pPr>
              <w:pStyle w:val="666"/>
              <w:keepNext w:val="0"/>
              <w:keepLines w:val="0"/>
              <w:pageBreakBefore w:val="0"/>
              <w:widowControl/>
              <w:kinsoku/>
              <w:wordWrap/>
              <w:overflowPunct/>
              <w:topLinePunct w:val="0"/>
              <w:autoSpaceDE/>
              <w:autoSpaceDN/>
              <w:bidi w:val="0"/>
              <w:adjustRightInd w:val="0"/>
              <w:snapToGrid/>
              <w:spacing w:line="320" w:lineRule="exact"/>
              <w:ind w:firstLine="0" w:firstLineChars="0"/>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《黑龙江省人民政府办公厅关于印发黑龙江省畜禽养殖废弃物资源化利用工作方案的通知》</w:t>
            </w:r>
          </w:p>
        </w:tc>
        <w:tc>
          <w:tcPr>
            <w:tcW w:w="1984" w:type="dxa"/>
            <w:vAlign w:val="center"/>
          </w:tcPr>
          <w:p>
            <w:pPr>
              <w:pStyle w:val="666"/>
              <w:keepNext w:val="0"/>
              <w:keepLines w:val="0"/>
              <w:pageBreakBefore w:val="0"/>
              <w:widowControl/>
              <w:kinsoku/>
              <w:wordWrap/>
              <w:overflowPunct/>
              <w:topLinePunct w:val="0"/>
              <w:autoSpaceDE/>
              <w:autoSpaceDN/>
              <w:bidi w:val="0"/>
              <w:adjustRightInd w:val="0"/>
              <w:snapToGrid/>
              <w:spacing w:line="320" w:lineRule="exact"/>
              <w:ind w:firstLine="0" w:firstLineChars="0"/>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黑政办规〔2017〕77号</w:t>
            </w:r>
          </w:p>
        </w:tc>
        <w:tc>
          <w:tcPr>
            <w:tcW w:w="1037" w:type="dxa"/>
            <w:vAlign w:val="center"/>
          </w:tcPr>
          <w:p>
            <w:pPr>
              <w:pStyle w:val="666"/>
              <w:keepNext w:val="0"/>
              <w:keepLines w:val="0"/>
              <w:pageBreakBefore w:val="0"/>
              <w:widowControl/>
              <w:kinsoku/>
              <w:wordWrap/>
              <w:overflowPunct/>
              <w:topLinePunct w:val="0"/>
              <w:autoSpaceDE/>
              <w:autoSpaceDN/>
              <w:bidi w:val="0"/>
              <w:adjustRightInd w:val="0"/>
              <w:snapToGrid/>
              <w:spacing w:line="320" w:lineRule="exact"/>
              <w:ind w:firstLine="0" w:firstLineChars="0"/>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2017.12.26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69"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14:textFill>
                  <w14:solidFill>
                    <w14:schemeClr w14:val="tx1"/>
                  </w14:solidFill>
                </w14:textFill>
              </w:rPr>
            </w:pPr>
          </w:p>
        </w:tc>
        <w:tc>
          <w:tcPr>
            <w:tcW w:w="4963" w:type="dxa"/>
            <w:tcBorders>
              <w:top w:val="single" w:color="auto" w:sz="4" w:space="0"/>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spacing w:line="320" w:lineRule="exact"/>
              <w:ind w:firstLine="0" w:firstLineChars="0"/>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《黑龙江省畜禽禁养区划定技术指南》</w:t>
            </w:r>
          </w:p>
        </w:tc>
        <w:tc>
          <w:tcPr>
            <w:tcW w:w="1984" w:type="dxa"/>
            <w:tcBorders>
              <w:top w:val="single" w:color="auto" w:sz="4" w:space="0"/>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spacing w:line="320" w:lineRule="exact"/>
              <w:ind w:firstLine="0" w:firstLineChars="0"/>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黑环函〔2016〕67号</w:t>
            </w:r>
          </w:p>
        </w:tc>
        <w:tc>
          <w:tcPr>
            <w:tcW w:w="1037" w:type="dxa"/>
            <w:tcBorders>
              <w:top w:val="single" w:color="auto" w:sz="4" w:space="0"/>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spacing w:line="320" w:lineRule="exact"/>
              <w:ind w:firstLine="0" w:firstLineChars="0"/>
              <w:textAlignment w:val="auto"/>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2016.11.28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77"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highlight w:val="none"/>
                <w14:textFill>
                  <w14:solidFill>
                    <w14:schemeClr w14:val="tx1"/>
                  </w14:solidFill>
                </w14:textFill>
              </w:rPr>
            </w:pPr>
          </w:p>
        </w:tc>
        <w:tc>
          <w:tcPr>
            <w:tcW w:w="4963" w:type="dxa"/>
            <w:tcBorders>
              <w:top w:val="single" w:color="auto" w:sz="2" w:space="0"/>
              <w:bottom w:val="single" w:color="000000" w:sz="2" w:space="0"/>
            </w:tcBorders>
            <w:vAlign w:val="center"/>
          </w:tcPr>
          <w:p>
            <w:pPr>
              <w:pStyle w:val="666"/>
              <w:keepNext w:val="0"/>
              <w:keepLines w:val="0"/>
              <w:pageBreakBefore w:val="0"/>
              <w:widowControl/>
              <w:kinsoku/>
              <w:wordWrap/>
              <w:overflowPunct/>
              <w:topLinePunct w:val="0"/>
              <w:autoSpaceDE/>
              <w:autoSpaceDN/>
              <w:bidi w:val="0"/>
              <w:adjustRightInd w:val="0"/>
              <w:snapToGrid/>
              <w:spacing w:line="320" w:lineRule="exact"/>
              <w:ind w:firstLine="0" w:firstLineChars="0"/>
              <w:textAlignment w:val="auto"/>
              <w:rPr>
                <w:rFonts w:hint="default" w:ascii="Times New Roman" w:hAnsi="Times New Roman" w:cs="Times New Roman" w:eastAsiaTheme="minorEastAsia"/>
                <w:color w:val="000000" w:themeColor="text1"/>
                <w:spacing w:val="0"/>
                <w:highlight w:val="none"/>
                <w14:textFill>
                  <w14:solidFill>
                    <w14:schemeClr w14:val="tx1"/>
                  </w14:solidFill>
                </w14:textFill>
              </w:rPr>
            </w:pPr>
            <w:r>
              <w:rPr>
                <w:rFonts w:hint="default" w:ascii="Times New Roman" w:hAnsi="Times New Roman" w:cs="Times New Roman" w:eastAsiaTheme="minorEastAsia"/>
                <w:color w:val="000000" w:themeColor="text1"/>
                <w:spacing w:val="0"/>
                <w:highlight w:val="none"/>
                <w14:textFill>
                  <w14:solidFill>
                    <w14:schemeClr w14:val="tx1"/>
                  </w14:solidFill>
                </w14:textFill>
              </w:rPr>
              <w:t>《绥化市人民政府关于实施“三线一单”生态环境分区管控的意见》</w:t>
            </w:r>
          </w:p>
        </w:tc>
        <w:tc>
          <w:tcPr>
            <w:tcW w:w="1984" w:type="dxa"/>
            <w:tcBorders>
              <w:top w:val="single" w:color="auto" w:sz="2" w:space="0"/>
              <w:bottom w:val="single" w:color="000000" w:sz="2" w:space="0"/>
            </w:tcBorders>
            <w:vAlign w:val="center"/>
          </w:tcPr>
          <w:p>
            <w:pPr>
              <w:pStyle w:val="666"/>
              <w:keepNext w:val="0"/>
              <w:keepLines w:val="0"/>
              <w:pageBreakBefore w:val="0"/>
              <w:widowControl/>
              <w:kinsoku/>
              <w:wordWrap/>
              <w:overflowPunct/>
              <w:topLinePunct w:val="0"/>
              <w:autoSpaceDE/>
              <w:autoSpaceDN/>
              <w:bidi w:val="0"/>
              <w:adjustRightInd w:val="0"/>
              <w:snapToGrid/>
              <w:spacing w:line="320" w:lineRule="exact"/>
              <w:ind w:firstLine="0" w:firstLineChars="0"/>
              <w:textAlignment w:val="auto"/>
              <w:rPr>
                <w:rFonts w:hint="default" w:ascii="Times New Roman" w:hAnsi="Times New Roman" w:cs="Times New Roman" w:eastAsiaTheme="minorEastAsia"/>
                <w:color w:val="000000" w:themeColor="text1"/>
                <w:spacing w:val="0"/>
                <w:highlight w:val="none"/>
                <w14:textFill>
                  <w14:solidFill>
                    <w14:schemeClr w14:val="tx1"/>
                  </w14:solidFill>
                </w14:textFill>
              </w:rPr>
            </w:pPr>
            <w:r>
              <w:rPr>
                <w:rFonts w:hint="default" w:ascii="Times New Roman" w:hAnsi="Times New Roman" w:cs="Times New Roman" w:eastAsiaTheme="minorEastAsia"/>
                <w:color w:val="000000" w:themeColor="text1"/>
                <w:spacing w:val="0"/>
                <w:highlight w:val="none"/>
                <w14:textFill>
                  <w14:solidFill>
                    <w14:schemeClr w14:val="tx1"/>
                  </w14:solidFill>
                </w14:textFill>
              </w:rPr>
              <w:t>绥政发〔2021〕10号</w:t>
            </w:r>
          </w:p>
        </w:tc>
        <w:tc>
          <w:tcPr>
            <w:tcW w:w="1037" w:type="dxa"/>
            <w:tcBorders>
              <w:top w:val="single" w:color="auto" w:sz="2" w:space="0"/>
              <w:bottom w:val="single" w:color="000000" w:sz="2" w:space="0"/>
            </w:tcBorders>
            <w:vAlign w:val="center"/>
          </w:tcPr>
          <w:p>
            <w:pPr>
              <w:pStyle w:val="666"/>
              <w:keepNext w:val="0"/>
              <w:keepLines w:val="0"/>
              <w:pageBreakBefore w:val="0"/>
              <w:widowControl/>
              <w:kinsoku/>
              <w:wordWrap/>
              <w:overflowPunct/>
              <w:topLinePunct w:val="0"/>
              <w:autoSpaceDE/>
              <w:autoSpaceDN/>
              <w:bidi w:val="0"/>
              <w:adjustRightInd w:val="0"/>
              <w:snapToGrid/>
              <w:spacing w:line="320" w:lineRule="exact"/>
              <w:ind w:firstLine="0" w:firstLineChars="0"/>
              <w:textAlignment w:val="auto"/>
              <w:rPr>
                <w:rFonts w:hint="default" w:ascii="Times New Roman" w:hAnsi="Times New Roman" w:cs="Times New Roman" w:eastAsiaTheme="minorEastAsia"/>
                <w:color w:val="000000" w:themeColor="text1"/>
                <w:spacing w:val="0"/>
                <w:highlight w:val="none"/>
                <w14:textFill>
                  <w14:solidFill>
                    <w14:schemeClr w14:val="tx1"/>
                  </w14:solidFill>
                </w14:textFill>
              </w:rPr>
            </w:pPr>
            <w:r>
              <w:rPr>
                <w:rFonts w:hint="default" w:ascii="Times New Roman" w:hAnsi="Times New Roman" w:cs="Times New Roman" w:eastAsiaTheme="minorEastAsia"/>
                <w:color w:val="000000" w:themeColor="text1"/>
                <w:spacing w:val="0"/>
                <w:highlight w:val="none"/>
                <w14:textFill>
                  <w14:solidFill>
                    <w14:schemeClr w14:val="tx1"/>
                  </w14:solidFill>
                </w14:textFill>
              </w:rPr>
              <w:t>2021.7.1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645" w:hRule="atLeast"/>
          <w:jc w:val="center"/>
        </w:trPr>
        <w:tc>
          <w:tcPr>
            <w:tcW w:w="612" w:type="dxa"/>
            <w:vMerge w:val="continue"/>
            <w:vAlign w:val="center"/>
          </w:tcPr>
          <w:p>
            <w:pPr>
              <w:pStyle w:val="666"/>
              <w:keepNext w:val="0"/>
              <w:keepLines w:val="0"/>
              <w:pageBreakBefore w:val="0"/>
              <w:widowControl/>
              <w:kinsoku/>
              <w:wordWrap/>
              <w:overflowPunct/>
              <w:topLinePunct w:val="0"/>
              <w:autoSpaceDE/>
              <w:autoSpaceDN/>
              <w:bidi w:val="0"/>
              <w:adjustRightInd w:val="0"/>
              <w:spacing w:line="320" w:lineRule="exact"/>
              <w:textAlignment w:val="auto"/>
              <w:rPr>
                <w:rFonts w:hint="default" w:ascii="Times New Roman" w:hAnsi="Times New Roman" w:cs="Times New Roman" w:eastAsiaTheme="minorEastAsia"/>
                <w:color w:val="000000" w:themeColor="text1"/>
                <w:spacing w:val="0"/>
                <w:highlight w:val="none"/>
                <w14:textFill>
                  <w14:solidFill>
                    <w14:schemeClr w14:val="tx1"/>
                  </w14:solidFill>
                </w14:textFill>
              </w:rPr>
            </w:pPr>
          </w:p>
        </w:tc>
        <w:tc>
          <w:tcPr>
            <w:tcW w:w="4963" w:type="dxa"/>
            <w:tcBorders>
              <w:top w:val="single" w:color="auto" w:sz="4" w:space="0"/>
              <w:bottom w:val="single" w:color="000000" w:sz="2" w:space="0"/>
            </w:tcBorders>
            <w:vAlign w:val="center"/>
          </w:tcPr>
          <w:p>
            <w:pPr>
              <w:pStyle w:val="666"/>
              <w:keepNext w:val="0"/>
              <w:keepLines w:val="0"/>
              <w:pageBreakBefore w:val="0"/>
              <w:widowControl/>
              <w:kinsoku/>
              <w:wordWrap/>
              <w:overflowPunct/>
              <w:topLinePunct w:val="0"/>
              <w:autoSpaceDE/>
              <w:autoSpaceDN/>
              <w:bidi w:val="0"/>
              <w:adjustRightInd w:val="0"/>
              <w:snapToGrid/>
              <w:spacing w:line="320" w:lineRule="exact"/>
              <w:ind w:firstLine="0" w:firstLineChars="0"/>
              <w:textAlignment w:val="auto"/>
              <w:rPr>
                <w:rFonts w:hint="default" w:ascii="Times New Roman" w:hAnsi="Times New Roman" w:cs="Times New Roman" w:eastAsiaTheme="minorEastAsia"/>
                <w:color w:val="000000" w:themeColor="text1"/>
                <w:spacing w:val="0"/>
                <w:highlight w:val="none"/>
                <w14:textFill>
                  <w14:solidFill>
                    <w14:schemeClr w14:val="tx1"/>
                  </w14:solidFill>
                </w14:textFill>
              </w:rPr>
            </w:pPr>
            <w:r>
              <w:rPr>
                <w:rFonts w:hint="default" w:ascii="Times New Roman" w:hAnsi="Times New Roman" w:cs="Times New Roman" w:eastAsiaTheme="minorEastAsia"/>
                <w:color w:val="000000" w:themeColor="text1"/>
                <w:spacing w:val="0"/>
                <w:highlight w:val="none"/>
                <w14:textFill>
                  <w14:solidFill>
                    <w14:schemeClr w14:val="tx1"/>
                  </w14:solidFill>
                </w14:textFill>
              </w:rPr>
              <w:t>《安达市人民政府关于印发大庆市畜禽禁养区划定方案的通知》</w:t>
            </w:r>
          </w:p>
        </w:tc>
        <w:tc>
          <w:tcPr>
            <w:tcW w:w="1984" w:type="dxa"/>
            <w:tcBorders>
              <w:top w:val="single" w:color="auto" w:sz="4" w:space="0"/>
              <w:bottom w:val="single" w:color="000000" w:sz="2" w:space="0"/>
            </w:tcBorders>
            <w:vAlign w:val="center"/>
          </w:tcPr>
          <w:p>
            <w:pPr>
              <w:pStyle w:val="666"/>
              <w:keepNext w:val="0"/>
              <w:keepLines w:val="0"/>
              <w:pageBreakBefore w:val="0"/>
              <w:widowControl/>
              <w:kinsoku/>
              <w:wordWrap/>
              <w:overflowPunct/>
              <w:topLinePunct w:val="0"/>
              <w:autoSpaceDE/>
              <w:autoSpaceDN/>
              <w:bidi w:val="0"/>
              <w:adjustRightInd w:val="0"/>
              <w:snapToGrid/>
              <w:spacing w:line="320" w:lineRule="exact"/>
              <w:ind w:firstLine="0" w:firstLineChars="0"/>
              <w:textAlignment w:val="auto"/>
              <w:rPr>
                <w:rFonts w:hint="default" w:ascii="Times New Roman" w:hAnsi="Times New Roman" w:cs="Times New Roman" w:eastAsiaTheme="minorEastAsia"/>
                <w:color w:val="000000" w:themeColor="text1"/>
                <w:spacing w:val="0"/>
                <w:highlight w:val="none"/>
                <w14:textFill>
                  <w14:solidFill>
                    <w14:schemeClr w14:val="tx1"/>
                  </w14:solidFill>
                </w14:textFill>
              </w:rPr>
            </w:pPr>
          </w:p>
        </w:tc>
        <w:tc>
          <w:tcPr>
            <w:tcW w:w="1037" w:type="dxa"/>
            <w:tcBorders>
              <w:top w:val="single" w:color="auto" w:sz="4" w:space="0"/>
              <w:bottom w:val="single" w:color="000000" w:sz="2" w:space="0"/>
            </w:tcBorders>
            <w:vAlign w:val="center"/>
          </w:tcPr>
          <w:p>
            <w:pPr>
              <w:pStyle w:val="666"/>
              <w:keepNext w:val="0"/>
              <w:keepLines w:val="0"/>
              <w:pageBreakBefore w:val="0"/>
              <w:widowControl/>
              <w:kinsoku/>
              <w:wordWrap/>
              <w:overflowPunct/>
              <w:topLinePunct w:val="0"/>
              <w:autoSpaceDE/>
              <w:autoSpaceDN/>
              <w:bidi w:val="0"/>
              <w:adjustRightInd w:val="0"/>
              <w:snapToGrid/>
              <w:spacing w:line="320" w:lineRule="exact"/>
              <w:ind w:firstLine="0" w:firstLineChars="0"/>
              <w:textAlignment w:val="auto"/>
              <w:rPr>
                <w:rFonts w:hint="default" w:ascii="Times New Roman" w:hAnsi="Times New Roman" w:cs="Times New Roman" w:eastAsiaTheme="minorEastAsia"/>
                <w:color w:val="000000" w:themeColor="text1"/>
                <w:spacing w:val="0"/>
                <w:highlight w:val="none"/>
                <w14:textFill>
                  <w14:solidFill>
                    <w14:schemeClr w14:val="tx1"/>
                  </w14:solidFill>
                </w14:textFill>
              </w:rPr>
            </w:pPr>
          </w:p>
        </w:tc>
      </w:tr>
    </w:tbl>
    <w:p>
      <w:pPr>
        <w:pStyle w:val="639"/>
        <w:rPr>
          <w:rFonts w:hint="default" w:ascii="Times New Roman" w:hAnsi="Times New Roman" w:cs="Times New Roman" w:eastAsiaTheme="minorEastAsia"/>
          <w:color w:val="000000" w:themeColor="text1"/>
          <w:sz w:val="24"/>
          <w:szCs w:val="24"/>
          <w14:textFill>
            <w14:solidFill>
              <w14:schemeClr w14:val="tx1"/>
            </w14:solidFill>
          </w14:textFill>
        </w:rPr>
      </w:pPr>
      <w:bookmarkStart w:id="37" w:name="_Toc472338478"/>
      <w:bookmarkStart w:id="38" w:name="_Toc22796"/>
      <w:r>
        <w:rPr>
          <w:rFonts w:hint="default" w:ascii="Times New Roman" w:hAnsi="Times New Roman" w:cs="Times New Roman" w:eastAsiaTheme="minorEastAsia"/>
          <w:color w:val="000000" w:themeColor="text1"/>
          <w:sz w:val="24"/>
          <w:szCs w:val="24"/>
          <w14:textFill>
            <w14:solidFill>
              <w14:schemeClr w14:val="tx1"/>
            </w14:solidFill>
          </w14:textFill>
        </w:rPr>
        <w:t>2.2 环境影响识别及评价因子筛选</w:t>
      </w:r>
      <w:bookmarkEnd w:id="37"/>
      <w:bookmarkEnd w:id="38"/>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根据本项目的特征、阶段（建设期、生产期）和所处区域的环境特征，全面分析判别项目建设对环境可能产生影响的因素、影响途径，初步估算影响程度。通过筛选确定本次评价重点和评价因子。</w:t>
      </w:r>
    </w:p>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2.2.1 环境影响因素识别</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根据本项目的生产工艺和排污特征，结合拟选厂址的自然环境特点、环境质量现状，在充分分析本项目建设内容的基础上，识别建设项目实施可能对自然环境和社会环境产生的影响，以及各种影响与规划决策因素(选址、定位、规模、布局、基础设施等)的关系，具体见表2-2-1。</w:t>
      </w:r>
    </w:p>
    <w:p>
      <w:pPr>
        <w:pStyle w:val="643"/>
        <w:rPr>
          <w:rFonts w:hint="default" w:ascii="Times New Roman" w:hAnsi="Times New Roman" w:cs="Times New Roman" w:eastAsiaTheme="minorEastAsia"/>
          <w:color w:val="000000" w:themeColor="text1"/>
          <w:sz w:val="24"/>
          <w:szCs w:val="24"/>
          <w14:textFill>
            <w14:solidFill>
              <w14:schemeClr w14:val="tx1"/>
            </w14:solidFill>
          </w14:textFill>
        </w:rPr>
      </w:pPr>
    </w:p>
    <w:p>
      <w:pPr>
        <w:pStyle w:val="643"/>
        <w:rPr>
          <w:rFonts w:hint="default" w:ascii="Times New Roman" w:hAnsi="Times New Roman" w:cs="Times New Roman" w:eastAsiaTheme="minorEastAsia"/>
          <w:color w:val="000000" w:themeColor="text1"/>
          <w:sz w:val="24"/>
          <w:szCs w:val="24"/>
          <w14:textFill>
            <w14:solidFill>
              <w14:schemeClr w14:val="tx1"/>
            </w14:solidFill>
          </w14:textFill>
        </w:rPr>
      </w:pPr>
    </w:p>
    <w:p>
      <w:pPr>
        <w:pStyle w:val="643"/>
        <w:rPr>
          <w:rFonts w:hint="default" w:ascii="Times New Roman" w:hAnsi="Times New Roman" w:cs="Times New Roman" w:eastAsiaTheme="minorEastAsia"/>
          <w:color w:val="000000" w:themeColor="text1"/>
          <w:sz w:val="24"/>
          <w:szCs w:val="24"/>
          <w14:textFill>
            <w14:solidFill>
              <w14:schemeClr w14:val="tx1"/>
            </w14:solidFill>
          </w14:textFill>
        </w:rPr>
      </w:pPr>
    </w:p>
    <w:p>
      <w:pPr>
        <w:pStyle w:val="643"/>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表2-2-1 环境影响因素识别表</w:t>
      </w:r>
    </w:p>
    <w:tbl>
      <w:tblPr>
        <w:tblStyle w:val="91"/>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74"/>
        <w:gridCol w:w="2091"/>
        <w:gridCol w:w="950"/>
        <w:gridCol w:w="1096"/>
        <w:gridCol w:w="851"/>
        <w:gridCol w:w="850"/>
        <w:gridCol w:w="851"/>
        <w:gridCol w:w="95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165" w:type="dxa"/>
            <w:gridSpan w:val="2"/>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影响因素</w:t>
            </w:r>
          </w:p>
        </w:tc>
        <w:tc>
          <w:tcPr>
            <w:tcW w:w="5555" w:type="dxa"/>
            <w:gridSpan w:val="6"/>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自然环境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165" w:type="dxa"/>
            <w:gridSpan w:val="2"/>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50" w:type="dxa"/>
            <w:tcBorders>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大气</w:t>
            </w:r>
          </w:p>
        </w:tc>
        <w:tc>
          <w:tcPr>
            <w:tcW w:w="1096" w:type="dxa"/>
            <w:tcBorders>
              <w:lef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地表水</w:t>
            </w:r>
          </w:p>
        </w:tc>
        <w:tc>
          <w:tcPr>
            <w:tcW w:w="8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地下水</w:t>
            </w:r>
          </w:p>
        </w:tc>
        <w:tc>
          <w:tcPr>
            <w:tcW w:w="85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声</w:t>
            </w:r>
          </w:p>
        </w:tc>
        <w:tc>
          <w:tcPr>
            <w:tcW w:w="851" w:type="dxa"/>
            <w:tcBorders>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生态</w:t>
            </w:r>
          </w:p>
        </w:tc>
        <w:tc>
          <w:tcPr>
            <w:tcW w:w="957" w:type="dxa"/>
            <w:tcBorders>
              <w:lef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土壤</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074"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施工期</w:t>
            </w:r>
          </w:p>
        </w:tc>
        <w:tc>
          <w:tcPr>
            <w:tcW w:w="209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物料堆存</w:t>
            </w:r>
          </w:p>
        </w:tc>
        <w:tc>
          <w:tcPr>
            <w:tcW w:w="950" w:type="dxa"/>
            <w:tcBorders>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-1D</w:t>
            </w:r>
          </w:p>
        </w:tc>
        <w:tc>
          <w:tcPr>
            <w:tcW w:w="1096" w:type="dxa"/>
            <w:tcBorders>
              <w:lef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5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51" w:type="dxa"/>
            <w:tcBorders>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57" w:type="dxa"/>
            <w:tcBorders>
              <w:lef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074"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209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材料运输</w:t>
            </w:r>
          </w:p>
        </w:tc>
        <w:tc>
          <w:tcPr>
            <w:tcW w:w="950" w:type="dxa"/>
            <w:tcBorders>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-1D</w:t>
            </w:r>
          </w:p>
        </w:tc>
        <w:tc>
          <w:tcPr>
            <w:tcW w:w="1096" w:type="dxa"/>
            <w:tcBorders>
              <w:lef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5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-1D</w:t>
            </w:r>
          </w:p>
        </w:tc>
        <w:tc>
          <w:tcPr>
            <w:tcW w:w="851" w:type="dxa"/>
            <w:tcBorders>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57" w:type="dxa"/>
            <w:tcBorders>
              <w:lef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074"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209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建筑施工</w:t>
            </w:r>
          </w:p>
        </w:tc>
        <w:tc>
          <w:tcPr>
            <w:tcW w:w="950" w:type="dxa"/>
            <w:tcBorders>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-1D</w:t>
            </w:r>
          </w:p>
        </w:tc>
        <w:tc>
          <w:tcPr>
            <w:tcW w:w="1096" w:type="dxa"/>
            <w:tcBorders>
              <w:lef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-1D</w:t>
            </w:r>
          </w:p>
        </w:tc>
        <w:tc>
          <w:tcPr>
            <w:tcW w:w="8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5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-2D</w:t>
            </w:r>
          </w:p>
        </w:tc>
        <w:tc>
          <w:tcPr>
            <w:tcW w:w="851" w:type="dxa"/>
            <w:tcBorders>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-1D</w:t>
            </w:r>
          </w:p>
        </w:tc>
        <w:tc>
          <w:tcPr>
            <w:tcW w:w="957" w:type="dxa"/>
            <w:tcBorders>
              <w:lef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074"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运营期</w:t>
            </w:r>
          </w:p>
        </w:tc>
        <w:tc>
          <w:tcPr>
            <w:tcW w:w="209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废气</w:t>
            </w:r>
          </w:p>
        </w:tc>
        <w:tc>
          <w:tcPr>
            <w:tcW w:w="950" w:type="dxa"/>
            <w:tcBorders>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-1C</w:t>
            </w:r>
          </w:p>
        </w:tc>
        <w:tc>
          <w:tcPr>
            <w:tcW w:w="1096" w:type="dxa"/>
            <w:tcBorders>
              <w:lef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5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51" w:type="dxa"/>
            <w:tcBorders>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57" w:type="dxa"/>
            <w:tcBorders>
              <w:lef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-1C</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74"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2091" w:type="dxa"/>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废水</w:t>
            </w:r>
          </w:p>
        </w:tc>
        <w:tc>
          <w:tcPr>
            <w:tcW w:w="950" w:type="dxa"/>
            <w:tcBorders>
              <w:bottom w:val="single" w:color="auto" w:sz="4" w:space="0"/>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96" w:type="dxa"/>
            <w:tcBorders>
              <w:left w:val="single" w:color="auto" w:sz="2"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51" w:type="dxa"/>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-1C</w:t>
            </w:r>
          </w:p>
        </w:tc>
        <w:tc>
          <w:tcPr>
            <w:tcW w:w="850" w:type="dxa"/>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51" w:type="dxa"/>
            <w:tcBorders>
              <w:bottom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57" w:type="dxa"/>
            <w:tcBorders>
              <w:left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-1C</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5" w:hRule="atLeast"/>
        </w:trPr>
        <w:tc>
          <w:tcPr>
            <w:tcW w:w="1074"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2091" w:type="dxa"/>
            <w:tcBorders>
              <w:top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噪声</w:t>
            </w:r>
          </w:p>
        </w:tc>
        <w:tc>
          <w:tcPr>
            <w:tcW w:w="950" w:type="dxa"/>
            <w:tcBorders>
              <w:top w:val="single" w:color="auto" w:sz="4" w:space="0"/>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96" w:type="dxa"/>
            <w:tcBorders>
              <w:top w:val="single" w:color="auto" w:sz="4" w:space="0"/>
              <w:lef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51" w:type="dxa"/>
            <w:tcBorders>
              <w:top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50" w:type="dxa"/>
            <w:tcBorders>
              <w:top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-1C</w:t>
            </w:r>
          </w:p>
        </w:tc>
        <w:tc>
          <w:tcPr>
            <w:tcW w:w="851" w:type="dxa"/>
            <w:tcBorders>
              <w:top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57" w:type="dxa"/>
            <w:tcBorders>
              <w:top w:val="single" w:color="auto" w:sz="4" w:space="0"/>
              <w:lef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074"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209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固废处置</w:t>
            </w:r>
          </w:p>
        </w:tc>
        <w:tc>
          <w:tcPr>
            <w:tcW w:w="950" w:type="dxa"/>
            <w:tcBorders>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96" w:type="dxa"/>
            <w:tcBorders>
              <w:lef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5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51" w:type="dxa"/>
            <w:tcBorders>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-1C</w:t>
            </w:r>
          </w:p>
        </w:tc>
        <w:tc>
          <w:tcPr>
            <w:tcW w:w="957" w:type="dxa"/>
            <w:tcBorders>
              <w:lef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-1C</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074"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209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事故</w:t>
            </w:r>
          </w:p>
        </w:tc>
        <w:tc>
          <w:tcPr>
            <w:tcW w:w="950" w:type="dxa"/>
            <w:tcBorders>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-2D</w:t>
            </w:r>
          </w:p>
        </w:tc>
        <w:tc>
          <w:tcPr>
            <w:tcW w:w="1096" w:type="dxa"/>
            <w:tcBorders>
              <w:lef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-2D</w:t>
            </w:r>
          </w:p>
        </w:tc>
        <w:tc>
          <w:tcPr>
            <w:tcW w:w="85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51" w:type="dxa"/>
            <w:tcBorders>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57" w:type="dxa"/>
            <w:tcBorders>
              <w:lef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-2D</w:t>
            </w:r>
          </w:p>
        </w:tc>
      </w:tr>
    </w:tbl>
    <w:p>
      <w:pPr>
        <w:pStyle w:val="666"/>
        <w:jc w:val="lef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注：1.表中“+”表示正效益，“-”表示负效益；</w:t>
      </w:r>
    </w:p>
    <w:p>
      <w:pPr>
        <w:pStyle w:val="666"/>
        <w:jc w:val="lef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2.表中数字表示影响的相对程度，“1”表示影响较小，“2”表示影响中等，“3”表示影响较大；</w:t>
      </w:r>
    </w:p>
    <w:p>
      <w:pPr>
        <w:pStyle w:val="666"/>
        <w:jc w:val="lef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3.表中“D”表示短期影响，“C”表示长期影响。</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由表2-2-1可见，本项目建设施工期对环境的影响主要是对周围环境产生的负面影响主要是对大气环境和声环境质量的短期影响。</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运营期废气和固废污染对环境质量有一定影响；项目产生的废气、废水、噪声、固体废物均采取了妥善的处理、处置措施，不会对周边大气环境、地表水环境、声环境、地下水环境、土壤环境、生态等产生明显影响。</w:t>
      </w:r>
    </w:p>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2.2.2 评价因子筛选</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根据项目污染物排放特点和对环境影响因子识别，本项目主要是大气污染物排放的特点，选择确定评价因子见表2-2-2。</w:t>
      </w:r>
    </w:p>
    <w:p>
      <w:pPr>
        <w:pStyle w:val="643"/>
        <w:rPr>
          <w:rFonts w:hint="default" w:ascii="Times New Roman" w:hAnsi="Times New Roman" w:cs="Times New Roman" w:eastAsiaTheme="minorEastAsia"/>
          <w:color w:val="000000" w:themeColor="text1"/>
          <w14:textFill>
            <w14:solidFill>
              <w14:schemeClr w14:val="tx1"/>
            </w14:solidFill>
          </w14:textFill>
        </w:rPr>
      </w:pPr>
    </w:p>
    <w:p>
      <w:pPr>
        <w:pStyle w:val="643"/>
        <w:rPr>
          <w:rFonts w:hint="default" w:ascii="Times New Roman" w:hAnsi="Times New Roman" w:cs="Times New Roman" w:eastAsiaTheme="minorEastAsia"/>
          <w:color w:val="000000" w:themeColor="text1"/>
          <w14:textFill>
            <w14:solidFill>
              <w14:schemeClr w14:val="tx1"/>
            </w14:solidFill>
          </w14:textFill>
        </w:rPr>
      </w:pPr>
    </w:p>
    <w:p>
      <w:pPr>
        <w:pStyle w:val="643"/>
        <w:rPr>
          <w:rFonts w:hint="default" w:ascii="Times New Roman" w:hAnsi="Times New Roman" w:cs="Times New Roman" w:eastAsiaTheme="minorEastAsia"/>
          <w:color w:val="000000" w:themeColor="text1"/>
          <w14:textFill>
            <w14:solidFill>
              <w14:schemeClr w14:val="tx1"/>
            </w14:solidFill>
          </w14:textFill>
        </w:rPr>
      </w:pPr>
    </w:p>
    <w:p>
      <w:pPr>
        <w:pStyle w:val="643"/>
        <w:rPr>
          <w:rFonts w:hint="default" w:ascii="Times New Roman" w:hAnsi="Times New Roman" w:cs="Times New Roman" w:eastAsiaTheme="minorEastAsia"/>
          <w:color w:val="000000" w:themeColor="text1"/>
          <w14:textFill>
            <w14:solidFill>
              <w14:schemeClr w14:val="tx1"/>
            </w14:solidFill>
          </w14:textFill>
        </w:rPr>
      </w:pPr>
    </w:p>
    <w:p>
      <w:pPr>
        <w:pStyle w:val="643"/>
        <w:rPr>
          <w:rFonts w:hint="default" w:ascii="Times New Roman" w:hAnsi="Times New Roman" w:cs="Times New Roman" w:eastAsiaTheme="minorEastAsia"/>
          <w:color w:val="000000" w:themeColor="text1"/>
          <w14:textFill>
            <w14:solidFill>
              <w14:schemeClr w14:val="tx1"/>
            </w14:solidFill>
          </w14:textFill>
        </w:rPr>
      </w:pP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表2-2-2 环境影响评价因子筛选结果</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85"/>
        <w:gridCol w:w="1400"/>
        <w:gridCol w:w="56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blHeader/>
        </w:trPr>
        <w:tc>
          <w:tcPr>
            <w:tcW w:w="168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环 境 要 素</w:t>
            </w:r>
          </w:p>
        </w:tc>
        <w:tc>
          <w:tcPr>
            <w:tcW w:w="140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评价阶段</w:t>
            </w:r>
          </w:p>
        </w:tc>
        <w:tc>
          <w:tcPr>
            <w:tcW w:w="563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评价因子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685"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大气环境</w:t>
            </w:r>
          </w:p>
        </w:tc>
        <w:tc>
          <w:tcPr>
            <w:tcW w:w="140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现状评价</w:t>
            </w:r>
          </w:p>
        </w:tc>
        <w:tc>
          <w:tcPr>
            <w:tcW w:w="563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szCs w:val="28"/>
                <w14:textFill>
                  <w14:solidFill>
                    <w14:schemeClr w14:val="tx1"/>
                  </w14:solidFill>
                </w14:textFill>
              </w:rPr>
              <w:t>TSP、PM</w:t>
            </w:r>
            <w:r>
              <w:rPr>
                <w:rFonts w:hint="default" w:ascii="Times New Roman" w:hAnsi="Times New Roman" w:cs="Times New Roman" w:eastAsiaTheme="minorEastAsia"/>
                <w:color w:val="000000" w:themeColor="text1"/>
                <w:szCs w:val="28"/>
                <w:vertAlign w:val="subscript"/>
                <w14:textFill>
                  <w14:solidFill>
                    <w14:schemeClr w14:val="tx1"/>
                  </w14:solidFill>
                </w14:textFill>
              </w:rPr>
              <w:t>10</w:t>
            </w:r>
            <w:r>
              <w:rPr>
                <w:rFonts w:hint="default" w:ascii="Times New Roman" w:hAnsi="Times New Roman" w:cs="Times New Roman" w:eastAsiaTheme="minorEastAsia"/>
                <w:color w:val="000000" w:themeColor="text1"/>
                <w:szCs w:val="28"/>
                <w14:textFill>
                  <w14:solidFill>
                    <w14:schemeClr w14:val="tx1"/>
                  </w14:solidFill>
                </w14:textFill>
              </w:rPr>
              <w:t>、PM</w:t>
            </w:r>
            <w:r>
              <w:rPr>
                <w:rFonts w:hint="default" w:ascii="Times New Roman" w:hAnsi="Times New Roman" w:cs="Times New Roman" w:eastAsiaTheme="minorEastAsia"/>
                <w:color w:val="000000" w:themeColor="text1"/>
                <w:szCs w:val="28"/>
                <w:vertAlign w:val="subscript"/>
                <w14:textFill>
                  <w14:solidFill>
                    <w14:schemeClr w14:val="tx1"/>
                  </w14:solidFill>
                </w14:textFill>
              </w:rPr>
              <w:t>2.5</w:t>
            </w:r>
            <w:r>
              <w:rPr>
                <w:rFonts w:hint="default" w:ascii="Times New Roman" w:hAnsi="Times New Roman" w:cs="Times New Roman" w:eastAsiaTheme="minorEastAsia"/>
                <w:color w:val="000000" w:themeColor="text1"/>
                <w:szCs w:val="28"/>
                <w14:textFill>
                  <w14:solidFill>
                    <w14:schemeClr w14:val="tx1"/>
                  </w14:solidFill>
                </w14:textFill>
              </w:rPr>
              <w:t>、</w:t>
            </w:r>
            <w:r>
              <w:rPr>
                <w:rFonts w:hint="default" w:ascii="Times New Roman" w:hAnsi="Times New Roman" w:cs="Times New Roman" w:eastAsiaTheme="minorEastAsia"/>
                <w:color w:val="000000" w:themeColor="text1"/>
                <w14:textFill>
                  <w14:solidFill>
                    <w14:schemeClr w14:val="tx1"/>
                  </w14:solidFill>
                </w14:textFill>
              </w:rPr>
              <w:t>SO</w:t>
            </w:r>
            <w:r>
              <w:rPr>
                <w:rFonts w:hint="default" w:ascii="Times New Roman" w:hAnsi="Times New Roman" w:cs="Times New Roman" w:eastAsiaTheme="minorEastAsia"/>
                <w:color w:val="000000" w:themeColor="text1"/>
                <w:vertAlign w:val="subscript"/>
                <w14:textFill>
                  <w14:solidFill>
                    <w14:schemeClr w14:val="tx1"/>
                  </w14:solidFill>
                </w14:textFill>
              </w:rPr>
              <w:t>2</w:t>
            </w:r>
            <w:r>
              <w:rPr>
                <w:rFonts w:hint="default" w:ascii="Times New Roman" w:hAnsi="Times New Roman" w:cs="Times New Roman" w:eastAsiaTheme="minorEastAsia"/>
                <w:color w:val="000000" w:themeColor="text1"/>
                <w14:textFill>
                  <w14:solidFill>
                    <w14:schemeClr w14:val="tx1"/>
                  </w14:solidFill>
                </w14:textFill>
              </w:rPr>
              <w:t>、NO</w:t>
            </w:r>
            <w:r>
              <w:rPr>
                <w:rFonts w:hint="default" w:ascii="Times New Roman" w:hAnsi="Times New Roman" w:cs="Times New Roman" w:eastAsiaTheme="minorEastAsia"/>
                <w:color w:val="000000" w:themeColor="text1"/>
                <w:vertAlign w:val="subscript"/>
                <w14:textFill>
                  <w14:solidFill>
                    <w14:schemeClr w14:val="tx1"/>
                  </w14:solidFill>
                </w14:textFill>
              </w:rPr>
              <w:t>2</w:t>
            </w:r>
            <w:r>
              <w:rPr>
                <w:rFonts w:hint="default" w:ascii="Times New Roman" w:hAnsi="Times New Roman" w:cs="Times New Roman" w:eastAsiaTheme="minorEastAsia"/>
                <w:color w:val="000000" w:themeColor="text1"/>
                <w14:textFill>
                  <w14:solidFill>
                    <w14:schemeClr w14:val="tx1"/>
                  </w14:solidFill>
                </w14:textFill>
              </w:rPr>
              <w:t>、CO、O</w:t>
            </w:r>
            <w:r>
              <w:rPr>
                <w:rFonts w:hint="default" w:ascii="Times New Roman" w:hAnsi="Times New Roman" w:cs="Times New Roman" w:eastAsiaTheme="minorEastAsia"/>
                <w:color w:val="000000" w:themeColor="text1"/>
                <w:vertAlign w:val="subscript"/>
                <w14:textFill>
                  <w14:solidFill>
                    <w14:schemeClr w14:val="tx1"/>
                  </w14:solidFill>
                </w14:textFill>
              </w:rPr>
              <w:t>3</w:t>
            </w:r>
            <w:r>
              <w:rPr>
                <w:rFonts w:hint="default" w:ascii="Times New Roman" w:hAnsi="Times New Roman" w:cs="Times New Roman" w:eastAsiaTheme="minorEastAsia"/>
                <w:color w:val="000000" w:themeColor="text1"/>
                <w14:textFill>
                  <w14:solidFill>
                    <w14:schemeClr w14:val="tx1"/>
                  </w14:solidFill>
                </w14:textFill>
              </w:rPr>
              <w:t>、氨、硫化氢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685"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40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影响评价</w:t>
            </w:r>
          </w:p>
        </w:tc>
        <w:tc>
          <w:tcPr>
            <w:tcW w:w="563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TSP、PM</w:t>
            </w:r>
            <w:r>
              <w:rPr>
                <w:rFonts w:hint="default" w:ascii="Times New Roman" w:hAnsi="Times New Roman" w:cs="Times New Roman" w:eastAsiaTheme="minorEastAsia"/>
                <w:color w:val="000000" w:themeColor="text1"/>
                <w:vertAlign w:val="subscript"/>
                <w14:textFill>
                  <w14:solidFill>
                    <w14:schemeClr w14:val="tx1"/>
                  </w14:solidFill>
                </w14:textFill>
              </w:rPr>
              <w:t>10</w:t>
            </w:r>
            <w:r>
              <w:rPr>
                <w:rFonts w:hint="default" w:ascii="Times New Roman" w:hAnsi="Times New Roman" w:cs="Times New Roman" w:eastAsiaTheme="minorEastAsia"/>
                <w:color w:val="000000" w:themeColor="text1"/>
                <w14:textFill>
                  <w14:solidFill>
                    <w14:schemeClr w14:val="tx1"/>
                  </w14:solidFill>
                </w14:textFill>
              </w:rPr>
              <w:t>、SO</w:t>
            </w:r>
            <w:r>
              <w:rPr>
                <w:rFonts w:hint="default" w:ascii="Times New Roman" w:hAnsi="Times New Roman" w:cs="Times New Roman" w:eastAsiaTheme="minorEastAsia"/>
                <w:color w:val="000000" w:themeColor="text1"/>
                <w:vertAlign w:val="subscript"/>
                <w14:textFill>
                  <w14:solidFill>
                    <w14:schemeClr w14:val="tx1"/>
                  </w14:solidFill>
                </w14:textFill>
              </w:rPr>
              <w:t>2</w:t>
            </w:r>
            <w:r>
              <w:rPr>
                <w:rFonts w:hint="default" w:ascii="Times New Roman" w:hAnsi="Times New Roman" w:cs="Times New Roman" w:eastAsiaTheme="minorEastAsia"/>
                <w:color w:val="000000" w:themeColor="text1"/>
                <w14:textFill>
                  <w14:solidFill>
                    <w14:schemeClr w14:val="tx1"/>
                  </w14:solidFill>
                </w14:textFill>
              </w:rPr>
              <w:t>、NO</w:t>
            </w:r>
            <w:r>
              <w:rPr>
                <w:rFonts w:hint="default" w:ascii="Times New Roman" w:hAnsi="Times New Roman" w:cs="Times New Roman" w:eastAsiaTheme="minorEastAsia"/>
                <w:color w:val="000000" w:themeColor="text1"/>
                <w:vertAlign w:val="subscript"/>
                <w14:textFill>
                  <w14:solidFill>
                    <w14:schemeClr w14:val="tx1"/>
                  </w14:solidFill>
                </w14:textFill>
              </w:rPr>
              <w:t>2</w:t>
            </w:r>
            <w:r>
              <w:rPr>
                <w:rFonts w:hint="default" w:ascii="Times New Roman" w:hAnsi="Times New Roman" w:cs="Times New Roman" w:eastAsiaTheme="minorEastAsia"/>
                <w:color w:val="000000" w:themeColor="text1"/>
                <w14:textFill>
                  <w14:solidFill>
                    <w14:schemeClr w14:val="tx1"/>
                  </w14:solidFill>
                </w14:textFill>
              </w:rPr>
              <w:t>、氨、硫化氢、臭气浓度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685"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地表水环境</w:t>
            </w:r>
          </w:p>
        </w:tc>
        <w:tc>
          <w:tcPr>
            <w:tcW w:w="140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现状评价</w:t>
            </w:r>
          </w:p>
        </w:tc>
        <w:tc>
          <w:tcPr>
            <w:tcW w:w="5635" w:type="dxa"/>
          </w:tcPr>
          <w:p>
            <w:pPr>
              <w:pStyle w:val="666"/>
              <w:rPr>
                <w:rFonts w:hint="default" w:ascii="Times New Roman" w:hAnsi="Times New Roman" w:cs="Times New Roman" w:eastAsiaTheme="minorEastAsia"/>
                <w:color w:val="000000" w:themeColor="text1"/>
                <w:highlight w:val="yellow"/>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685"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40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影响评价</w:t>
            </w:r>
          </w:p>
        </w:tc>
        <w:tc>
          <w:tcPr>
            <w:tcW w:w="5635" w:type="dxa"/>
            <w:vAlign w:val="center"/>
          </w:tcPr>
          <w:p>
            <w:pPr>
              <w:pStyle w:val="666"/>
              <w:rPr>
                <w:rFonts w:hint="default" w:ascii="Times New Roman" w:hAnsi="Times New Roman" w:cs="Times New Roman" w:eastAsiaTheme="minorEastAsia"/>
                <w:color w:val="000000" w:themeColor="text1"/>
                <w:highlight w:val="yellow"/>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685"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地下水环境</w:t>
            </w:r>
          </w:p>
        </w:tc>
        <w:tc>
          <w:tcPr>
            <w:tcW w:w="140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现状评价</w:t>
            </w:r>
          </w:p>
        </w:tc>
        <w:tc>
          <w:tcPr>
            <w:tcW w:w="5635" w:type="dxa"/>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pH值、氨氮、硝酸盐、亚硝酸盐、挥发性酚类、氰化物、砷、汞、铬（六价）、总硬度、铅、氟、镉、铁、锰、溶解性总固体、耗氧量（以COD</w:t>
            </w:r>
            <w:r>
              <w:rPr>
                <w:rFonts w:hint="default" w:ascii="Times New Roman" w:hAnsi="Times New Roman" w:cs="Times New Roman" w:eastAsiaTheme="minorEastAsia"/>
                <w:color w:val="000000" w:themeColor="text1"/>
                <w:vertAlign w:val="subscript"/>
                <w14:textFill>
                  <w14:solidFill>
                    <w14:schemeClr w14:val="tx1"/>
                  </w14:solidFill>
                </w14:textFill>
              </w:rPr>
              <w:t>Mn</w:t>
            </w:r>
            <w:r>
              <w:rPr>
                <w:rFonts w:hint="default" w:ascii="Times New Roman" w:hAnsi="Times New Roman" w:cs="Times New Roman" w:eastAsiaTheme="minorEastAsia"/>
                <w:color w:val="000000" w:themeColor="text1"/>
                <w14:textFill>
                  <w14:solidFill>
                    <w14:schemeClr w14:val="tx1"/>
                  </w14:solidFill>
                </w14:textFill>
              </w:rPr>
              <w:t>计）、硫酸盐、氯化物、菌落总数、总大肠菌群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685"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40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影响评价</w:t>
            </w:r>
          </w:p>
        </w:tc>
        <w:tc>
          <w:tcPr>
            <w:tcW w:w="563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氨氮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685"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声环境</w:t>
            </w:r>
          </w:p>
        </w:tc>
        <w:tc>
          <w:tcPr>
            <w:tcW w:w="140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现状评价</w:t>
            </w:r>
          </w:p>
        </w:tc>
        <w:tc>
          <w:tcPr>
            <w:tcW w:w="563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等效连续A声级Leq(A)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685"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40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影响评价</w:t>
            </w:r>
          </w:p>
        </w:tc>
        <w:tc>
          <w:tcPr>
            <w:tcW w:w="563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等效连续A声级Leq(A)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68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固体废物</w:t>
            </w:r>
          </w:p>
        </w:tc>
        <w:tc>
          <w:tcPr>
            <w:tcW w:w="140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影响评价</w:t>
            </w:r>
          </w:p>
        </w:tc>
        <w:tc>
          <w:tcPr>
            <w:tcW w:w="563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牛粪、病死牛、废沼气脱硫剂、沼渣、卧床垫料废物、生活垃圾、医疗废物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685"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土壤环境</w:t>
            </w:r>
          </w:p>
        </w:tc>
        <w:tc>
          <w:tcPr>
            <w:tcW w:w="140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现状评价</w:t>
            </w:r>
          </w:p>
        </w:tc>
        <w:tc>
          <w:tcPr>
            <w:tcW w:w="563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pH、镉、汞、砷、铅、铬、铜、镍、锌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85"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40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影响评价</w:t>
            </w:r>
          </w:p>
        </w:tc>
        <w:tc>
          <w:tcPr>
            <w:tcW w:w="563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土壤含盐量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685"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环境风险</w:t>
            </w:r>
          </w:p>
        </w:tc>
        <w:tc>
          <w:tcPr>
            <w:tcW w:w="140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现状评价</w:t>
            </w:r>
          </w:p>
        </w:tc>
        <w:tc>
          <w:tcPr>
            <w:tcW w:w="563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685"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40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影响评价</w:t>
            </w:r>
          </w:p>
        </w:tc>
        <w:tc>
          <w:tcPr>
            <w:tcW w:w="563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甲烷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685"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生态影响</w:t>
            </w:r>
          </w:p>
        </w:tc>
        <w:tc>
          <w:tcPr>
            <w:tcW w:w="140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现状评价</w:t>
            </w:r>
          </w:p>
        </w:tc>
        <w:tc>
          <w:tcPr>
            <w:tcW w:w="563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生态现状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85"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40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影响评价</w:t>
            </w:r>
          </w:p>
        </w:tc>
        <w:tc>
          <w:tcPr>
            <w:tcW w:w="563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区域生态系统影响</w:t>
            </w:r>
          </w:p>
        </w:tc>
      </w:tr>
    </w:tbl>
    <w:p>
      <w:pPr>
        <w:pStyle w:val="639"/>
        <w:rPr>
          <w:rFonts w:hint="default" w:ascii="Times New Roman" w:hAnsi="Times New Roman" w:cs="Times New Roman" w:eastAsiaTheme="minorEastAsia"/>
          <w:b/>
          <w:bCs w:val="0"/>
          <w:color w:val="000000" w:themeColor="text1"/>
          <w14:textFill>
            <w14:solidFill>
              <w14:schemeClr w14:val="tx1"/>
            </w14:solidFill>
          </w14:textFill>
        </w:rPr>
      </w:pPr>
      <w:bookmarkStart w:id="39" w:name="_Toc21969"/>
      <w:r>
        <w:rPr>
          <w:rFonts w:hint="default" w:ascii="Times New Roman" w:hAnsi="Times New Roman" w:cs="Times New Roman" w:eastAsiaTheme="minorEastAsia"/>
          <w:b/>
          <w:bCs w:val="0"/>
          <w:color w:val="000000" w:themeColor="text1"/>
          <w14:textFill>
            <w14:solidFill>
              <w14:schemeClr w14:val="tx1"/>
            </w14:solidFill>
          </w14:textFill>
        </w:rPr>
        <w:t>2.3 评价工作等级及评价范围</w:t>
      </w:r>
      <w:bookmarkEnd w:id="39"/>
    </w:p>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bookmarkStart w:id="40" w:name="_Toc215564489"/>
      <w:bookmarkStart w:id="41" w:name="_Toc168732743"/>
      <w:bookmarkStart w:id="42" w:name="_Toc170185556"/>
      <w:bookmarkStart w:id="43" w:name="_Toc176865890"/>
      <w:bookmarkStart w:id="44" w:name="_Toc216838058"/>
      <w:bookmarkStart w:id="45" w:name="_Toc337734314"/>
      <w:bookmarkStart w:id="46" w:name="_Toc447280997"/>
      <w:bookmarkStart w:id="47" w:name="_Toc355941895"/>
      <w:r>
        <w:rPr>
          <w:rFonts w:hint="default" w:ascii="Times New Roman" w:hAnsi="Times New Roman" w:cs="Times New Roman" w:eastAsiaTheme="minorEastAsia"/>
          <w:color w:val="000000" w:themeColor="text1"/>
          <w:sz w:val="24"/>
          <w:szCs w:val="24"/>
          <w14:textFill>
            <w14:solidFill>
              <w14:schemeClr w14:val="tx1"/>
            </w14:solidFill>
          </w14:textFill>
        </w:rPr>
        <w:t xml:space="preserve">2.3.1 </w:t>
      </w:r>
      <w:bookmarkEnd w:id="40"/>
      <w:bookmarkEnd w:id="41"/>
      <w:bookmarkEnd w:id="42"/>
      <w:bookmarkEnd w:id="43"/>
      <w:bookmarkEnd w:id="44"/>
      <w:bookmarkEnd w:id="45"/>
      <w:bookmarkEnd w:id="46"/>
      <w:bookmarkEnd w:id="47"/>
      <w:r>
        <w:rPr>
          <w:rFonts w:hint="default" w:ascii="Times New Roman" w:hAnsi="Times New Roman" w:cs="Times New Roman" w:eastAsiaTheme="minorEastAsia"/>
          <w:color w:val="000000" w:themeColor="text1"/>
          <w:sz w:val="24"/>
          <w:szCs w:val="24"/>
          <w14:textFill>
            <w14:solidFill>
              <w14:schemeClr w14:val="tx1"/>
            </w14:solidFill>
          </w14:textFill>
        </w:rPr>
        <w:t>大气环境</w:t>
      </w:r>
    </w:p>
    <w:p>
      <w:pPr>
        <w:pStyle w:val="1297"/>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2.3.1.1 评价工作等级</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依据《环境影响评价技术导则 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（1）P</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max</w:t>
      </w:r>
      <w:r>
        <w:rPr>
          <w:rFonts w:hint="default" w:ascii="Times New Roman" w:hAnsi="Times New Roman" w:cs="Times New Roman" w:eastAsiaTheme="minorEastAsia"/>
          <w:color w:val="000000" w:themeColor="text1"/>
          <w:sz w:val="24"/>
          <w:szCs w:val="22"/>
          <w14:textFill>
            <w14:solidFill>
              <w14:schemeClr w14:val="tx1"/>
            </w14:solidFill>
          </w14:textFill>
        </w:rPr>
        <w:t>及D</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10%</w:t>
      </w:r>
      <w:r>
        <w:rPr>
          <w:rFonts w:hint="default" w:ascii="Times New Roman" w:hAnsi="Times New Roman" w:cs="Times New Roman" w:eastAsiaTheme="minorEastAsia"/>
          <w:color w:val="000000" w:themeColor="text1"/>
          <w:sz w:val="24"/>
          <w:szCs w:val="22"/>
          <w14:textFill>
            <w14:solidFill>
              <w14:schemeClr w14:val="tx1"/>
            </w14:solidFill>
          </w14:textFill>
        </w:rPr>
        <w:t>的确定</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依据《环境影响评价技术导则 大气环境》（HJ2.2-2018）中最大地面浓度占标率P</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i</w:t>
      </w:r>
      <w:r>
        <w:rPr>
          <w:rFonts w:hint="default" w:ascii="Times New Roman" w:hAnsi="Times New Roman" w:cs="Times New Roman" w:eastAsiaTheme="minorEastAsia"/>
          <w:color w:val="000000" w:themeColor="text1"/>
          <w:sz w:val="24"/>
          <w:szCs w:val="22"/>
          <w14:textFill>
            <w14:solidFill>
              <w14:schemeClr w14:val="tx1"/>
            </w14:solidFill>
          </w14:textFill>
        </w:rPr>
        <w:t>定义如下：</w:t>
      </w:r>
    </w:p>
    <w:p>
      <w:pPr>
        <w:spacing w:line="276" w:lineRule="auto"/>
        <w:ind w:firstLine="422" w:firstLineChars="176"/>
        <w:jc w:val="center"/>
        <w:rPr>
          <w:rFonts w:hint="default" w:ascii="Times New Roman" w:hAnsi="Times New Roman" w:cs="Times New Roman" w:eastAsiaTheme="minorEastAsia"/>
          <w:color w:val="000000" w:themeColor="text1"/>
          <w:sz w:val="24"/>
          <w14:textFill>
            <w14:solidFill>
              <w14:schemeClr w14:val="tx1"/>
            </w14:solidFill>
          </w14:textFill>
        </w:rPr>
      </w:pPr>
      <m:oMathPara>
        <m:oMath>
          <m:sSub>
            <m:sSubPr>
              <m:ctrlPr>
                <w:rPr>
                  <w:rFonts w:hint="default" w:ascii="Cambria Math" w:hAnsi="Cambria Math" w:cs="Times New Roman" w:eastAsiaTheme="minorEastAsia"/>
                  <w:color w:val="000000" w:themeColor="text1"/>
                  <w:sz w:val="24"/>
                  <w14:textFill>
                    <w14:solidFill>
                      <w14:schemeClr w14:val="tx1"/>
                    </w14:solidFill>
                  </w14:textFill>
                </w:rPr>
              </m:ctrlPr>
            </m:sSubPr>
            <m:e>
              <m:r>
                <m:rPr/>
                <w:rPr>
                  <w:rFonts w:hint="default" w:ascii="Cambria Math" w:hAnsi="Cambria Math" w:cs="Times New Roman" w:eastAsiaTheme="minorEastAsia"/>
                  <w:color w:val="000000" w:themeColor="text1"/>
                  <w:sz w:val="24"/>
                  <w14:textFill>
                    <w14:solidFill>
                      <w14:schemeClr w14:val="tx1"/>
                    </w14:solidFill>
                  </w14:textFill>
                </w:rPr>
                <m:t>P</m:t>
              </m:r>
              <m:ctrlPr>
                <w:rPr>
                  <w:rFonts w:hint="default" w:ascii="Cambria Math" w:hAnsi="Cambria Math" w:cs="Times New Roman" w:eastAsiaTheme="minorEastAsia"/>
                  <w:color w:val="000000" w:themeColor="text1"/>
                  <w:sz w:val="24"/>
                  <w14:textFill>
                    <w14:solidFill>
                      <w14:schemeClr w14:val="tx1"/>
                    </w14:solidFill>
                  </w14:textFill>
                </w:rPr>
              </m:ctrlPr>
            </m:e>
            <m:sub>
              <m:r>
                <m:rPr/>
                <w:rPr>
                  <w:rFonts w:hint="default" w:ascii="Cambria Math" w:hAnsi="Cambria Math" w:cs="Times New Roman" w:eastAsiaTheme="minorEastAsia"/>
                  <w:color w:val="000000" w:themeColor="text1"/>
                  <w:sz w:val="24"/>
                  <w14:textFill>
                    <w14:solidFill>
                      <w14:schemeClr w14:val="tx1"/>
                    </w14:solidFill>
                  </w14:textFill>
                </w:rPr>
                <m:t>i</m:t>
              </m:r>
              <m:ctrlPr>
                <w:rPr>
                  <w:rFonts w:hint="default" w:ascii="Cambria Math" w:hAnsi="Cambria Math" w:cs="Times New Roman" w:eastAsiaTheme="minorEastAsia"/>
                  <w:color w:val="000000" w:themeColor="text1"/>
                  <w:sz w:val="24"/>
                  <w14:textFill>
                    <w14:solidFill>
                      <w14:schemeClr w14:val="tx1"/>
                    </w14:solidFill>
                  </w14:textFill>
                </w:rPr>
              </m:ctrlPr>
            </m:sub>
          </m:sSub>
          <m:r>
            <m:rPr>
              <m:sty m:val="p"/>
            </m:rPr>
            <w:rPr>
              <w:rFonts w:hint="default" w:ascii="Cambria Math" w:hAnsi="Cambria Math" w:cs="Times New Roman" w:eastAsiaTheme="minorEastAsia"/>
              <w:color w:val="000000" w:themeColor="text1"/>
              <w:sz w:val="24"/>
              <w14:textFill>
                <w14:solidFill>
                  <w14:schemeClr w14:val="tx1"/>
                </w14:solidFill>
              </w14:textFill>
            </w:rPr>
            <m:t>=</m:t>
          </m:r>
          <m:f>
            <m:fPr>
              <m:ctrlPr>
                <w:rPr>
                  <w:rFonts w:hint="default" w:ascii="Cambria Math" w:hAnsi="Cambria Math" w:cs="Times New Roman" w:eastAsiaTheme="minorEastAsia"/>
                  <w:color w:val="000000" w:themeColor="text1"/>
                  <w:sz w:val="24"/>
                  <w14:textFill>
                    <w14:solidFill>
                      <w14:schemeClr w14:val="tx1"/>
                    </w14:solidFill>
                  </w14:textFill>
                </w:rPr>
              </m:ctrlPr>
            </m:fPr>
            <m:num>
              <m:sSub>
                <m:sSubPr>
                  <m:ctrlPr>
                    <w:rPr>
                      <w:rFonts w:hint="default" w:ascii="Cambria Math" w:hAnsi="Cambria Math" w:cs="Times New Roman" w:eastAsiaTheme="minorEastAsia"/>
                      <w:i/>
                      <w:color w:val="000000" w:themeColor="text1"/>
                      <w:sz w:val="24"/>
                      <w14:textFill>
                        <w14:solidFill>
                          <w14:schemeClr w14:val="tx1"/>
                        </w14:solidFill>
                      </w14:textFill>
                    </w:rPr>
                  </m:ctrlPr>
                </m:sSubPr>
                <m:e>
                  <m:r>
                    <m:rPr/>
                    <w:rPr>
                      <w:rFonts w:hint="default" w:ascii="Cambria Math" w:hAnsi="Cambria Math" w:cs="Times New Roman" w:eastAsiaTheme="minorEastAsia"/>
                      <w:color w:val="000000" w:themeColor="text1"/>
                      <w:sz w:val="24"/>
                      <w14:textFill>
                        <w14:solidFill>
                          <w14:schemeClr w14:val="tx1"/>
                        </w14:solidFill>
                      </w14:textFill>
                    </w:rPr>
                    <m:t>C</m:t>
                  </m:r>
                  <m:ctrlPr>
                    <w:rPr>
                      <w:rFonts w:hint="default" w:ascii="Cambria Math" w:hAnsi="Cambria Math" w:cs="Times New Roman" w:eastAsiaTheme="minorEastAsia"/>
                      <w:i/>
                      <w:color w:val="000000" w:themeColor="text1"/>
                      <w:sz w:val="24"/>
                      <w14:textFill>
                        <w14:solidFill>
                          <w14:schemeClr w14:val="tx1"/>
                        </w14:solidFill>
                      </w14:textFill>
                    </w:rPr>
                  </m:ctrlPr>
                </m:e>
                <m:sub>
                  <m:r>
                    <m:rPr/>
                    <w:rPr>
                      <w:rFonts w:hint="default" w:ascii="Cambria Math" w:hAnsi="Cambria Math" w:cs="Times New Roman" w:eastAsiaTheme="minorEastAsia"/>
                      <w:color w:val="000000" w:themeColor="text1"/>
                      <w:sz w:val="24"/>
                      <w14:textFill>
                        <w14:solidFill>
                          <w14:schemeClr w14:val="tx1"/>
                        </w14:solidFill>
                      </w14:textFill>
                    </w:rPr>
                    <m:t>i</m:t>
                  </m:r>
                  <m:ctrlPr>
                    <w:rPr>
                      <w:rFonts w:hint="default" w:ascii="Cambria Math" w:hAnsi="Cambria Math" w:cs="Times New Roman" w:eastAsiaTheme="minorEastAsia"/>
                      <w:i/>
                      <w:color w:val="000000" w:themeColor="text1"/>
                      <w:sz w:val="24"/>
                      <w14:textFill>
                        <w14:solidFill>
                          <w14:schemeClr w14:val="tx1"/>
                        </w14:solidFill>
                      </w14:textFill>
                    </w:rPr>
                  </m:ctrlPr>
                </m:sub>
              </m:sSub>
              <m:ctrlPr>
                <w:rPr>
                  <w:rFonts w:hint="default" w:ascii="Cambria Math" w:hAnsi="Cambria Math" w:cs="Times New Roman" w:eastAsiaTheme="minorEastAsia"/>
                  <w:color w:val="000000" w:themeColor="text1"/>
                  <w:sz w:val="24"/>
                  <w14:textFill>
                    <w14:solidFill>
                      <w14:schemeClr w14:val="tx1"/>
                    </w14:solidFill>
                  </w14:textFill>
                </w:rPr>
              </m:ctrlPr>
            </m:num>
            <m:den>
              <m:sSub>
                <m:sSubPr>
                  <m:ctrlPr>
                    <w:rPr>
                      <w:rFonts w:hint="default" w:ascii="Cambria Math" w:hAnsi="Cambria Math" w:cs="Times New Roman" w:eastAsiaTheme="minorEastAsia"/>
                      <w:i/>
                      <w:color w:val="000000" w:themeColor="text1"/>
                      <w:sz w:val="24"/>
                      <w14:textFill>
                        <w14:solidFill>
                          <w14:schemeClr w14:val="tx1"/>
                        </w14:solidFill>
                      </w14:textFill>
                    </w:rPr>
                  </m:ctrlPr>
                </m:sSubPr>
                <m:e>
                  <m:r>
                    <m:rPr/>
                    <w:rPr>
                      <w:rFonts w:hint="default" w:ascii="Cambria Math" w:hAnsi="Cambria Math" w:cs="Times New Roman" w:eastAsiaTheme="minorEastAsia"/>
                      <w:color w:val="000000" w:themeColor="text1"/>
                      <w:sz w:val="24"/>
                      <w14:textFill>
                        <w14:solidFill>
                          <w14:schemeClr w14:val="tx1"/>
                        </w14:solidFill>
                      </w14:textFill>
                    </w:rPr>
                    <m:t>C</m:t>
                  </m:r>
                  <m:ctrlPr>
                    <w:rPr>
                      <w:rFonts w:hint="default" w:ascii="Cambria Math" w:hAnsi="Cambria Math" w:cs="Times New Roman" w:eastAsiaTheme="minorEastAsia"/>
                      <w:i/>
                      <w:color w:val="000000" w:themeColor="text1"/>
                      <w:sz w:val="24"/>
                      <w14:textFill>
                        <w14:solidFill>
                          <w14:schemeClr w14:val="tx1"/>
                        </w14:solidFill>
                      </w14:textFill>
                    </w:rPr>
                  </m:ctrlPr>
                </m:e>
                <m:sub>
                  <m:r>
                    <m:rPr/>
                    <w:rPr>
                      <w:rFonts w:hint="default" w:ascii="Cambria Math" w:hAnsi="Cambria Math" w:cs="Times New Roman" w:eastAsiaTheme="minorEastAsia"/>
                      <w:color w:val="000000" w:themeColor="text1"/>
                      <w:sz w:val="24"/>
                      <w14:textFill>
                        <w14:solidFill>
                          <w14:schemeClr w14:val="tx1"/>
                        </w14:solidFill>
                      </w14:textFill>
                    </w:rPr>
                    <m:t>0i</m:t>
                  </m:r>
                  <m:ctrlPr>
                    <w:rPr>
                      <w:rFonts w:hint="default" w:ascii="Cambria Math" w:hAnsi="Cambria Math" w:cs="Times New Roman" w:eastAsiaTheme="minorEastAsia"/>
                      <w:i/>
                      <w:color w:val="000000" w:themeColor="text1"/>
                      <w:sz w:val="24"/>
                      <w14:textFill>
                        <w14:solidFill>
                          <w14:schemeClr w14:val="tx1"/>
                        </w14:solidFill>
                      </w14:textFill>
                    </w:rPr>
                  </m:ctrlPr>
                </m:sub>
              </m:sSub>
              <m:ctrlPr>
                <w:rPr>
                  <w:rFonts w:hint="default" w:ascii="Cambria Math" w:hAnsi="Cambria Math" w:cs="Times New Roman" w:eastAsiaTheme="minorEastAsia"/>
                  <w:color w:val="000000" w:themeColor="text1"/>
                  <w:sz w:val="24"/>
                  <w14:textFill>
                    <w14:solidFill>
                      <w14:schemeClr w14:val="tx1"/>
                    </w14:solidFill>
                  </w14:textFill>
                </w:rPr>
              </m:ctrlPr>
            </m:den>
          </m:f>
          <m:r>
            <m:rPr/>
            <w:rPr>
              <w:rFonts w:hint="default" w:ascii="Cambria Math" w:hAnsi="Cambria Math" w:cs="Times New Roman" w:eastAsiaTheme="minorEastAsia"/>
              <w:color w:val="000000" w:themeColor="text1"/>
              <w:sz w:val="24"/>
              <w14:textFill>
                <w14:solidFill>
                  <w14:schemeClr w14:val="tx1"/>
                </w14:solidFill>
              </w14:textFill>
            </w:rPr>
            <m:t>×100%</m:t>
          </m:r>
        </m:oMath>
      </m:oMathPara>
    </w:p>
    <w:p>
      <w:pPr>
        <w:ind w:firstLine="960" w:firstLineChars="400"/>
        <w:rPr>
          <w:rFonts w:hint="default" w:ascii="Times New Roman" w:hAnsi="Times New Roman" w:cs="Times New Roman" w:eastAsiaTheme="minorEastAsia"/>
          <w:color w:val="000000" w:themeColor="text1"/>
          <w:sz w:val="24"/>
          <w:szCs w:val="24"/>
          <w14:textFill>
            <w14:solidFill>
              <w14:schemeClr w14:val="tx1"/>
            </w14:solidFill>
          </w14:textFill>
        </w:rPr>
      </w:pPr>
      <m:oMath>
        <m:sSub>
          <m:sSubPr>
            <m:ctrlPr>
              <w:rPr>
                <w:rFonts w:hint="default" w:ascii="Cambria Math" w:hAnsi="Cambria Math" w:cs="Times New Roman" w:eastAsiaTheme="minorEastAsia"/>
                <w:color w:val="000000" w:themeColor="text1"/>
                <w:sz w:val="24"/>
                <w:szCs w:val="24"/>
                <w14:textFill>
                  <w14:solidFill>
                    <w14:schemeClr w14:val="tx1"/>
                  </w14:solidFill>
                </w14:textFill>
              </w:rPr>
            </m:ctrlPr>
          </m:sSubPr>
          <m:e>
            <m:r>
              <m:rPr/>
              <w:rPr>
                <w:rFonts w:hint="default" w:ascii="Cambria Math" w:hAnsi="Cambria Math" w:cs="Times New Roman" w:eastAsiaTheme="minorEastAsia"/>
                <w:color w:val="000000" w:themeColor="text1"/>
                <w:sz w:val="24"/>
                <w:szCs w:val="24"/>
                <w14:textFill>
                  <w14:solidFill>
                    <w14:schemeClr w14:val="tx1"/>
                  </w14:solidFill>
                </w14:textFill>
              </w:rPr>
              <m:t>P</m:t>
            </m:r>
            <m:ctrlPr>
              <w:rPr>
                <w:rFonts w:hint="default" w:ascii="Cambria Math" w:hAnsi="Cambria Math" w:cs="Times New Roman" w:eastAsiaTheme="minorEastAsia"/>
                <w:color w:val="000000" w:themeColor="text1"/>
                <w:sz w:val="24"/>
                <w:szCs w:val="24"/>
                <w14:textFill>
                  <w14:solidFill>
                    <w14:schemeClr w14:val="tx1"/>
                  </w14:solidFill>
                </w14:textFill>
              </w:rPr>
            </m:ctrlPr>
          </m:e>
          <m:sub>
            <m:r>
              <m:rPr/>
              <w:rPr>
                <w:rFonts w:hint="default" w:ascii="Cambria Math" w:hAnsi="Cambria Math" w:cs="Times New Roman" w:eastAsiaTheme="minorEastAsia"/>
                <w:color w:val="000000" w:themeColor="text1"/>
                <w:sz w:val="24"/>
                <w:szCs w:val="24"/>
                <w14:textFill>
                  <w14:solidFill>
                    <w14:schemeClr w14:val="tx1"/>
                  </w14:solidFill>
                </w14:textFill>
              </w:rPr>
              <m:t>i</m:t>
            </m:r>
            <m:ctrlPr>
              <w:rPr>
                <w:rFonts w:hint="default" w:ascii="Cambria Math" w:hAnsi="Cambria Math" w:cs="Times New Roman" w:eastAsiaTheme="minorEastAsia"/>
                <w:color w:val="000000" w:themeColor="text1"/>
                <w:sz w:val="24"/>
                <w:szCs w:val="24"/>
                <w14:textFill>
                  <w14:solidFill>
                    <w14:schemeClr w14:val="tx1"/>
                  </w14:solidFill>
                </w14:textFill>
              </w:rPr>
            </m:ctrlPr>
          </m:sub>
        </m:sSub>
      </m:oMath>
      <w:r>
        <w:rPr>
          <w:rFonts w:hint="default" w:ascii="Times New Roman" w:hAnsi="Times New Roman" w:cs="Times New Roman" w:eastAsiaTheme="minorEastAsia"/>
          <w:color w:val="000000" w:themeColor="text1"/>
          <w:sz w:val="24"/>
          <w:szCs w:val="24"/>
          <w14:textFill>
            <w14:solidFill>
              <w14:schemeClr w14:val="tx1"/>
            </w14:solidFill>
          </w14:textFill>
        </w:rPr>
        <w:t>——第i个污染物的最大地面空气质量浓度占标率，%；</w:t>
      </w:r>
    </w:p>
    <w:p>
      <w:pPr>
        <w:ind w:firstLine="960" w:firstLineChars="400"/>
        <w:rPr>
          <w:rFonts w:hint="default" w:ascii="Times New Roman" w:hAnsi="Times New Roman" w:cs="Times New Roman" w:eastAsiaTheme="minorEastAsia"/>
          <w:color w:val="000000" w:themeColor="text1"/>
          <w:sz w:val="24"/>
          <w:szCs w:val="24"/>
          <w14:textFill>
            <w14:solidFill>
              <w14:schemeClr w14:val="tx1"/>
            </w14:solidFill>
          </w14:textFill>
        </w:rPr>
      </w:pPr>
      <m:oMath>
        <m:sSub>
          <m:sSubPr>
            <m:ctrlPr>
              <w:rPr>
                <w:rFonts w:hint="default" w:ascii="Cambria Math" w:hAnsi="Cambria Math" w:cs="Times New Roman" w:eastAsiaTheme="minorEastAsia"/>
                <w:i/>
                <w:color w:val="000000" w:themeColor="text1"/>
                <w:sz w:val="24"/>
                <w:szCs w:val="24"/>
                <w14:textFill>
                  <w14:solidFill>
                    <w14:schemeClr w14:val="tx1"/>
                  </w14:solidFill>
                </w14:textFill>
              </w:rPr>
            </m:ctrlPr>
          </m:sSubPr>
          <m:e>
            <m:r>
              <m:rPr/>
              <w:rPr>
                <w:rFonts w:hint="default" w:ascii="Cambria Math" w:hAnsi="Cambria Math" w:cs="Times New Roman" w:eastAsiaTheme="minorEastAsia"/>
                <w:color w:val="000000" w:themeColor="text1"/>
                <w:sz w:val="24"/>
                <w:szCs w:val="24"/>
                <w14:textFill>
                  <w14:solidFill>
                    <w14:schemeClr w14:val="tx1"/>
                  </w14:solidFill>
                </w14:textFill>
              </w:rPr>
              <m:t>C</m:t>
            </m:r>
            <m:ctrlPr>
              <w:rPr>
                <w:rFonts w:hint="default" w:ascii="Cambria Math" w:hAnsi="Cambria Math" w:cs="Times New Roman" w:eastAsiaTheme="minorEastAsia"/>
                <w:i/>
                <w:color w:val="000000" w:themeColor="text1"/>
                <w:sz w:val="24"/>
                <w:szCs w:val="24"/>
                <w14:textFill>
                  <w14:solidFill>
                    <w14:schemeClr w14:val="tx1"/>
                  </w14:solidFill>
                </w14:textFill>
              </w:rPr>
            </m:ctrlPr>
          </m:e>
          <m:sub>
            <m:r>
              <m:rPr/>
              <w:rPr>
                <w:rFonts w:hint="default" w:ascii="Cambria Math" w:hAnsi="Cambria Math" w:cs="Times New Roman" w:eastAsiaTheme="minorEastAsia"/>
                <w:color w:val="000000" w:themeColor="text1"/>
                <w:sz w:val="24"/>
                <w:szCs w:val="24"/>
                <w14:textFill>
                  <w14:solidFill>
                    <w14:schemeClr w14:val="tx1"/>
                  </w14:solidFill>
                </w14:textFill>
              </w:rPr>
              <m:t>i</m:t>
            </m:r>
            <m:ctrlPr>
              <w:rPr>
                <w:rFonts w:hint="default" w:ascii="Cambria Math" w:hAnsi="Cambria Math" w:cs="Times New Roman" w:eastAsiaTheme="minorEastAsia"/>
                <w:i/>
                <w:color w:val="000000" w:themeColor="text1"/>
                <w:sz w:val="24"/>
                <w:szCs w:val="24"/>
                <w14:textFill>
                  <w14:solidFill>
                    <w14:schemeClr w14:val="tx1"/>
                  </w14:solidFill>
                </w14:textFill>
              </w:rPr>
            </m:ctrlPr>
          </m:sub>
        </m:sSub>
      </m:oMath>
      <w:r>
        <w:rPr>
          <w:rFonts w:hint="default" w:ascii="Times New Roman" w:hAnsi="Times New Roman" w:cs="Times New Roman" w:eastAsiaTheme="minorEastAsia"/>
          <w:color w:val="000000" w:themeColor="text1"/>
          <w:sz w:val="24"/>
          <w:szCs w:val="24"/>
          <w14:textFill>
            <w14:solidFill>
              <w14:schemeClr w14:val="tx1"/>
            </w14:solidFill>
          </w14:textFill>
        </w:rPr>
        <w:t>——采用估算模型计算出的第i个污染物的最大1h地面空气质量浓度，μg/m</w:t>
      </w:r>
      <w:r>
        <w:rPr>
          <w:rFonts w:hint="default" w:ascii="Times New Roman" w:hAnsi="Times New Roman" w:cs="Times New Roman" w:eastAsiaTheme="minorEastAsia"/>
          <w:color w:val="000000" w:themeColor="text1"/>
          <w:sz w:val="24"/>
          <w:szCs w:val="24"/>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w:t>
      </w:r>
    </w:p>
    <w:p>
      <w:pPr>
        <w:ind w:firstLine="960" w:firstLineChars="400"/>
        <w:rPr>
          <w:rFonts w:hint="default" w:ascii="Times New Roman" w:hAnsi="Times New Roman" w:cs="Times New Roman" w:eastAsiaTheme="minorEastAsia"/>
          <w:color w:val="000000" w:themeColor="text1"/>
          <w:sz w:val="24"/>
          <w:szCs w:val="24"/>
          <w14:textFill>
            <w14:solidFill>
              <w14:schemeClr w14:val="tx1"/>
            </w14:solidFill>
          </w14:textFill>
        </w:rPr>
      </w:pPr>
      <m:oMath>
        <m:sSub>
          <m:sSubPr>
            <m:ctrlPr>
              <w:rPr>
                <w:rFonts w:hint="default" w:ascii="Cambria Math" w:hAnsi="Cambria Math" w:cs="Times New Roman" w:eastAsiaTheme="minorEastAsia"/>
                <w:i/>
                <w:color w:val="000000" w:themeColor="text1"/>
                <w:sz w:val="24"/>
                <w:szCs w:val="24"/>
                <w14:textFill>
                  <w14:solidFill>
                    <w14:schemeClr w14:val="tx1"/>
                  </w14:solidFill>
                </w14:textFill>
              </w:rPr>
            </m:ctrlPr>
          </m:sSubPr>
          <m:e>
            <m:r>
              <m:rPr/>
              <w:rPr>
                <w:rFonts w:hint="default" w:ascii="Cambria Math" w:hAnsi="Cambria Math" w:cs="Times New Roman" w:eastAsiaTheme="minorEastAsia"/>
                <w:color w:val="000000" w:themeColor="text1"/>
                <w:sz w:val="24"/>
                <w:szCs w:val="24"/>
                <w14:textFill>
                  <w14:solidFill>
                    <w14:schemeClr w14:val="tx1"/>
                  </w14:solidFill>
                </w14:textFill>
              </w:rPr>
              <m:t>C</m:t>
            </m:r>
            <m:ctrlPr>
              <w:rPr>
                <w:rFonts w:hint="default" w:ascii="Cambria Math" w:hAnsi="Cambria Math" w:cs="Times New Roman" w:eastAsiaTheme="minorEastAsia"/>
                <w:i/>
                <w:color w:val="000000" w:themeColor="text1"/>
                <w:sz w:val="24"/>
                <w:szCs w:val="24"/>
                <w14:textFill>
                  <w14:solidFill>
                    <w14:schemeClr w14:val="tx1"/>
                  </w14:solidFill>
                </w14:textFill>
              </w:rPr>
            </m:ctrlPr>
          </m:e>
          <m:sub>
            <m:r>
              <m:rPr/>
              <w:rPr>
                <w:rFonts w:hint="default" w:ascii="Cambria Math" w:hAnsi="Cambria Math" w:cs="Times New Roman" w:eastAsiaTheme="minorEastAsia"/>
                <w:color w:val="000000" w:themeColor="text1"/>
                <w:sz w:val="24"/>
                <w:szCs w:val="24"/>
                <w14:textFill>
                  <w14:solidFill>
                    <w14:schemeClr w14:val="tx1"/>
                  </w14:solidFill>
                </w14:textFill>
              </w:rPr>
              <m:t>0i</m:t>
            </m:r>
            <m:ctrlPr>
              <w:rPr>
                <w:rFonts w:hint="default" w:ascii="Cambria Math" w:hAnsi="Cambria Math" w:cs="Times New Roman" w:eastAsiaTheme="minorEastAsia"/>
                <w:i/>
                <w:color w:val="000000" w:themeColor="text1"/>
                <w:sz w:val="24"/>
                <w:szCs w:val="24"/>
                <w14:textFill>
                  <w14:solidFill>
                    <w14:schemeClr w14:val="tx1"/>
                  </w14:solidFill>
                </w14:textFill>
              </w:rPr>
            </m:ctrlPr>
          </m:sub>
        </m:sSub>
      </m:oMath>
      <w:r>
        <w:rPr>
          <w:rFonts w:hint="default" w:ascii="Times New Roman" w:hAnsi="Times New Roman" w:cs="Times New Roman" w:eastAsiaTheme="minorEastAsia"/>
          <w:color w:val="000000" w:themeColor="text1"/>
          <w:sz w:val="24"/>
          <w:szCs w:val="24"/>
          <w14:textFill>
            <w14:solidFill>
              <w14:schemeClr w14:val="tx1"/>
            </w14:solidFill>
          </w14:textFill>
        </w:rPr>
        <w:t>——第i个污染物的环境空气质量浓度标准，μg/m</w:t>
      </w:r>
      <w:r>
        <w:rPr>
          <w:rFonts w:hint="default" w:ascii="Times New Roman" w:hAnsi="Times New Roman" w:cs="Times New Roman" w:eastAsiaTheme="minorEastAsia"/>
          <w:color w:val="000000" w:themeColor="text1"/>
          <w:sz w:val="24"/>
          <w:szCs w:val="24"/>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。一般选用GB3095中1h平均质量浓度的二级标准限值；对于没有小时浓度限值的污染物，可取日平均浓度限值的三倍值；对该标准中未包含的污染物，使用《环境影响评价技术导则 大气环境》（HJ2.2-2018）中5.2确定的各评价因子1h平均质量浓度限值。对仅有8h平均质量浓度限值、日平均质量浓或年平均质量浓度限值的，分别按2倍、3倍、6倍折算为1h平均质量浓度限值。</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（2）评价等级判别</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评价等级按表2-3-1的分级判据进行划分。</w:t>
      </w:r>
    </w:p>
    <w:p>
      <w:pPr>
        <w:pStyle w:val="643"/>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表2-3-1  评价等级判别表</w:t>
      </w:r>
    </w:p>
    <w:tbl>
      <w:tblPr>
        <w:tblStyle w:val="9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60"/>
        <w:gridCol w:w="62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评价工作等级</w:t>
            </w:r>
          </w:p>
        </w:tc>
        <w:tc>
          <w:tcPr>
            <w:tcW w:w="6214"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评价工作分级判据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一级</w:t>
            </w:r>
          </w:p>
        </w:tc>
        <w:tc>
          <w:tcPr>
            <w:tcW w:w="6214"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i/>
                <w:color w:val="000000" w:themeColor="text1"/>
                <w14:textFill>
                  <w14:solidFill>
                    <w14:schemeClr w14:val="tx1"/>
                  </w14:solidFill>
                </w14:textFill>
              </w:rPr>
              <w:t>P</w:t>
            </w:r>
            <w:r>
              <w:rPr>
                <w:rFonts w:hint="default" w:ascii="Times New Roman" w:hAnsi="Times New Roman" w:cs="Times New Roman" w:eastAsiaTheme="minorEastAsia"/>
                <w:color w:val="000000" w:themeColor="text1"/>
                <w14:textFill>
                  <w14:solidFill>
                    <w14:schemeClr w14:val="tx1"/>
                  </w14:solidFill>
                </w14:textFill>
              </w:rPr>
              <w:t>max≥10%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二级</w:t>
            </w:r>
          </w:p>
        </w:tc>
        <w:tc>
          <w:tcPr>
            <w:tcW w:w="6214"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r>
              <w:rPr>
                <w:rFonts w:hint="default" w:ascii="Times New Roman" w:hAnsi="Times New Roman" w:cs="Times New Roman" w:eastAsiaTheme="minorEastAsia"/>
                <w:i/>
                <w:color w:val="000000" w:themeColor="text1"/>
                <w14:textFill>
                  <w14:solidFill>
                    <w14:schemeClr w14:val="tx1"/>
                  </w14:solidFill>
                </w14:textFill>
              </w:rPr>
              <w:t>P</w:t>
            </w:r>
            <w:r>
              <w:rPr>
                <w:rFonts w:hint="default" w:ascii="Times New Roman" w:hAnsi="Times New Roman" w:cs="Times New Roman" w:eastAsiaTheme="minorEastAsia"/>
                <w:color w:val="000000" w:themeColor="text1"/>
                <w14:textFill>
                  <w14:solidFill>
                    <w14:schemeClr w14:val="tx1"/>
                  </w14:solidFill>
                </w14:textFill>
              </w:rPr>
              <w:t>max&lt;10%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三级</w:t>
            </w:r>
          </w:p>
        </w:tc>
        <w:tc>
          <w:tcPr>
            <w:tcW w:w="6214"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i/>
                <w:color w:val="000000" w:themeColor="text1"/>
                <w14:textFill>
                  <w14:solidFill>
                    <w14:schemeClr w14:val="tx1"/>
                  </w14:solidFill>
                </w14:textFill>
              </w:rPr>
              <w:t>P</w:t>
            </w:r>
            <w:r>
              <w:rPr>
                <w:rFonts w:hint="default" w:ascii="Times New Roman" w:hAnsi="Times New Roman" w:cs="Times New Roman" w:eastAsiaTheme="minorEastAsia"/>
                <w:color w:val="000000" w:themeColor="text1"/>
                <w14:textFill>
                  <w14:solidFill>
                    <w14:schemeClr w14:val="tx1"/>
                  </w14:solidFill>
                </w14:textFill>
              </w:rPr>
              <w:t>max&lt;1%</w:t>
            </w:r>
          </w:p>
        </w:tc>
      </w:tr>
    </w:tbl>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（3）项目简介</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auto"/>
          <w:sz w:val="24"/>
          <w:szCs w:val="24"/>
          <w:highlight w:val="none"/>
        </w:rPr>
        <w:t>本项目选址位于绥化市</w:t>
      </w:r>
      <w:r>
        <w:rPr>
          <w:rFonts w:hint="eastAsia" w:ascii="Times New Roman" w:hAnsi="Times New Roman" w:cs="Times New Roman" w:eastAsiaTheme="minorEastAsia"/>
          <w:color w:val="auto"/>
          <w:sz w:val="24"/>
          <w:szCs w:val="24"/>
          <w:highlight w:val="none"/>
          <w:lang w:eastAsia="zh-CN"/>
        </w:rPr>
        <w:t>安达市东14公里，明沈公路南侧1000米处</w:t>
      </w:r>
      <w:r>
        <w:rPr>
          <w:rFonts w:hint="default" w:ascii="Times New Roman" w:hAnsi="Times New Roman" w:cs="Times New Roman" w:eastAsiaTheme="minorEastAsia"/>
          <w:color w:val="auto"/>
          <w:sz w:val="24"/>
          <w:szCs w:val="24"/>
          <w:highlight w:val="none"/>
        </w:rPr>
        <w:t>，建</w:t>
      </w:r>
      <w:r>
        <w:rPr>
          <w:rFonts w:hint="default" w:ascii="Times New Roman" w:hAnsi="Times New Roman" w:cs="Times New Roman" w:eastAsiaTheme="minorEastAsia"/>
          <w:color w:val="000000" w:themeColor="text1"/>
          <w:sz w:val="24"/>
          <w:szCs w:val="24"/>
          <w14:textFill>
            <w14:solidFill>
              <w14:schemeClr w14:val="tx1"/>
            </w14:solidFill>
          </w14:textFill>
        </w:rPr>
        <w:t>设现代示范奶牛场。主要污染物为TSP、PM</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10</w:t>
      </w:r>
      <w:r>
        <w:rPr>
          <w:rFonts w:hint="default" w:ascii="Times New Roman" w:hAnsi="Times New Roman" w:cs="Times New Roman" w:eastAsiaTheme="minorEastAsia"/>
          <w:color w:val="000000" w:themeColor="text1"/>
          <w:sz w:val="24"/>
          <w:szCs w:val="24"/>
          <w14:textFill>
            <w14:solidFill>
              <w14:schemeClr w14:val="tx1"/>
            </w14:solidFill>
          </w14:textFill>
        </w:rPr>
        <w:t>、SO</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、NO</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X</w:t>
      </w:r>
      <w:r>
        <w:rPr>
          <w:rFonts w:hint="default" w:ascii="Times New Roman" w:hAnsi="Times New Roman" w:cs="Times New Roman" w:eastAsiaTheme="minorEastAsia"/>
          <w:color w:val="000000" w:themeColor="text1"/>
          <w:sz w:val="24"/>
          <w:szCs w:val="24"/>
          <w14:textFill>
            <w14:solidFill>
              <w14:schemeClr w14:val="tx1"/>
            </w14:solidFill>
          </w14:textFill>
        </w:rPr>
        <w:t>、NH</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、H</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S。</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（4）污染物评价标准</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污染物评价标准和来源见表2-3-2。</w:t>
      </w:r>
    </w:p>
    <w:p>
      <w:pPr>
        <w:pStyle w:val="643"/>
        <w:rPr>
          <w:rFonts w:hint="default" w:ascii="Times New Roman" w:hAnsi="Times New Roman" w:cs="Times New Roman" w:eastAsiaTheme="minorEastAsia"/>
          <w:color w:val="000000" w:themeColor="text1"/>
          <w:sz w:val="24"/>
          <w:szCs w:val="24"/>
          <w14:textFill>
            <w14:solidFill>
              <w14:schemeClr w14:val="tx1"/>
            </w14:solidFill>
          </w14:textFill>
        </w:rPr>
      </w:pPr>
    </w:p>
    <w:p>
      <w:pPr>
        <w:pStyle w:val="643"/>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表2-3-2  污染物评价标准</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0"/>
        <w:gridCol w:w="1088"/>
        <w:gridCol w:w="1559"/>
        <w:gridCol w:w="2372"/>
        <w:gridCol w:w="22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污染物名称</w:t>
            </w:r>
          </w:p>
        </w:tc>
        <w:tc>
          <w:tcPr>
            <w:tcW w:w="108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功能区</w:t>
            </w:r>
          </w:p>
        </w:tc>
        <w:tc>
          <w:tcPr>
            <w:tcW w:w="155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取值时间</w:t>
            </w:r>
          </w:p>
        </w:tc>
        <w:tc>
          <w:tcPr>
            <w:tcW w:w="2372"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标准值</w:t>
            </w:r>
            <w:bookmarkStart w:id="48" w:name="OLE_LINK14"/>
            <w:bookmarkStart w:id="49" w:name="OLE_LINK15"/>
            <w:r>
              <w:rPr>
                <w:rFonts w:hint="default" w:ascii="Times New Roman" w:hAnsi="Times New Roman" w:cs="Times New Roman" w:eastAsiaTheme="minorEastAsia"/>
                <w:color w:val="000000" w:themeColor="text1"/>
                <w14:textFill>
                  <w14:solidFill>
                    <w14:schemeClr w14:val="tx1"/>
                  </w14:solidFill>
                </w14:textFill>
              </w:rPr>
              <w:t>(μg/m</w:t>
            </w:r>
            <w:r>
              <w:rPr>
                <w:rFonts w:hint="default" w:ascii="Times New Roman" w:hAnsi="Times New Roman" w:cs="Times New Roman" w:eastAsiaTheme="minorEastAsia"/>
                <w:color w:val="000000" w:themeColor="text1"/>
                <w:vertAlign w:val="superscript"/>
                <w14:textFill>
                  <w14:solidFill>
                    <w14:schemeClr w14:val="tx1"/>
                  </w14:solidFill>
                </w14:textFill>
              </w:rPr>
              <w:t>3</w:t>
            </w:r>
            <w:r>
              <w:rPr>
                <w:rFonts w:hint="default" w:ascii="Times New Roman" w:hAnsi="Times New Roman" w:cs="Times New Roman" w:eastAsiaTheme="minorEastAsia"/>
                <w:color w:val="000000" w:themeColor="text1"/>
                <w14:textFill>
                  <w14:solidFill>
                    <w14:schemeClr w14:val="tx1"/>
                  </w14:solidFill>
                </w14:textFill>
              </w:rPr>
              <w:t>)</w:t>
            </w:r>
            <w:bookmarkEnd w:id="48"/>
            <w:bookmarkEnd w:id="49"/>
          </w:p>
        </w:tc>
        <w:tc>
          <w:tcPr>
            <w:tcW w:w="227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3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H</w:t>
            </w:r>
            <w:r>
              <w:rPr>
                <w:rFonts w:hint="default" w:ascii="Times New Roman" w:hAnsi="Times New Roman" w:cs="Times New Roman" w:eastAsiaTheme="minorEastAsia"/>
                <w:color w:val="000000" w:themeColor="text1"/>
                <w:vertAlign w:val="subscript"/>
                <w14:textFill>
                  <w14:solidFill>
                    <w14:schemeClr w14:val="tx1"/>
                  </w14:solidFill>
                </w14:textFill>
              </w:rPr>
              <w:t>2</w:t>
            </w:r>
            <w:r>
              <w:rPr>
                <w:rFonts w:hint="default" w:ascii="Times New Roman" w:hAnsi="Times New Roman" w:cs="Times New Roman" w:eastAsiaTheme="minorEastAsia"/>
                <w:color w:val="000000" w:themeColor="text1"/>
                <w14:textFill>
                  <w14:solidFill>
                    <w14:schemeClr w14:val="tx1"/>
                  </w14:solidFill>
                </w14:textFill>
              </w:rPr>
              <w:t>S</w:t>
            </w:r>
          </w:p>
        </w:tc>
        <w:tc>
          <w:tcPr>
            <w:tcW w:w="108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c>
          <w:tcPr>
            <w:tcW w:w="155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1小时均值</w:t>
            </w:r>
          </w:p>
        </w:tc>
        <w:tc>
          <w:tcPr>
            <w:tcW w:w="2372"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w:t>
            </w:r>
          </w:p>
        </w:tc>
        <w:tc>
          <w:tcPr>
            <w:tcW w:w="2271"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HJ2.2-2018附录D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43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NH</w:t>
            </w:r>
            <w:r>
              <w:rPr>
                <w:rFonts w:hint="default" w:ascii="Times New Roman" w:hAnsi="Times New Roman" w:cs="Times New Roman" w:eastAsiaTheme="minorEastAsia"/>
                <w:color w:val="000000" w:themeColor="text1"/>
                <w:vertAlign w:val="subscript"/>
                <w14:textFill>
                  <w14:solidFill>
                    <w14:schemeClr w14:val="tx1"/>
                  </w14:solidFill>
                </w14:textFill>
              </w:rPr>
              <w:t>3</w:t>
            </w:r>
          </w:p>
        </w:tc>
        <w:tc>
          <w:tcPr>
            <w:tcW w:w="108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c>
          <w:tcPr>
            <w:tcW w:w="155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1小时均值</w:t>
            </w:r>
          </w:p>
        </w:tc>
        <w:tc>
          <w:tcPr>
            <w:tcW w:w="2372"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200</w:t>
            </w:r>
          </w:p>
        </w:tc>
        <w:tc>
          <w:tcPr>
            <w:tcW w:w="2271"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143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SO</w:t>
            </w:r>
            <w:r>
              <w:rPr>
                <w:rFonts w:hint="default" w:ascii="Times New Roman" w:hAnsi="Times New Roman" w:cs="Times New Roman" w:eastAsiaTheme="minorEastAsia"/>
                <w:color w:val="000000" w:themeColor="text1"/>
                <w:vertAlign w:val="subscript"/>
                <w14:textFill>
                  <w14:solidFill>
                    <w14:schemeClr w14:val="tx1"/>
                  </w14:solidFill>
                </w14:textFill>
              </w:rPr>
              <w:t>2</w:t>
            </w:r>
          </w:p>
        </w:tc>
        <w:tc>
          <w:tcPr>
            <w:tcW w:w="108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二类区</w:t>
            </w:r>
          </w:p>
        </w:tc>
        <w:tc>
          <w:tcPr>
            <w:tcW w:w="155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1小时均值</w:t>
            </w:r>
          </w:p>
        </w:tc>
        <w:tc>
          <w:tcPr>
            <w:tcW w:w="2372"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500</w:t>
            </w:r>
          </w:p>
        </w:tc>
        <w:tc>
          <w:tcPr>
            <w:tcW w:w="2271"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GB 3095-2012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43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PM</w:t>
            </w:r>
            <w:r>
              <w:rPr>
                <w:rFonts w:hint="default" w:ascii="Times New Roman" w:hAnsi="Times New Roman" w:cs="Times New Roman" w:eastAsiaTheme="minorEastAsia"/>
                <w:color w:val="000000" w:themeColor="text1"/>
                <w:vertAlign w:val="subscript"/>
                <w14:textFill>
                  <w14:solidFill>
                    <w14:schemeClr w14:val="tx1"/>
                  </w14:solidFill>
                </w14:textFill>
              </w:rPr>
              <w:t>10</w:t>
            </w:r>
          </w:p>
        </w:tc>
        <w:tc>
          <w:tcPr>
            <w:tcW w:w="108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二类区</w:t>
            </w:r>
          </w:p>
        </w:tc>
        <w:tc>
          <w:tcPr>
            <w:tcW w:w="155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1小时均值</w:t>
            </w:r>
          </w:p>
        </w:tc>
        <w:tc>
          <w:tcPr>
            <w:tcW w:w="2372"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450（24小时均值折算）</w:t>
            </w:r>
          </w:p>
        </w:tc>
        <w:tc>
          <w:tcPr>
            <w:tcW w:w="2271"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43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NO</w:t>
            </w:r>
            <w:r>
              <w:rPr>
                <w:rFonts w:hint="default" w:ascii="Times New Roman" w:hAnsi="Times New Roman" w:cs="Times New Roman" w:eastAsiaTheme="minorEastAsia"/>
                <w:color w:val="000000" w:themeColor="text1"/>
                <w:vertAlign w:val="subscript"/>
                <w14:textFill>
                  <w14:solidFill>
                    <w14:schemeClr w14:val="tx1"/>
                  </w14:solidFill>
                </w14:textFill>
              </w:rPr>
              <w:t>2</w:t>
            </w:r>
          </w:p>
        </w:tc>
        <w:tc>
          <w:tcPr>
            <w:tcW w:w="108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二类区</w:t>
            </w:r>
          </w:p>
        </w:tc>
        <w:tc>
          <w:tcPr>
            <w:tcW w:w="155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1小时均值</w:t>
            </w:r>
          </w:p>
        </w:tc>
        <w:tc>
          <w:tcPr>
            <w:tcW w:w="2372"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200</w:t>
            </w:r>
          </w:p>
        </w:tc>
        <w:tc>
          <w:tcPr>
            <w:tcW w:w="2271"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43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TSP</w:t>
            </w:r>
          </w:p>
        </w:tc>
        <w:tc>
          <w:tcPr>
            <w:tcW w:w="108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二类区</w:t>
            </w:r>
          </w:p>
        </w:tc>
        <w:tc>
          <w:tcPr>
            <w:tcW w:w="155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1小时均值</w:t>
            </w:r>
          </w:p>
        </w:tc>
        <w:tc>
          <w:tcPr>
            <w:tcW w:w="2372"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900（24小时均值折算）</w:t>
            </w:r>
          </w:p>
        </w:tc>
        <w:tc>
          <w:tcPr>
            <w:tcW w:w="2271"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bl>
    <w:p>
      <w:pPr>
        <w:ind w:firstLine="560"/>
        <w:rPr>
          <w:rFonts w:hint="default" w:ascii="Times New Roman" w:hAnsi="Times New Roman" w:cs="Times New Roman" w:eastAsiaTheme="minorEastAsia"/>
          <w:color w:val="000000" w:themeColor="text1"/>
          <w:sz w:val="24"/>
          <w:szCs w:val="24"/>
          <w:lang w:val="en-GB"/>
          <w14:textFill>
            <w14:solidFill>
              <w14:schemeClr w14:val="tx1"/>
            </w14:solidFill>
          </w14:textFill>
        </w:rPr>
      </w:pPr>
      <w:r>
        <w:rPr>
          <w:rFonts w:hint="default" w:ascii="Times New Roman" w:hAnsi="Times New Roman" w:cs="Times New Roman" w:eastAsiaTheme="minorEastAsia"/>
          <w:color w:val="000000" w:themeColor="text1"/>
          <w:sz w:val="24"/>
          <w:szCs w:val="24"/>
          <w:lang w:val="en-GB"/>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5</w:t>
      </w:r>
      <w:r>
        <w:rPr>
          <w:rFonts w:hint="default" w:ascii="Times New Roman" w:hAnsi="Times New Roman" w:cs="Times New Roman" w:eastAsiaTheme="minorEastAsia"/>
          <w:color w:val="000000" w:themeColor="text1"/>
          <w:sz w:val="24"/>
          <w:szCs w:val="24"/>
          <w:lang w:val="en-GB"/>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污染源参数</w:t>
      </w:r>
    </w:p>
    <w:p>
      <w:pPr>
        <w:ind w:firstLine="560"/>
        <w:rPr>
          <w:rFonts w:hint="default" w:ascii="Times New Roman" w:hAnsi="Times New Roman" w:cs="Times New Roman" w:eastAsiaTheme="minorEastAsia"/>
          <w:color w:val="000000" w:themeColor="text1"/>
          <w:szCs w:val="28"/>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主要废气污染源点源排放参数见表2-3-3，面源排放参数见表2-3-4。</w:t>
      </w:r>
    </w:p>
    <w:p>
      <w:pPr>
        <w:pStyle w:val="643"/>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表2-3-3  主要废气污染源参数一览表(点源)</w:t>
      </w:r>
    </w:p>
    <w:tbl>
      <w:tblPr>
        <w:tblStyle w:val="91"/>
        <w:tblW w:w="8647"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07"/>
        <w:gridCol w:w="617"/>
        <w:gridCol w:w="554"/>
        <w:gridCol w:w="833"/>
        <w:gridCol w:w="551"/>
        <w:gridCol w:w="692"/>
        <w:gridCol w:w="692"/>
        <w:gridCol w:w="541"/>
        <w:gridCol w:w="709"/>
        <w:gridCol w:w="850"/>
        <w:gridCol w:w="851"/>
        <w:gridCol w:w="85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773" w:hRule="atLeast"/>
        </w:trPr>
        <w:tc>
          <w:tcPr>
            <w:tcW w:w="907" w:type="dxa"/>
            <w:vMerge w:val="restart"/>
            <w:tcBorders>
              <w:top w:val="single" w:color="000000" w:sz="1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点源名称</w:t>
            </w:r>
          </w:p>
        </w:tc>
        <w:tc>
          <w:tcPr>
            <w:tcW w:w="1171" w:type="dxa"/>
            <w:gridSpan w:val="2"/>
            <w:tcBorders>
              <w:top w:val="single" w:color="000000" w:sz="12"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排气筒底部中心坐标</w:t>
            </w:r>
          </w:p>
        </w:tc>
        <w:tc>
          <w:tcPr>
            <w:tcW w:w="833" w:type="dxa"/>
            <w:vMerge w:val="restart"/>
            <w:tcBorders>
              <w:top w:val="single" w:color="000000" w:sz="1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排气筒底部海拔高度</w:t>
            </w:r>
          </w:p>
        </w:tc>
        <w:tc>
          <w:tcPr>
            <w:tcW w:w="551" w:type="dxa"/>
            <w:vMerge w:val="restart"/>
            <w:tcBorders>
              <w:top w:val="single" w:color="000000" w:sz="1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排气筒高度</w:t>
            </w:r>
          </w:p>
        </w:tc>
        <w:tc>
          <w:tcPr>
            <w:tcW w:w="692" w:type="dxa"/>
            <w:vMerge w:val="restart"/>
            <w:tcBorders>
              <w:top w:val="single" w:color="000000" w:sz="1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排气筒内径</w:t>
            </w:r>
          </w:p>
        </w:tc>
        <w:tc>
          <w:tcPr>
            <w:tcW w:w="692" w:type="dxa"/>
            <w:vMerge w:val="restart"/>
            <w:tcBorders>
              <w:top w:val="single" w:color="000000" w:sz="1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烟气流速</w:t>
            </w:r>
          </w:p>
        </w:tc>
        <w:tc>
          <w:tcPr>
            <w:tcW w:w="541" w:type="dxa"/>
            <w:vMerge w:val="restart"/>
            <w:tcBorders>
              <w:top w:val="single" w:color="000000" w:sz="1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烟气温度</w:t>
            </w:r>
          </w:p>
        </w:tc>
        <w:tc>
          <w:tcPr>
            <w:tcW w:w="709" w:type="dxa"/>
            <w:vMerge w:val="restart"/>
            <w:tcBorders>
              <w:top w:val="single" w:color="000000" w:sz="1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年排放小时数</w:t>
            </w:r>
          </w:p>
        </w:tc>
        <w:tc>
          <w:tcPr>
            <w:tcW w:w="2551" w:type="dxa"/>
            <w:gridSpan w:val="3"/>
            <w:vMerge w:val="restart"/>
            <w:tcBorders>
              <w:top w:val="single" w:color="000000" w:sz="12" w:space="0"/>
              <w:bottom w:val="single" w:color="000000" w:sz="4" w:space="0"/>
              <w:right w:val="nil"/>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污染物排放速率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500" w:hRule="atLeast"/>
        </w:trPr>
        <w:tc>
          <w:tcPr>
            <w:tcW w:w="907" w:type="dxa"/>
            <w:vMerge w:val="continue"/>
            <w:vAlign w:val="center"/>
          </w:tcPr>
          <w:p>
            <w:pPr>
              <w:pStyle w:val="666"/>
              <w:rPr>
                <w:rFonts w:hint="default" w:ascii="Times New Roman" w:hAnsi="Times New Roman" w:cs="Times New Roman" w:eastAsiaTheme="minorEastAsia"/>
                <w:color w:val="auto"/>
                <w:highlight w:val="none"/>
              </w:rPr>
            </w:pPr>
          </w:p>
        </w:tc>
        <w:tc>
          <w:tcPr>
            <w:tcW w:w="617" w:type="dxa"/>
            <w:vMerge w:val="restart"/>
            <w:tcBorders>
              <w:top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经度</w:t>
            </w:r>
          </w:p>
        </w:tc>
        <w:tc>
          <w:tcPr>
            <w:tcW w:w="554" w:type="dxa"/>
            <w:vMerge w:val="restart"/>
            <w:tcBorders>
              <w:top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纬度</w:t>
            </w:r>
          </w:p>
        </w:tc>
        <w:tc>
          <w:tcPr>
            <w:tcW w:w="833" w:type="dxa"/>
            <w:vMerge w:val="continue"/>
            <w:vAlign w:val="center"/>
          </w:tcPr>
          <w:p>
            <w:pPr>
              <w:pStyle w:val="666"/>
              <w:rPr>
                <w:rFonts w:hint="default" w:ascii="Times New Roman" w:hAnsi="Times New Roman" w:cs="Times New Roman" w:eastAsiaTheme="minorEastAsia"/>
                <w:color w:val="auto"/>
                <w:highlight w:val="none"/>
              </w:rPr>
            </w:pPr>
          </w:p>
        </w:tc>
        <w:tc>
          <w:tcPr>
            <w:tcW w:w="551" w:type="dxa"/>
            <w:vMerge w:val="continue"/>
            <w:vAlign w:val="center"/>
          </w:tcPr>
          <w:p>
            <w:pPr>
              <w:pStyle w:val="666"/>
              <w:rPr>
                <w:rFonts w:hint="default" w:ascii="Times New Roman" w:hAnsi="Times New Roman" w:cs="Times New Roman" w:eastAsiaTheme="minorEastAsia"/>
                <w:color w:val="auto"/>
                <w:highlight w:val="none"/>
              </w:rPr>
            </w:pPr>
          </w:p>
        </w:tc>
        <w:tc>
          <w:tcPr>
            <w:tcW w:w="692" w:type="dxa"/>
            <w:vMerge w:val="continue"/>
            <w:vAlign w:val="center"/>
          </w:tcPr>
          <w:p>
            <w:pPr>
              <w:pStyle w:val="666"/>
              <w:rPr>
                <w:rFonts w:hint="default" w:ascii="Times New Roman" w:hAnsi="Times New Roman" w:cs="Times New Roman" w:eastAsiaTheme="minorEastAsia"/>
                <w:color w:val="auto"/>
                <w:highlight w:val="none"/>
              </w:rPr>
            </w:pPr>
          </w:p>
        </w:tc>
        <w:tc>
          <w:tcPr>
            <w:tcW w:w="692" w:type="dxa"/>
            <w:vMerge w:val="continue"/>
            <w:vAlign w:val="center"/>
          </w:tcPr>
          <w:p>
            <w:pPr>
              <w:pStyle w:val="666"/>
              <w:rPr>
                <w:rFonts w:hint="default" w:ascii="Times New Roman" w:hAnsi="Times New Roman" w:cs="Times New Roman" w:eastAsiaTheme="minorEastAsia"/>
                <w:color w:val="auto"/>
                <w:highlight w:val="none"/>
              </w:rPr>
            </w:pPr>
          </w:p>
        </w:tc>
        <w:tc>
          <w:tcPr>
            <w:tcW w:w="541" w:type="dxa"/>
            <w:vMerge w:val="continue"/>
            <w:vAlign w:val="center"/>
          </w:tcPr>
          <w:p>
            <w:pPr>
              <w:pStyle w:val="666"/>
              <w:rPr>
                <w:rFonts w:hint="default" w:ascii="Times New Roman" w:hAnsi="Times New Roman" w:cs="Times New Roman" w:eastAsiaTheme="minorEastAsia"/>
                <w:color w:val="auto"/>
                <w:highlight w:val="none"/>
              </w:rPr>
            </w:pPr>
          </w:p>
        </w:tc>
        <w:tc>
          <w:tcPr>
            <w:tcW w:w="709" w:type="dxa"/>
            <w:vMerge w:val="continue"/>
            <w:vAlign w:val="center"/>
          </w:tcPr>
          <w:p>
            <w:pPr>
              <w:pStyle w:val="666"/>
              <w:rPr>
                <w:rFonts w:hint="default" w:ascii="Times New Roman" w:hAnsi="Times New Roman" w:cs="Times New Roman" w:eastAsiaTheme="minorEastAsia"/>
                <w:color w:val="auto"/>
                <w:highlight w:val="none"/>
              </w:rPr>
            </w:pPr>
          </w:p>
        </w:tc>
        <w:tc>
          <w:tcPr>
            <w:tcW w:w="2551" w:type="dxa"/>
            <w:gridSpan w:val="3"/>
            <w:vMerge w:val="continue"/>
            <w:tcBorders>
              <w:top w:val="single" w:color="000000" w:sz="4" w:space="0"/>
              <w:bottom w:val="single" w:color="000000" w:sz="4" w:space="0"/>
              <w:right w:val="nil"/>
            </w:tcBorders>
            <w:vAlign w:val="center"/>
          </w:tcPr>
          <w:p>
            <w:pPr>
              <w:pStyle w:val="666"/>
              <w:rPr>
                <w:rFonts w:hint="default" w:ascii="Times New Roman" w:hAnsi="Times New Roman" w:cs="Times New Roman" w:eastAsiaTheme="minorEastAsia"/>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70" w:hRule="atLeast"/>
        </w:trPr>
        <w:tc>
          <w:tcPr>
            <w:tcW w:w="907" w:type="dxa"/>
            <w:vMerge w:val="continue"/>
            <w:vAlign w:val="center"/>
          </w:tcPr>
          <w:p>
            <w:pPr>
              <w:pStyle w:val="666"/>
              <w:rPr>
                <w:rFonts w:hint="default" w:ascii="Times New Roman" w:hAnsi="Times New Roman" w:cs="Times New Roman" w:eastAsiaTheme="minorEastAsia"/>
                <w:color w:val="auto"/>
                <w:highlight w:val="none"/>
              </w:rPr>
            </w:pPr>
          </w:p>
        </w:tc>
        <w:tc>
          <w:tcPr>
            <w:tcW w:w="617" w:type="dxa"/>
            <w:vMerge w:val="continue"/>
            <w:vAlign w:val="center"/>
          </w:tcPr>
          <w:p>
            <w:pPr>
              <w:pStyle w:val="666"/>
              <w:rPr>
                <w:rFonts w:hint="default" w:ascii="Times New Roman" w:hAnsi="Times New Roman" w:cs="Times New Roman" w:eastAsiaTheme="minorEastAsia"/>
                <w:color w:val="auto"/>
                <w:highlight w:val="none"/>
              </w:rPr>
            </w:pPr>
          </w:p>
        </w:tc>
        <w:tc>
          <w:tcPr>
            <w:tcW w:w="554" w:type="dxa"/>
            <w:vMerge w:val="continue"/>
            <w:vAlign w:val="center"/>
          </w:tcPr>
          <w:p>
            <w:pPr>
              <w:pStyle w:val="666"/>
              <w:rPr>
                <w:rFonts w:hint="default" w:ascii="Times New Roman" w:hAnsi="Times New Roman" w:cs="Times New Roman" w:eastAsiaTheme="minorEastAsia"/>
                <w:color w:val="auto"/>
                <w:highlight w:val="none"/>
              </w:rPr>
            </w:pPr>
          </w:p>
        </w:tc>
        <w:tc>
          <w:tcPr>
            <w:tcW w:w="833" w:type="dxa"/>
            <w:vMerge w:val="continue"/>
            <w:vAlign w:val="center"/>
          </w:tcPr>
          <w:p>
            <w:pPr>
              <w:pStyle w:val="666"/>
              <w:rPr>
                <w:rFonts w:hint="default" w:ascii="Times New Roman" w:hAnsi="Times New Roman" w:cs="Times New Roman" w:eastAsiaTheme="minorEastAsia"/>
                <w:color w:val="auto"/>
                <w:highlight w:val="none"/>
              </w:rPr>
            </w:pPr>
          </w:p>
        </w:tc>
        <w:tc>
          <w:tcPr>
            <w:tcW w:w="551" w:type="dxa"/>
            <w:vMerge w:val="continue"/>
            <w:vAlign w:val="center"/>
          </w:tcPr>
          <w:p>
            <w:pPr>
              <w:pStyle w:val="666"/>
              <w:rPr>
                <w:rFonts w:hint="default" w:ascii="Times New Roman" w:hAnsi="Times New Roman" w:cs="Times New Roman" w:eastAsiaTheme="minorEastAsia"/>
                <w:color w:val="auto"/>
                <w:highlight w:val="none"/>
              </w:rPr>
            </w:pPr>
          </w:p>
        </w:tc>
        <w:tc>
          <w:tcPr>
            <w:tcW w:w="692" w:type="dxa"/>
            <w:vMerge w:val="continue"/>
            <w:vAlign w:val="center"/>
          </w:tcPr>
          <w:p>
            <w:pPr>
              <w:pStyle w:val="666"/>
              <w:rPr>
                <w:rFonts w:hint="default" w:ascii="Times New Roman" w:hAnsi="Times New Roman" w:cs="Times New Roman" w:eastAsiaTheme="minorEastAsia"/>
                <w:color w:val="auto"/>
                <w:highlight w:val="none"/>
              </w:rPr>
            </w:pPr>
          </w:p>
        </w:tc>
        <w:tc>
          <w:tcPr>
            <w:tcW w:w="692" w:type="dxa"/>
            <w:vMerge w:val="continue"/>
            <w:vAlign w:val="center"/>
          </w:tcPr>
          <w:p>
            <w:pPr>
              <w:pStyle w:val="666"/>
              <w:rPr>
                <w:rFonts w:hint="default" w:ascii="Times New Roman" w:hAnsi="Times New Roman" w:cs="Times New Roman" w:eastAsiaTheme="minorEastAsia"/>
                <w:color w:val="auto"/>
                <w:highlight w:val="none"/>
              </w:rPr>
            </w:pPr>
          </w:p>
        </w:tc>
        <w:tc>
          <w:tcPr>
            <w:tcW w:w="541" w:type="dxa"/>
            <w:vMerge w:val="continue"/>
            <w:vAlign w:val="center"/>
          </w:tcPr>
          <w:p>
            <w:pPr>
              <w:pStyle w:val="666"/>
              <w:rPr>
                <w:rFonts w:hint="default" w:ascii="Times New Roman" w:hAnsi="Times New Roman" w:cs="Times New Roman" w:eastAsiaTheme="minorEastAsia"/>
                <w:color w:val="auto"/>
                <w:highlight w:val="none"/>
              </w:rPr>
            </w:pPr>
          </w:p>
        </w:tc>
        <w:tc>
          <w:tcPr>
            <w:tcW w:w="709" w:type="dxa"/>
            <w:vMerge w:val="continue"/>
            <w:vAlign w:val="center"/>
          </w:tcPr>
          <w:p>
            <w:pPr>
              <w:pStyle w:val="666"/>
              <w:rPr>
                <w:rFonts w:hint="default" w:ascii="Times New Roman" w:hAnsi="Times New Roman" w:cs="Times New Roman" w:eastAsiaTheme="minorEastAsia"/>
                <w:color w:val="auto"/>
                <w:highlight w:val="none"/>
              </w:rPr>
            </w:pPr>
          </w:p>
        </w:tc>
        <w:tc>
          <w:tcPr>
            <w:tcW w:w="850" w:type="dxa"/>
            <w:tcBorders>
              <w:top w:val="single" w:color="000000" w:sz="4" w:space="0"/>
              <w:bottom w:val="single" w:color="000000" w:sz="4" w:space="0"/>
              <w:right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颗粒物</w:t>
            </w:r>
          </w:p>
        </w:tc>
        <w:tc>
          <w:tcPr>
            <w:tcW w:w="851" w:type="dxa"/>
            <w:tcBorders>
              <w:top w:val="single" w:color="000000" w:sz="4" w:space="0"/>
              <w:left w:val="single" w:color="auto" w:sz="4" w:space="0"/>
              <w:bottom w:val="single" w:color="000000" w:sz="4" w:space="0"/>
              <w:right w:val="nil"/>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SO</w:t>
            </w:r>
            <w:r>
              <w:rPr>
                <w:rFonts w:hint="default" w:ascii="Times New Roman" w:hAnsi="Times New Roman" w:cs="Times New Roman" w:eastAsiaTheme="minorEastAsia"/>
                <w:color w:val="auto"/>
                <w:highlight w:val="none"/>
                <w:vertAlign w:val="subscript"/>
              </w:rPr>
              <w:t>2</w:t>
            </w:r>
          </w:p>
        </w:tc>
        <w:tc>
          <w:tcPr>
            <w:tcW w:w="850" w:type="dxa"/>
            <w:tcBorders>
              <w:top w:val="single" w:color="000000" w:sz="4" w:space="0"/>
              <w:left w:val="single" w:color="auto" w:sz="4" w:space="0"/>
              <w:bottom w:val="single" w:color="000000" w:sz="4" w:space="0"/>
              <w:right w:val="nil"/>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NO</w:t>
            </w:r>
            <w:r>
              <w:rPr>
                <w:rFonts w:hint="default" w:ascii="Times New Roman" w:hAnsi="Times New Roman" w:cs="Times New Roman" w:eastAsiaTheme="minorEastAsia"/>
                <w:color w:val="auto"/>
                <w:highlight w:val="none"/>
                <w:vertAlign w:val="subscript"/>
              </w:rPr>
              <w:t>x</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Pr>
        <w:tc>
          <w:tcPr>
            <w:tcW w:w="907" w:type="dxa"/>
            <w:vMerge w:val="continue"/>
            <w:tcBorders>
              <w:bottom w:val="single" w:color="000000" w:sz="4" w:space="0"/>
            </w:tcBorders>
            <w:vAlign w:val="center"/>
          </w:tcPr>
          <w:p>
            <w:pPr>
              <w:pStyle w:val="666"/>
              <w:rPr>
                <w:rFonts w:hint="default" w:ascii="Times New Roman" w:hAnsi="Times New Roman" w:cs="Times New Roman" w:eastAsiaTheme="minorEastAsia"/>
                <w:color w:val="auto"/>
                <w:highlight w:val="none"/>
              </w:rPr>
            </w:pPr>
          </w:p>
        </w:tc>
        <w:tc>
          <w:tcPr>
            <w:tcW w:w="617" w:type="dxa"/>
            <w:tcBorders>
              <w:bottom w:val="single" w:color="000000"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w:t>
            </w:r>
          </w:p>
        </w:tc>
        <w:tc>
          <w:tcPr>
            <w:tcW w:w="554" w:type="dxa"/>
            <w:tcBorders>
              <w:bottom w:val="single" w:color="000000"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w:t>
            </w:r>
          </w:p>
        </w:tc>
        <w:tc>
          <w:tcPr>
            <w:tcW w:w="833" w:type="dxa"/>
            <w:tcBorders>
              <w:bottom w:val="single" w:color="000000"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w:t>
            </w:r>
          </w:p>
        </w:tc>
        <w:tc>
          <w:tcPr>
            <w:tcW w:w="551" w:type="dxa"/>
            <w:tcBorders>
              <w:bottom w:val="single" w:color="000000"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w:t>
            </w:r>
          </w:p>
        </w:tc>
        <w:tc>
          <w:tcPr>
            <w:tcW w:w="692" w:type="dxa"/>
            <w:tcBorders>
              <w:bottom w:val="single" w:color="000000"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w:t>
            </w:r>
          </w:p>
        </w:tc>
        <w:tc>
          <w:tcPr>
            <w:tcW w:w="692" w:type="dxa"/>
            <w:tcBorders>
              <w:bottom w:val="single" w:color="000000"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m/s</w:t>
            </w:r>
          </w:p>
        </w:tc>
        <w:tc>
          <w:tcPr>
            <w:tcW w:w="541" w:type="dxa"/>
            <w:tcBorders>
              <w:bottom w:val="single" w:color="000000"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w:t>
            </w:r>
          </w:p>
        </w:tc>
        <w:tc>
          <w:tcPr>
            <w:tcW w:w="709" w:type="dxa"/>
            <w:tcBorders>
              <w:bottom w:val="single" w:color="000000"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h</w:t>
            </w:r>
          </w:p>
        </w:tc>
        <w:tc>
          <w:tcPr>
            <w:tcW w:w="850" w:type="dxa"/>
            <w:tcBorders>
              <w:top w:val="single" w:color="000000" w:sz="4" w:space="0"/>
              <w:bottom w:val="single" w:color="000000"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kg/h</w:t>
            </w:r>
          </w:p>
        </w:tc>
        <w:tc>
          <w:tcPr>
            <w:tcW w:w="851" w:type="dxa"/>
            <w:tcBorders>
              <w:top w:val="single" w:color="000000" w:sz="4" w:space="0"/>
              <w:bottom w:val="single" w:color="000000" w:sz="4" w:space="0"/>
              <w:right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kg/h</w:t>
            </w:r>
          </w:p>
        </w:tc>
        <w:tc>
          <w:tcPr>
            <w:tcW w:w="850" w:type="dxa"/>
            <w:tcBorders>
              <w:top w:val="single" w:color="000000" w:sz="4" w:space="0"/>
              <w:left w:val="single" w:color="auto" w:sz="4" w:space="0"/>
              <w:bottom w:val="single" w:color="000000" w:sz="4" w:space="0"/>
              <w:right w:val="nil"/>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kg/h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750" w:hRule="atLeast"/>
        </w:trPr>
        <w:tc>
          <w:tcPr>
            <w:tcW w:w="907" w:type="dxa"/>
            <w:tcBorders>
              <w:top w:val="single" w:color="000000" w:sz="4" w:space="0"/>
              <w:bottom w:val="single" w:color="000000"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生物质锅炉排气筒</w:t>
            </w:r>
          </w:p>
        </w:tc>
        <w:tc>
          <w:tcPr>
            <w:tcW w:w="617" w:type="dxa"/>
            <w:tcBorders>
              <w:top w:val="single" w:color="000000" w:sz="4" w:space="0"/>
              <w:bottom w:val="single" w:color="000000" w:sz="4" w:space="0"/>
            </w:tcBorders>
            <w:vAlign w:val="center"/>
          </w:tcPr>
          <w:p>
            <w:pPr>
              <w:pStyle w:val="666"/>
              <w:ind w:firstLine="0" w:firstLineChars="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125.47545</w:t>
            </w:r>
          </w:p>
        </w:tc>
        <w:tc>
          <w:tcPr>
            <w:tcW w:w="554" w:type="dxa"/>
            <w:tcBorders>
              <w:top w:val="single" w:color="000000" w:sz="4" w:space="0"/>
              <w:bottom w:val="single" w:color="000000" w:sz="4" w:space="0"/>
            </w:tcBorders>
            <w:vAlign w:val="center"/>
          </w:tcPr>
          <w:p>
            <w:pPr>
              <w:pStyle w:val="666"/>
              <w:ind w:firstLine="0" w:firstLineChars="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46.50907</w:t>
            </w:r>
          </w:p>
        </w:tc>
        <w:tc>
          <w:tcPr>
            <w:tcW w:w="833" w:type="dxa"/>
            <w:tcBorders>
              <w:top w:val="single" w:color="000000" w:sz="4" w:space="0"/>
              <w:bottom w:val="single" w:color="000000" w:sz="4" w:space="0"/>
            </w:tcBorders>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rPr>
              <w:t>15</w:t>
            </w:r>
            <w:r>
              <w:rPr>
                <w:rFonts w:hint="default" w:ascii="Times New Roman" w:hAnsi="Times New Roman" w:cs="Times New Roman" w:eastAsiaTheme="minorEastAsia"/>
                <w:color w:val="auto"/>
                <w:highlight w:val="none"/>
                <w:lang w:val="en-US" w:eastAsia="zh-CN"/>
              </w:rPr>
              <w:t>6</w:t>
            </w:r>
          </w:p>
        </w:tc>
        <w:tc>
          <w:tcPr>
            <w:tcW w:w="551" w:type="dxa"/>
            <w:tcBorders>
              <w:top w:val="single" w:color="000000" w:sz="4" w:space="0"/>
              <w:bottom w:val="single" w:color="000000" w:sz="4" w:space="0"/>
            </w:tcBorders>
            <w:vAlign w:val="center"/>
          </w:tcPr>
          <w:p>
            <w:pPr>
              <w:pStyle w:val="666"/>
              <w:rPr>
                <w:rFonts w:hint="default" w:ascii="Times New Roman" w:hAnsi="Times New Roman" w:cs="Times New Roman" w:eastAsiaTheme="minorEastAsia"/>
                <w:color w:val="auto"/>
                <w:highlight w:val="none"/>
                <w:lang w:eastAsia="zh-CN"/>
              </w:rPr>
            </w:pPr>
            <w:r>
              <w:rPr>
                <w:rFonts w:hint="default" w:ascii="Times New Roman" w:hAnsi="Times New Roman" w:cs="Times New Roman" w:eastAsiaTheme="minorEastAsia"/>
                <w:color w:val="auto"/>
                <w:highlight w:val="none"/>
              </w:rPr>
              <w:t>2</w:t>
            </w:r>
            <w:r>
              <w:rPr>
                <w:rFonts w:hint="default" w:ascii="Times New Roman" w:hAnsi="Times New Roman" w:cs="Times New Roman" w:eastAsiaTheme="minorEastAsia"/>
                <w:color w:val="auto"/>
                <w:highlight w:val="none"/>
                <w:lang w:val="en-US" w:eastAsia="zh-CN"/>
              </w:rPr>
              <w:t>5</w:t>
            </w:r>
          </w:p>
        </w:tc>
        <w:tc>
          <w:tcPr>
            <w:tcW w:w="692" w:type="dxa"/>
            <w:tcBorders>
              <w:top w:val="single" w:color="000000" w:sz="4" w:space="0"/>
              <w:bottom w:val="single" w:color="000000"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0.2</w:t>
            </w:r>
          </w:p>
        </w:tc>
        <w:tc>
          <w:tcPr>
            <w:tcW w:w="692" w:type="dxa"/>
            <w:tcBorders>
              <w:top w:val="single" w:color="000000" w:sz="4" w:space="0"/>
              <w:bottom w:val="single" w:color="000000"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13</w:t>
            </w:r>
          </w:p>
        </w:tc>
        <w:tc>
          <w:tcPr>
            <w:tcW w:w="541" w:type="dxa"/>
            <w:tcBorders>
              <w:top w:val="single" w:color="000000" w:sz="4" w:space="0"/>
              <w:bottom w:val="single" w:color="000000"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100</w:t>
            </w:r>
          </w:p>
        </w:tc>
        <w:tc>
          <w:tcPr>
            <w:tcW w:w="709" w:type="dxa"/>
            <w:tcBorders>
              <w:top w:val="single" w:color="000000" w:sz="4" w:space="0"/>
              <w:bottom w:val="single" w:color="000000"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3000</w:t>
            </w:r>
          </w:p>
        </w:tc>
        <w:tc>
          <w:tcPr>
            <w:tcW w:w="850" w:type="dxa"/>
            <w:tcBorders>
              <w:top w:val="single" w:color="000000" w:sz="4" w:space="0"/>
              <w:bottom w:val="single" w:color="000000"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0.04</w:t>
            </w:r>
          </w:p>
        </w:tc>
        <w:tc>
          <w:tcPr>
            <w:tcW w:w="851" w:type="dxa"/>
            <w:tcBorders>
              <w:top w:val="single" w:color="000000" w:sz="4" w:space="0"/>
              <w:bottom w:val="single" w:color="000000" w:sz="4" w:space="0"/>
              <w:right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1.19</w:t>
            </w:r>
          </w:p>
        </w:tc>
        <w:tc>
          <w:tcPr>
            <w:tcW w:w="850" w:type="dxa"/>
            <w:tcBorders>
              <w:top w:val="single" w:color="000000" w:sz="4" w:space="0"/>
              <w:left w:val="single" w:color="auto" w:sz="4" w:space="0"/>
              <w:bottom w:val="single" w:color="000000"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0.71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750" w:hRule="atLeast"/>
        </w:trPr>
        <w:tc>
          <w:tcPr>
            <w:tcW w:w="907" w:type="dxa"/>
            <w:tcBorders>
              <w:top w:val="single" w:color="000000" w:sz="4" w:space="0"/>
              <w:bottom w:val="single" w:color="000000"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沼气</w:t>
            </w:r>
            <w:r>
              <w:rPr>
                <w:rFonts w:hint="default" w:ascii="Times New Roman" w:hAnsi="Times New Roman" w:cs="Times New Roman" w:eastAsiaTheme="minorEastAsia"/>
                <w:color w:val="auto"/>
                <w:highlight w:val="none"/>
                <w:lang w:eastAsia="zh-CN"/>
              </w:rPr>
              <w:t>火炬</w:t>
            </w:r>
            <w:r>
              <w:rPr>
                <w:rFonts w:hint="default" w:ascii="Times New Roman" w:hAnsi="Times New Roman" w:cs="Times New Roman" w:eastAsiaTheme="minorEastAsia"/>
                <w:color w:val="auto"/>
                <w:highlight w:val="none"/>
              </w:rPr>
              <w:t>燃烧废气</w:t>
            </w:r>
          </w:p>
        </w:tc>
        <w:tc>
          <w:tcPr>
            <w:tcW w:w="617" w:type="dxa"/>
            <w:tcBorders>
              <w:top w:val="single" w:color="000000" w:sz="4" w:space="0"/>
              <w:bottom w:val="single" w:color="000000" w:sz="4" w:space="0"/>
            </w:tcBorders>
            <w:vAlign w:val="center"/>
          </w:tcPr>
          <w:p>
            <w:pPr>
              <w:pStyle w:val="666"/>
              <w:ind w:firstLine="0" w:firstLineChars="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125.47569</w:t>
            </w:r>
          </w:p>
        </w:tc>
        <w:tc>
          <w:tcPr>
            <w:tcW w:w="554" w:type="dxa"/>
            <w:tcBorders>
              <w:top w:val="single" w:color="000000" w:sz="4" w:space="0"/>
              <w:bottom w:val="single" w:color="000000" w:sz="4" w:space="0"/>
            </w:tcBorders>
            <w:vAlign w:val="center"/>
          </w:tcPr>
          <w:p>
            <w:pPr>
              <w:pStyle w:val="666"/>
              <w:ind w:firstLine="0" w:firstLineChars="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46.50913</w:t>
            </w:r>
          </w:p>
        </w:tc>
        <w:tc>
          <w:tcPr>
            <w:tcW w:w="833" w:type="dxa"/>
            <w:tcBorders>
              <w:top w:val="single" w:color="000000" w:sz="4" w:space="0"/>
              <w:bottom w:val="single" w:color="000000" w:sz="4" w:space="0"/>
            </w:tcBorders>
            <w:vAlign w:val="center"/>
          </w:tcPr>
          <w:p>
            <w:pPr>
              <w:pStyle w:val="666"/>
              <w:rPr>
                <w:rFonts w:hint="default" w:ascii="Times New Roman" w:hAnsi="Times New Roman" w:cs="Times New Roman" w:eastAsiaTheme="minorEastAsia"/>
                <w:color w:val="auto"/>
                <w:highlight w:val="none"/>
                <w:lang w:eastAsia="zh-CN"/>
              </w:rPr>
            </w:pPr>
            <w:r>
              <w:rPr>
                <w:rFonts w:hint="default" w:ascii="Times New Roman" w:hAnsi="Times New Roman" w:cs="Times New Roman" w:eastAsiaTheme="minorEastAsia"/>
                <w:color w:val="auto"/>
                <w:highlight w:val="none"/>
              </w:rPr>
              <w:t>15</w:t>
            </w:r>
            <w:r>
              <w:rPr>
                <w:rFonts w:hint="default" w:ascii="Times New Roman" w:hAnsi="Times New Roman" w:cs="Times New Roman" w:eastAsiaTheme="minorEastAsia"/>
                <w:color w:val="auto"/>
                <w:highlight w:val="none"/>
                <w:lang w:val="en-US" w:eastAsia="zh-CN"/>
              </w:rPr>
              <w:t>6</w:t>
            </w:r>
          </w:p>
        </w:tc>
        <w:tc>
          <w:tcPr>
            <w:tcW w:w="551" w:type="dxa"/>
            <w:tcBorders>
              <w:top w:val="single" w:color="000000" w:sz="4" w:space="0"/>
              <w:bottom w:val="single" w:color="000000"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15</w:t>
            </w:r>
          </w:p>
        </w:tc>
        <w:tc>
          <w:tcPr>
            <w:tcW w:w="692" w:type="dxa"/>
            <w:tcBorders>
              <w:top w:val="single" w:color="000000" w:sz="4" w:space="0"/>
              <w:bottom w:val="single" w:color="000000"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0.2</w:t>
            </w:r>
          </w:p>
        </w:tc>
        <w:tc>
          <w:tcPr>
            <w:tcW w:w="692" w:type="dxa"/>
            <w:tcBorders>
              <w:top w:val="single" w:color="000000" w:sz="4" w:space="0"/>
              <w:bottom w:val="single" w:color="000000"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1.39</w:t>
            </w:r>
          </w:p>
        </w:tc>
        <w:tc>
          <w:tcPr>
            <w:tcW w:w="541" w:type="dxa"/>
            <w:tcBorders>
              <w:top w:val="single" w:color="000000" w:sz="4" w:space="0"/>
              <w:bottom w:val="single" w:color="000000"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80</w:t>
            </w:r>
          </w:p>
        </w:tc>
        <w:tc>
          <w:tcPr>
            <w:tcW w:w="709" w:type="dxa"/>
            <w:tcBorders>
              <w:top w:val="single" w:color="000000" w:sz="4" w:space="0"/>
              <w:bottom w:val="single" w:color="000000"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4440</w:t>
            </w:r>
          </w:p>
        </w:tc>
        <w:tc>
          <w:tcPr>
            <w:tcW w:w="850" w:type="dxa"/>
            <w:tcBorders>
              <w:top w:val="single" w:color="000000" w:sz="4" w:space="0"/>
              <w:bottom w:val="single" w:color="000000"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0.00037</w:t>
            </w:r>
          </w:p>
        </w:tc>
        <w:tc>
          <w:tcPr>
            <w:tcW w:w="851" w:type="dxa"/>
            <w:tcBorders>
              <w:top w:val="single" w:color="000000" w:sz="4" w:space="0"/>
              <w:bottom w:val="single" w:color="000000" w:sz="4" w:space="0"/>
              <w:right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0.00026</w:t>
            </w:r>
          </w:p>
        </w:tc>
        <w:tc>
          <w:tcPr>
            <w:tcW w:w="850" w:type="dxa"/>
            <w:tcBorders>
              <w:top w:val="single" w:color="000000" w:sz="4" w:space="0"/>
              <w:left w:val="single" w:color="auto" w:sz="4" w:space="0"/>
              <w:bottom w:val="single" w:color="000000"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0.0024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25" w:hRule="atLeast"/>
        </w:trPr>
        <w:tc>
          <w:tcPr>
            <w:tcW w:w="907" w:type="dxa"/>
            <w:vMerge w:val="restart"/>
            <w:tcBorders>
              <w:top w:val="single" w:color="000000"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固液分离间</w:t>
            </w:r>
          </w:p>
        </w:tc>
        <w:tc>
          <w:tcPr>
            <w:tcW w:w="617" w:type="dxa"/>
            <w:vMerge w:val="restart"/>
            <w:tcBorders>
              <w:top w:val="single" w:color="000000" w:sz="4" w:space="0"/>
            </w:tcBorders>
            <w:vAlign w:val="center"/>
          </w:tcPr>
          <w:p>
            <w:pPr>
              <w:pStyle w:val="666"/>
              <w:ind w:firstLine="0" w:firstLineChars="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125.47714</w:t>
            </w:r>
          </w:p>
        </w:tc>
        <w:tc>
          <w:tcPr>
            <w:tcW w:w="554" w:type="dxa"/>
            <w:vMerge w:val="restart"/>
            <w:tcBorders>
              <w:top w:val="single" w:color="000000" w:sz="4" w:space="0"/>
            </w:tcBorders>
            <w:vAlign w:val="center"/>
          </w:tcPr>
          <w:p>
            <w:pPr>
              <w:pStyle w:val="666"/>
              <w:ind w:firstLine="0" w:firstLineChars="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46.50690</w:t>
            </w:r>
          </w:p>
        </w:tc>
        <w:tc>
          <w:tcPr>
            <w:tcW w:w="833" w:type="dxa"/>
            <w:vMerge w:val="restart"/>
            <w:tcBorders>
              <w:top w:val="single" w:color="000000" w:sz="4" w:space="0"/>
            </w:tcBorders>
            <w:vAlign w:val="center"/>
          </w:tcPr>
          <w:p>
            <w:pPr>
              <w:pStyle w:val="666"/>
              <w:rPr>
                <w:rFonts w:hint="default" w:ascii="Times New Roman" w:hAnsi="Times New Roman" w:cs="Times New Roman" w:eastAsiaTheme="minorEastAsia"/>
                <w:color w:val="auto"/>
                <w:highlight w:val="none"/>
                <w:lang w:eastAsia="zh-CN"/>
              </w:rPr>
            </w:pPr>
            <w:r>
              <w:rPr>
                <w:rFonts w:hint="default" w:ascii="Times New Roman" w:hAnsi="Times New Roman" w:cs="Times New Roman" w:eastAsiaTheme="minorEastAsia"/>
                <w:color w:val="auto"/>
                <w:highlight w:val="none"/>
              </w:rPr>
              <w:t>15</w:t>
            </w:r>
            <w:r>
              <w:rPr>
                <w:rFonts w:hint="default" w:ascii="Times New Roman" w:hAnsi="Times New Roman" w:cs="Times New Roman" w:eastAsiaTheme="minorEastAsia"/>
                <w:color w:val="auto"/>
                <w:highlight w:val="none"/>
                <w:lang w:val="en-US" w:eastAsia="zh-CN"/>
              </w:rPr>
              <w:t>2</w:t>
            </w:r>
          </w:p>
        </w:tc>
        <w:tc>
          <w:tcPr>
            <w:tcW w:w="551" w:type="dxa"/>
            <w:vMerge w:val="restart"/>
            <w:tcBorders>
              <w:top w:val="single" w:color="000000"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15</w:t>
            </w:r>
          </w:p>
        </w:tc>
        <w:tc>
          <w:tcPr>
            <w:tcW w:w="692" w:type="dxa"/>
            <w:vMerge w:val="restart"/>
            <w:tcBorders>
              <w:top w:val="single" w:color="000000"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0.2</w:t>
            </w:r>
          </w:p>
        </w:tc>
        <w:tc>
          <w:tcPr>
            <w:tcW w:w="692" w:type="dxa"/>
            <w:vMerge w:val="restart"/>
            <w:tcBorders>
              <w:top w:val="single" w:color="000000"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17.69</w:t>
            </w:r>
          </w:p>
        </w:tc>
        <w:tc>
          <w:tcPr>
            <w:tcW w:w="541" w:type="dxa"/>
            <w:vMerge w:val="restart"/>
            <w:tcBorders>
              <w:top w:val="single" w:color="000000"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w:t>
            </w:r>
          </w:p>
        </w:tc>
        <w:tc>
          <w:tcPr>
            <w:tcW w:w="709" w:type="dxa"/>
            <w:vMerge w:val="restart"/>
            <w:tcBorders>
              <w:top w:val="single" w:color="000000"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8760</w:t>
            </w:r>
          </w:p>
        </w:tc>
        <w:tc>
          <w:tcPr>
            <w:tcW w:w="850" w:type="dxa"/>
            <w:tcBorders>
              <w:top w:val="single" w:color="000000"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zCs w:val="28"/>
                <w:highlight w:val="none"/>
              </w:rPr>
              <w:t>NH</w:t>
            </w:r>
            <w:r>
              <w:rPr>
                <w:rFonts w:hint="default" w:ascii="Times New Roman" w:hAnsi="Times New Roman" w:cs="Times New Roman" w:eastAsiaTheme="minorEastAsia"/>
                <w:color w:val="auto"/>
                <w:szCs w:val="28"/>
                <w:highlight w:val="none"/>
                <w:vertAlign w:val="subscript"/>
              </w:rPr>
              <w:t>3</w:t>
            </w:r>
          </w:p>
        </w:tc>
        <w:tc>
          <w:tcPr>
            <w:tcW w:w="1701" w:type="dxa"/>
            <w:gridSpan w:val="2"/>
            <w:tcBorders>
              <w:top w:val="single" w:color="000000"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zCs w:val="28"/>
                <w:highlight w:val="none"/>
              </w:rPr>
              <w:t>H</w:t>
            </w:r>
            <w:r>
              <w:rPr>
                <w:rFonts w:hint="default" w:ascii="Times New Roman" w:hAnsi="Times New Roman" w:cs="Times New Roman" w:eastAsiaTheme="minorEastAsia"/>
                <w:color w:val="auto"/>
                <w:szCs w:val="28"/>
                <w:highlight w:val="none"/>
                <w:vertAlign w:val="subscript"/>
              </w:rPr>
              <w:t>2</w:t>
            </w:r>
            <w:r>
              <w:rPr>
                <w:rFonts w:hint="default" w:ascii="Times New Roman" w:hAnsi="Times New Roman" w:cs="Times New Roman" w:eastAsiaTheme="minorEastAsia"/>
                <w:color w:val="auto"/>
                <w:szCs w:val="28"/>
                <w:highlight w:val="none"/>
              </w:rPr>
              <w:t>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540" w:hRule="atLeast"/>
        </w:trPr>
        <w:tc>
          <w:tcPr>
            <w:tcW w:w="907" w:type="dxa"/>
            <w:vMerge w:val="continue"/>
            <w:tcBorders>
              <w:bottom w:val="single" w:color="auto" w:sz="12" w:space="0"/>
            </w:tcBorders>
            <w:vAlign w:val="center"/>
          </w:tcPr>
          <w:p>
            <w:pPr>
              <w:pStyle w:val="666"/>
              <w:rPr>
                <w:rFonts w:hint="default" w:ascii="Times New Roman" w:hAnsi="Times New Roman" w:cs="Times New Roman" w:eastAsiaTheme="minorEastAsia"/>
                <w:color w:val="auto"/>
                <w:highlight w:val="none"/>
              </w:rPr>
            </w:pPr>
          </w:p>
        </w:tc>
        <w:tc>
          <w:tcPr>
            <w:tcW w:w="617" w:type="dxa"/>
            <w:vMerge w:val="continue"/>
            <w:tcBorders>
              <w:bottom w:val="single" w:color="auto" w:sz="12" w:space="0"/>
            </w:tcBorders>
            <w:vAlign w:val="center"/>
          </w:tcPr>
          <w:p>
            <w:pPr>
              <w:pStyle w:val="666"/>
              <w:rPr>
                <w:rFonts w:hint="default" w:ascii="Times New Roman" w:hAnsi="Times New Roman" w:cs="Times New Roman" w:eastAsiaTheme="minorEastAsia"/>
                <w:color w:val="auto"/>
                <w:highlight w:val="none"/>
              </w:rPr>
            </w:pPr>
          </w:p>
        </w:tc>
        <w:tc>
          <w:tcPr>
            <w:tcW w:w="554" w:type="dxa"/>
            <w:vMerge w:val="continue"/>
            <w:tcBorders>
              <w:bottom w:val="single" w:color="auto" w:sz="12" w:space="0"/>
            </w:tcBorders>
            <w:vAlign w:val="center"/>
          </w:tcPr>
          <w:p>
            <w:pPr>
              <w:pStyle w:val="666"/>
              <w:rPr>
                <w:rFonts w:hint="default" w:ascii="Times New Roman" w:hAnsi="Times New Roman" w:cs="Times New Roman" w:eastAsiaTheme="minorEastAsia"/>
                <w:color w:val="auto"/>
                <w:highlight w:val="none"/>
              </w:rPr>
            </w:pPr>
          </w:p>
        </w:tc>
        <w:tc>
          <w:tcPr>
            <w:tcW w:w="833" w:type="dxa"/>
            <w:vMerge w:val="continue"/>
            <w:tcBorders>
              <w:bottom w:val="single" w:color="auto" w:sz="12" w:space="0"/>
            </w:tcBorders>
            <w:vAlign w:val="center"/>
          </w:tcPr>
          <w:p>
            <w:pPr>
              <w:pStyle w:val="666"/>
              <w:rPr>
                <w:rFonts w:hint="default" w:ascii="Times New Roman" w:hAnsi="Times New Roman" w:cs="Times New Roman" w:eastAsiaTheme="minorEastAsia"/>
                <w:color w:val="auto"/>
                <w:highlight w:val="none"/>
              </w:rPr>
            </w:pPr>
          </w:p>
        </w:tc>
        <w:tc>
          <w:tcPr>
            <w:tcW w:w="551" w:type="dxa"/>
            <w:vMerge w:val="continue"/>
            <w:tcBorders>
              <w:bottom w:val="single" w:color="auto" w:sz="12" w:space="0"/>
            </w:tcBorders>
            <w:vAlign w:val="center"/>
          </w:tcPr>
          <w:p>
            <w:pPr>
              <w:pStyle w:val="666"/>
              <w:rPr>
                <w:rFonts w:hint="default" w:ascii="Times New Roman" w:hAnsi="Times New Roman" w:cs="Times New Roman" w:eastAsiaTheme="minorEastAsia"/>
                <w:color w:val="auto"/>
                <w:highlight w:val="none"/>
              </w:rPr>
            </w:pPr>
          </w:p>
        </w:tc>
        <w:tc>
          <w:tcPr>
            <w:tcW w:w="692" w:type="dxa"/>
            <w:vMerge w:val="continue"/>
            <w:tcBorders>
              <w:bottom w:val="single" w:color="auto" w:sz="12" w:space="0"/>
            </w:tcBorders>
            <w:vAlign w:val="center"/>
          </w:tcPr>
          <w:p>
            <w:pPr>
              <w:pStyle w:val="666"/>
              <w:rPr>
                <w:rFonts w:hint="default" w:ascii="Times New Roman" w:hAnsi="Times New Roman" w:cs="Times New Roman" w:eastAsiaTheme="minorEastAsia"/>
                <w:color w:val="auto"/>
                <w:highlight w:val="none"/>
              </w:rPr>
            </w:pPr>
          </w:p>
        </w:tc>
        <w:tc>
          <w:tcPr>
            <w:tcW w:w="692" w:type="dxa"/>
            <w:vMerge w:val="continue"/>
            <w:tcBorders>
              <w:bottom w:val="single" w:color="auto" w:sz="12" w:space="0"/>
            </w:tcBorders>
            <w:vAlign w:val="center"/>
          </w:tcPr>
          <w:p>
            <w:pPr>
              <w:pStyle w:val="666"/>
              <w:rPr>
                <w:rFonts w:hint="default" w:ascii="Times New Roman" w:hAnsi="Times New Roman" w:cs="Times New Roman" w:eastAsiaTheme="minorEastAsia"/>
                <w:color w:val="auto"/>
                <w:highlight w:val="none"/>
              </w:rPr>
            </w:pPr>
          </w:p>
        </w:tc>
        <w:tc>
          <w:tcPr>
            <w:tcW w:w="541" w:type="dxa"/>
            <w:vMerge w:val="continue"/>
            <w:tcBorders>
              <w:bottom w:val="single" w:color="auto" w:sz="12" w:space="0"/>
            </w:tcBorders>
            <w:vAlign w:val="center"/>
          </w:tcPr>
          <w:p>
            <w:pPr>
              <w:pStyle w:val="666"/>
              <w:rPr>
                <w:rFonts w:hint="default" w:ascii="Times New Roman" w:hAnsi="Times New Roman" w:cs="Times New Roman" w:eastAsiaTheme="minorEastAsia"/>
                <w:color w:val="auto"/>
                <w:highlight w:val="none"/>
              </w:rPr>
            </w:pPr>
          </w:p>
        </w:tc>
        <w:tc>
          <w:tcPr>
            <w:tcW w:w="709" w:type="dxa"/>
            <w:vMerge w:val="continue"/>
            <w:tcBorders>
              <w:bottom w:val="single" w:color="auto" w:sz="12" w:space="0"/>
            </w:tcBorders>
            <w:vAlign w:val="center"/>
          </w:tcPr>
          <w:p>
            <w:pPr>
              <w:pStyle w:val="666"/>
              <w:rPr>
                <w:rFonts w:hint="default" w:ascii="Times New Roman" w:hAnsi="Times New Roman" w:cs="Times New Roman" w:eastAsiaTheme="minorEastAsia"/>
                <w:color w:val="auto"/>
                <w:highlight w:val="none"/>
              </w:rPr>
            </w:pPr>
          </w:p>
        </w:tc>
        <w:tc>
          <w:tcPr>
            <w:tcW w:w="850" w:type="dxa"/>
            <w:tcBorders>
              <w:top w:val="single" w:color="auto" w:sz="4" w:space="0"/>
              <w:bottom w:val="single" w:color="auto" w:sz="1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0.0008</w:t>
            </w:r>
          </w:p>
        </w:tc>
        <w:tc>
          <w:tcPr>
            <w:tcW w:w="1701" w:type="dxa"/>
            <w:gridSpan w:val="2"/>
            <w:tcBorders>
              <w:top w:val="single" w:color="auto" w:sz="4" w:space="0"/>
              <w:bottom w:val="single" w:color="auto" w:sz="1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0.0005</w:t>
            </w:r>
          </w:p>
        </w:tc>
      </w:tr>
    </w:tbl>
    <w:p>
      <w:pPr>
        <w:pStyle w:val="643"/>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表2-3-4  主要废气污染源参数一览表(矩形面源)</w:t>
      </w:r>
    </w:p>
    <w:tbl>
      <w:tblPr>
        <w:tblStyle w:val="91"/>
        <w:tblW w:w="875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9"/>
        <w:gridCol w:w="709"/>
        <w:gridCol w:w="708"/>
        <w:gridCol w:w="709"/>
        <w:gridCol w:w="851"/>
        <w:gridCol w:w="708"/>
        <w:gridCol w:w="709"/>
        <w:gridCol w:w="851"/>
        <w:gridCol w:w="850"/>
        <w:gridCol w:w="709"/>
        <w:gridCol w:w="9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9" w:type="dxa"/>
            <w:vMerge w:val="restar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污染源名称</w:t>
            </w:r>
          </w:p>
        </w:tc>
        <w:tc>
          <w:tcPr>
            <w:tcW w:w="1417" w:type="dxa"/>
            <w:gridSpan w:val="2"/>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坐标</w:t>
            </w:r>
          </w:p>
        </w:tc>
        <w:tc>
          <w:tcPr>
            <w:tcW w:w="709" w:type="dxa"/>
            <w:vMerge w:val="restar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海拔高度/m</w:t>
            </w:r>
          </w:p>
        </w:tc>
        <w:tc>
          <w:tcPr>
            <w:tcW w:w="851" w:type="dxa"/>
            <w:vMerge w:val="restart"/>
            <w:vAlign w:val="center"/>
          </w:tcPr>
          <w:p>
            <w:pPr>
              <w:pStyle w:val="666"/>
              <w:jc w:val="both"/>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面源长度/m</w:t>
            </w:r>
          </w:p>
        </w:tc>
        <w:tc>
          <w:tcPr>
            <w:tcW w:w="708" w:type="dxa"/>
            <w:vMerge w:val="restart"/>
            <w:vAlign w:val="center"/>
          </w:tcPr>
          <w:p>
            <w:pPr>
              <w:pStyle w:val="666"/>
              <w:jc w:val="both"/>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面源宽度/m</w:t>
            </w:r>
          </w:p>
        </w:tc>
        <w:tc>
          <w:tcPr>
            <w:tcW w:w="709" w:type="dxa"/>
            <w:vMerge w:val="restart"/>
            <w:vAlign w:val="center"/>
          </w:tcPr>
          <w:p>
            <w:pPr>
              <w:pStyle w:val="666"/>
              <w:jc w:val="both"/>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与正北向夹角/°</w:t>
            </w:r>
          </w:p>
        </w:tc>
        <w:tc>
          <w:tcPr>
            <w:tcW w:w="851" w:type="dxa"/>
            <w:vMerge w:val="restar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面源有效排放高度/m</w:t>
            </w:r>
          </w:p>
        </w:tc>
        <w:tc>
          <w:tcPr>
            <w:tcW w:w="850" w:type="dxa"/>
            <w:vMerge w:val="restar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年排放小时数/h</w:t>
            </w:r>
          </w:p>
        </w:tc>
        <w:tc>
          <w:tcPr>
            <w:tcW w:w="1701" w:type="dxa"/>
            <w:gridSpan w:val="2"/>
            <w:vMerge w:val="restar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959" w:type="dxa"/>
            <w:vMerge w:val="continue"/>
            <w:vAlign w:val="center"/>
          </w:tcPr>
          <w:p>
            <w:pPr>
              <w:pStyle w:val="666"/>
              <w:rPr>
                <w:rFonts w:hint="default" w:ascii="Times New Roman" w:hAnsi="Times New Roman" w:cs="Times New Roman" w:eastAsiaTheme="minorEastAsia"/>
                <w:color w:val="auto"/>
                <w:highlight w:val="none"/>
              </w:rPr>
            </w:pPr>
          </w:p>
        </w:tc>
        <w:tc>
          <w:tcPr>
            <w:tcW w:w="709"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经度</w:t>
            </w:r>
          </w:p>
        </w:tc>
        <w:tc>
          <w:tcPr>
            <w:tcW w:w="708"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纬度</w:t>
            </w:r>
          </w:p>
        </w:tc>
        <w:tc>
          <w:tcPr>
            <w:tcW w:w="709" w:type="dxa"/>
            <w:vMerge w:val="continue"/>
            <w:vAlign w:val="center"/>
          </w:tcPr>
          <w:p>
            <w:pPr>
              <w:pStyle w:val="666"/>
              <w:rPr>
                <w:rFonts w:hint="default" w:ascii="Times New Roman" w:hAnsi="Times New Roman" w:cs="Times New Roman" w:eastAsiaTheme="minorEastAsia"/>
                <w:color w:val="auto"/>
                <w:highlight w:val="none"/>
              </w:rPr>
            </w:pPr>
          </w:p>
        </w:tc>
        <w:tc>
          <w:tcPr>
            <w:tcW w:w="851" w:type="dxa"/>
            <w:vMerge w:val="continue"/>
            <w:vAlign w:val="center"/>
          </w:tcPr>
          <w:p>
            <w:pPr>
              <w:pStyle w:val="666"/>
              <w:rPr>
                <w:rFonts w:hint="default" w:ascii="Times New Roman" w:hAnsi="Times New Roman" w:cs="Times New Roman" w:eastAsiaTheme="minorEastAsia"/>
                <w:color w:val="auto"/>
                <w:highlight w:val="none"/>
              </w:rPr>
            </w:pPr>
          </w:p>
        </w:tc>
        <w:tc>
          <w:tcPr>
            <w:tcW w:w="708" w:type="dxa"/>
            <w:vMerge w:val="continue"/>
            <w:vAlign w:val="center"/>
          </w:tcPr>
          <w:p>
            <w:pPr>
              <w:pStyle w:val="666"/>
              <w:rPr>
                <w:rFonts w:hint="default" w:ascii="Times New Roman" w:hAnsi="Times New Roman" w:cs="Times New Roman" w:eastAsiaTheme="minorEastAsia"/>
                <w:color w:val="auto"/>
                <w:highlight w:val="none"/>
              </w:rPr>
            </w:pPr>
          </w:p>
        </w:tc>
        <w:tc>
          <w:tcPr>
            <w:tcW w:w="709" w:type="dxa"/>
            <w:vMerge w:val="continue"/>
            <w:vAlign w:val="center"/>
          </w:tcPr>
          <w:p>
            <w:pPr>
              <w:pStyle w:val="666"/>
              <w:rPr>
                <w:rFonts w:hint="default" w:ascii="Times New Roman" w:hAnsi="Times New Roman" w:cs="Times New Roman" w:eastAsiaTheme="minorEastAsia"/>
                <w:color w:val="auto"/>
                <w:highlight w:val="none"/>
              </w:rPr>
            </w:pPr>
          </w:p>
        </w:tc>
        <w:tc>
          <w:tcPr>
            <w:tcW w:w="851" w:type="dxa"/>
            <w:vMerge w:val="continue"/>
            <w:vAlign w:val="center"/>
          </w:tcPr>
          <w:p>
            <w:pPr>
              <w:pStyle w:val="666"/>
              <w:rPr>
                <w:rFonts w:hint="default" w:ascii="Times New Roman" w:hAnsi="Times New Roman" w:cs="Times New Roman" w:eastAsiaTheme="minorEastAsia"/>
                <w:color w:val="auto"/>
                <w:highlight w:val="none"/>
              </w:rPr>
            </w:pPr>
          </w:p>
        </w:tc>
        <w:tc>
          <w:tcPr>
            <w:tcW w:w="850" w:type="dxa"/>
            <w:vMerge w:val="continue"/>
            <w:vAlign w:val="center"/>
          </w:tcPr>
          <w:p>
            <w:pPr>
              <w:pStyle w:val="666"/>
              <w:rPr>
                <w:rFonts w:hint="default" w:ascii="Times New Roman" w:hAnsi="Times New Roman" w:cs="Times New Roman" w:eastAsiaTheme="minorEastAsia"/>
                <w:color w:val="auto"/>
                <w:highlight w:val="none"/>
              </w:rPr>
            </w:pPr>
          </w:p>
        </w:tc>
        <w:tc>
          <w:tcPr>
            <w:tcW w:w="1701" w:type="dxa"/>
            <w:gridSpan w:val="2"/>
            <w:vMerge w:val="continue"/>
            <w:vAlign w:val="center"/>
          </w:tcPr>
          <w:p>
            <w:pPr>
              <w:pStyle w:val="666"/>
              <w:rPr>
                <w:rFonts w:hint="default" w:ascii="Times New Roman" w:hAnsi="Times New Roman" w:cs="Times New Roman"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9" w:type="dxa"/>
            <w:vMerge w:val="restar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牛舍</w:t>
            </w:r>
          </w:p>
        </w:tc>
        <w:tc>
          <w:tcPr>
            <w:tcW w:w="709" w:type="dxa"/>
            <w:vMerge w:val="restart"/>
            <w:vAlign w:val="center"/>
          </w:tcPr>
          <w:p>
            <w:pPr>
              <w:pStyle w:val="666"/>
              <w:ind w:firstLine="0" w:firstLineChars="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125.47603</w:t>
            </w:r>
          </w:p>
        </w:tc>
        <w:tc>
          <w:tcPr>
            <w:tcW w:w="708" w:type="dxa"/>
            <w:vMerge w:val="restart"/>
            <w:vAlign w:val="center"/>
          </w:tcPr>
          <w:p>
            <w:pPr>
              <w:pStyle w:val="666"/>
              <w:ind w:firstLine="0" w:firstLineChars="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lang w:val="en-US" w:eastAsia="zh-CN"/>
              </w:rPr>
              <w:t>4</w:t>
            </w:r>
            <w:r>
              <w:rPr>
                <w:rFonts w:hint="default" w:ascii="Times New Roman" w:hAnsi="Times New Roman" w:cs="Times New Roman" w:eastAsiaTheme="minorEastAsia"/>
                <w:color w:val="auto"/>
                <w:highlight w:val="none"/>
              </w:rPr>
              <w:t>6.50796</w:t>
            </w:r>
          </w:p>
        </w:tc>
        <w:tc>
          <w:tcPr>
            <w:tcW w:w="709" w:type="dxa"/>
            <w:vMerge w:val="restart"/>
            <w:vAlign w:val="center"/>
          </w:tcPr>
          <w:p>
            <w:pPr>
              <w:pStyle w:val="666"/>
              <w:rPr>
                <w:rFonts w:hint="default" w:ascii="Times New Roman" w:hAnsi="Times New Roman" w:cs="Times New Roman" w:eastAsiaTheme="minorEastAsia"/>
                <w:color w:val="auto"/>
                <w:highlight w:val="none"/>
                <w:lang w:eastAsia="zh-CN"/>
              </w:rPr>
            </w:pPr>
            <w:r>
              <w:rPr>
                <w:rFonts w:hint="default" w:ascii="Times New Roman" w:hAnsi="Times New Roman" w:cs="Times New Roman" w:eastAsiaTheme="minorEastAsia"/>
                <w:color w:val="auto"/>
                <w:highlight w:val="none"/>
              </w:rPr>
              <w:t>15</w:t>
            </w:r>
            <w:r>
              <w:rPr>
                <w:rFonts w:hint="default" w:ascii="Times New Roman" w:hAnsi="Times New Roman" w:cs="Times New Roman" w:eastAsiaTheme="minorEastAsia"/>
                <w:color w:val="auto"/>
                <w:highlight w:val="none"/>
                <w:lang w:val="en-US" w:eastAsia="zh-CN"/>
              </w:rPr>
              <w:t>1</w:t>
            </w:r>
          </w:p>
        </w:tc>
        <w:tc>
          <w:tcPr>
            <w:tcW w:w="851" w:type="dxa"/>
            <w:vMerge w:val="restar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250</w:t>
            </w:r>
          </w:p>
        </w:tc>
        <w:tc>
          <w:tcPr>
            <w:tcW w:w="708" w:type="dxa"/>
            <w:vMerge w:val="restar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172</w:t>
            </w:r>
          </w:p>
        </w:tc>
        <w:tc>
          <w:tcPr>
            <w:tcW w:w="709" w:type="dxa"/>
            <w:vMerge w:val="restar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90</w:t>
            </w:r>
          </w:p>
        </w:tc>
        <w:tc>
          <w:tcPr>
            <w:tcW w:w="851" w:type="dxa"/>
            <w:vMerge w:val="restar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4</w:t>
            </w:r>
          </w:p>
        </w:tc>
        <w:tc>
          <w:tcPr>
            <w:tcW w:w="850" w:type="dxa"/>
            <w:vMerge w:val="restar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8760</w:t>
            </w:r>
          </w:p>
        </w:tc>
        <w:tc>
          <w:tcPr>
            <w:tcW w:w="709"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NH</w:t>
            </w:r>
            <w:r>
              <w:rPr>
                <w:rFonts w:hint="default" w:ascii="Times New Roman" w:hAnsi="Times New Roman" w:cs="Times New Roman" w:eastAsiaTheme="minorEastAsia"/>
                <w:color w:val="auto"/>
                <w:highlight w:val="none"/>
                <w:vertAlign w:val="subscript"/>
              </w:rPr>
              <w:t>3</w:t>
            </w:r>
          </w:p>
        </w:tc>
        <w:tc>
          <w:tcPr>
            <w:tcW w:w="992"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59" w:type="dxa"/>
            <w:vMerge w:val="continue"/>
            <w:vAlign w:val="center"/>
          </w:tcPr>
          <w:p>
            <w:pPr>
              <w:pStyle w:val="666"/>
              <w:rPr>
                <w:rFonts w:hint="default" w:ascii="Times New Roman" w:hAnsi="Times New Roman" w:cs="Times New Roman" w:eastAsiaTheme="minorEastAsia"/>
                <w:color w:val="auto"/>
                <w:highlight w:val="none"/>
              </w:rPr>
            </w:pPr>
          </w:p>
        </w:tc>
        <w:tc>
          <w:tcPr>
            <w:tcW w:w="709" w:type="dxa"/>
            <w:vMerge w:val="continue"/>
            <w:vAlign w:val="center"/>
          </w:tcPr>
          <w:p>
            <w:pPr>
              <w:pStyle w:val="666"/>
              <w:rPr>
                <w:rFonts w:hint="default" w:ascii="Times New Roman" w:hAnsi="Times New Roman" w:cs="Times New Roman" w:eastAsiaTheme="minorEastAsia"/>
                <w:color w:val="auto"/>
                <w:highlight w:val="none"/>
              </w:rPr>
            </w:pPr>
          </w:p>
        </w:tc>
        <w:tc>
          <w:tcPr>
            <w:tcW w:w="708" w:type="dxa"/>
            <w:vMerge w:val="continue"/>
            <w:vAlign w:val="center"/>
          </w:tcPr>
          <w:p>
            <w:pPr>
              <w:pStyle w:val="666"/>
              <w:rPr>
                <w:rFonts w:hint="default" w:ascii="Times New Roman" w:hAnsi="Times New Roman" w:cs="Times New Roman" w:eastAsiaTheme="minorEastAsia"/>
                <w:color w:val="auto"/>
                <w:highlight w:val="none"/>
              </w:rPr>
            </w:pPr>
          </w:p>
        </w:tc>
        <w:tc>
          <w:tcPr>
            <w:tcW w:w="709" w:type="dxa"/>
            <w:vMerge w:val="continue"/>
            <w:vAlign w:val="center"/>
          </w:tcPr>
          <w:p>
            <w:pPr>
              <w:pStyle w:val="666"/>
              <w:rPr>
                <w:rFonts w:hint="default" w:ascii="Times New Roman" w:hAnsi="Times New Roman" w:cs="Times New Roman" w:eastAsiaTheme="minorEastAsia"/>
                <w:color w:val="auto"/>
                <w:highlight w:val="none"/>
              </w:rPr>
            </w:pPr>
          </w:p>
        </w:tc>
        <w:tc>
          <w:tcPr>
            <w:tcW w:w="851" w:type="dxa"/>
            <w:vMerge w:val="continue"/>
            <w:vAlign w:val="center"/>
          </w:tcPr>
          <w:p>
            <w:pPr>
              <w:pStyle w:val="666"/>
              <w:rPr>
                <w:rFonts w:hint="default" w:ascii="Times New Roman" w:hAnsi="Times New Roman" w:cs="Times New Roman" w:eastAsiaTheme="minorEastAsia"/>
                <w:color w:val="auto"/>
                <w:highlight w:val="none"/>
              </w:rPr>
            </w:pPr>
          </w:p>
        </w:tc>
        <w:tc>
          <w:tcPr>
            <w:tcW w:w="708" w:type="dxa"/>
            <w:vMerge w:val="continue"/>
            <w:vAlign w:val="center"/>
          </w:tcPr>
          <w:p>
            <w:pPr>
              <w:pStyle w:val="666"/>
              <w:rPr>
                <w:rFonts w:hint="default" w:ascii="Times New Roman" w:hAnsi="Times New Roman" w:cs="Times New Roman" w:eastAsiaTheme="minorEastAsia"/>
                <w:color w:val="auto"/>
                <w:highlight w:val="none"/>
              </w:rPr>
            </w:pPr>
          </w:p>
        </w:tc>
        <w:tc>
          <w:tcPr>
            <w:tcW w:w="709" w:type="dxa"/>
            <w:vMerge w:val="continue"/>
            <w:vAlign w:val="center"/>
          </w:tcPr>
          <w:p>
            <w:pPr>
              <w:pStyle w:val="666"/>
              <w:rPr>
                <w:rFonts w:hint="default" w:ascii="Times New Roman" w:hAnsi="Times New Roman" w:cs="Times New Roman" w:eastAsiaTheme="minorEastAsia"/>
                <w:color w:val="auto"/>
                <w:highlight w:val="none"/>
              </w:rPr>
            </w:pPr>
          </w:p>
        </w:tc>
        <w:tc>
          <w:tcPr>
            <w:tcW w:w="851" w:type="dxa"/>
            <w:vMerge w:val="continue"/>
            <w:vAlign w:val="center"/>
          </w:tcPr>
          <w:p>
            <w:pPr>
              <w:pStyle w:val="666"/>
              <w:rPr>
                <w:rFonts w:hint="default" w:ascii="Times New Roman" w:hAnsi="Times New Roman" w:cs="Times New Roman" w:eastAsiaTheme="minorEastAsia"/>
                <w:color w:val="auto"/>
                <w:highlight w:val="none"/>
              </w:rPr>
            </w:pPr>
          </w:p>
        </w:tc>
        <w:tc>
          <w:tcPr>
            <w:tcW w:w="850" w:type="dxa"/>
            <w:vMerge w:val="continue"/>
            <w:vAlign w:val="center"/>
          </w:tcPr>
          <w:p>
            <w:pPr>
              <w:pStyle w:val="666"/>
              <w:rPr>
                <w:rFonts w:hint="default" w:ascii="Times New Roman" w:hAnsi="Times New Roman" w:cs="Times New Roman" w:eastAsiaTheme="minorEastAsia"/>
                <w:color w:val="auto"/>
                <w:highlight w:val="none"/>
              </w:rPr>
            </w:pPr>
          </w:p>
        </w:tc>
        <w:tc>
          <w:tcPr>
            <w:tcW w:w="709"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H</w:t>
            </w:r>
            <w:r>
              <w:rPr>
                <w:rFonts w:hint="default" w:ascii="Times New Roman" w:hAnsi="Times New Roman" w:cs="Times New Roman" w:eastAsiaTheme="minorEastAsia"/>
                <w:color w:val="auto"/>
                <w:highlight w:val="none"/>
                <w:vertAlign w:val="subscript"/>
              </w:rPr>
              <w:t>2</w:t>
            </w:r>
            <w:r>
              <w:rPr>
                <w:rFonts w:hint="default" w:ascii="Times New Roman" w:hAnsi="Times New Roman" w:cs="Times New Roman" w:eastAsiaTheme="minorEastAsia"/>
                <w:color w:val="auto"/>
                <w:highlight w:val="none"/>
              </w:rPr>
              <w:t>S</w:t>
            </w:r>
          </w:p>
        </w:tc>
        <w:tc>
          <w:tcPr>
            <w:tcW w:w="992"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959" w:type="dxa"/>
            <w:vMerge w:val="restar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粪污处理区</w:t>
            </w:r>
          </w:p>
        </w:tc>
        <w:tc>
          <w:tcPr>
            <w:tcW w:w="709" w:type="dxa"/>
            <w:vMerge w:val="restart"/>
            <w:vAlign w:val="center"/>
          </w:tcPr>
          <w:p>
            <w:pPr>
              <w:pStyle w:val="666"/>
              <w:ind w:firstLine="0" w:firstLineChars="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125.47676</w:t>
            </w:r>
          </w:p>
        </w:tc>
        <w:tc>
          <w:tcPr>
            <w:tcW w:w="708" w:type="dxa"/>
            <w:vMerge w:val="restart"/>
            <w:vAlign w:val="center"/>
          </w:tcPr>
          <w:p>
            <w:pPr>
              <w:pStyle w:val="666"/>
              <w:ind w:firstLine="0" w:firstLineChars="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46.50678</w:t>
            </w:r>
          </w:p>
        </w:tc>
        <w:tc>
          <w:tcPr>
            <w:tcW w:w="709" w:type="dxa"/>
            <w:vMerge w:val="restar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157</w:t>
            </w:r>
          </w:p>
        </w:tc>
        <w:tc>
          <w:tcPr>
            <w:tcW w:w="851" w:type="dxa"/>
            <w:vMerge w:val="restar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50</w:t>
            </w:r>
          </w:p>
        </w:tc>
        <w:tc>
          <w:tcPr>
            <w:tcW w:w="708" w:type="dxa"/>
            <w:vMerge w:val="restar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172</w:t>
            </w:r>
          </w:p>
        </w:tc>
        <w:tc>
          <w:tcPr>
            <w:tcW w:w="709" w:type="dxa"/>
            <w:vMerge w:val="restar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90</w:t>
            </w:r>
          </w:p>
        </w:tc>
        <w:tc>
          <w:tcPr>
            <w:tcW w:w="851" w:type="dxa"/>
            <w:vMerge w:val="restar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5</w:t>
            </w:r>
          </w:p>
        </w:tc>
        <w:tc>
          <w:tcPr>
            <w:tcW w:w="850" w:type="dxa"/>
            <w:vMerge w:val="restar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8760</w:t>
            </w:r>
          </w:p>
        </w:tc>
        <w:tc>
          <w:tcPr>
            <w:tcW w:w="709"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NH</w:t>
            </w:r>
            <w:r>
              <w:rPr>
                <w:rFonts w:hint="default" w:ascii="Times New Roman" w:hAnsi="Times New Roman" w:cs="Times New Roman" w:eastAsiaTheme="minorEastAsia"/>
                <w:color w:val="auto"/>
                <w:highlight w:val="none"/>
                <w:vertAlign w:val="subscript"/>
              </w:rPr>
              <w:t>3</w:t>
            </w:r>
          </w:p>
        </w:tc>
        <w:tc>
          <w:tcPr>
            <w:tcW w:w="992"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59" w:type="dxa"/>
            <w:vMerge w:val="continue"/>
            <w:vAlign w:val="center"/>
          </w:tcPr>
          <w:p>
            <w:pPr>
              <w:pStyle w:val="666"/>
              <w:rPr>
                <w:rFonts w:hint="default" w:ascii="Times New Roman" w:hAnsi="Times New Roman" w:cs="Times New Roman" w:eastAsiaTheme="minorEastAsia"/>
                <w:color w:val="auto"/>
                <w:highlight w:val="none"/>
              </w:rPr>
            </w:pPr>
          </w:p>
        </w:tc>
        <w:tc>
          <w:tcPr>
            <w:tcW w:w="709" w:type="dxa"/>
            <w:vMerge w:val="continue"/>
            <w:vAlign w:val="center"/>
          </w:tcPr>
          <w:p>
            <w:pPr>
              <w:pStyle w:val="666"/>
              <w:rPr>
                <w:rFonts w:hint="default" w:ascii="Times New Roman" w:hAnsi="Times New Roman" w:cs="Times New Roman" w:eastAsiaTheme="minorEastAsia"/>
                <w:color w:val="auto"/>
                <w:highlight w:val="none"/>
              </w:rPr>
            </w:pPr>
          </w:p>
        </w:tc>
        <w:tc>
          <w:tcPr>
            <w:tcW w:w="708" w:type="dxa"/>
            <w:vMerge w:val="continue"/>
            <w:vAlign w:val="center"/>
          </w:tcPr>
          <w:p>
            <w:pPr>
              <w:pStyle w:val="666"/>
              <w:rPr>
                <w:rFonts w:hint="default" w:ascii="Times New Roman" w:hAnsi="Times New Roman" w:cs="Times New Roman" w:eastAsiaTheme="minorEastAsia"/>
                <w:color w:val="auto"/>
                <w:highlight w:val="none"/>
              </w:rPr>
            </w:pPr>
          </w:p>
        </w:tc>
        <w:tc>
          <w:tcPr>
            <w:tcW w:w="709" w:type="dxa"/>
            <w:vMerge w:val="continue"/>
            <w:vAlign w:val="center"/>
          </w:tcPr>
          <w:p>
            <w:pPr>
              <w:pStyle w:val="666"/>
              <w:rPr>
                <w:rFonts w:hint="default" w:ascii="Times New Roman" w:hAnsi="Times New Roman" w:cs="Times New Roman" w:eastAsiaTheme="minorEastAsia"/>
                <w:color w:val="auto"/>
                <w:highlight w:val="none"/>
              </w:rPr>
            </w:pPr>
          </w:p>
        </w:tc>
        <w:tc>
          <w:tcPr>
            <w:tcW w:w="851" w:type="dxa"/>
            <w:vMerge w:val="continue"/>
            <w:vAlign w:val="center"/>
          </w:tcPr>
          <w:p>
            <w:pPr>
              <w:pStyle w:val="666"/>
              <w:rPr>
                <w:rFonts w:hint="default" w:ascii="Times New Roman" w:hAnsi="Times New Roman" w:cs="Times New Roman" w:eastAsiaTheme="minorEastAsia"/>
                <w:color w:val="auto"/>
                <w:highlight w:val="none"/>
              </w:rPr>
            </w:pPr>
          </w:p>
        </w:tc>
        <w:tc>
          <w:tcPr>
            <w:tcW w:w="708" w:type="dxa"/>
            <w:vMerge w:val="continue"/>
            <w:vAlign w:val="center"/>
          </w:tcPr>
          <w:p>
            <w:pPr>
              <w:pStyle w:val="666"/>
              <w:rPr>
                <w:rFonts w:hint="default" w:ascii="Times New Roman" w:hAnsi="Times New Roman" w:cs="Times New Roman" w:eastAsiaTheme="minorEastAsia"/>
                <w:color w:val="auto"/>
                <w:highlight w:val="none"/>
              </w:rPr>
            </w:pPr>
          </w:p>
        </w:tc>
        <w:tc>
          <w:tcPr>
            <w:tcW w:w="709" w:type="dxa"/>
            <w:vMerge w:val="continue"/>
            <w:vAlign w:val="center"/>
          </w:tcPr>
          <w:p>
            <w:pPr>
              <w:pStyle w:val="666"/>
              <w:rPr>
                <w:rFonts w:hint="default" w:ascii="Times New Roman" w:hAnsi="Times New Roman" w:cs="Times New Roman" w:eastAsiaTheme="minorEastAsia"/>
                <w:color w:val="auto"/>
                <w:highlight w:val="none"/>
              </w:rPr>
            </w:pPr>
          </w:p>
        </w:tc>
        <w:tc>
          <w:tcPr>
            <w:tcW w:w="851" w:type="dxa"/>
            <w:vMerge w:val="continue"/>
            <w:vAlign w:val="center"/>
          </w:tcPr>
          <w:p>
            <w:pPr>
              <w:pStyle w:val="666"/>
              <w:rPr>
                <w:rFonts w:hint="default" w:ascii="Times New Roman" w:hAnsi="Times New Roman" w:cs="Times New Roman" w:eastAsiaTheme="minorEastAsia"/>
                <w:color w:val="auto"/>
                <w:highlight w:val="none"/>
              </w:rPr>
            </w:pPr>
          </w:p>
        </w:tc>
        <w:tc>
          <w:tcPr>
            <w:tcW w:w="850" w:type="dxa"/>
            <w:vMerge w:val="continue"/>
            <w:vAlign w:val="center"/>
          </w:tcPr>
          <w:p>
            <w:pPr>
              <w:pStyle w:val="666"/>
              <w:rPr>
                <w:rFonts w:hint="default" w:ascii="Times New Roman" w:hAnsi="Times New Roman" w:cs="Times New Roman" w:eastAsiaTheme="minorEastAsia"/>
                <w:color w:val="auto"/>
                <w:highlight w:val="none"/>
              </w:rPr>
            </w:pPr>
          </w:p>
        </w:tc>
        <w:tc>
          <w:tcPr>
            <w:tcW w:w="709"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H</w:t>
            </w:r>
            <w:r>
              <w:rPr>
                <w:rFonts w:hint="default" w:ascii="Times New Roman" w:hAnsi="Times New Roman" w:cs="Times New Roman" w:eastAsiaTheme="minorEastAsia"/>
                <w:color w:val="auto"/>
                <w:highlight w:val="none"/>
                <w:vertAlign w:val="subscript"/>
              </w:rPr>
              <w:t>2</w:t>
            </w:r>
            <w:r>
              <w:rPr>
                <w:rFonts w:hint="default" w:ascii="Times New Roman" w:hAnsi="Times New Roman" w:cs="Times New Roman" w:eastAsiaTheme="minorEastAsia"/>
                <w:color w:val="auto"/>
                <w:highlight w:val="none"/>
              </w:rPr>
              <w:t>S</w:t>
            </w:r>
          </w:p>
        </w:tc>
        <w:tc>
          <w:tcPr>
            <w:tcW w:w="992"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0.00022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959"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饲料加工无组织粉尘</w:t>
            </w:r>
          </w:p>
        </w:tc>
        <w:tc>
          <w:tcPr>
            <w:tcW w:w="709" w:type="dxa"/>
            <w:vAlign w:val="center"/>
          </w:tcPr>
          <w:p>
            <w:pPr>
              <w:pStyle w:val="666"/>
              <w:ind w:firstLine="0" w:firstLineChars="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125.47378</w:t>
            </w:r>
          </w:p>
        </w:tc>
        <w:tc>
          <w:tcPr>
            <w:tcW w:w="708" w:type="dxa"/>
            <w:vAlign w:val="center"/>
          </w:tcPr>
          <w:p>
            <w:pPr>
              <w:pStyle w:val="666"/>
              <w:ind w:firstLine="0" w:firstLineChars="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46.50759</w:t>
            </w:r>
          </w:p>
        </w:tc>
        <w:tc>
          <w:tcPr>
            <w:tcW w:w="709"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157</w:t>
            </w:r>
          </w:p>
        </w:tc>
        <w:tc>
          <w:tcPr>
            <w:tcW w:w="851"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100</w:t>
            </w:r>
          </w:p>
        </w:tc>
        <w:tc>
          <w:tcPr>
            <w:tcW w:w="708"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172</w:t>
            </w:r>
          </w:p>
        </w:tc>
        <w:tc>
          <w:tcPr>
            <w:tcW w:w="709"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270</w:t>
            </w:r>
          </w:p>
        </w:tc>
        <w:tc>
          <w:tcPr>
            <w:tcW w:w="851"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4</w:t>
            </w:r>
          </w:p>
        </w:tc>
        <w:tc>
          <w:tcPr>
            <w:tcW w:w="850"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2920</w:t>
            </w:r>
          </w:p>
        </w:tc>
        <w:tc>
          <w:tcPr>
            <w:tcW w:w="709"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TSP</w:t>
            </w:r>
          </w:p>
        </w:tc>
        <w:tc>
          <w:tcPr>
            <w:tcW w:w="992"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0.014</w:t>
            </w:r>
          </w:p>
        </w:tc>
      </w:tr>
    </w:tbl>
    <w:p>
      <w:pPr>
        <w:ind w:firstLine="560"/>
        <w:rPr>
          <w:rFonts w:hint="default" w:ascii="Times New Roman" w:hAnsi="Times New Roman" w:cs="Times New Roman" w:eastAsiaTheme="minorEastAsia"/>
          <w:color w:val="000000" w:themeColor="text1"/>
          <w:sz w:val="24"/>
          <w:szCs w:val="24"/>
          <w:lang w:val="en-GB"/>
          <w14:textFill>
            <w14:solidFill>
              <w14:schemeClr w14:val="tx1"/>
            </w14:solidFill>
          </w14:textFill>
        </w:rPr>
      </w:pPr>
      <w:r>
        <w:rPr>
          <w:rFonts w:hint="default" w:ascii="Times New Roman" w:hAnsi="Times New Roman" w:cs="Times New Roman" w:eastAsiaTheme="minorEastAsia"/>
          <w:color w:val="000000" w:themeColor="text1"/>
          <w:sz w:val="24"/>
          <w:szCs w:val="24"/>
          <w:lang w:val="en-GB"/>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6</w:t>
      </w:r>
      <w:r>
        <w:rPr>
          <w:rFonts w:hint="default" w:ascii="Times New Roman" w:hAnsi="Times New Roman" w:cs="Times New Roman" w:eastAsiaTheme="minorEastAsia"/>
          <w:color w:val="000000" w:themeColor="text1"/>
          <w:sz w:val="24"/>
          <w:szCs w:val="24"/>
          <w:lang w:val="en-GB"/>
          <w14:textFill>
            <w14:solidFill>
              <w14:schemeClr w14:val="tx1"/>
            </w14:solidFill>
          </w14:textFill>
        </w:rPr>
        <w:t>）项目参数</w:t>
      </w:r>
    </w:p>
    <w:p>
      <w:pPr>
        <w:ind w:firstLine="560"/>
        <w:rPr>
          <w:rFonts w:hint="default" w:ascii="Times New Roman" w:hAnsi="Times New Roman" w:cs="Times New Roman" w:eastAsiaTheme="minorEastAsia"/>
          <w:color w:val="000000" w:themeColor="text1"/>
          <w:sz w:val="24"/>
          <w:szCs w:val="24"/>
          <w:lang w:val="en-GB"/>
          <w14:textFill>
            <w14:solidFill>
              <w14:schemeClr w14:val="tx1"/>
            </w14:solidFill>
          </w14:textFill>
        </w:rPr>
      </w:pPr>
      <w:r>
        <w:rPr>
          <w:rFonts w:hint="default" w:ascii="Times New Roman" w:hAnsi="Times New Roman" w:cs="Times New Roman" w:eastAsiaTheme="minorEastAsia"/>
          <w:color w:val="000000" w:themeColor="text1"/>
          <w:sz w:val="24"/>
          <w:szCs w:val="24"/>
          <w:lang w:val="en-GB"/>
          <w14:textFill>
            <w14:solidFill>
              <w14:schemeClr w14:val="tx1"/>
            </w14:solidFill>
          </w14:textFill>
        </w:rPr>
        <w:t>估算模式所用参数见表</w:t>
      </w:r>
      <w:r>
        <w:rPr>
          <w:rFonts w:hint="default" w:ascii="Times New Roman" w:hAnsi="Times New Roman" w:cs="Times New Roman" w:eastAsiaTheme="minorEastAsia"/>
          <w:color w:val="000000" w:themeColor="text1"/>
          <w:sz w:val="24"/>
          <w:szCs w:val="24"/>
          <w14:textFill>
            <w14:solidFill>
              <w14:schemeClr w14:val="tx1"/>
            </w14:solidFill>
          </w14:textFill>
        </w:rPr>
        <w:t>2-3-5</w:t>
      </w:r>
      <w:r>
        <w:rPr>
          <w:rFonts w:hint="default" w:ascii="Times New Roman" w:hAnsi="Times New Roman" w:cs="Times New Roman" w:eastAsiaTheme="minorEastAsia"/>
          <w:color w:val="000000" w:themeColor="text1"/>
          <w:sz w:val="24"/>
          <w:szCs w:val="24"/>
          <w:lang w:val="en-GB"/>
          <w14:textFill>
            <w14:solidFill>
              <w14:schemeClr w14:val="tx1"/>
            </w14:solidFill>
          </w14:textFill>
        </w:rPr>
        <w:t>。</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表2-3-5 估算模型</w:t>
      </w:r>
      <w:r>
        <w:rPr>
          <w:rFonts w:hint="default" w:ascii="Times New Roman" w:hAnsi="Times New Roman" w:cs="Times New Roman" w:eastAsiaTheme="minorEastAsia"/>
          <w:color w:val="000000" w:themeColor="text1"/>
          <w14:textFill>
            <w14:solidFill>
              <w14:schemeClr w14:val="tx1"/>
            </w14:solidFill>
          </w14:textFill>
        </w:rPr>
        <w:t>参数表</w:t>
      </w:r>
    </w:p>
    <w:tbl>
      <w:tblPr>
        <w:tblStyle w:val="91"/>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692"/>
        <w:gridCol w:w="2817"/>
        <w:gridCol w:w="321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53" w:hRule="atLeast"/>
        </w:trPr>
        <w:tc>
          <w:tcPr>
            <w:tcW w:w="3159" w:type="pct"/>
            <w:gridSpan w:val="2"/>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参数</w:t>
            </w:r>
          </w:p>
        </w:tc>
        <w:tc>
          <w:tcPr>
            <w:tcW w:w="1841"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取值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7" w:hRule="atLeast"/>
        </w:trPr>
        <w:tc>
          <w:tcPr>
            <w:tcW w:w="1544" w:type="pct"/>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城市/农村选项</w:t>
            </w:r>
          </w:p>
        </w:tc>
        <w:tc>
          <w:tcPr>
            <w:tcW w:w="1615"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城市/农村</w:t>
            </w:r>
          </w:p>
        </w:tc>
        <w:tc>
          <w:tcPr>
            <w:tcW w:w="1841"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农村</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5" w:hRule="atLeast"/>
        </w:trPr>
        <w:tc>
          <w:tcPr>
            <w:tcW w:w="1544" w:type="pct"/>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615"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人口数（城市选项时）</w:t>
            </w:r>
          </w:p>
        </w:tc>
        <w:tc>
          <w:tcPr>
            <w:tcW w:w="1841"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3" w:hRule="atLeast"/>
        </w:trPr>
        <w:tc>
          <w:tcPr>
            <w:tcW w:w="3159" w:type="pct"/>
            <w:gridSpan w:val="2"/>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最高环境温度/℃</w:t>
            </w:r>
          </w:p>
        </w:tc>
        <w:tc>
          <w:tcPr>
            <w:tcW w:w="1841"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37.4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5" w:hRule="atLeast"/>
        </w:trPr>
        <w:tc>
          <w:tcPr>
            <w:tcW w:w="3159" w:type="pct"/>
            <w:gridSpan w:val="2"/>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最低环境温度/℃</w:t>
            </w:r>
          </w:p>
        </w:tc>
        <w:tc>
          <w:tcPr>
            <w:tcW w:w="1841"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-36.2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5" w:hRule="atLeast"/>
        </w:trPr>
        <w:tc>
          <w:tcPr>
            <w:tcW w:w="3159" w:type="pct"/>
            <w:gridSpan w:val="2"/>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土地利用类型</w:t>
            </w:r>
          </w:p>
        </w:tc>
        <w:tc>
          <w:tcPr>
            <w:tcW w:w="1841"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草地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5" w:hRule="atLeast"/>
        </w:trPr>
        <w:tc>
          <w:tcPr>
            <w:tcW w:w="3159" w:type="pct"/>
            <w:gridSpan w:val="2"/>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区域湿度条件</w:t>
            </w:r>
          </w:p>
        </w:tc>
        <w:tc>
          <w:tcPr>
            <w:tcW w:w="1841"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中等湿度</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5" w:hRule="atLeast"/>
        </w:trPr>
        <w:tc>
          <w:tcPr>
            <w:tcW w:w="1544" w:type="pct"/>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是否考虑地形</w:t>
            </w:r>
          </w:p>
        </w:tc>
        <w:tc>
          <w:tcPr>
            <w:tcW w:w="1615"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考虑地形</w:t>
            </w:r>
          </w:p>
        </w:tc>
        <w:tc>
          <w:tcPr>
            <w:tcW w:w="1841"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☑是   □否</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6" w:hRule="atLeast"/>
        </w:trPr>
        <w:tc>
          <w:tcPr>
            <w:tcW w:w="1544" w:type="pct"/>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615"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地形数据分辨率/m</w:t>
            </w:r>
          </w:p>
        </w:tc>
        <w:tc>
          <w:tcPr>
            <w:tcW w:w="1841"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0" w:hRule="atLeast"/>
        </w:trPr>
        <w:tc>
          <w:tcPr>
            <w:tcW w:w="1544" w:type="pct"/>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是否考虑岸线熏烟</w:t>
            </w:r>
          </w:p>
        </w:tc>
        <w:tc>
          <w:tcPr>
            <w:tcW w:w="1615"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考虑岸线熏烟</w:t>
            </w:r>
          </w:p>
        </w:tc>
        <w:tc>
          <w:tcPr>
            <w:tcW w:w="1841"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□是   ☑否</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9" w:hRule="atLeast"/>
        </w:trPr>
        <w:tc>
          <w:tcPr>
            <w:tcW w:w="1544" w:type="pct"/>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615"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岸线距离/km</w:t>
            </w:r>
          </w:p>
        </w:tc>
        <w:tc>
          <w:tcPr>
            <w:tcW w:w="1841"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7" w:hRule="atLeast"/>
        </w:trPr>
        <w:tc>
          <w:tcPr>
            <w:tcW w:w="1544" w:type="pct"/>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615"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岸线方向/°</w:t>
            </w:r>
          </w:p>
        </w:tc>
        <w:tc>
          <w:tcPr>
            <w:tcW w:w="1841"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r>
    </w:tbl>
    <w:p>
      <w:pPr>
        <w:pStyle w:val="643"/>
        <w:ind w:firstLine="480" w:firstLineChars="200"/>
        <w:jc w:val="both"/>
        <w:rPr>
          <w:rFonts w:hint="default" w:ascii="Times New Roman" w:hAnsi="Times New Roman" w:cs="Times New Roman" w:eastAsiaTheme="minorEastAsia"/>
          <w:color w:val="000000" w:themeColor="text1"/>
          <w:sz w:val="24"/>
          <w:szCs w:val="24"/>
          <w:lang w:val="en-GB"/>
          <w14:textFill>
            <w14:solidFill>
              <w14:schemeClr w14:val="tx1"/>
            </w14:solidFill>
          </w14:textFill>
        </w:rPr>
      </w:pPr>
      <w:r>
        <w:rPr>
          <w:rFonts w:hint="default" w:ascii="Times New Roman" w:hAnsi="Times New Roman" w:cs="Times New Roman" w:eastAsiaTheme="minorEastAsia"/>
          <w:color w:val="000000" w:themeColor="text1"/>
          <w:sz w:val="24"/>
          <w:szCs w:val="24"/>
          <w:lang w:val="en-GB"/>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4"/>
          <w:szCs w:val="24"/>
          <w:lang w:val="en-GB"/>
          <w14:textFill>
            <w14:solidFill>
              <w14:schemeClr w14:val="tx1"/>
            </w14:solidFill>
          </w14:textFill>
        </w:rPr>
        <w:t>）评级工作等级确定</w:t>
      </w:r>
    </w:p>
    <w:p>
      <w:pPr>
        <w:ind w:firstLine="560"/>
        <w:rPr>
          <w:rFonts w:hint="default" w:ascii="Times New Roman" w:hAnsi="Times New Roman" w:cs="Times New Roman" w:eastAsiaTheme="minorEastAsia"/>
          <w:bCs/>
          <w:color w:val="000000" w:themeColor="text1"/>
          <w:sz w:val="24"/>
          <w:szCs w:val="24"/>
          <w:lang w:val="en-GB"/>
          <w14:textFill>
            <w14:solidFill>
              <w14:schemeClr w14:val="tx1"/>
            </w14:solidFill>
          </w14:textFill>
        </w:rPr>
      </w:pPr>
      <w:r>
        <w:rPr>
          <w:rFonts w:hint="default" w:ascii="Times New Roman" w:hAnsi="Times New Roman" w:cs="Times New Roman" w:eastAsiaTheme="minorEastAsia"/>
          <w:color w:val="000000" w:themeColor="text1"/>
          <w:sz w:val="24"/>
          <w:szCs w:val="24"/>
          <w:lang w:val="en-GB"/>
          <w14:textFill>
            <w14:solidFill>
              <w14:schemeClr w14:val="tx1"/>
            </w14:solidFill>
          </w14:textFill>
        </w:rPr>
        <w:t>本项目主要污染源估算模型计算结果见表</w:t>
      </w:r>
      <w:r>
        <w:rPr>
          <w:rFonts w:hint="default" w:ascii="Times New Roman" w:hAnsi="Times New Roman" w:cs="Times New Roman" w:eastAsiaTheme="minorEastAsia"/>
          <w:color w:val="000000" w:themeColor="text1"/>
          <w:sz w:val="24"/>
          <w:szCs w:val="24"/>
          <w14:textFill>
            <w14:solidFill>
              <w14:schemeClr w14:val="tx1"/>
            </w14:solidFill>
          </w14:textFill>
        </w:rPr>
        <w:t>2-3-6、2-3-7，</w:t>
      </w:r>
      <w:r>
        <w:rPr>
          <w:rFonts w:hint="default" w:ascii="Times New Roman" w:hAnsi="Times New Roman" w:cs="Times New Roman" w:eastAsiaTheme="minorEastAsia"/>
          <w:bCs/>
          <w:color w:val="000000" w:themeColor="text1"/>
          <w:sz w:val="24"/>
          <w:szCs w:val="24"/>
          <w:lang w:val="en-GB"/>
          <w14:textFill>
            <w14:solidFill>
              <w14:schemeClr w14:val="tx1"/>
            </w14:solidFill>
          </w14:textFill>
        </w:rPr>
        <w:t>大气环境影响评价工作等级见表2-3-8。</w:t>
      </w:r>
    </w:p>
    <w:p>
      <w:pPr>
        <w:keepNext w:val="0"/>
        <w:keepLines w:val="0"/>
        <w:pageBreakBefore w:val="0"/>
        <w:widowControl/>
        <w:kinsoku/>
        <w:wordWrap/>
        <w:overflowPunct/>
        <w:topLinePunct w:val="0"/>
        <w:autoSpaceDE/>
        <w:autoSpaceDN/>
        <w:bidi w:val="0"/>
        <w:adjustRightInd w:val="0"/>
        <w:snapToGrid w:val="0"/>
        <w:spacing w:after="0" w:line="500" w:lineRule="exact"/>
        <w:ind w:firstLine="1440" w:firstLineChars="600"/>
        <w:textAlignment w:val="auto"/>
        <w:rPr>
          <w:rFonts w:hint="default" w:ascii="Times New Roman" w:hAnsi="Times New Roman" w:cs="Times New Roman" w:eastAsiaTheme="minorEastAsia"/>
          <w:w w:val="99"/>
          <w:szCs w:val="24"/>
          <w:highlight w:val="none"/>
        </w:rPr>
      </w:pPr>
      <w:r>
        <w:rPr>
          <w:rFonts w:hint="default" w:ascii="Times New Roman" w:hAnsi="Times New Roman" w:cs="Times New Roman" w:eastAsiaTheme="minorEastAsia"/>
          <w:color w:val="000000" w:themeColor="text1"/>
          <w:sz w:val="24"/>
          <w:highlight w:val="none"/>
          <w14:textFill>
            <w14:solidFill>
              <w14:schemeClr w14:val="tx1"/>
            </w14:solidFill>
          </w14:textFill>
        </w:rPr>
        <w:t>表2-3-6 主要污染源估算模型计算结果一览表</w:t>
      </w:r>
      <w:r>
        <w:rPr>
          <w:rFonts w:hint="default" w:ascii="Times New Roman" w:hAnsi="Times New Roman" w:cs="Times New Roman" w:eastAsiaTheme="minorEastAsia"/>
          <w:w w:val="99"/>
          <w:szCs w:val="24"/>
          <w:highlight w:val="none"/>
        </w:rPr>
        <w:t xml:space="preserve"> </w:t>
      </w:r>
    </w:p>
    <w:tbl>
      <w:tblPr>
        <w:tblStyle w:val="9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9"/>
        <w:gridCol w:w="1542"/>
        <w:gridCol w:w="982"/>
        <w:gridCol w:w="1371"/>
        <w:gridCol w:w="1034"/>
        <w:gridCol w:w="1372"/>
        <w:gridCol w:w="9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7"/>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w w:val="100"/>
                <w:sz w:val="21"/>
                <w:szCs w:val="21"/>
                <w:highlight w:val="none"/>
                <w:lang w:val="en-US" w:eastAsia="zh-CN"/>
              </w:rPr>
            </w:pPr>
            <w:r>
              <w:rPr>
                <w:rFonts w:hint="default" w:ascii="Times New Roman" w:hAnsi="Times New Roman" w:cs="Times New Roman" w:eastAsiaTheme="minorEastAsia"/>
                <w:w w:val="100"/>
                <w:sz w:val="21"/>
                <w:szCs w:val="21"/>
                <w:highlight w:val="none"/>
                <w:lang w:val="en-US" w:eastAsia="zh-CN"/>
              </w:rPr>
              <w:t>生物质锅炉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3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距离（m）</w:t>
            </w:r>
          </w:p>
        </w:tc>
        <w:tc>
          <w:tcPr>
            <w:tcW w:w="154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PM</w:t>
            </w:r>
            <w:r>
              <w:rPr>
                <w:rFonts w:hint="default" w:ascii="Times New Roman" w:hAnsi="Times New Roman" w:cs="Times New Roman" w:eastAsiaTheme="minorEastAsia"/>
                <w:w w:val="100"/>
                <w:sz w:val="21"/>
                <w:szCs w:val="21"/>
                <w:vertAlign w:val="subscript"/>
              </w:rPr>
              <w:t>10</w:t>
            </w:r>
          </w:p>
        </w:tc>
        <w:tc>
          <w:tcPr>
            <w:tcW w:w="1479"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lang w:val="en-US" w:eastAsia="zh-CN"/>
              </w:rPr>
            </w:pPr>
            <w:r>
              <w:rPr>
                <w:rFonts w:hint="default" w:ascii="Times New Roman" w:hAnsi="Times New Roman" w:cs="Times New Roman" w:eastAsiaTheme="minorEastAsia"/>
                <w:w w:val="100"/>
                <w:sz w:val="21"/>
                <w:szCs w:val="21"/>
                <w:lang w:val="en-US" w:eastAsia="zh-CN"/>
              </w:rPr>
              <w:t>SO</w:t>
            </w:r>
            <w:r>
              <w:rPr>
                <w:rFonts w:hint="default" w:ascii="Times New Roman" w:hAnsi="Times New Roman" w:cs="Times New Roman" w:eastAsiaTheme="minorEastAsia"/>
                <w:w w:val="100"/>
                <w:sz w:val="21"/>
                <w:szCs w:val="21"/>
                <w:vertAlign w:val="subscript"/>
                <w:lang w:val="en-US" w:eastAsia="zh-CN"/>
              </w:rPr>
              <w:t>2</w:t>
            </w:r>
          </w:p>
        </w:tc>
        <w:tc>
          <w:tcPr>
            <w:tcW w:w="1434"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NO</w:t>
            </w:r>
            <w:r>
              <w:rPr>
                <w:rFonts w:hint="default" w:ascii="Times New Roman" w:hAnsi="Times New Roman" w:cs="Times New Roman" w:eastAsiaTheme="minorEastAsia"/>
                <w:w w:val="100"/>
                <w:sz w:val="21"/>
                <w:szCs w:val="21"/>
                <w:vertAlign w:val="sub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3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w w:val="100"/>
                <w:sz w:val="21"/>
                <w:szCs w:val="21"/>
              </w:rPr>
            </w:pP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浓度</w:t>
            </w:r>
          </w:p>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（μg/m³）</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占标率（%）</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浓度</w:t>
            </w:r>
          </w:p>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spacing w:val="-8"/>
                <w:w w:val="100"/>
                <w:sz w:val="21"/>
                <w:szCs w:val="21"/>
              </w:rPr>
              <w:t>（</w:t>
            </w:r>
            <w:r>
              <w:rPr>
                <w:rFonts w:hint="default" w:ascii="Times New Roman" w:hAnsi="Times New Roman" w:cs="Times New Roman" w:eastAsiaTheme="minorEastAsia"/>
                <w:w w:val="100"/>
                <w:sz w:val="21"/>
                <w:szCs w:val="21"/>
              </w:rPr>
              <w:t>μg/m³</w:t>
            </w:r>
            <w:r>
              <w:rPr>
                <w:rFonts w:hint="default" w:ascii="Times New Roman" w:hAnsi="Times New Roman" w:cs="Times New Roman" w:eastAsiaTheme="minorEastAsia"/>
                <w:spacing w:val="-8"/>
                <w:w w:val="100"/>
                <w:sz w:val="21"/>
                <w:szCs w:val="21"/>
              </w:rPr>
              <w:t>）</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占标率（%）</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浓度</w:t>
            </w:r>
          </w:p>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spacing w:val="-8"/>
                <w:w w:val="100"/>
                <w:sz w:val="21"/>
                <w:szCs w:val="21"/>
              </w:rPr>
              <w:t>（</w:t>
            </w:r>
            <w:r>
              <w:rPr>
                <w:rFonts w:hint="default" w:ascii="Times New Roman" w:hAnsi="Times New Roman" w:cs="Times New Roman" w:eastAsiaTheme="minorEastAsia"/>
                <w:w w:val="100"/>
                <w:sz w:val="21"/>
                <w:szCs w:val="21"/>
              </w:rPr>
              <w:t>μg/m³</w:t>
            </w:r>
            <w:r>
              <w:rPr>
                <w:rFonts w:hint="default" w:ascii="Times New Roman" w:hAnsi="Times New Roman" w:cs="Times New Roman" w:eastAsiaTheme="minorEastAsia"/>
                <w:spacing w:val="-8"/>
                <w:w w:val="100"/>
                <w:sz w:val="21"/>
                <w:szCs w:val="21"/>
              </w:rPr>
              <w:t>）</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占标率（%）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50.0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0.4301</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0.0956</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12.7943</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2.5589</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7.6336</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3.0534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0.3210</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0.0713</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9.5495</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1.9099</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5.6976</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2.2790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200.0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0.5031</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0.1118</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14.9681</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2.9936</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8.9306</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3.5722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300.0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0.5749</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0.1278</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17.1036</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3.4207</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10.2047</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4.0819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400.0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0.5173</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0.1150</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15.3912</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3.0782</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9.1830</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3.6732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500.0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0.4580</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0.1018</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13.6264</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2.7253</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8.1300</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3.2520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600.0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0.4065</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0.0903</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12.0925</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2.4185</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7.2148</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2.8859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700.0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0.3619</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0.0804</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10.7671</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2.1534</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6.4241</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2.5696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800.0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0.3249</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0.0722</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9.6658</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1.9332</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5.7670</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2.3068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900.0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0.2958</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0.0657</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8.8009</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1.7602</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5.2510</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2.1004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1000.0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0.2709</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0.0602</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8.0587</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1.6117</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4.8081</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1.9232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1200.0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0.2417</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0.0537</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7.1897</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1.4379</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4.2896</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1.7159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1400.0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0.2233</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0.0496</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6.6420</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1.3284</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3.9629</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1.5851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1600.0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0.2064</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0.0459</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6.1389</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1.2278</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3.6627</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1.4651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1800.0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0.1916</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0.0426</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5.6989</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1.1398</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3.4002</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1.3601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2000.0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0.1868</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0.0415</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5.5582</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1.1116</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3.3162</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1.3265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2500.0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0.1686</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0.0375</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5.0156</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1.0031</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2.9925</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1.1970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3000.0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0.1487</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0.0331</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4.4247</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0.8849</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2.6400</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1.0560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3500.0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0.1344</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0.0299</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3.9978</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0.7996</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2.3852</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0.9541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4000.0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0.1219</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0.0271</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3.6277</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0.7255</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2.1644</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0.8658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4500.0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0.1112</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0.0247</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3.3088</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0.6618</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1.9742</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0.7897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5000.0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0.1023</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0.0227</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3.0422</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0.6084</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1.8151</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0.7260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10000.0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0.0601</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0.0134</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1.7894</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0.3579</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1.0676</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0.4271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11000.0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0.0555</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0.0123</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1.6513</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0.3303</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0.9852</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w w:val="100"/>
                <w:sz w:val="21"/>
                <w:szCs w:val="21"/>
              </w:rPr>
              <w:t>0.3941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12000.0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0.0513</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0.0114</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1.5249</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0.3050</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0.9098</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0.3639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13000.0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0.0476</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0.0106</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1.4171</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0.2834</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0.8455</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0.3382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14000.0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0.0449</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0.0100</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1.3347</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0.2669</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0.7963</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0.3185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15000.0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0.0437</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0.0097</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1.3003</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0.2601</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0.7758</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0.3103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20000.0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0.0591</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0.0131</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1.7570</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0.3514</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1.0483</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0.4193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25000.0</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0.0813</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0.0181</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2.4197</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0.4839</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1.4437</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0.5775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下风向最大浓度</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0.5791</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0.1287</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17.2273</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3.4455</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10.2785</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4.1114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下风向最大浓度出现距离</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280.0</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280.0</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280.0</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280.0</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280.0</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280.0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D10%最远距离</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w:t>
            </w:r>
          </w:p>
        </w:tc>
        <w:tc>
          <w:tcPr>
            <w:tcW w:w="8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w w:val="100"/>
                <w:sz w:val="21"/>
                <w:szCs w:val="21"/>
              </w:rPr>
              <w:t>/</w:t>
            </w:r>
          </w:p>
        </w:tc>
      </w:tr>
    </w:tbl>
    <w:p>
      <w:pPr>
        <w:keepNext w:val="0"/>
        <w:keepLines w:val="0"/>
        <w:pageBreakBefore w:val="0"/>
        <w:widowControl/>
        <w:kinsoku/>
        <w:wordWrap/>
        <w:overflowPunct/>
        <w:topLinePunct w:val="0"/>
        <w:autoSpaceDE/>
        <w:autoSpaceDN/>
        <w:bidi w:val="0"/>
        <w:adjustRightInd w:val="0"/>
        <w:snapToGrid w:val="0"/>
        <w:spacing w:after="0" w:line="500" w:lineRule="exact"/>
        <w:ind w:firstLine="554" w:firstLineChars="200"/>
        <w:textAlignment w:val="auto"/>
        <w:rPr>
          <w:rFonts w:hint="default" w:ascii="Times New Roman" w:hAnsi="Times New Roman" w:cs="Times New Roman" w:eastAsiaTheme="minorEastAsia"/>
          <w:w w:val="99"/>
          <w:szCs w:val="24"/>
        </w:rPr>
      </w:pPr>
      <w:r>
        <w:rPr>
          <w:rFonts w:hint="default" w:ascii="Times New Roman" w:hAnsi="Times New Roman" w:cs="Times New Roman" w:eastAsiaTheme="minorEastAsia"/>
          <w:w w:val="99"/>
          <w:szCs w:val="24"/>
        </w:rPr>
        <w:t xml:space="preserve">  </w:t>
      </w:r>
      <w:r>
        <w:rPr>
          <w:rFonts w:hint="default" w:ascii="Times New Roman" w:hAnsi="Times New Roman" w:cs="Times New Roman" w:eastAsiaTheme="minorEastAsia"/>
          <w:color w:val="000000" w:themeColor="text1"/>
          <w:sz w:val="24"/>
          <w:highlight w:val="none"/>
          <w14:textFill>
            <w14:solidFill>
              <w14:schemeClr w14:val="tx1"/>
            </w14:solidFill>
          </w14:textFill>
        </w:rPr>
        <w:t>表2-3-</w:t>
      </w:r>
      <w:r>
        <w:rPr>
          <w:rFonts w:hint="eastAsia" w:cs="Times New Roman" w:eastAsiaTheme="minorEastAsia"/>
          <w:color w:val="000000" w:themeColor="text1"/>
          <w:sz w:val="24"/>
          <w:highlight w:val="none"/>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4"/>
          <w:highlight w:val="none"/>
          <w14:textFill>
            <w14:solidFill>
              <w14:schemeClr w14:val="tx1"/>
            </w14:solidFill>
          </w14:textFill>
        </w:rPr>
        <w:t xml:space="preserve"> 主要污染源估算模型计算结果一览表</w:t>
      </w:r>
      <w:r>
        <w:rPr>
          <w:rFonts w:hint="default" w:ascii="Times New Roman" w:hAnsi="Times New Roman" w:cs="Times New Roman" w:eastAsiaTheme="minorEastAsia"/>
          <w:w w:val="99"/>
          <w:szCs w:val="24"/>
        </w:rPr>
        <w:t xml:space="preserve">   </w:t>
      </w:r>
    </w:p>
    <w:tbl>
      <w:tblPr>
        <w:tblStyle w:val="9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
        <w:gridCol w:w="1324"/>
        <w:gridCol w:w="422"/>
        <w:gridCol w:w="809"/>
        <w:gridCol w:w="1184"/>
        <w:gridCol w:w="47"/>
        <w:gridCol w:w="1231"/>
        <w:gridCol w:w="173"/>
        <w:gridCol w:w="1060"/>
        <w:gridCol w:w="931"/>
        <w:gridCol w:w="300"/>
        <w:gridCol w:w="123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5000" w:type="pct"/>
            <w:gridSpan w:val="1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lang w:val="en-US" w:eastAsia="zh-CN"/>
              </w:rPr>
            </w:pPr>
            <w:r>
              <w:rPr>
                <w:rFonts w:hint="default" w:ascii="Times New Roman" w:hAnsi="Times New Roman" w:cs="Times New Roman" w:eastAsiaTheme="minorEastAsia"/>
                <w:color w:val="auto"/>
                <w:w w:val="100"/>
                <w:sz w:val="21"/>
                <w:szCs w:val="21"/>
                <w:lang w:val="en-US" w:eastAsia="zh-CN"/>
              </w:rPr>
              <w:t>沼气火炬燃烧废气</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760" w:type="pct"/>
            <w:gridSpan w:val="2"/>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距离（m）</w:t>
            </w:r>
          </w:p>
        </w:tc>
        <w:tc>
          <w:tcPr>
            <w:tcW w:w="1412" w:type="pct"/>
            <w:gridSpan w:val="4"/>
            <w:tcBorders>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PM</w:t>
            </w:r>
            <w:r>
              <w:rPr>
                <w:rFonts w:hint="default" w:ascii="Times New Roman" w:hAnsi="Times New Roman" w:cs="Times New Roman" w:eastAsiaTheme="minorEastAsia"/>
                <w:w w:val="100"/>
                <w:sz w:val="21"/>
                <w:szCs w:val="21"/>
                <w:vertAlign w:val="subscript"/>
              </w:rPr>
              <w:t>10</w:t>
            </w:r>
          </w:p>
        </w:tc>
        <w:tc>
          <w:tcPr>
            <w:tcW w:w="1412" w:type="pct"/>
            <w:gridSpan w:val="3"/>
            <w:tcBorders>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lang w:val="en-US" w:eastAsia="zh-CN"/>
              </w:rPr>
            </w:pPr>
            <w:r>
              <w:rPr>
                <w:rFonts w:hint="default" w:ascii="Times New Roman" w:hAnsi="Times New Roman" w:cs="Times New Roman" w:eastAsiaTheme="minorEastAsia"/>
                <w:w w:val="100"/>
                <w:sz w:val="21"/>
                <w:szCs w:val="21"/>
                <w:lang w:val="en-US" w:eastAsia="zh-CN"/>
              </w:rPr>
              <w:t>SO</w:t>
            </w:r>
            <w:r>
              <w:rPr>
                <w:rFonts w:hint="default" w:ascii="Times New Roman" w:hAnsi="Times New Roman" w:cs="Times New Roman" w:eastAsiaTheme="minorEastAsia"/>
                <w:w w:val="100"/>
                <w:sz w:val="21"/>
                <w:szCs w:val="21"/>
                <w:vertAlign w:val="subscript"/>
                <w:lang w:val="en-US" w:eastAsia="zh-CN"/>
              </w:rPr>
              <w:t>2</w:t>
            </w:r>
          </w:p>
        </w:tc>
        <w:tc>
          <w:tcPr>
            <w:tcW w:w="1413" w:type="pct"/>
            <w:gridSpan w:val="3"/>
            <w:tcBorders>
              <w:left w:val="single" w:color="auto" w:sz="2" w:space="0"/>
              <w:bottom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NO</w:t>
            </w:r>
            <w:r>
              <w:rPr>
                <w:rFonts w:hint="default" w:ascii="Times New Roman" w:hAnsi="Times New Roman" w:cs="Times New Roman" w:eastAsiaTheme="minorEastAsia"/>
                <w:w w:val="100"/>
                <w:sz w:val="21"/>
                <w:szCs w:val="21"/>
                <w:vertAlign w:val="subscript"/>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760" w:type="pct"/>
            <w:gridSpan w:val="2"/>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p>
        </w:tc>
        <w:tc>
          <w:tcPr>
            <w:tcW w:w="706" w:type="pct"/>
            <w:gridSpan w:val="2"/>
            <w:tcBorders>
              <w:top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浓度（μg/m³）</w:t>
            </w:r>
          </w:p>
        </w:tc>
        <w:tc>
          <w:tcPr>
            <w:tcW w:w="706" w:type="pct"/>
            <w:gridSpan w:val="2"/>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占标率（%）</w:t>
            </w:r>
          </w:p>
        </w:tc>
        <w:tc>
          <w:tcPr>
            <w:tcW w:w="706" w:type="pct"/>
            <w:tcBorders>
              <w:top w:val="single" w:color="auto" w:sz="2" w:space="0"/>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浓度</w:t>
            </w:r>
            <w:r>
              <w:rPr>
                <w:rFonts w:hint="default" w:ascii="Times New Roman" w:hAnsi="Times New Roman" w:cs="Times New Roman" w:eastAsiaTheme="minorEastAsia"/>
                <w:spacing w:val="-8"/>
                <w:w w:val="100"/>
                <w:sz w:val="21"/>
                <w:szCs w:val="21"/>
              </w:rPr>
              <w:t>（</w:t>
            </w:r>
            <w:r>
              <w:rPr>
                <w:rFonts w:hint="default" w:ascii="Times New Roman" w:hAnsi="Times New Roman" w:cs="Times New Roman" w:eastAsiaTheme="minorEastAsia"/>
                <w:w w:val="100"/>
                <w:sz w:val="21"/>
                <w:szCs w:val="21"/>
              </w:rPr>
              <w:t>μg/m³</w:t>
            </w:r>
            <w:r>
              <w:rPr>
                <w:rFonts w:hint="default" w:ascii="Times New Roman" w:hAnsi="Times New Roman" w:cs="Times New Roman" w:eastAsiaTheme="minorEastAsia"/>
                <w:spacing w:val="-8"/>
                <w:w w:val="100"/>
                <w:sz w:val="21"/>
                <w:szCs w:val="21"/>
              </w:rPr>
              <w:t>）</w:t>
            </w:r>
          </w:p>
        </w:tc>
        <w:tc>
          <w:tcPr>
            <w:tcW w:w="706" w:type="pct"/>
            <w:gridSpan w:val="2"/>
            <w:tcBorders>
              <w:top w:val="single" w:color="auto" w:sz="2" w:space="0"/>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占标率（%）</w:t>
            </w:r>
          </w:p>
        </w:tc>
        <w:tc>
          <w:tcPr>
            <w:tcW w:w="706" w:type="pct"/>
            <w:gridSpan w:val="2"/>
            <w:tcBorders>
              <w:top w:val="single" w:color="auto" w:sz="2" w:space="0"/>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浓度</w:t>
            </w:r>
            <w:r>
              <w:rPr>
                <w:rFonts w:hint="default" w:ascii="Times New Roman" w:hAnsi="Times New Roman" w:cs="Times New Roman" w:eastAsiaTheme="minorEastAsia"/>
                <w:spacing w:val="-8"/>
                <w:w w:val="100"/>
                <w:sz w:val="21"/>
                <w:szCs w:val="21"/>
              </w:rPr>
              <w:t>（</w:t>
            </w:r>
            <w:r>
              <w:rPr>
                <w:rFonts w:hint="default" w:ascii="Times New Roman" w:hAnsi="Times New Roman" w:cs="Times New Roman" w:eastAsiaTheme="minorEastAsia"/>
                <w:w w:val="100"/>
                <w:sz w:val="21"/>
                <w:szCs w:val="21"/>
              </w:rPr>
              <w:t>μg/m³</w:t>
            </w:r>
            <w:r>
              <w:rPr>
                <w:rFonts w:hint="default" w:ascii="Times New Roman" w:hAnsi="Times New Roman" w:cs="Times New Roman" w:eastAsiaTheme="minorEastAsia"/>
                <w:spacing w:val="-8"/>
                <w:w w:val="100"/>
                <w:sz w:val="21"/>
                <w:szCs w:val="21"/>
              </w:rPr>
              <w:t>）</w:t>
            </w:r>
          </w:p>
        </w:tc>
        <w:tc>
          <w:tcPr>
            <w:tcW w:w="706" w:type="pct"/>
            <w:tcBorders>
              <w:top w:val="single" w:color="auto" w:sz="2" w:space="0"/>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占标率（%）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6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50.0</w:t>
            </w:r>
          </w:p>
        </w:tc>
        <w:tc>
          <w:tcPr>
            <w:tcW w:w="706"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0.0027</w:t>
            </w:r>
          </w:p>
        </w:tc>
        <w:tc>
          <w:tcPr>
            <w:tcW w:w="706" w:type="pct"/>
            <w:gridSpan w:val="2"/>
            <w:tcBorders>
              <w:top w:val="single" w:color="auto" w:sz="2" w:space="0"/>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0.0006</w:t>
            </w:r>
          </w:p>
        </w:tc>
        <w:tc>
          <w:tcPr>
            <w:tcW w:w="706"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0.0019</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0.0004</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0.0174</w:t>
            </w:r>
          </w:p>
        </w:tc>
        <w:tc>
          <w:tcPr>
            <w:tcW w:w="706" w:type="pct"/>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0.0069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6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100.0</w:t>
            </w:r>
          </w:p>
        </w:tc>
        <w:tc>
          <w:tcPr>
            <w:tcW w:w="706"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0.0020</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0.0004</w:t>
            </w:r>
          </w:p>
        </w:tc>
        <w:tc>
          <w:tcPr>
            <w:tcW w:w="706"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0.0014</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0.0003</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0.0127</w:t>
            </w:r>
          </w:p>
        </w:tc>
        <w:tc>
          <w:tcPr>
            <w:tcW w:w="706" w:type="pct"/>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6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200.0</w:t>
            </w:r>
          </w:p>
        </w:tc>
        <w:tc>
          <w:tcPr>
            <w:tcW w:w="706"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0.0045</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0.0010</w:t>
            </w:r>
          </w:p>
        </w:tc>
        <w:tc>
          <w:tcPr>
            <w:tcW w:w="706"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0.0032</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0.0006</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0.0294</w:t>
            </w:r>
          </w:p>
        </w:tc>
        <w:tc>
          <w:tcPr>
            <w:tcW w:w="706" w:type="pct"/>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0.0117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6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300.0</w:t>
            </w:r>
          </w:p>
        </w:tc>
        <w:tc>
          <w:tcPr>
            <w:tcW w:w="706"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0.0048</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0.0011</w:t>
            </w:r>
          </w:p>
        </w:tc>
        <w:tc>
          <w:tcPr>
            <w:tcW w:w="706"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0.0033</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0.0007</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0.0309</w:t>
            </w:r>
          </w:p>
        </w:tc>
        <w:tc>
          <w:tcPr>
            <w:tcW w:w="706" w:type="pct"/>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0.0124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6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400.0</w:t>
            </w:r>
          </w:p>
        </w:tc>
        <w:tc>
          <w:tcPr>
            <w:tcW w:w="706"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0.0042</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0.0009</w:t>
            </w:r>
          </w:p>
        </w:tc>
        <w:tc>
          <w:tcPr>
            <w:tcW w:w="706"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0.0030</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0.0006</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0.0273</w:t>
            </w:r>
          </w:p>
        </w:tc>
        <w:tc>
          <w:tcPr>
            <w:tcW w:w="706" w:type="pct"/>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0.0109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76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500.0</w:t>
            </w:r>
          </w:p>
        </w:tc>
        <w:tc>
          <w:tcPr>
            <w:tcW w:w="706"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0.0037</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0.0008</w:t>
            </w:r>
          </w:p>
        </w:tc>
        <w:tc>
          <w:tcPr>
            <w:tcW w:w="706"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0.0026</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0.0005</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0.0239</w:t>
            </w:r>
          </w:p>
        </w:tc>
        <w:tc>
          <w:tcPr>
            <w:tcW w:w="706" w:type="pct"/>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6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600.0</w:t>
            </w:r>
          </w:p>
        </w:tc>
        <w:tc>
          <w:tcPr>
            <w:tcW w:w="706"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0.0033</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0.0007</w:t>
            </w:r>
          </w:p>
        </w:tc>
        <w:tc>
          <w:tcPr>
            <w:tcW w:w="706"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0.0023</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0.0005</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0.0212</w:t>
            </w:r>
          </w:p>
        </w:tc>
        <w:tc>
          <w:tcPr>
            <w:tcW w:w="706" w:type="pct"/>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6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700.0</w:t>
            </w:r>
          </w:p>
        </w:tc>
        <w:tc>
          <w:tcPr>
            <w:tcW w:w="706"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0.0029</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0.0006</w:t>
            </w:r>
          </w:p>
        </w:tc>
        <w:tc>
          <w:tcPr>
            <w:tcW w:w="706"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0.0020</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0.0004</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0.0188</w:t>
            </w:r>
          </w:p>
        </w:tc>
        <w:tc>
          <w:tcPr>
            <w:tcW w:w="706" w:type="pct"/>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6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800.0</w:t>
            </w:r>
          </w:p>
        </w:tc>
        <w:tc>
          <w:tcPr>
            <w:tcW w:w="706"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0.0026</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0.0006</w:t>
            </w:r>
          </w:p>
        </w:tc>
        <w:tc>
          <w:tcPr>
            <w:tcW w:w="706"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0.0018</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0.0004</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0.0170</w:t>
            </w:r>
          </w:p>
        </w:tc>
        <w:tc>
          <w:tcPr>
            <w:tcW w:w="706" w:type="pct"/>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0.0068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6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900.0</w:t>
            </w:r>
          </w:p>
        </w:tc>
        <w:tc>
          <w:tcPr>
            <w:tcW w:w="706"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0.0024</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0.0005</w:t>
            </w:r>
          </w:p>
        </w:tc>
        <w:tc>
          <w:tcPr>
            <w:tcW w:w="706"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0.0017</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0.0003</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0.0155</w:t>
            </w:r>
          </w:p>
        </w:tc>
        <w:tc>
          <w:tcPr>
            <w:tcW w:w="706" w:type="pct"/>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0.0062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6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1000.0</w:t>
            </w:r>
          </w:p>
        </w:tc>
        <w:tc>
          <w:tcPr>
            <w:tcW w:w="706"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0.0022</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0.0005</w:t>
            </w:r>
          </w:p>
        </w:tc>
        <w:tc>
          <w:tcPr>
            <w:tcW w:w="706"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0.0015</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0.0003</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0.0142</w:t>
            </w:r>
          </w:p>
        </w:tc>
        <w:tc>
          <w:tcPr>
            <w:tcW w:w="706" w:type="pct"/>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6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1200.0</w:t>
            </w:r>
          </w:p>
        </w:tc>
        <w:tc>
          <w:tcPr>
            <w:tcW w:w="706"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0.0019</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0.0004</w:t>
            </w:r>
          </w:p>
        </w:tc>
        <w:tc>
          <w:tcPr>
            <w:tcW w:w="706"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0.0013</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0.0003</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0.0122</w:t>
            </w:r>
          </w:p>
        </w:tc>
        <w:tc>
          <w:tcPr>
            <w:tcW w:w="706" w:type="pct"/>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0.0049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6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1400.0</w:t>
            </w:r>
          </w:p>
        </w:tc>
        <w:tc>
          <w:tcPr>
            <w:tcW w:w="706"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0.0017</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0.0004</w:t>
            </w:r>
          </w:p>
        </w:tc>
        <w:tc>
          <w:tcPr>
            <w:tcW w:w="706"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0.0012</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0.0002</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0.0108</w:t>
            </w:r>
          </w:p>
        </w:tc>
        <w:tc>
          <w:tcPr>
            <w:tcW w:w="706" w:type="pct"/>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6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1600.0</w:t>
            </w:r>
          </w:p>
        </w:tc>
        <w:tc>
          <w:tcPr>
            <w:tcW w:w="706"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0.0015</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0.0003</w:t>
            </w:r>
          </w:p>
        </w:tc>
        <w:tc>
          <w:tcPr>
            <w:tcW w:w="706"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0.0011</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0.0002</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0.0097</w:t>
            </w:r>
          </w:p>
        </w:tc>
        <w:tc>
          <w:tcPr>
            <w:tcW w:w="706" w:type="pct"/>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0.0039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6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1800.0</w:t>
            </w:r>
          </w:p>
        </w:tc>
        <w:tc>
          <w:tcPr>
            <w:tcW w:w="706"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0.0014</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0.0003</w:t>
            </w:r>
          </w:p>
        </w:tc>
        <w:tc>
          <w:tcPr>
            <w:tcW w:w="706"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0.0010</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0.0002</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0.0088</w:t>
            </w:r>
          </w:p>
        </w:tc>
        <w:tc>
          <w:tcPr>
            <w:tcW w:w="706" w:type="pct"/>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6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2000.0</w:t>
            </w:r>
          </w:p>
        </w:tc>
        <w:tc>
          <w:tcPr>
            <w:tcW w:w="706"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0.0013</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0.0003</w:t>
            </w:r>
          </w:p>
        </w:tc>
        <w:tc>
          <w:tcPr>
            <w:tcW w:w="706"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0.0009</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0.0002</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0.0082</w:t>
            </w:r>
          </w:p>
        </w:tc>
        <w:tc>
          <w:tcPr>
            <w:tcW w:w="706" w:type="pct"/>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6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2500.0</w:t>
            </w:r>
          </w:p>
        </w:tc>
        <w:tc>
          <w:tcPr>
            <w:tcW w:w="706"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0.0012</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0.0003</w:t>
            </w:r>
          </w:p>
        </w:tc>
        <w:tc>
          <w:tcPr>
            <w:tcW w:w="706"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0.0008</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0.0002</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0.0076</w:t>
            </w:r>
          </w:p>
        </w:tc>
        <w:tc>
          <w:tcPr>
            <w:tcW w:w="706" w:type="pct"/>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0.0031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6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3000.0</w:t>
            </w:r>
          </w:p>
        </w:tc>
        <w:tc>
          <w:tcPr>
            <w:tcW w:w="706"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0.0010</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0.0002</w:t>
            </w:r>
          </w:p>
        </w:tc>
        <w:tc>
          <w:tcPr>
            <w:tcW w:w="706"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0.0007</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0.0001</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0.0067</w:t>
            </w:r>
          </w:p>
        </w:tc>
        <w:tc>
          <w:tcPr>
            <w:tcW w:w="706" w:type="pct"/>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0.0027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6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3500.0</w:t>
            </w:r>
          </w:p>
        </w:tc>
        <w:tc>
          <w:tcPr>
            <w:tcW w:w="706"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0.0009</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0.0002</w:t>
            </w:r>
          </w:p>
        </w:tc>
        <w:tc>
          <w:tcPr>
            <w:tcW w:w="706"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0.0007</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0.0001</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0.0060</w:t>
            </w:r>
          </w:p>
        </w:tc>
        <w:tc>
          <w:tcPr>
            <w:tcW w:w="706" w:type="pct"/>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0.0024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6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4000.0</w:t>
            </w:r>
          </w:p>
        </w:tc>
        <w:tc>
          <w:tcPr>
            <w:tcW w:w="706"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0.0008</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0.0002</w:t>
            </w:r>
          </w:p>
        </w:tc>
        <w:tc>
          <w:tcPr>
            <w:tcW w:w="706"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0.0006</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0.0001</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0.0055</w:t>
            </w:r>
          </w:p>
        </w:tc>
        <w:tc>
          <w:tcPr>
            <w:tcW w:w="706" w:type="pct"/>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0.0022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6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4500.0</w:t>
            </w:r>
          </w:p>
        </w:tc>
        <w:tc>
          <w:tcPr>
            <w:tcW w:w="706"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0.0008</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0.0002</w:t>
            </w:r>
          </w:p>
        </w:tc>
        <w:tc>
          <w:tcPr>
            <w:tcW w:w="706"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0.0005</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0.0001</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0.0050</w:t>
            </w:r>
          </w:p>
        </w:tc>
        <w:tc>
          <w:tcPr>
            <w:tcW w:w="706" w:type="pct"/>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6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5000.0</w:t>
            </w:r>
          </w:p>
        </w:tc>
        <w:tc>
          <w:tcPr>
            <w:tcW w:w="706"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0.0007</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0.0002</w:t>
            </w:r>
          </w:p>
        </w:tc>
        <w:tc>
          <w:tcPr>
            <w:tcW w:w="706"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0.0005</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0.0001</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0.0046</w:t>
            </w:r>
          </w:p>
        </w:tc>
        <w:tc>
          <w:tcPr>
            <w:tcW w:w="706" w:type="pct"/>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6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10000.0</w:t>
            </w:r>
          </w:p>
        </w:tc>
        <w:tc>
          <w:tcPr>
            <w:tcW w:w="706"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0.0004</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0.0001</w:t>
            </w:r>
          </w:p>
        </w:tc>
        <w:tc>
          <w:tcPr>
            <w:tcW w:w="706"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0.0003</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0.0001</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0.0026</w:t>
            </w:r>
          </w:p>
        </w:tc>
        <w:tc>
          <w:tcPr>
            <w:tcW w:w="706" w:type="pct"/>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6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11000.0</w:t>
            </w:r>
          </w:p>
        </w:tc>
        <w:tc>
          <w:tcPr>
            <w:tcW w:w="706"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0.0004</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0.0001</w:t>
            </w:r>
          </w:p>
        </w:tc>
        <w:tc>
          <w:tcPr>
            <w:tcW w:w="706"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0.0003</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0.0001</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0.0024</w:t>
            </w:r>
          </w:p>
        </w:tc>
        <w:tc>
          <w:tcPr>
            <w:tcW w:w="706" w:type="pct"/>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6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12000.0</w:t>
            </w:r>
          </w:p>
        </w:tc>
        <w:tc>
          <w:tcPr>
            <w:tcW w:w="706"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0.0003</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0.0001</w:t>
            </w:r>
          </w:p>
        </w:tc>
        <w:tc>
          <w:tcPr>
            <w:tcW w:w="706"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0.0002</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0.0000</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0.0023</w:t>
            </w:r>
          </w:p>
        </w:tc>
        <w:tc>
          <w:tcPr>
            <w:tcW w:w="706" w:type="pct"/>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0.0009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6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13000.0</w:t>
            </w:r>
          </w:p>
        </w:tc>
        <w:tc>
          <w:tcPr>
            <w:tcW w:w="706"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0.0003</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0.0001</w:t>
            </w:r>
          </w:p>
        </w:tc>
        <w:tc>
          <w:tcPr>
            <w:tcW w:w="706"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0.0002</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0.0000</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0.0021</w:t>
            </w:r>
          </w:p>
        </w:tc>
        <w:tc>
          <w:tcPr>
            <w:tcW w:w="706" w:type="pct"/>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6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14000.0</w:t>
            </w:r>
          </w:p>
        </w:tc>
        <w:tc>
          <w:tcPr>
            <w:tcW w:w="706"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0.0003</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0.0001</w:t>
            </w:r>
          </w:p>
        </w:tc>
        <w:tc>
          <w:tcPr>
            <w:tcW w:w="706"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0.0002</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0.0000</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0.0020</w:t>
            </w:r>
          </w:p>
        </w:tc>
        <w:tc>
          <w:tcPr>
            <w:tcW w:w="706" w:type="pct"/>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6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15000.0</w:t>
            </w:r>
          </w:p>
        </w:tc>
        <w:tc>
          <w:tcPr>
            <w:tcW w:w="706"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0.0003</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0.0001</w:t>
            </w:r>
          </w:p>
        </w:tc>
        <w:tc>
          <w:tcPr>
            <w:tcW w:w="706"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0.0002</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0.0000</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0.0019</w:t>
            </w:r>
          </w:p>
        </w:tc>
        <w:tc>
          <w:tcPr>
            <w:tcW w:w="706" w:type="pct"/>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0.0007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6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20000.0</w:t>
            </w:r>
          </w:p>
        </w:tc>
        <w:tc>
          <w:tcPr>
            <w:tcW w:w="706"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0.0002</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0.0000</w:t>
            </w:r>
          </w:p>
        </w:tc>
        <w:tc>
          <w:tcPr>
            <w:tcW w:w="706"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0.0002</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0.0000</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0.0014</w:t>
            </w:r>
          </w:p>
        </w:tc>
        <w:tc>
          <w:tcPr>
            <w:tcW w:w="706" w:type="pct"/>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6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25000.0</w:t>
            </w:r>
          </w:p>
        </w:tc>
        <w:tc>
          <w:tcPr>
            <w:tcW w:w="706"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0.0002</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0.0000</w:t>
            </w:r>
          </w:p>
        </w:tc>
        <w:tc>
          <w:tcPr>
            <w:tcW w:w="706"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0.0001</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0.0000</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0.0013</w:t>
            </w:r>
          </w:p>
        </w:tc>
        <w:tc>
          <w:tcPr>
            <w:tcW w:w="706" w:type="pct"/>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6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下风向最大浓度</w:t>
            </w:r>
          </w:p>
        </w:tc>
        <w:tc>
          <w:tcPr>
            <w:tcW w:w="706"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0.0049</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0.0011</w:t>
            </w:r>
          </w:p>
        </w:tc>
        <w:tc>
          <w:tcPr>
            <w:tcW w:w="706"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0.0034</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0.0007</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0.0315</w:t>
            </w:r>
          </w:p>
        </w:tc>
        <w:tc>
          <w:tcPr>
            <w:tcW w:w="706" w:type="pct"/>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0.0126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6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下风向最大浓度出现距离</w:t>
            </w:r>
          </w:p>
        </w:tc>
        <w:tc>
          <w:tcPr>
            <w:tcW w:w="706"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264.0</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264.0</w:t>
            </w:r>
          </w:p>
        </w:tc>
        <w:tc>
          <w:tcPr>
            <w:tcW w:w="706"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264.0</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264.0</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264.0</w:t>
            </w:r>
          </w:p>
        </w:tc>
        <w:tc>
          <w:tcPr>
            <w:tcW w:w="706" w:type="pct"/>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264.0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6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D10%最远距离</w:t>
            </w:r>
          </w:p>
        </w:tc>
        <w:tc>
          <w:tcPr>
            <w:tcW w:w="706"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w:t>
            </w:r>
          </w:p>
        </w:tc>
        <w:tc>
          <w:tcPr>
            <w:tcW w:w="706"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w:t>
            </w:r>
          </w:p>
        </w:tc>
        <w:tc>
          <w:tcPr>
            <w:tcW w:w="706"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w:t>
            </w:r>
          </w:p>
        </w:tc>
        <w:tc>
          <w:tcPr>
            <w:tcW w:w="706" w:type="pct"/>
            <w:tcBorders>
              <w:lef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319" w:hRule="atLeast"/>
          <w:jc w:val="center"/>
        </w:trPr>
        <w:tc>
          <w:tcPr>
            <w:tcW w:w="4998" w:type="pct"/>
            <w:gridSpan w:val="11"/>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99"/>
                <w:szCs w:val="24"/>
                <w:lang w:eastAsia="zh-CN"/>
              </w:rPr>
            </w:pPr>
            <w:r>
              <w:rPr>
                <w:rFonts w:hint="default" w:ascii="Times New Roman" w:hAnsi="Times New Roman" w:cs="Times New Roman" w:eastAsiaTheme="minorEastAsia"/>
                <w:color w:val="000000" w:themeColor="text1"/>
                <w:sz w:val="24"/>
                <w:highlight w:val="none"/>
                <w14:textFill>
                  <w14:solidFill>
                    <w14:schemeClr w14:val="tx1"/>
                  </w14:solidFill>
                </w14:textFill>
              </w:rPr>
              <w:t>表2-3-</w:t>
            </w:r>
            <w:r>
              <w:rPr>
                <w:rFonts w:hint="eastAsia" w:cs="Times New Roman" w:eastAsiaTheme="minorEastAsia"/>
                <w:color w:val="000000" w:themeColor="text1"/>
                <w:sz w:val="24"/>
                <w:highlight w:val="none"/>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highlight w:val="none"/>
                <w14:textFill>
                  <w14:solidFill>
                    <w14:schemeClr w14:val="tx1"/>
                  </w14:solidFill>
                </w14:textFill>
              </w:rPr>
              <w:t xml:space="preserve"> 主要污染源估算模型计算结果一览表</w:t>
            </w:r>
            <w:r>
              <w:rPr>
                <w:rFonts w:hint="default" w:ascii="Times New Roman" w:hAnsi="Times New Roman" w:cs="Times New Roman" w:eastAsiaTheme="minorEastAsia"/>
                <w:sz w:val="21"/>
                <w:szCs w:val="21"/>
                <w:lang w:eastAsia="zh-CN"/>
              </w:rPr>
              <w:t>固液分离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319" w:hRule="atLeast"/>
          <w:jc w:val="center"/>
        </w:trPr>
        <w:tc>
          <w:tcPr>
            <w:tcW w:w="1001" w:type="pct"/>
            <w:gridSpan w:val="2"/>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距离（m）</w:t>
            </w:r>
          </w:p>
        </w:tc>
        <w:tc>
          <w:tcPr>
            <w:tcW w:w="1975" w:type="pct"/>
            <w:gridSpan w:val="5"/>
            <w:tcBorders>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NH</w:t>
            </w:r>
            <w:r>
              <w:rPr>
                <w:rFonts w:hint="default" w:ascii="Times New Roman" w:hAnsi="Times New Roman" w:cs="Times New Roman" w:eastAsiaTheme="minorEastAsia"/>
                <w:w w:val="100"/>
                <w:sz w:val="21"/>
                <w:szCs w:val="21"/>
                <w:vertAlign w:val="subscript"/>
              </w:rPr>
              <w:t>3</w:t>
            </w:r>
          </w:p>
        </w:tc>
        <w:tc>
          <w:tcPr>
            <w:tcW w:w="2021" w:type="pct"/>
            <w:gridSpan w:val="4"/>
            <w:tcBorders>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lang w:val="en-US" w:eastAsia="zh-CN"/>
              </w:rPr>
            </w:pPr>
            <w:r>
              <w:rPr>
                <w:rFonts w:hint="default" w:ascii="Times New Roman" w:hAnsi="Times New Roman" w:cs="Times New Roman" w:eastAsiaTheme="minorEastAsia"/>
                <w:b w:val="0"/>
                <w:sz w:val="23"/>
                <w:szCs w:val="23"/>
              </w:rPr>
              <w:t>H</w:t>
            </w:r>
            <w:r>
              <w:rPr>
                <w:rFonts w:hint="default" w:ascii="Times New Roman" w:hAnsi="Times New Roman" w:cs="Times New Roman" w:eastAsiaTheme="minorEastAsia"/>
                <w:b w:val="0"/>
                <w:sz w:val="23"/>
                <w:szCs w:val="23"/>
                <w:vertAlign w:val="subscript"/>
              </w:rPr>
              <w:t>2</w:t>
            </w:r>
            <w:r>
              <w:rPr>
                <w:rFonts w:hint="default" w:ascii="Times New Roman" w:hAnsi="Times New Roman" w:cs="Times New Roman" w:eastAsiaTheme="minorEastAsia"/>
                <w:b w:val="0"/>
                <w:sz w:val="23"/>
                <w:szCs w:val="23"/>
              </w:rPr>
              <w:t>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309" w:hRule="atLeast"/>
          <w:jc w:val="center"/>
        </w:trPr>
        <w:tc>
          <w:tcPr>
            <w:tcW w:w="1001" w:type="pct"/>
            <w:gridSpan w:val="2"/>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p>
        </w:tc>
        <w:tc>
          <w:tcPr>
            <w:tcW w:w="1143" w:type="pct"/>
            <w:gridSpan w:val="2"/>
            <w:tcBorders>
              <w:top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浓度（μg/m³）</w:t>
            </w:r>
          </w:p>
        </w:tc>
        <w:tc>
          <w:tcPr>
            <w:tcW w:w="831" w:type="pct"/>
            <w:gridSpan w:val="3"/>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占标率（%）</w:t>
            </w:r>
          </w:p>
        </w:tc>
        <w:tc>
          <w:tcPr>
            <w:tcW w:w="1142" w:type="pct"/>
            <w:gridSpan w:val="2"/>
            <w:tcBorders>
              <w:top w:val="single" w:color="auto" w:sz="2" w:space="0"/>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浓度</w:t>
            </w:r>
            <w:r>
              <w:rPr>
                <w:rFonts w:hint="default" w:ascii="Times New Roman" w:hAnsi="Times New Roman" w:cs="Times New Roman" w:eastAsiaTheme="minorEastAsia"/>
                <w:spacing w:val="-8"/>
                <w:w w:val="100"/>
                <w:sz w:val="21"/>
                <w:szCs w:val="21"/>
              </w:rPr>
              <w:t>（</w:t>
            </w:r>
            <w:r>
              <w:rPr>
                <w:rFonts w:hint="default" w:ascii="Times New Roman" w:hAnsi="Times New Roman" w:cs="Times New Roman" w:eastAsiaTheme="minorEastAsia"/>
                <w:w w:val="100"/>
                <w:sz w:val="21"/>
                <w:szCs w:val="21"/>
              </w:rPr>
              <w:t>μg/m³</w:t>
            </w:r>
            <w:r>
              <w:rPr>
                <w:rFonts w:hint="default" w:ascii="Times New Roman" w:hAnsi="Times New Roman" w:cs="Times New Roman" w:eastAsiaTheme="minorEastAsia"/>
                <w:spacing w:val="-8"/>
                <w:w w:val="100"/>
                <w:sz w:val="21"/>
                <w:szCs w:val="21"/>
              </w:rPr>
              <w:t>）</w:t>
            </w:r>
          </w:p>
        </w:tc>
        <w:tc>
          <w:tcPr>
            <w:tcW w:w="878" w:type="pct"/>
            <w:gridSpan w:val="2"/>
            <w:tcBorders>
              <w:top w:val="single" w:color="auto" w:sz="2" w:space="0"/>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占标率（%）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285" w:hRule="atLeast"/>
          <w:jc w:val="center"/>
        </w:trPr>
        <w:tc>
          <w:tcPr>
            <w:tcW w:w="100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50.0</w:t>
            </w:r>
          </w:p>
        </w:tc>
        <w:tc>
          <w:tcPr>
            <w:tcW w:w="1143"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0.0277</w:t>
            </w:r>
          </w:p>
        </w:tc>
        <w:tc>
          <w:tcPr>
            <w:tcW w:w="831" w:type="pct"/>
            <w:gridSpan w:val="3"/>
            <w:tcBorders>
              <w:top w:val="single" w:color="auto" w:sz="2" w:space="0"/>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0.0138</w:t>
            </w:r>
          </w:p>
        </w:tc>
        <w:tc>
          <w:tcPr>
            <w:tcW w:w="1142"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0.0173</w:t>
            </w:r>
          </w:p>
        </w:tc>
        <w:tc>
          <w:tcPr>
            <w:tcW w:w="878"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0.1730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285" w:hRule="atLeast"/>
          <w:jc w:val="center"/>
        </w:trPr>
        <w:tc>
          <w:tcPr>
            <w:tcW w:w="100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100.0</w:t>
            </w:r>
          </w:p>
        </w:tc>
        <w:tc>
          <w:tcPr>
            <w:tcW w:w="1143"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0.0295</w:t>
            </w:r>
          </w:p>
        </w:tc>
        <w:tc>
          <w:tcPr>
            <w:tcW w:w="831" w:type="pct"/>
            <w:gridSpan w:val="3"/>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0.0147</w:t>
            </w:r>
          </w:p>
        </w:tc>
        <w:tc>
          <w:tcPr>
            <w:tcW w:w="1142"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0.0184</w:t>
            </w:r>
          </w:p>
        </w:tc>
        <w:tc>
          <w:tcPr>
            <w:tcW w:w="878"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0.1843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285" w:hRule="atLeast"/>
          <w:jc w:val="center"/>
        </w:trPr>
        <w:tc>
          <w:tcPr>
            <w:tcW w:w="100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200.0</w:t>
            </w:r>
          </w:p>
        </w:tc>
        <w:tc>
          <w:tcPr>
            <w:tcW w:w="1143"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0.0263</w:t>
            </w:r>
          </w:p>
        </w:tc>
        <w:tc>
          <w:tcPr>
            <w:tcW w:w="831" w:type="pct"/>
            <w:gridSpan w:val="3"/>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0.0132</w:t>
            </w:r>
          </w:p>
        </w:tc>
        <w:tc>
          <w:tcPr>
            <w:tcW w:w="1142"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0.0164</w:t>
            </w:r>
          </w:p>
        </w:tc>
        <w:tc>
          <w:tcPr>
            <w:tcW w:w="878"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0.1645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285" w:hRule="atLeast"/>
          <w:jc w:val="center"/>
        </w:trPr>
        <w:tc>
          <w:tcPr>
            <w:tcW w:w="100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300.0</w:t>
            </w:r>
          </w:p>
        </w:tc>
        <w:tc>
          <w:tcPr>
            <w:tcW w:w="1143"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0.0257</w:t>
            </w:r>
          </w:p>
        </w:tc>
        <w:tc>
          <w:tcPr>
            <w:tcW w:w="831" w:type="pct"/>
            <w:gridSpan w:val="3"/>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0.0129</w:t>
            </w:r>
          </w:p>
        </w:tc>
        <w:tc>
          <w:tcPr>
            <w:tcW w:w="1142"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0.0161</w:t>
            </w:r>
          </w:p>
        </w:tc>
        <w:tc>
          <w:tcPr>
            <w:tcW w:w="878"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0.1609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285" w:hRule="atLeast"/>
          <w:jc w:val="center"/>
        </w:trPr>
        <w:tc>
          <w:tcPr>
            <w:tcW w:w="100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400.0</w:t>
            </w:r>
          </w:p>
        </w:tc>
        <w:tc>
          <w:tcPr>
            <w:tcW w:w="1143"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0.0222</w:t>
            </w:r>
          </w:p>
        </w:tc>
        <w:tc>
          <w:tcPr>
            <w:tcW w:w="831" w:type="pct"/>
            <w:gridSpan w:val="3"/>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0.0111</w:t>
            </w:r>
          </w:p>
        </w:tc>
        <w:tc>
          <w:tcPr>
            <w:tcW w:w="1142"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0.0139</w:t>
            </w:r>
          </w:p>
        </w:tc>
        <w:tc>
          <w:tcPr>
            <w:tcW w:w="878"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0.1385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297" w:hRule="atLeast"/>
          <w:jc w:val="center"/>
        </w:trPr>
        <w:tc>
          <w:tcPr>
            <w:tcW w:w="100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500.0</w:t>
            </w:r>
          </w:p>
        </w:tc>
        <w:tc>
          <w:tcPr>
            <w:tcW w:w="1143"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0.0221</w:t>
            </w:r>
          </w:p>
        </w:tc>
        <w:tc>
          <w:tcPr>
            <w:tcW w:w="831" w:type="pct"/>
            <w:gridSpan w:val="3"/>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0.0111</w:t>
            </w:r>
          </w:p>
        </w:tc>
        <w:tc>
          <w:tcPr>
            <w:tcW w:w="1142"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0.0138</w:t>
            </w:r>
          </w:p>
        </w:tc>
        <w:tc>
          <w:tcPr>
            <w:tcW w:w="878"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0.1384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285" w:hRule="atLeast"/>
          <w:jc w:val="center"/>
        </w:trPr>
        <w:tc>
          <w:tcPr>
            <w:tcW w:w="100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600.0</w:t>
            </w:r>
          </w:p>
        </w:tc>
        <w:tc>
          <w:tcPr>
            <w:tcW w:w="1143"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0.0207</w:t>
            </w:r>
          </w:p>
        </w:tc>
        <w:tc>
          <w:tcPr>
            <w:tcW w:w="831" w:type="pct"/>
            <w:gridSpan w:val="3"/>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0.0104</w:t>
            </w:r>
          </w:p>
        </w:tc>
        <w:tc>
          <w:tcPr>
            <w:tcW w:w="1142"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0.0130</w:t>
            </w:r>
          </w:p>
        </w:tc>
        <w:tc>
          <w:tcPr>
            <w:tcW w:w="878"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0.1295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285" w:hRule="atLeast"/>
          <w:jc w:val="center"/>
        </w:trPr>
        <w:tc>
          <w:tcPr>
            <w:tcW w:w="100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700.0</w:t>
            </w:r>
          </w:p>
        </w:tc>
        <w:tc>
          <w:tcPr>
            <w:tcW w:w="1143"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0.0189</w:t>
            </w:r>
          </w:p>
        </w:tc>
        <w:tc>
          <w:tcPr>
            <w:tcW w:w="831" w:type="pct"/>
            <w:gridSpan w:val="3"/>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0.0095</w:t>
            </w:r>
          </w:p>
        </w:tc>
        <w:tc>
          <w:tcPr>
            <w:tcW w:w="1142"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0.0118</w:t>
            </w:r>
          </w:p>
        </w:tc>
        <w:tc>
          <w:tcPr>
            <w:tcW w:w="878"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0.1183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285" w:hRule="atLeast"/>
          <w:jc w:val="center"/>
        </w:trPr>
        <w:tc>
          <w:tcPr>
            <w:tcW w:w="100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800.0</w:t>
            </w:r>
          </w:p>
        </w:tc>
        <w:tc>
          <w:tcPr>
            <w:tcW w:w="1143"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0.0172</w:t>
            </w:r>
          </w:p>
        </w:tc>
        <w:tc>
          <w:tcPr>
            <w:tcW w:w="831" w:type="pct"/>
            <w:gridSpan w:val="3"/>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0.0086</w:t>
            </w:r>
          </w:p>
        </w:tc>
        <w:tc>
          <w:tcPr>
            <w:tcW w:w="1142"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0.0107</w:t>
            </w:r>
          </w:p>
        </w:tc>
        <w:tc>
          <w:tcPr>
            <w:tcW w:w="878"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0.1074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285" w:hRule="atLeast"/>
          <w:jc w:val="center"/>
        </w:trPr>
        <w:tc>
          <w:tcPr>
            <w:tcW w:w="100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900.0</w:t>
            </w:r>
          </w:p>
        </w:tc>
        <w:tc>
          <w:tcPr>
            <w:tcW w:w="1143"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0.0160</w:t>
            </w:r>
          </w:p>
        </w:tc>
        <w:tc>
          <w:tcPr>
            <w:tcW w:w="831" w:type="pct"/>
            <w:gridSpan w:val="3"/>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0.0080</w:t>
            </w:r>
          </w:p>
        </w:tc>
        <w:tc>
          <w:tcPr>
            <w:tcW w:w="1142"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0.0100</w:t>
            </w:r>
          </w:p>
        </w:tc>
        <w:tc>
          <w:tcPr>
            <w:tcW w:w="878"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285" w:hRule="atLeast"/>
          <w:jc w:val="center"/>
        </w:trPr>
        <w:tc>
          <w:tcPr>
            <w:tcW w:w="100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1000.0</w:t>
            </w:r>
          </w:p>
        </w:tc>
        <w:tc>
          <w:tcPr>
            <w:tcW w:w="1143"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0.0149</w:t>
            </w:r>
          </w:p>
        </w:tc>
        <w:tc>
          <w:tcPr>
            <w:tcW w:w="831" w:type="pct"/>
            <w:gridSpan w:val="3"/>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0.0074</w:t>
            </w:r>
          </w:p>
        </w:tc>
        <w:tc>
          <w:tcPr>
            <w:tcW w:w="1142"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0.0093</w:t>
            </w:r>
          </w:p>
        </w:tc>
        <w:tc>
          <w:tcPr>
            <w:tcW w:w="878"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0.0931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285" w:hRule="atLeast"/>
          <w:jc w:val="center"/>
        </w:trPr>
        <w:tc>
          <w:tcPr>
            <w:tcW w:w="100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1200.0</w:t>
            </w:r>
          </w:p>
        </w:tc>
        <w:tc>
          <w:tcPr>
            <w:tcW w:w="1143"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0.0130</w:t>
            </w:r>
          </w:p>
        </w:tc>
        <w:tc>
          <w:tcPr>
            <w:tcW w:w="831" w:type="pct"/>
            <w:gridSpan w:val="3"/>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0.0065</w:t>
            </w:r>
          </w:p>
        </w:tc>
        <w:tc>
          <w:tcPr>
            <w:tcW w:w="1142"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0.0081</w:t>
            </w:r>
          </w:p>
        </w:tc>
        <w:tc>
          <w:tcPr>
            <w:tcW w:w="878"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0.0811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285" w:hRule="atLeast"/>
          <w:jc w:val="center"/>
        </w:trPr>
        <w:tc>
          <w:tcPr>
            <w:tcW w:w="100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1400.0</w:t>
            </w:r>
          </w:p>
        </w:tc>
        <w:tc>
          <w:tcPr>
            <w:tcW w:w="1143"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0.0121</w:t>
            </w:r>
          </w:p>
        </w:tc>
        <w:tc>
          <w:tcPr>
            <w:tcW w:w="831" w:type="pct"/>
            <w:gridSpan w:val="3"/>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0.0060</w:t>
            </w:r>
          </w:p>
        </w:tc>
        <w:tc>
          <w:tcPr>
            <w:tcW w:w="1142"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0.0075</w:t>
            </w:r>
          </w:p>
        </w:tc>
        <w:tc>
          <w:tcPr>
            <w:tcW w:w="878"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0.0754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285" w:hRule="atLeast"/>
          <w:jc w:val="center"/>
        </w:trPr>
        <w:tc>
          <w:tcPr>
            <w:tcW w:w="100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1600.0</w:t>
            </w:r>
          </w:p>
        </w:tc>
        <w:tc>
          <w:tcPr>
            <w:tcW w:w="1143"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0.0111</w:t>
            </w:r>
          </w:p>
        </w:tc>
        <w:tc>
          <w:tcPr>
            <w:tcW w:w="831" w:type="pct"/>
            <w:gridSpan w:val="3"/>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0.0056</w:t>
            </w:r>
          </w:p>
        </w:tc>
        <w:tc>
          <w:tcPr>
            <w:tcW w:w="1142"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0.0070</w:t>
            </w:r>
          </w:p>
        </w:tc>
        <w:tc>
          <w:tcPr>
            <w:tcW w:w="878"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0.0695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285" w:hRule="atLeast"/>
          <w:jc w:val="center"/>
        </w:trPr>
        <w:tc>
          <w:tcPr>
            <w:tcW w:w="100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1800.0</w:t>
            </w:r>
          </w:p>
        </w:tc>
        <w:tc>
          <w:tcPr>
            <w:tcW w:w="1143"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0.0102</w:t>
            </w:r>
          </w:p>
        </w:tc>
        <w:tc>
          <w:tcPr>
            <w:tcW w:w="831" w:type="pct"/>
            <w:gridSpan w:val="3"/>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0.0051</w:t>
            </w:r>
          </w:p>
        </w:tc>
        <w:tc>
          <w:tcPr>
            <w:tcW w:w="1142"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0.0064</w:t>
            </w:r>
          </w:p>
        </w:tc>
        <w:tc>
          <w:tcPr>
            <w:tcW w:w="878"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0.0639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285" w:hRule="atLeast"/>
          <w:jc w:val="center"/>
        </w:trPr>
        <w:tc>
          <w:tcPr>
            <w:tcW w:w="100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2000.0</w:t>
            </w:r>
          </w:p>
        </w:tc>
        <w:tc>
          <w:tcPr>
            <w:tcW w:w="1143"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0.0094</w:t>
            </w:r>
          </w:p>
        </w:tc>
        <w:tc>
          <w:tcPr>
            <w:tcW w:w="831" w:type="pct"/>
            <w:gridSpan w:val="3"/>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0.0047</w:t>
            </w:r>
          </w:p>
        </w:tc>
        <w:tc>
          <w:tcPr>
            <w:tcW w:w="1142"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0.0059</w:t>
            </w:r>
          </w:p>
        </w:tc>
        <w:tc>
          <w:tcPr>
            <w:tcW w:w="878"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0.0587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285" w:hRule="atLeast"/>
          <w:jc w:val="center"/>
        </w:trPr>
        <w:tc>
          <w:tcPr>
            <w:tcW w:w="100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2500.0</w:t>
            </w:r>
          </w:p>
        </w:tc>
        <w:tc>
          <w:tcPr>
            <w:tcW w:w="1143"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0.0082</w:t>
            </w:r>
          </w:p>
        </w:tc>
        <w:tc>
          <w:tcPr>
            <w:tcW w:w="831" w:type="pct"/>
            <w:gridSpan w:val="3"/>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0.0041</w:t>
            </w:r>
          </w:p>
        </w:tc>
        <w:tc>
          <w:tcPr>
            <w:tcW w:w="1142"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0.0051</w:t>
            </w:r>
          </w:p>
        </w:tc>
        <w:tc>
          <w:tcPr>
            <w:tcW w:w="878"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0.0514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285" w:hRule="atLeast"/>
          <w:jc w:val="center"/>
        </w:trPr>
        <w:tc>
          <w:tcPr>
            <w:tcW w:w="100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3000.0</w:t>
            </w:r>
          </w:p>
        </w:tc>
        <w:tc>
          <w:tcPr>
            <w:tcW w:w="1143"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0.0074</w:t>
            </w:r>
          </w:p>
        </w:tc>
        <w:tc>
          <w:tcPr>
            <w:tcW w:w="831" w:type="pct"/>
            <w:gridSpan w:val="3"/>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0.0037</w:t>
            </w:r>
          </w:p>
        </w:tc>
        <w:tc>
          <w:tcPr>
            <w:tcW w:w="1142"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0.0046</w:t>
            </w:r>
          </w:p>
        </w:tc>
        <w:tc>
          <w:tcPr>
            <w:tcW w:w="878"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0.0462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285" w:hRule="atLeast"/>
          <w:jc w:val="center"/>
        </w:trPr>
        <w:tc>
          <w:tcPr>
            <w:tcW w:w="100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3500.0</w:t>
            </w:r>
          </w:p>
        </w:tc>
        <w:tc>
          <w:tcPr>
            <w:tcW w:w="1143"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0.0066</w:t>
            </w:r>
          </w:p>
        </w:tc>
        <w:tc>
          <w:tcPr>
            <w:tcW w:w="831" w:type="pct"/>
            <w:gridSpan w:val="3"/>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0.0033</w:t>
            </w:r>
          </w:p>
        </w:tc>
        <w:tc>
          <w:tcPr>
            <w:tcW w:w="1142"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0.0041</w:t>
            </w:r>
          </w:p>
        </w:tc>
        <w:tc>
          <w:tcPr>
            <w:tcW w:w="878"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0.0413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285" w:hRule="atLeast"/>
          <w:jc w:val="center"/>
        </w:trPr>
        <w:tc>
          <w:tcPr>
            <w:tcW w:w="100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4000.0</w:t>
            </w:r>
          </w:p>
        </w:tc>
        <w:tc>
          <w:tcPr>
            <w:tcW w:w="1143"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0.0059</w:t>
            </w:r>
          </w:p>
        </w:tc>
        <w:tc>
          <w:tcPr>
            <w:tcW w:w="831" w:type="pct"/>
            <w:gridSpan w:val="3"/>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0.0030</w:t>
            </w:r>
          </w:p>
        </w:tc>
        <w:tc>
          <w:tcPr>
            <w:tcW w:w="1142"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0.0037</w:t>
            </w:r>
          </w:p>
        </w:tc>
        <w:tc>
          <w:tcPr>
            <w:tcW w:w="878"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0.0371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285" w:hRule="atLeast"/>
          <w:jc w:val="center"/>
        </w:trPr>
        <w:tc>
          <w:tcPr>
            <w:tcW w:w="100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4500.0</w:t>
            </w:r>
          </w:p>
        </w:tc>
        <w:tc>
          <w:tcPr>
            <w:tcW w:w="1143"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0.0056</w:t>
            </w:r>
          </w:p>
        </w:tc>
        <w:tc>
          <w:tcPr>
            <w:tcW w:w="831" w:type="pct"/>
            <w:gridSpan w:val="3"/>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0.0028</w:t>
            </w:r>
          </w:p>
        </w:tc>
        <w:tc>
          <w:tcPr>
            <w:tcW w:w="1142"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0.0035</w:t>
            </w:r>
          </w:p>
        </w:tc>
        <w:tc>
          <w:tcPr>
            <w:tcW w:w="878"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0.0351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285" w:hRule="atLeast"/>
          <w:jc w:val="center"/>
        </w:trPr>
        <w:tc>
          <w:tcPr>
            <w:tcW w:w="100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5000.0</w:t>
            </w:r>
          </w:p>
        </w:tc>
        <w:tc>
          <w:tcPr>
            <w:tcW w:w="1143"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0.0053</w:t>
            </w:r>
          </w:p>
        </w:tc>
        <w:tc>
          <w:tcPr>
            <w:tcW w:w="831" w:type="pct"/>
            <w:gridSpan w:val="3"/>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0.0026</w:t>
            </w:r>
          </w:p>
        </w:tc>
        <w:tc>
          <w:tcPr>
            <w:tcW w:w="1142"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0.0033</w:t>
            </w:r>
          </w:p>
        </w:tc>
        <w:tc>
          <w:tcPr>
            <w:tcW w:w="878"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0.0330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285" w:hRule="atLeast"/>
          <w:jc w:val="center"/>
        </w:trPr>
        <w:tc>
          <w:tcPr>
            <w:tcW w:w="100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10000.0</w:t>
            </w:r>
          </w:p>
        </w:tc>
        <w:tc>
          <w:tcPr>
            <w:tcW w:w="1143"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0.0034</w:t>
            </w:r>
          </w:p>
        </w:tc>
        <w:tc>
          <w:tcPr>
            <w:tcW w:w="831" w:type="pct"/>
            <w:gridSpan w:val="3"/>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0.0017</w:t>
            </w:r>
          </w:p>
        </w:tc>
        <w:tc>
          <w:tcPr>
            <w:tcW w:w="1142"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0.0021</w:t>
            </w:r>
          </w:p>
        </w:tc>
        <w:tc>
          <w:tcPr>
            <w:tcW w:w="878"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0.0211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285" w:hRule="atLeast"/>
          <w:jc w:val="center"/>
        </w:trPr>
        <w:tc>
          <w:tcPr>
            <w:tcW w:w="100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11000.0</w:t>
            </w:r>
          </w:p>
        </w:tc>
        <w:tc>
          <w:tcPr>
            <w:tcW w:w="1143"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0.0032</w:t>
            </w:r>
          </w:p>
        </w:tc>
        <w:tc>
          <w:tcPr>
            <w:tcW w:w="831" w:type="pct"/>
            <w:gridSpan w:val="3"/>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0.0016</w:t>
            </w:r>
          </w:p>
        </w:tc>
        <w:tc>
          <w:tcPr>
            <w:tcW w:w="1142"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0.0020</w:t>
            </w:r>
          </w:p>
        </w:tc>
        <w:tc>
          <w:tcPr>
            <w:tcW w:w="878"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0.0199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285" w:hRule="atLeast"/>
          <w:jc w:val="center"/>
        </w:trPr>
        <w:tc>
          <w:tcPr>
            <w:tcW w:w="100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12000.0</w:t>
            </w:r>
          </w:p>
        </w:tc>
        <w:tc>
          <w:tcPr>
            <w:tcW w:w="1143"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0.0030</w:t>
            </w:r>
          </w:p>
        </w:tc>
        <w:tc>
          <w:tcPr>
            <w:tcW w:w="831" w:type="pct"/>
            <w:gridSpan w:val="3"/>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0.0015</w:t>
            </w:r>
          </w:p>
        </w:tc>
        <w:tc>
          <w:tcPr>
            <w:tcW w:w="1142"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0.0019</w:t>
            </w:r>
          </w:p>
        </w:tc>
        <w:tc>
          <w:tcPr>
            <w:tcW w:w="878"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0.0187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285" w:hRule="atLeast"/>
          <w:jc w:val="center"/>
        </w:trPr>
        <w:tc>
          <w:tcPr>
            <w:tcW w:w="100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13000.0</w:t>
            </w:r>
          </w:p>
        </w:tc>
        <w:tc>
          <w:tcPr>
            <w:tcW w:w="1143"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0.0031</w:t>
            </w:r>
          </w:p>
        </w:tc>
        <w:tc>
          <w:tcPr>
            <w:tcW w:w="831" w:type="pct"/>
            <w:gridSpan w:val="3"/>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0.0015</w:t>
            </w:r>
          </w:p>
        </w:tc>
        <w:tc>
          <w:tcPr>
            <w:tcW w:w="1142"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0.0019</w:t>
            </w:r>
          </w:p>
        </w:tc>
        <w:tc>
          <w:tcPr>
            <w:tcW w:w="878"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0.0192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285" w:hRule="atLeast"/>
          <w:jc w:val="center"/>
        </w:trPr>
        <w:tc>
          <w:tcPr>
            <w:tcW w:w="100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14000.0</w:t>
            </w:r>
          </w:p>
        </w:tc>
        <w:tc>
          <w:tcPr>
            <w:tcW w:w="1143"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0.0043</w:t>
            </w:r>
          </w:p>
        </w:tc>
        <w:tc>
          <w:tcPr>
            <w:tcW w:w="831" w:type="pct"/>
            <w:gridSpan w:val="3"/>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0.0021</w:t>
            </w:r>
          </w:p>
        </w:tc>
        <w:tc>
          <w:tcPr>
            <w:tcW w:w="1142"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0.0027</w:t>
            </w:r>
          </w:p>
        </w:tc>
        <w:tc>
          <w:tcPr>
            <w:tcW w:w="878"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0.0266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285" w:hRule="atLeast"/>
          <w:jc w:val="center"/>
        </w:trPr>
        <w:tc>
          <w:tcPr>
            <w:tcW w:w="100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15000.0</w:t>
            </w:r>
          </w:p>
        </w:tc>
        <w:tc>
          <w:tcPr>
            <w:tcW w:w="1143"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0.0039</w:t>
            </w:r>
          </w:p>
        </w:tc>
        <w:tc>
          <w:tcPr>
            <w:tcW w:w="831" w:type="pct"/>
            <w:gridSpan w:val="3"/>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0.0020</w:t>
            </w:r>
          </w:p>
        </w:tc>
        <w:tc>
          <w:tcPr>
            <w:tcW w:w="1142"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0.0025</w:t>
            </w:r>
          </w:p>
        </w:tc>
        <w:tc>
          <w:tcPr>
            <w:tcW w:w="878"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0.0245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285" w:hRule="atLeast"/>
          <w:jc w:val="center"/>
        </w:trPr>
        <w:tc>
          <w:tcPr>
            <w:tcW w:w="100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20000.0</w:t>
            </w:r>
          </w:p>
        </w:tc>
        <w:tc>
          <w:tcPr>
            <w:tcW w:w="1143"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0.0028</w:t>
            </w:r>
          </w:p>
        </w:tc>
        <w:tc>
          <w:tcPr>
            <w:tcW w:w="831" w:type="pct"/>
            <w:gridSpan w:val="3"/>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0.0014</w:t>
            </w:r>
          </w:p>
        </w:tc>
        <w:tc>
          <w:tcPr>
            <w:tcW w:w="1142"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0.0017</w:t>
            </w:r>
          </w:p>
        </w:tc>
        <w:tc>
          <w:tcPr>
            <w:tcW w:w="878"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0.0175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285" w:hRule="atLeast"/>
          <w:jc w:val="center"/>
        </w:trPr>
        <w:tc>
          <w:tcPr>
            <w:tcW w:w="100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25000.0</w:t>
            </w:r>
          </w:p>
        </w:tc>
        <w:tc>
          <w:tcPr>
            <w:tcW w:w="1143"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0.0021</w:t>
            </w:r>
          </w:p>
        </w:tc>
        <w:tc>
          <w:tcPr>
            <w:tcW w:w="831" w:type="pct"/>
            <w:gridSpan w:val="3"/>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0.0011</w:t>
            </w:r>
          </w:p>
        </w:tc>
        <w:tc>
          <w:tcPr>
            <w:tcW w:w="1142"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0.0013</w:t>
            </w:r>
          </w:p>
        </w:tc>
        <w:tc>
          <w:tcPr>
            <w:tcW w:w="878"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0.0132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285" w:hRule="atLeast"/>
          <w:jc w:val="center"/>
        </w:trPr>
        <w:tc>
          <w:tcPr>
            <w:tcW w:w="100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下风向最大浓度</w:t>
            </w:r>
          </w:p>
        </w:tc>
        <w:tc>
          <w:tcPr>
            <w:tcW w:w="1143"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0.0304</w:t>
            </w:r>
          </w:p>
        </w:tc>
        <w:tc>
          <w:tcPr>
            <w:tcW w:w="831" w:type="pct"/>
            <w:gridSpan w:val="3"/>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0.0152</w:t>
            </w:r>
          </w:p>
        </w:tc>
        <w:tc>
          <w:tcPr>
            <w:tcW w:w="1142"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0.0190</w:t>
            </w:r>
          </w:p>
        </w:tc>
        <w:tc>
          <w:tcPr>
            <w:tcW w:w="878"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0.1901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285" w:hRule="atLeast"/>
          <w:jc w:val="center"/>
        </w:trPr>
        <w:tc>
          <w:tcPr>
            <w:tcW w:w="100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下风向最大浓度出现距离</w:t>
            </w:r>
          </w:p>
        </w:tc>
        <w:tc>
          <w:tcPr>
            <w:tcW w:w="1143"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71.0</w:t>
            </w:r>
          </w:p>
        </w:tc>
        <w:tc>
          <w:tcPr>
            <w:tcW w:w="831" w:type="pct"/>
            <w:gridSpan w:val="3"/>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71.0</w:t>
            </w:r>
          </w:p>
        </w:tc>
        <w:tc>
          <w:tcPr>
            <w:tcW w:w="1142"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71.0</w:t>
            </w:r>
          </w:p>
        </w:tc>
        <w:tc>
          <w:tcPr>
            <w:tcW w:w="878"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71.0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285" w:hRule="atLeast"/>
          <w:jc w:val="center"/>
        </w:trPr>
        <w:tc>
          <w:tcPr>
            <w:tcW w:w="1001"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D10%最远距离</w:t>
            </w:r>
          </w:p>
        </w:tc>
        <w:tc>
          <w:tcPr>
            <w:tcW w:w="1143"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w:t>
            </w:r>
          </w:p>
        </w:tc>
        <w:tc>
          <w:tcPr>
            <w:tcW w:w="831" w:type="pct"/>
            <w:gridSpan w:val="3"/>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w:t>
            </w:r>
          </w:p>
        </w:tc>
        <w:tc>
          <w:tcPr>
            <w:tcW w:w="1142"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w:t>
            </w:r>
          </w:p>
        </w:tc>
        <w:tc>
          <w:tcPr>
            <w:tcW w:w="878"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w:t>
            </w:r>
          </w:p>
        </w:tc>
      </w:tr>
    </w:tbl>
    <w:p>
      <w:pPr>
        <w:widowControl w:val="0"/>
        <w:adjustRightInd/>
        <w:snapToGrid/>
        <w:ind w:firstLine="0" w:firstLineChars="0"/>
        <w:jc w:val="both"/>
        <w:rPr>
          <w:rFonts w:hint="default" w:ascii="Times New Roman" w:hAnsi="Times New Roman" w:cs="Times New Roman" w:eastAsiaTheme="minorEastAsia"/>
          <w:color w:val="000000" w:themeColor="text1"/>
          <w:sz w:val="24"/>
          <w:highlight w:val="yellow"/>
          <w14:textFill>
            <w14:solidFill>
              <w14:schemeClr w14:val="tx1"/>
            </w14:solidFill>
          </w14:textFill>
        </w:rPr>
      </w:pPr>
    </w:p>
    <w:p>
      <w:pPr>
        <w:pStyle w:val="2"/>
        <w:rPr>
          <w:rFonts w:hint="default"/>
        </w:rPr>
      </w:pPr>
    </w:p>
    <w:p>
      <w:pPr>
        <w:pStyle w:val="643"/>
        <w:jc w:val="center"/>
        <w:rPr>
          <w:rFonts w:hint="default" w:ascii="Times New Roman" w:hAnsi="Times New Roman" w:cs="Times New Roman" w:eastAsiaTheme="minorEastAsia"/>
          <w:w w:val="99"/>
          <w:sz w:val="21"/>
          <w:szCs w:val="21"/>
        </w:rPr>
      </w:pPr>
      <w:r>
        <w:rPr>
          <w:rFonts w:hint="default" w:ascii="Times New Roman" w:hAnsi="Times New Roman" w:cs="Times New Roman" w:eastAsiaTheme="minorEastAsia"/>
          <w:color w:val="auto"/>
          <w:sz w:val="24"/>
          <w:highlight w:val="none"/>
        </w:rPr>
        <w:t>表2-3-</w:t>
      </w:r>
      <w:r>
        <w:rPr>
          <w:rFonts w:hint="eastAsia" w:ascii="Times New Roman" w:hAnsi="Times New Roman" w:cs="Times New Roman" w:eastAsiaTheme="minorEastAsia"/>
          <w:color w:val="auto"/>
          <w:sz w:val="24"/>
          <w:highlight w:val="none"/>
          <w:lang w:val="en-US" w:eastAsia="zh-CN"/>
        </w:rPr>
        <w:t>9</w:t>
      </w:r>
      <w:r>
        <w:rPr>
          <w:rFonts w:hint="default" w:ascii="Times New Roman" w:hAnsi="Times New Roman" w:cs="Times New Roman" w:eastAsiaTheme="minorEastAsia"/>
          <w:color w:val="auto"/>
          <w:sz w:val="24"/>
          <w:highlight w:val="none"/>
        </w:rPr>
        <w:t xml:space="preserve"> 主要污染源估算模型计算结果一览表</w:t>
      </w:r>
      <w:bookmarkStart w:id="50" w:name="_Toc214177975"/>
    </w:p>
    <w:tbl>
      <w:tblPr>
        <w:tblStyle w:val="91"/>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14"/>
        <w:gridCol w:w="2282"/>
        <w:gridCol w:w="1499"/>
        <w:gridCol w:w="2042"/>
        <w:gridCol w:w="158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5000" w:type="pct"/>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99"/>
                <w:sz w:val="21"/>
                <w:szCs w:val="21"/>
                <w:lang w:eastAsia="zh-CN"/>
              </w:rPr>
            </w:pPr>
            <w:r>
              <w:rPr>
                <w:rFonts w:hint="default" w:ascii="Times New Roman" w:hAnsi="Times New Roman" w:cs="Times New Roman" w:eastAsiaTheme="minorEastAsia"/>
                <w:sz w:val="21"/>
                <w:szCs w:val="21"/>
                <w:lang w:eastAsia="zh-CN"/>
              </w:rPr>
              <w:t>牛舍无组织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754"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距离（m）</w:t>
            </w:r>
          </w:p>
        </w:tc>
        <w:tc>
          <w:tcPr>
            <w:tcW w:w="2169" w:type="pct"/>
            <w:gridSpan w:val="2"/>
            <w:tcBorders>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NH</w:t>
            </w:r>
            <w:r>
              <w:rPr>
                <w:rFonts w:hint="default" w:ascii="Times New Roman" w:hAnsi="Times New Roman" w:cs="Times New Roman" w:eastAsiaTheme="minorEastAsia"/>
                <w:w w:val="100"/>
                <w:sz w:val="21"/>
                <w:szCs w:val="21"/>
                <w:vertAlign w:val="subscript"/>
              </w:rPr>
              <w:t>3</w:t>
            </w:r>
          </w:p>
        </w:tc>
        <w:tc>
          <w:tcPr>
            <w:tcW w:w="2075" w:type="pct"/>
            <w:gridSpan w:val="2"/>
            <w:tcBorders>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lang w:val="en-US" w:eastAsia="zh-CN"/>
              </w:rPr>
            </w:pPr>
            <w:r>
              <w:rPr>
                <w:rFonts w:hint="default" w:ascii="Times New Roman" w:hAnsi="Times New Roman" w:cs="Times New Roman" w:eastAsiaTheme="minorEastAsia"/>
                <w:b w:val="0"/>
                <w:sz w:val="21"/>
                <w:szCs w:val="21"/>
              </w:rPr>
              <w:t>H</w:t>
            </w:r>
            <w:r>
              <w:rPr>
                <w:rFonts w:hint="default" w:ascii="Times New Roman" w:hAnsi="Times New Roman" w:cs="Times New Roman" w:eastAsiaTheme="minorEastAsia"/>
                <w:b w:val="0"/>
                <w:sz w:val="21"/>
                <w:szCs w:val="21"/>
                <w:vertAlign w:val="subscript"/>
              </w:rPr>
              <w:t>2</w:t>
            </w:r>
            <w:r>
              <w:rPr>
                <w:rFonts w:hint="default" w:ascii="Times New Roman" w:hAnsi="Times New Roman" w:cs="Times New Roman" w:eastAsiaTheme="minorEastAsia"/>
                <w:b w:val="0"/>
                <w:sz w:val="21"/>
                <w:szCs w:val="21"/>
              </w:rPr>
              <w:t>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75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p>
        </w:tc>
        <w:tc>
          <w:tcPr>
            <w:tcW w:w="1309" w:type="pct"/>
            <w:tcBorders>
              <w:top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浓度（μg/m³）</w:t>
            </w:r>
          </w:p>
        </w:tc>
        <w:tc>
          <w:tcPr>
            <w:tcW w:w="860"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占标率（%）</w:t>
            </w:r>
          </w:p>
        </w:tc>
        <w:tc>
          <w:tcPr>
            <w:tcW w:w="1171" w:type="pct"/>
            <w:tcBorders>
              <w:top w:val="single" w:color="auto" w:sz="2" w:space="0"/>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浓度</w:t>
            </w:r>
            <w:r>
              <w:rPr>
                <w:rFonts w:hint="default" w:ascii="Times New Roman" w:hAnsi="Times New Roman" w:cs="Times New Roman" w:eastAsiaTheme="minorEastAsia"/>
                <w:spacing w:val="-8"/>
                <w:w w:val="100"/>
                <w:sz w:val="21"/>
                <w:szCs w:val="21"/>
              </w:rPr>
              <w:t>（</w:t>
            </w:r>
            <w:r>
              <w:rPr>
                <w:rFonts w:hint="default" w:ascii="Times New Roman" w:hAnsi="Times New Roman" w:cs="Times New Roman" w:eastAsiaTheme="minorEastAsia"/>
                <w:w w:val="100"/>
                <w:sz w:val="21"/>
                <w:szCs w:val="21"/>
              </w:rPr>
              <w:t>μg/m³</w:t>
            </w:r>
            <w:r>
              <w:rPr>
                <w:rFonts w:hint="default" w:ascii="Times New Roman" w:hAnsi="Times New Roman" w:cs="Times New Roman" w:eastAsiaTheme="minorEastAsia"/>
                <w:spacing w:val="-8"/>
                <w:w w:val="100"/>
                <w:sz w:val="21"/>
                <w:szCs w:val="21"/>
              </w:rPr>
              <w:t>）</w:t>
            </w:r>
          </w:p>
        </w:tc>
        <w:tc>
          <w:tcPr>
            <w:tcW w:w="904" w:type="pct"/>
            <w:tcBorders>
              <w:top w:val="single" w:color="auto" w:sz="2" w:space="0"/>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占标率（%）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50.0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0.2065</w:t>
            </w:r>
          </w:p>
        </w:tc>
        <w:tc>
          <w:tcPr>
            <w:tcW w:w="1465" w:type="dxa"/>
            <w:tcBorders>
              <w:top w:val="single" w:color="auto" w:sz="2" w:space="0"/>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2.0650</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0.5632</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0.2816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0.2677</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2.6774</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0.7302</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0.3651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0.2261</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2.2607</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0.6166</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0.3083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300.0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0.2001</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2.0014</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0.5458</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0.2729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400.0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0.1767</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1.7672</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0.4820</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0.2410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500.0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0.1567</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1.5665</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0.4272</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0.2136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600.0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0.1399</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1.3992</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0.3816</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0.1908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700.0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0.1263</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1.2630</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0.3445</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0.1722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800.0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0.1151</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1.1512</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0.3140</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0.1570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900.0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0.1056</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1.0560</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0.2880</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0.1440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1000.0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0.0978</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0.9775</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0.2666</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0.1333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1200.0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0.0849</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0.8486</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0.2314</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0.1157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1400.0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0.0747</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0.7472</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0.2038</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0.1019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1600.0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0.0671</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0.6714</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0.1831</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0.0916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1800.0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0.0614</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0.6140</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0.1675</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0.0837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2000.0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0.0570</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0.5700</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0.1555</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0.0777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2500.0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0.0482</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0.4816</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0.1313</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0.0657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3000.0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0.0417</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0.4168</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0.1137</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0.0568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3500.0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0.0369</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0.3689</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0.1006</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0.0503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4000.0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0.0332</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0.3319</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0.0905</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0.0453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4500.0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0.0302</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0.3024</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0.0825</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0.0412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5000.0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0.0278</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0.2781</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0.0758</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0.0379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10000.0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0.0149</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0.1492</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0.0407</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0.0204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11000.0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0.0136</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0.1359</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0.0371</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0.0185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12000.0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0.0125</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0.1246</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0.0340</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0.0170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13000.0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0.0115</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0.1149</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0.0313</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0.0157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14000.0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0.0106</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0.1065</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0.0290</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0.0145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15000.0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0.0099</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0.0991</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0.0270</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0.0135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20000.0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0.0073</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0.0731</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0.0199</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25000.0</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0.0057</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0.0573</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0.0156</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0.0078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下风向最大浓度</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0.2716</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2.7161</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0.7408</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0.3704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下风向最大浓度出现距离</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121.0</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121.0</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121.0</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121.0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D10%最远距离</w:t>
            </w:r>
          </w:p>
        </w:tc>
        <w:tc>
          <w:tcPr>
            <w:tcW w:w="2230" w:type="dxa"/>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w:t>
            </w:r>
          </w:p>
        </w:tc>
        <w:tc>
          <w:tcPr>
            <w:tcW w:w="146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w:t>
            </w:r>
          </w:p>
        </w:tc>
        <w:tc>
          <w:tcPr>
            <w:tcW w:w="1995"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w:t>
            </w:r>
          </w:p>
        </w:tc>
        <w:tc>
          <w:tcPr>
            <w:tcW w:w="1544" w:type="dxa"/>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w:t>
            </w:r>
          </w:p>
        </w:tc>
      </w:tr>
    </w:tbl>
    <w:p>
      <w:pPr>
        <w:keepNext w:val="0"/>
        <w:keepLines w:val="0"/>
        <w:pageBreakBefore w:val="0"/>
        <w:widowControl/>
        <w:kinsoku/>
        <w:wordWrap/>
        <w:overflowPunct/>
        <w:topLinePunct w:val="0"/>
        <w:autoSpaceDE/>
        <w:autoSpaceDN/>
        <w:bidi w:val="0"/>
        <w:adjustRightInd w:val="0"/>
        <w:snapToGrid w:val="0"/>
        <w:spacing w:after="0" w:line="500" w:lineRule="exact"/>
        <w:ind w:firstLine="414" w:firstLineChars="200"/>
        <w:jc w:val="center"/>
        <w:textAlignment w:val="auto"/>
        <w:rPr>
          <w:rFonts w:hint="default" w:ascii="Times New Roman" w:hAnsi="Times New Roman" w:cs="Times New Roman" w:eastAsiaTheme="minorEastAsia"/>
          <w:w w:val="99"/>
          <w:sz w:val="21"/>
          <w:szCs w:val="21"/>
        </w:rPr>
      </w:pPr>
    </w:p>
    <w:tbl>
      <w:tblPr>
        <w:tblStyle w:val="91"/>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10"/>
        <w:gridCol w:w="732"/>
        <w:gridCol w:w="1499"/>
        <w:gridCol w:w="1449"/>
        <w:gridCol w:w="954"/>
        <w:gridCol w:w="1039"/>
        <w:gridCol w:w="153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5000" w:type="pct"/>
            <w:gridSpan w:val="7"/>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99"/>
                <w:sz w:val="21"/>
                <w:szCs w:val="21"/>
                <w:lang w:eastAsia="zh-CN"/>
              </w:rPr>
            </w:pPr>
            <w:r>
              <w:rPr>
                <w:rFonts w:hint="default" w:ascii="Times New Roman" w:hAnsi="Times New Roman" w:cs="Times New Roman" w:eastAsiaTheme="minorEastAsia"/>
                <w:sz w:val="21"/>
                <w:szCs w:val="21"/>
                <w:lang w:eastAsia="zh-CN"/>
              </w:rPr>
              <w:t>粪污处理区无组织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866"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距离（m）</w:t>
            </w:r>
          </w:p>
        </w:tc>
        <w:tc>
          <w:tcPr>
            <w:tcW w:w="2111" w:type="pct"/>
            <w:gridSpan w:val="3"/>
            <w:tcBorders>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NH</w:t>
            </w:r>
            <w:r>
              <w:rPr>
                <w:rFonts w:hint="default" w:ascii="Times New Roman" w:hAnsi="Times New Roman" w:cs="Times New Roman" w:eastAsiaTheme="minorEastAsia"/>
                <w:w w:val="100"/>
                <w:sz w:val="21"/>
                <w:szCs w:val="21"/>
                <w:vertAlign w:val="subscript"/>
              </w:rPr>
              <w:t>3</w:t>
            </w:r>
          </w:p>
        </w:tc>
        <w:tc>
          <w:tcPr>
            <w:tcW w:w="2021" w:type="pct"/>
            <w:gridSpan w:val="3"/>
            <w:tcBorders>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lang w:val="en-US" w:eastAsia="zh-CN"/>
              </w:rPr>
            </w:pPr>
            <w:r>
              <w:rPr>
                <w:rFonts w:hint="default" w:ascii="Times New Roman" w:hAnsi="Times New Roman" w:cs="Times New Roman" w:eastAsiaTheme="minorEastAsia"/>
                <w:b w:val="0"/>
                <w:sz w:val="21"/>
                <w:szCs w:val="21"/>
              </w:rPr>
              <w:t>H</w:t>
            </w:r>
            <w:r>
              <w:rPr>
                <w:rFonts w:hint="default" w:ascii="Times New Roman" w:hAnsi="Times New Roman" w:cs="Times New Roman" w:eastAsiaTheme="minorEastAsia"/>
                <w:b w:val="0"/>
                <w:sz w:val="21"/>
                <w:szCs w:val="21"/>
                <w:vertAlign w:val="subscript"/>
              </w:rPr>
              <w:t>2</w:t>
            </w:r>
            <w:r>
              <w:rPr>
                <w:rFonts w:hint="default" w:ascii="Times New Roman" w:hAnsi="Times New Roman" w:cs="Times New Roman" w:eastAsiaTheme="minorEastAsia"/>
                <w:b w:val="0"/>
                <w:sz w:val="21"/>
                <w:szCs w:val="21"/>
              </w:rPr>
              <w:t>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866"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p>
        </w:tc>
        <w:tc>
          <w:tcPr>
            <w:tcW w:w="1280" w:type="pct"/>
            <w:gridSpan w:val="2"/>
            <w:tcBorders>
              <w:top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浓度（μg/m³）</w:t>
            </w:r>
          </w:p>
        </w:tc>
        <w:tc>
          <w:tcPr>
            <w:tcW w:w="831"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占标率（%）</w:t>
            </w:r>
          </w:p>
        </w:tc>
        <w:tc>
          <w:tcPr>
            <w:tcW w:w="1143" w:type="pct"/>
            <w:gridSpan w:val="2"/>
            <w:tcBorders>
              <w:top w:val="single" w:color="auto" w:sz="2" w:space="0"/>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浓度</w:t>
            </w:r>
            <w:r>
              <w:rPr>
                <w:rFonts w:hint="default" w:ascii="Times New Roman" w:hAnsi="Times New Roman" w:cs="Times New Roman" w:eastAsiaTheme="minorEastAsia"/>
                <w:spacing w:val="-8"/>
                <w:w w:val="100"/>
                <w:sz w:val="21"/>
                <w:szCs w:val="21"/>
              </w:rPr>
              <w:t>（</w:t>
            </w:r>
            <w:r>
              <w:rPr>
                <w:rFonts w:hint="default" w:ascii="Times New Roman" w:hAnsi="Times New Roman" w:cs="Times New Roman" w:eastAsiaTheme="minorEastAsia"/>
                <w:w w:val="100"/>
                <w:sz w:val="21"/>
                <w:szCs w:val="21"/>
              </w:rPr>
              <w:t>μg/m³</w:t>
            </w:r>
            <w:r>
              <w:rPr>
                <w:rFonts w:hint="default" w:ascii="Times New Roman" w:hAnsi="Times New Roman" w:cs="Times New Roman" w:eastAsiaTheme="minorEastAsia"/>
                <w:spacing w:val="-8"/>
                <w:w w:val="100"/>
                <w:sz w:val="21"/>
                <w:szCs w:val="21"/>
              </w:rPr>
              <w:t>）</w:t>
            </w:r>
          </w:p>
        </w:tc>
        <w:tc>
          <w:tcPr>
            <w:tcW w:w="878" w:type="pct"/>
            <w:tcBorders>
              <w:top w:val="single" w:color="auto" w:sz="2" w:space="0"/>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占标率（%）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50.0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2.9824</w:t>
            </w:r>
          </w:p>
        </w:tc>
        <w:tc>
          <w:tcPr>
            <w:tcW w:w="831" w:type="pct"/>
            <w:tcBorders>
              <w:top w:val="single" w:color="auto" w:sz="2" w:space="0"/>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1.4912</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0.1704</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1.7042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3.8189</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1.9095</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0.2182</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2.1822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4.6956</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2.3478</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0.2683</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2.6832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300.0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4.7416</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2.3708</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0.2709</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2.7095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400.0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4.6269</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2.3135</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0.2644</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2.6439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500.0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4.4669</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2.2334</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0.2553</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2.5525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600.0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4.2408</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2.1204</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0.2423</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2.4233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700.0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3.9852</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1.9926</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0.2277</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2.2773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800.0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3.7390</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1.8695</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0.2137</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2.1366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900.0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3.5117</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1.7558</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0.2007</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2.0067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1000.0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3.2972</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1.6486</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0.1884</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1.8841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1200.0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2.9135</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1.4567</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0.1665</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1.6649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1400.0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2.6057</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1.3029</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0.1489</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1.4890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1600.0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2.4197</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1.2099</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0.1383</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1.3827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1800.0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2.2486</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1.1243</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0.1285</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1.2849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2000.0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2.0942</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1.0471</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0.1197</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1.1967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2500.0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1.7909</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0.8954</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0.1023</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1.0234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3000.0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1.5733</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0.7867</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0.0899</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0.8990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3500.0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1.4064</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0.7032</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0.0804</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0.8037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4000.0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1.2698</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0.6349</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0.0726</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0.7256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4500.0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1.1535</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0.5767</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0.0659</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0.6591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5000.0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1.0989</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0.5494</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0.0628</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0.6279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10000.0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0.5539</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0.2769</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0.0317</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0.3165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11000.0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0.5010</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0.2505</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0.0286</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0.2863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12000.0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0.4567</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0.2284</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0.0261</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0.2610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13000.0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0.4191</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0.2096</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0.0239</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0.2395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14000.0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0.3868</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0.1934</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0.0221</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0.2210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15000.0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0.3588</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0.1794</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0.0205</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0.2050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20000.0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0.2610</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0.1305</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0.0149</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0.1491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25000.0</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0.2030</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0.1015</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0.0116</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0.1160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下风向最大浓度</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4.7781</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2.3891</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0.2730</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2.7303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下风向最大浓度出现距离</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241.0</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241.0</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241.0</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241.0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D10%最远距离</w:t>
            </w: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w:t>
            </w: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w:t>
            </w: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w:t>
            </w: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sz w:val="21"/>
                <w:szCs w:val="21"/>
              </w:rPr>
            </w:pPr>
          </w:p>
        </w:tc>
        <w:tc>
          <w:tcPr>
            <w:tcW w:w="1280" w:type="pct"/>
            <w:gridSpan w:val="2"/>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sz w:val="21"/>
                <w:szCs w:val="21"/>
              </w:rPr>
            </w:pPr>
          </w:p>
        </w:tc>
        <w:tc>
          <w:tcPr>
            <w:tcW w:w="831"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sz w:val="21"/>
                <w:szCs w:val="21"/>
              </w:rPr>
            </w:pPr>
          </w:p>
        </w:tc>
        <w:tc>
          <w:tcPr>
            <w:tcW w:w="1143"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sz w:val="21"/>
                <w:szCs w:val="21"/>
              </w:rPr>
            </w:pPr>
          </w:p>
        </w:tc>
        <w:tc>
          <w:tcPr>
            <w:tcW w:w="878" w:type="pct"/>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5000" w:type="pct"/>
            <w:gridSpan w:val="7"/>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99"/>
                <w:sz w:val="21"/>
                <w:szCs w:val="21"/>
                <w:lang w:eastAsia="zh-CN"/>
              </w:rPr>
            </w:pPr>
            <w:r>
              <w:rPr>
                <w:rFonts w:hint="default" w:ascii="Times New Roman" w:hAnsi="Times New Roman" w:cs="Times New Roman" w:eastAsiaTheme="minorEastAsia"/>
                <w:sz w:val="21"/>
                <w:szCs w:val="21"/>
                <w:lang w:eastAsia="zh-CN"/>
              </w:rPr>
              <w:t>饲料加工区无组织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1286" w:type="pct"/>
            <w:gridSpan w:val="2"/>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距离（m）</w:t>
            </w:r>
          </w:p>
        </w:tc>
        <w:tc>
          <w:tcPr>
            <w:tcW w:w="3713" w:type="pct"/>
            <w:gridSpan w:val="5"/>
            <w:tcBorders>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TSP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1286" w:type="pct"/>
            <w:gridSpan w:val="2"/>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p>
        </w:tc>
        <w:tc>
          <w:tcPr>
            <w:tcW w:w="2238" w:type="pct"/>
            <w:gridSpan w:val="3"/>
            <w:tcBorders>
              <w:top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浓度（μg/m³）</w:t>
            </w:r>
          </w:p>
        </w:tc>
        <w:tc>
          <w:tcPr>
            <w:tcW w:w="1475" w:type="pct"/>
            <w:gridSpan w:val="2"/>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w w:val="100"/>
                <w:sz w:val="21"/>
                <w:szCs w:val="21"/>
              </w:rPr>
              <w:t>占标率（%）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50.0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4.9922</w:t>
            </w:r>
          </w:p>
        </w:tc>
        <w:tc>
          <w:tcPr>
            <w:tcW w:w="1475" w:type="pct"/>
            <w:gridSpan w:val="2"/>
            <w:tcBorders>
              <w:top w:val="single" w:color="auto" w:sz="2" w:space="0"/>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0.5547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5.5438</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0.6160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3.9074</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0.4342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300.0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3.0999</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0.3444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400.0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2.5942</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0.2882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500.0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2.3897</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0.2655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600.0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2.2869</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0.2541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700.0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2.1928</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0.2436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800.0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2.1081</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0.2342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900.0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2.0285</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0.2254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1000.0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1.9553</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0.2173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1200.0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1.8228</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0.2025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1400.0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1.7040</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0.1893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1600.0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1.5991</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0.1777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1800.0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1.5046</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0.1672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2000.0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1.4368</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0.1596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2500.0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1.2505</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0.1389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3000.0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1.1036</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0.1226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3500.0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0.9850</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0.1094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4000.0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0.8924</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0.0992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4500.0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0.8170</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0.0908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5000.0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0.7550</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0.0839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10000.0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0.4482</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0.0498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11000.0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0.4171</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w w:val="100"/>
                <w:sz w:val="21"/>
                <w:szCs w:val="21"/>
              </w:rPr>
            </w:pPr>
            <w:r>
              <w:rPr>
                <w:rFonts w:hint="default" w:ascii="Times New Roman" w:hAnsi="Times New Roman" w:cs="Times New Roman" w:eastAsiaTheme="minorEastAsia"/>
                <w:b w:val="0"/>
                <w:sz w:val="21"/>
                <w:szCs w:val="21"/>
              </w:rPr>
              <w:t>0.0463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12000.0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0.3906</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0.0434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13000.0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0.3676</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0.0408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14000.0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0.3475</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0.0386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15000.0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0.3299</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0.0367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20000.0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0.2650</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0.0294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25000.0</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0.2207</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0.0245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下风向最大浓度</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5.7436</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0.6382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下风向最大浓度出现距离</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81.0</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81.0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8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D10%最远距离</w:t>
            </w:r>
          </w:p>
        </w:tc>
        <w:tc>
          <w:tcPr>
            <w:tcW w:w="2238" w:type="pct"/>
            <w:gridSpan w:val="3"/>
            <w:tcBorders>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w:t>
            </w:r>
          </w:p>
        </w:tc>
        <w:tc>
          <w:tcPr>
            <w:tcW w:w="1475" w:type="pct"/>
            <w:gridSpan w:val="2"/>
            <w:tcBorders>
              <w:left w:val="single" w:color="auto" w:sz="2" w:space="0"/>
              <w:right w:val="single" w:color="auto" w:sz="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 w:val="0"/>
                <w:w w:val="100"/>
                <w:sz w:val="21"/>
                <w:szCs w:val="21"/>
              </w:rPr>
            </w:pPr>
            <w:r>
              <w:rPr>
                <w:rFonts w:hint="default" w:ascii="Times New Roman" w:hAnsi="Times New Roman" w:cs="Times New Roman" w:eastAsiaTheme="minorEastAsia"/>
                <w:b w:val="0"/>
                <w:sz w:val="21"/>
                <w:szCs w:val="21"/>
              </w:rPr>
              <w:t>/</w:t>
            </w:r>
          </w:p>
        </w:tc>
      </w:tr>
    </w:tbl>
    <w:p>
      <w:pPr>
        <w:pStyle w:val="643"/>
        <w:rPr>
          <w:rFonts w:hint="default" w:ascii="Times New Roman" w:hAnsi="Times New Roman" w:cs="Times New Roman" w:eastAsiaTheme="minorEastAsia"/>
          <w:color w:val="auto"/>
          <w:highlight w:val="none"/>
          <w:lang w:val="en-GB"/>
        </w:rPr>
      </w:pPr>
    </w:p>
    <w:p>
      <w:pPr>
        <w:pStyle w:val="643"/>
        <w:rPr>
          <w:rFonts w:hint="default" w:ascii="Times New Roman" w:hAnsi="Times New Roman" w:cs="Times New Roman" w:eastAsiaTheme="minorEastAsia"/>
          <w:color w:val="auto"/>
          <w:highlight w:val="none"/>
          <w:lang w:val="en-GB"/>
        </w:rPr>
      </w:pPr>
      <w:r>
        <w:rPr>
          <w:rFonts w:hint="default" w:ascii="Times New Roman" w:hAnsi="Times New Roman" w:cs="Times New Roman" w:eastAsiaTheme="minorEastAsia"/>
          <w:color w:val="auto"/>
          <w:highlight w:val="none"/>
          <w:lang w:val="en-GB"/>
        </w:rPr>
        <w:t>表2-3-</w:t>
      </w:r>
      <w:r>
        <w:rPr>
          <w:rFonts w:hint="eastAsia" w:ascii="Times New Roman" w:hAnsi="Times New Roman" w:cs="Times New Roman" w:eastAsiaTheme="minorEastAsia"/>
          <w:color w:val="auto"/>
          <w:highlight w:val="none"/>
          <w:lang w:val="en-US" w:eastAsia="zh-CN"/>
        </w:rPr>
        <w:t>10</w:t>
      </w:r>
      <w:r>
        <w:rPr>
          <w:rFonts w:hint="default" w:ascii="Times New Roman" w:hAnsi="Times New Roman" w:cs="Times New Roman" w:eastAsiaTheme="minorEastAsia"/>
          <w:color w:val="auto"/>
          <w:highlight w:val="none"/>
          <w:lang w:val="en-GB"/>
        </w:rPr>
        <w:t xml:space="preserve"> 大气环境影响评价工作等级一览表</w:t>
      </w:r>
    </w:p>
    <w:tbl>
      <w:tblPr>
        <w:tblStyle w:val="9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962"/>
        <w:gridCol w:w="1525"/>
        <w:gridCol w:w="2332"/>
        <w:gridCol w:w="992"/>
        <w:gridCol w:w="12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668"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污染源</w:t>
            </w:r>
          </w:p>
        </w:tc>
        <w:tc>
          <w:tcPr>
            <w:tcW w:w="962"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排放形式</w:t>
            </w:r>
          </w:p>
        </w:tc>
        <w:tc>
          <w:tcPr>
            <w:tcW w:w="1525"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评价因子</w:t>
            </w:r>
          </w:p>
        </w:tc>
        <w:tc>
          <w:tcPr>
            <w:tcW w:w="2332"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环境标准1h均值</w:t>
            </w:r>
          </w:p>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（μg/m</w:t>
            </w:r>
            <w:r>
              <w:rPr>
                <w:rFonts w:hint="default" w:ascii="Times New Roman" w:hAnsi="Times New Roman" w:cs="Times New Roman" w:eastAsiaTheme="minorEastAsia"/>
                <w:color w:val="auto"/>
                <w:highlight w:val="none"/>
                <w:vertAlign w:val="superscript"/>
              </w:rPr>
              <w:t>3</w:t>
            </w:r>
            <w:r>
              <w:rPr>
                <w:rFonts w:hint="default" w:ascii="Times New Roman" w:hAnsi="Times New Roman" w:cs="Times New Roman" w:eastAsiaTheme="minorEastAsia"/>
                <w:color w:val="auto"/>
                <w:highlight w:val="none"/>
              </w:rPr>
              <w:t>）</w:t>
            </w:r>
          </w:p>
        </w:tc>
        <w:tc>
          <w:tcPr>
            <w:tcW w:w="992"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占标率（％）</w:t>
            </w:r>
          </w:p>
        </w:tc>
        <w:tc>
          <w:tcPr>
            <w:tcW w:w="1241"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i/>
                <w:color w:val="auto"/>
                <w:highlight w:val="none"/>
              </w:rPr>
              <w:t>D</w:t>
            </w:r>
            <w:r>
              <w:rPr>
                <w:rFonts w:hint="default" w:ascii="Times New Roman" w:hAnsi="Times New Roman" w:cs="Times New Roman" w:eastAsiaTheme="minorEastAsia"/>
                <w:color w:val="auto"/>
                <w:highlight w:val="none"/>
                <w:vertAlign w:val="subscript"/>
              </w:rPr>
              <w:t>10</w:t>
            </w:r>
            <w:r>
              <w:rPr>
                <w:rFonts w:hint="default" w:ascii="Times New Roman" w:hAnsi="Times New Roman" w:cs="Times New Roman" w:eastAsiaTheme="minorEastAsia"/>
                <w:color w:val="auto"/>
                <w:highlight w:val="none"/>
              </w:rPr>
              <w:t>%最远</w:t>
            </w:r>
          </w:p>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1668" w:type="dxa"/>
            <w:vMerge w:val="restar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生物质锅炉排气筒</w:t>
            </w:r>
          </w:p>
        </w:tc>
        <w:tc>
          <w:tcPr>
            <w:tcW w:w="962" w:type="dxa"/>
            <w:vMerge w:val="restar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点源</w:t>
            </w:r>
          </w:p>
        </w:tc>
        <w:tc>
          <w:tcPr>
            <w:tcW w:w="1525"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颗粒物（PM</w:t>
            </w:r>
            <w:r>
              <w:rPr>
                <w:rFonts w:hint="default" w:ascii="Times New Roman" w:hAnsi="Times New Roman" w:cs="Times New Roman" w:eastAsiaTheme="minorEastAsia"/>
                <w:color w:val="auto"/>
                <w:highlight w:val="none"/>
                <w:vertAlign w:val="subscript"/>
              </w:rPr>
              <w:t>10</w:t>
            </w:r>
            <w:r>
              <w:rPr>
                <w:rFonts w:hint="default" w:ascii="Times New Roman" w:hAnsi="Times New Roman" w:cs="Times New Roman" w:eastAsiaTheme="minorEastAsia"/>
                <w:color w:val="auto"/>
                <w:highlight w:val="none"/>
              </w:rPr>
              <w:t>）</w:t>
            </w:r>
          </w:p>
        </w:tc>
        <w:tc>
          <w:tcPr>
            <w:tcW w:w="2332" w:type="dxa"/>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rPr>
              <w:t>450（折算）</w:t>
            </w:r>
          </w:p>
        </w:tc>
        <w:tc>
          <w:tcPr>
            <w:tcW w:w="992" w:type="dxa"/>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0.1287</w:t>
            </w:r>
          </w:p>
        </w:tc>
        <w:tc>
          <w:tcPr>
            <w:tcW w:w="1241" w:type="dxa"/>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1668" w:type="dxa"/>
            <w:vMerge w:val="continue"/>
            <w:vAlign w:val="center"/>
          </w:tcPr>
          <w:p>
            <w:pPr>
              <w:pStyle w:val="666"/>
              <w:rPr>
                <w:rFonts w:hint="default" w:ascii="Times New Roman" w:hAnsi="Times New Roman" w:cs="Times New Roman" w:eastAsiaTheme="minorEastAsia"/>
                <w:color w:val="auto"/>
                <w:highlight w:val="none"/>
              </w:rPr>
            </w:pPr>
          </w:p>
        </w:tc>
        <w:tc>
          <w:tcPr>
            <w:tcW w:w="962" w:type="dxa"/>
            <w:vMerge w:val="continue"/>
            <w:vAlign w:val="center"/>
          </w:tcPr>
          <w:p>
            <w:pPr>
              <w:pStyle w:val="666"/>
              <w:rPr>
                <w:rFonts w:hint="default" w:ascii="Times New Roman" w:hAnsi="Times New Roman" w:cs="Times New Roman" w:eastAsiaTheme="minorEastAsia"/>
                <w:color w:val="auto"/>
                <w:highlight w:val="none"/>
              </w:rPr>
            </w:pPr>
          </w:p>
        </w:tc>
        <w:tc>
          <w:tcPr>
            <w:tcW w:w="1525"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SO</w:t>
            </w:r>
            <w:r>
              <w:rPr>
                <w:rFonts w:hint="default" w:ascii="Times New Roman" w:hAnsi="Times New Roman" w:cs="Times New Roman" w:eastAsiaTheme="minorEastAsia"/>
                <w:color w:val="auto"/>
                <w:highlight w:val="none"/>
                <w:vertAlign w:val="subscript"/>
              </w:rPr>
              <w:t>2</w:t>
            </w:r>
          </w:p>
        </w:tc>
        <w:tc>
          <w:tcPr>
            <w:tcW w:w="2332" w:type="dxa"/>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rPr>
              <w:t>500</w:t>
            </w:r>
          </w:p>
        </w:tc>
        <w:tc>
          <w:tcPr>
            <w:tcW w:w="992" w:type="dxa"/>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3.4455</w:t>
            </w:r>
          </w:p>
        </w:tc>
        <w:tc>
          <w:tcPr>
            <w:tcW w:w="1241" w:type="dxa"/>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1668" w:type="dxa"/>
            <w:vMerge w:val="continue"/>
            <w:vAlign w:val="center"/>
          </w:tcPr>
          <w:p>
            <w:pPr>
              <w:pStyle w:val="666"/>
              <w:rPr>
                <w:rFonts w:hint="default" w:ascii="Times New Roman" w:hAnsi="Times New Roman" w:cs="Times New Roman" w:eastAsiaTheme="minorEastAsia"/>
                <w:color w:val="auto"/>
                <w:highlight w:val="none"/>
              </w:rPr>
            </w:pPr>
          </w:p>
        </w:tc>
        <w:tc>
          <w:tcPr>
            <w:tcW w:w="962" w:type="dxa"/>
            <w:vMerge w:val="continue"/>
            <w:vAlign w:val="center"/>
          </w:tcPr>
          <w:p>
            <w:pPr>
              <w:pStyle w:val="666"/>
              <w:rPr>
                <w:rFonts w:hint="default" w:ascii="Times New Roman" w:hAnsi="Times New Roman" w:cs="Times New Roman" w:eastAsiaTheme="minorEastAsia"/>
                <w:color w:val="auto"/>
                <w:highlight w:val="none"/>
              </w:rPr>
            </w:pPr>
          </w:p>
        </w:tc>
        <w:tc>
          <w:tcPr>
            <w:tcW w:w="1525"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NO</w:t>
            </w:r>
            <w:r>
              <w:rPr>
                <w:rFonts w:hint="default" w:ascii="Times New Roman" w:hAnsi="Times New Roman" w:cs="Times New Roman" w:eastAsiaTheme="minorEastAsia"/>
                <w:color w:val="auto"/>
                <w:highlight w:val="none"/>
                <w:vertAlign w:val="subscript"/>
              </w:rPr>
              <w:t>2</w:t>
            </w:r>
          </w:p>
        </w:tc>
        <w:tc>
          <w:tcPr>
            <w:tcW w:w="2332" w:type="dxa"/>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rPr>
              <w:t>200</w:t>
            </w:r>
          </w:p>
        </w:tc>
        <w:tc>
          <w:tcPr>
            <w:tcW w:w="992" w:type="dxa"/>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4.1114</w:t>
            </w:r>
          </w:p>
        </w:tc>
        <w:tc>
          <w:tcPr>
            <w:tcW w:w="1241" w:type="dxa"/>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0" w:hRule="atLeast"/>
          <w:jc w:val="center"/>
        </w:trPr>
        <w:tc>
          <w:tcPr>
            <w:tcW w:w="1668" w:type="dxa"/>
            <w:vMerge w:val="restar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沼气燃烧废气</w:t>
            </w:r>
          </w:p>
        </w:tc>
        <w:tc>
          <w:tcPr>
            <w:tcW w:w="962" w:type="dxa"/>
            <w:vMerge w:val="restar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点源</w:t>
            </w:r>
          </w:p>
        </w:tc>
        <w:tc>
          <w:tcPr>
            <w:tcW w:w="1525"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颗粒物（PM</w:t>
            </w:r>
            <w:r>
              <w:rPr>
                <w:rFonts w:hint="default" w:ascii="Times New Roman" w:hAnsi="Times New Roman" w:cs="Times New Roman" w:eastAsiaTheme="minorEastAsia"/>
                <w:color w:val="auto"/>
                <w:highlight w:val="none"/>
                <w:vertAlign w:val="subscript"/>
              </w:rPr>
              <w:t>10</w:t>
            </w:r>
            <w:r>
              <w:rPr>
                <w:rFonts w:hint="default" w:ascii="Times New Roman" w:hAnsi="Times New Roman" w:cs="Times New Roman" w:eastAsiaTheme="minorEastAsia"/>
                <w:color w:val="auto"/>
                <w:highlight w:val="none"/>
              </w:rPr>
              <w:t>）</w:t>
            </w:r>
          </w:p>
        </w:tc>
        <w:tc>
          <w:tcPr>
            <w:tcW w:w="2332"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450（折算）</w:t>
            </w:r>
          </w:p>
        </w:tc>
        <w:tc>
          <w:tcPr>
            <w:tcW w:w="992" w:type="dxa"/>
            <w:vAlign w:val="center"/>
          </w:tcPr>
          <w:p>
            <w:pPr>
              <w:pStyle w:val="666"/>
              <w:ind w:firstLine="0" w:firstLineChars="0"/>
              <w:rPr>
                <w:rFonts w:hint="default" w:ascii="Times New Roman" w:hAnsi="Times New Roman" w:cs="Times New Roman" w:eastAsiaTheme="minorEastAsia"/>
                <w:color w:val="auto"/>
                <w:highlight w:val="none"/>
                <w:lang w:val="en-US"/>
              </w:rPr>
            </w:pPr>
            <w:r>
              <w:rPr>
                <w:rFonts w:hint="default" w:ascii="Times New Roman" w:hAnsi="Times New Roman" w:cs="Times New Roman" w:eastAsiaTheme="minorEastAsia"/>
                <w:color w:val="auto"/>
                <w:highlight w:val="none"/>
                <w:lang w:val="en-US" w:eastAsia="zh-CN"/>
              </w:rPr>
              <w:t>0.0011</w:t>
            </w:r>
          </w:p>
        </w:tc>
        <w:tc>
          <w:tcPr>
            <w:tcW w:w="1241"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1668" w:type="dxa"/>
            <w:vMerge w:val="continue"/>
            <w:vAlign w:val="center"/>
          </w:tcPr>
          <w:p>
            <w:pPr>
              <w:pStyle w:val="666"/>
              <w:rPr>
                <w:rFonts w:hint="default" w:ascii="Times New Roman" w:hAnsi="Times New Roman" w:cs="Times New Roman" w:eastAsiaTheme="minorEastAsia"/>
                <w:color w:val="auto"/>
                <w:highlight w:val="none"/>
              </w:rPr>
            </w:pPr>
          </w:p>
        </w:tc>
        <w:tc>
          <w:tcPr>
            <w:tcW w:w="962" w:type="dxa"/>
            <w:vMerge w:val="continue"/>
            <w:vAlign w:val="center"/>
          </w:tcPr>
          <w:p>
            <w:pPr>
              <w:pStyle w:val="666"/>
              <w:rPr>
                <w:rFonts w:hint="default" w:ascii="Times New Roman" w:hAnsi="Times New Roman" w:cs="Times New Roman" w:eastAsiaTheme="minorEastAsia"/>
                <w:color w:val="auto"/>
                <w:highlight w:val="none"/>
              </w:rPr>
            </w:pPr>
          </w:p>
        </w:tc>
        <w:tc>
          <w:tcPr>
            <w:tcW w:w="1525"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SO</w:t>
            </w:r>
            <w:r>
              <w:rPr>
                <w:rFonts w:hint="default" w:ascii="Times New Roman" w:hAnsi="Times New Roman" w:cs="Times New Roman" w:eastAsiaTheme="minorEastAsia"/>
                <w:color w:val="auto"/>
                <w:highlight w:val="none"/>
                <w:vertAlign w:val="subscript"/>
              </w:rPr>
              <w:t>2</w:t>
            </w:r>
          </w:p>
        </w:tc>
        <w:tc>
          <w:tcPr>
            <w:tcW w:w="2332"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500</w:t>
            </w:r>
          </w:p>
        </w:tc>
        <w:tc>
          <w:tcPr>
            <w:tcW w:w="992" w:type="dxa"/>
            <w:vAlign w:val="center"/>
          </w:tcPr>
          <w:p>
            <w:pPr>
              <w:pStyle w:val="666"/>
              <w:ind w:firstLine="0" w:firstLineChars="0"/>
              <w:rPr>
                <w:rFonts w:hint="default" w:ascii="Times New Roman" w:hAnsi="Times New Roman" w:cs="Times New Roman" w:eastAsiaTheme="minorEastAsia"/>
                <w:color w:val="auto"/>
                <w:highlight w:val="none"/>
                <w:lang w:val="en-US"/>
              </w:rPr>
            </w:pPr>
            <w:r>
              <w:rPr>
                <w:rFonts w:hint="default" w:ascii="Times New Roman" w:hAnsi="Times New Roman" w:cs="Times New Roman" w:eastAsiaTheme="minorEastAsia"/>
                <w:color w:val="auto"/>
                <w:highlight w:val="none"/>
                <w:lang w:val="en-US" w:eastAsia="zh-CN"/>
              </w:rPr>
              <w:t>0.0007</w:t>
            </w:r>
          </w:p>
        </w:tc>
        <w:tc>
          <w:tcPr>
            <w:tcW w:w="1241"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1668" w:type="dxa"/>
            <w:vMerge w:val="continue"/>
            <w:vAlign w:val="center"/>
          </w:tcPr>
          <w:p>
            <w:pPr>
              <w:pStyle w:val="666"/>
              <w:rPr>
                <w:rFonts w:hint="default" w:ascii="Times New Roman" w:hAnsi="Times New Roman" w:cs="Times New Roman" w:eastAsiaTheme="minorEastAsia"/>
                <w:color w:val="auto"/>
                <w:highlight w:val="none"/>
              </w:rPr>
            </w:pPr>
          </w:p>
        </w:tc>
        <w:tc>
          <w:tcPr>
            <w:tcW w:w="962" w:type="dxa"/>
            <w:vMerge w:val="continue"/>
            <w:vAlign w:val="center"/>
          </w:tcPr>
          <w:p>
            <w:pPr>
              <w:pStyle w:val="666"/>
              <w:rPr>
                <w:rFonts w:hint="default" w:ascii="Times New Roman" w:hAnsi="Times New Roman" w:cs="Times New Roman" w:eastAsiaTheme="minorEastAsia"/>
                <w:color w:val="auto"/>
                <w:highlight w:val="none"/>
              </w:rPr>
            </w:pPr>
          </w:p>
        </w:tc>
        <w:tc>
          <w:tcPr>
            <w:tcW w:w="1525"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NO</w:t>
            </w:r>
            <w:r>
              <w:rPr>
                <w:rFonts w:hint="default" w:ascii="Times New Roman" w:hAnsi="Times New Roman" w:cs="Times New Roman" w:eastAsiaTheme="minorEastAsia"/>
                <w:color w:val="auto"/>
                <w:highlight w:val="none"/>
                <w:vertAlign w:val="subscript"/>
              </w:rPr>
              <w:t>2</w:t>
            </w:r>
          </w:p>
        </w:tc>
        <w:tc>
          <w:tcPr>
            <w:tcW w:w="2332"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200</w:t>
            </w:r>
          </w:p>
        </w:tc>
        <w:tc>
          <w:tcPr>
            <w:tcW w:w="992" w:type="dxa"/>
            <w:vAlign w:val="center"/>
          </w:tcPr>
          <w:p>
            <w:pPr>
              <w:pStyle w:val="666"/>
              <w:ind w:firstLine="0" w:firstLineChars="0"/>
              <w:rPr>
                <w:rFonts w:hint="default" w:ascii="Times New Roman" w:hAnsi="Times New Roman" w:cs="Times New Roman" w:eastAsiaTheme="minorEastAsia"/>
                <w:color w:val="auto"/>
                <w:highlight w:val="none"/>
                <w:lang w:val="en-US"/>
              </w:rPr>
            </w:pPr>
            <w:r>
              <w:rPr>
                <w:rFonts w:hint="default" w:ascii="Times New Roman" w:hAnsi="Times New Roman" w:cs="Times New Roman" w:eastAsiaTheme="minorEastAsia"/>
                <w:color w:val="auto"/>
                <w:highlight w:val="none"/>
                <w:lang w:val="en-US" w:eastAsia="zh-CN"/>
              </w:rPr>
              <w:t>0.0126</w:t>
            </w:r>
          </w:p>
        </w:tc>
        <w:tc>
          <w:tcPr>
            <w:tcW w:w="1241"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668" w:type="dxa"/>
            <w:vMerge w:val="restart"/>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 xml:space="preserve">固液分离间 </w:t>
            </w:r>
          </w:p>
        </w:tc>
        <w:tc>
          <w:tcPr>
            <w:tcW w:w="962" w:type="dxa"/>
            <w:vMerge w:val="restart"/>
            <w:vAlign w:val="center"/>
          </w:tcPr>
          <w:p>
            <w:pPr>
              <w:pStyle w:val="666"/>
              <w:rPr>
                <w:rFonts w:hint="default" w:ascii="Times New Roman" w:hAnsi="Times New Roman" w:cs="Times New Roman" w:eastAsiaTheme="minorEastAsia"/>
                <w:color w:val="auto"/>
                <w:highlight w:val="none"/>
                <w:lang w:eastAsia="zh-CN"/>
              </w:rPr>
            </w:pPr>
            <w:r>
              <w:rPr>
                <w:rFonts w:hint="default" w:ascii="Times New Roman" w:hAnsi="Times New Roman" w:cs="Times New Roman" w:eastAsiaTheme="minorEastAsia"/>
                <w:color w:val="auto"/>
                <w:highlight w:val="none"/>
                <w:lang w:eastAsia="zh-CN"/>
              </w:rPr>
              <w:t>点源</w:t>
            </w:r>
          </w:p>
        </w:tc>
        <w:tc>
          <w:tcPr>
            <w:tcW w:w="1525" w:type="dxa"/>
            <w:tcBorders>
              <w:bottom w:val="single" w:color="000000" w:sz="12" w:space="0"/>
            </w:tcBorders>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rPr>
              <w:t>NH</w:t>
            </w:r>
            <w:r>
              <w:rPr>
                <w:rFonts w:hint="default" w:ascii="Times New Roman" w:hAnsi="Times New Roman" w:cs="Times New Roman" w:eastAsiaTheme="minorEastAsia"/>
                <w:color w:val="auto"/>
                <w:highlight w:val="none"/>
                <w:vertAlign w:val="subscript"/>
              </w:rPr>
              <w:t>3</w:t>
            </w:r>
          </w:p>
        </w:tc>
        <w:tc>
          <w:tcPr>
            <w:tcW w:w="2332" w:type="dxa"/>
            <w:tcBorders>
              <w:bottom w:val="single" w:color="000000" w:sz="12" w:space="0"/>
            </w:tcBorders>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rPr>
              <w:t>200</w:t>
            </w:r>
          </w:p>
        </w:tc>
        <w:tc>
          <w:tcPr>
            <w:tcW w:w="992" w:type="dxa"/>
            <w:tcBorders>
              <w:bottom w:val="single" w:color="000000" w:sz="12" w:space="0"/>
            </w:tcBorders>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0.0152</w:t>
            </w:r>
          </w:p>
        </w:tc>
        <w:tc>
          <w:tcPr>
            <w:tcW w:w="1241" w:type="dxa"/>
            <w:tcBorders>
              <w:bottom w:val="single" w:color="000000" w:sz="12" w:space="0"/>
            </w:tcBorders>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1668" w:type="dxa"/>
            <w:vMerge w:val="continue"/>
            <w:vAlign w:val="center"/>
          </w:tcPr>
          <w:p>
            <w:pPr>
              <w:pStyle w:val="666"/>
              <w:rPr>
                <w:rFonts w:hint="default" w:ascii="Times New Roman" w:hAnsi="Times New Roman" w:cs="Times New Roman" w:eastAsiaTheme="minorEastAsia"/>
                <w:color w:val="auto"/>
                <w:highlight w:val="none"/>
                <w:lang w:val="en-US" w:eastAsia="zh-CN"/>
              </w:rPr>
            </w:pPr>
          </w:p>
        </w:tc>
        <w:tc>
          <w:tcPr>
            <w:tcW w:w="962" w:type="dxa"/>
            <w:vMerge w:val="continue"/>
            <w:vAlign w:val="center"/>
          </w:tcPr>
          <w:p>
            <w:pPr>
              <w:pStyle w:val="666"/>
              <w:rPr>
                <w:rFonts w:hint="default" w:ascii="Times New Roman" w:hAnsi="Times New Roman" w:cs="Times New Roman" w:eastAsiaTheme="minorEastAsia"/>
                <w:color w:val="auto"/>
                <w:highlight w:val="none"/>
                <w:lang w:eastAsia="zh-CN"/>
              </w:rPr>
            </w:pPr>
          </w:p>
        </w:tc>
        <w:tc>
          <w:tcPr>
            <w:tcW w:w="1525" w:type="dxa"/>
            <w:tcBorders>
              <w:top w:val="single" w:color="000000" w:sz="12" w:space="0"/>
            </w:tcBorders>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rPr>
              <w:t>H</w:t>
            </w:r>
            <w:r>
              <w:rPr>
                <w:rFonts w:hint="default" w:ascii="Times New Roman" w:hAnsi="Times New Roman" w:cs="Times New Roman" w:eastAsiaTheme="minorEastAsia"/>
                <w:color w:val="auto"/>
                <w:highlight w:val="none"/>
                <w:vertAlign w:val="subscript"/>
              </w:rPr>
              <w:t>2</w:t>
            </w:r>
            <w:r>
              <w:rPr>
                <w:rFonts w:hint="default" w:ascii="Times New Roman" w:hAnsi="Times New Roman" w:cs="Times New Roman" w:eastAsiaTheme="minorEastAsia"/>
                <w:color w:val="auto"/>
                <w:highlight w:val="none"/>
              </w:rPr>
              <w:t>S</w:t>
            </w:r>
          </w:p>
        </w:tc>
        <w:tc>
          <w:tcPr>
            <w:tcW w:w="2332" w:type="dxa"/>
            <w:tcBorders>
              <w:top w:val="single" w:color="000000" w:sz="12" w:space="0"/>
            </w:tcBorders>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rPr>
              <w:t>10</w:t>
            </w:r>
          </w:p>
        </w:tc>
        <w:tc>
          <w:tcPr>
            <w:tcW w:w="992" w:type="dxa"/>
            <w:tcBorders>
              <w:top w:val="single" w:color="000000" w:sz="12" w:space="0"/>
            </w:tcBorders>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0.1901</w:t>
            </w:r>
          </w:p>
        </w:tc>
        <w:tc>
          <w:tcPr>
            <w:tcW w:w="1241" w:type="dxa"/>
            <w:tcBorders>
              <w:top w:val="single" w:color="000000" w:sz="12" w:space="0"/>
            </w:tcBorders>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668" w:type="dxa"/>
            <w:vMerge w:val="restar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牛舍</w:t>
            </w:r>
          </w:p>
        </w:tc>
        <w:tc>
          <w:tcPr>
            <w:tcW w:w="962" w:type="dxa"/>
            <w:vMerge w:val="restar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面源</w:t>
            </w:r>
          </w:p>
        </w:tc>
        <w:tc>
          <w:tcPr>
            <w:tcW w:w="1525"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NH</w:t>
            </w:r>
            <w:r>
              <w:rPr>
                <w:rFonts w:hint="default" w:ascii="Times New Roman" w:hAnsi="Times New Roman" w:cs="Times New Roman" w:eastAsiaTheme="minorEastAsia"/>
                <w:color w:val="auto"/>
                <w:highlight w:val="none"/>
                <w:vertAlign w:val="subscript"/>
              </w:rPr>
              <w:t>3</w:t>
            </w:r>
          </w:p>
        </w:tc>
        <w:tc>
          <w:tcPr>
            <w:tcW w:w="2332"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200</w:t>
            </w:r>
          </w:p>
        </w:tc>
        <w:tc>
          <w:tcPr>
            <w:tcW w:w="992" w:type="dxa"/>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2.7161</w:t>
            </w:r>
          </w:p>
        </w:tc>
        <w:tc>
          <w:tcPr>
            <w:tcW w:w="1241"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3" w:hRule="atLeast"/>
          <w:jc w:val="center"/>
        </w:trPr>
        <w:tc>
          <w:tcPr>
            <w:tcW w:w="1668" w:type="dxa"/>
            <w:vMerge w:val="continue"/>
            <w:vAlign w:val="center"/>
          </w:tcPr>
          <w:p>
            <w:pPr>
              <w:pStyle w:val="666"/>
              <w:rPr>
                <w:rFonts w:hint="default" w:ascii="Times New Roman" w:hAnsi="Times New Roman" w:cs="Times New Roman" w:eastAsiaTheme="minorEastAsia"/>
                <w:color w:val="auto"/>
                <w:highlight w:val="none"/>
              </w:rPr>
            </w:pPr>
          </w:p>
        </w:tc>
        <w:tc>
          <w:tcPr>
            <w:tcW w:w="962" w:type="dxa"/>
            <w:vMerge w:val="continue"/>
            <w:vAlign w:val="center"/>
          </w:tcPr>
          <w:p>
            <w:pPr>
              <w:pStyle w:val="666"/>
              <w:rPr>
                <w:rFonts w:hint="default" w:ascii="Times New Roman" w:hAnsi="Times New Roman" w:cs="Times New Roman" w:eastAsiaTheme="minorEastAsia"/>
                <w:color w:val="auto"/>
                <w:highlight w:val="none"/>
              </w:rPr>
            </w:pPr>
          </w:p>
        </w:tc>
        <w:tc>
          <w:tcPr>
            <w:tcW w:w="1525"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H</w:t>
            </w:r>
            <w:r>
              <w:rPr>
                <w:rFonts w:hint="default" w:ascii="Times New Roman" w:hAnsi="Times New Roman" w:cs="Times New Roman" w:eastAsiaTheme="minorEastAsia"/>
                <w:color w:val="auto"/>
                <w:highlight w:val="none"/>
                <w:vertAlign w:val="subscript"/>
              </w:rPr>
              <w:t>2</w:t>
            </w:r>
            <w:r>
              <w:rPr>
                <w:rFonts w:hint="default" w:ascii="Times New Roman" w:hAnsi="Times New Roman" w:cs="Times New Roman" w:eastAsiaTheme="minorEastAsia"/>
                <w:color w:val="auto"/>
                <w:highlight w:val="none"/>
              </w:rPr>
              <w:t>S</w:t>
            </w:r>
          </w:p>
        </w:tc>
        <w:tc>
          <w:tcPr>
            <w:tcW w:w="2332"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10</w:t>
            </w:r>
          </w:p>
        </w:tc>
        <w:tc>
          <w:tcPr>
            <w:tcW w:w="992" w:type="dxa"/>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0.3704</w:t>
            </w:r>
          </w:p>
        </w:tc>
        <w:tc>
          <w:tcPr>
            <w:tcW w:w="1241"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2" w:hRule="atLeast"/>
          <w:jc w:val="center"/>
        </w:trPr>
        <w:tc>
          <w:tcPr>
            <w:tcW w:w="1668" w:type="dxa"/>
            <w:vMerge w:val="restar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粪污处理区</w:t>
            </w:r>
          </w:p>
        </w:tc>
        <w:tc>
          <w:tcPr>
            <w:tcW w:w="962" w:type="dxa"/>
            <w:vMerge w:val="continue"/>
            <w:vAlign w:val="center"/>
          </w:tcPr>
          <w:p>
            <w:pPr>
              <w:pStyle w:val="666"/>
              <w:rPr>
                <w:rFonts w:hint="default" w:ascii="Times New Roman" w:hAnsi="Times New Roman" w:cs="Times New Roman" w:eastAsiaTheme="minorEastAsia"/>
                <w:color w:val="auto"/>
                <w:highlight w:val="none"/>
              </w:rPr>
            </w:pPr>
          </w:p>
        </w:tc>
        <w:tc>
          <w:tcPr>
            <w:tcW w:w="1525"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NH</w:t>
            </w:r>
            <w:r>
              <w:rPr>
                <w:rFonts w:hint="default" w:ascii="Times New Roman" w:hAnsi="Times New Roman" w:cs="Times New Roman" w:eastAsiaTheme="minorEastAsia"/>
                <w:color w:val="auto"/>
                <w:highlight w:val="none"/>
                <w:vertAlign w:val="subscript"/>
              </w:rPr>
              <w:t>3</w:t>
            </w:r>
          </w:p>
        </w:tc>
        <w:tc>
          <w:tcPr>
            <w:tcW w:w="2332"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200</w:t>
            </w:r>
          </w:p>
        </w:tc>
        <w:tc>
          <w:tcPr>
            <w:tcW w:w="992" w:type="dxa"/>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2.3891</w:t>
            </w:r>
          </w:p>
        </w:tc>
        <w:tc>
          <w:tcPr>
            <w:tcW w:w="1241"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1668" w:type="dxa"/>
            <w:vMerge w:val="continue"/>
            <w:vAlign w:val="center"/>
          </w:tcPr>
          <w:p>
            <w:pPr>
              <w:pStyle w:val="666"/>
              <w:rPr>
                <w:rFonts w:hint="default" w:ascii="Times New Roman" w:hAnsi="Times New Roman" w:cs="Times New Roman" w:eastAsiaTheme="minorEastAsia"/>
                <w:color w:val="auto"/>
                <w:highlight w:val="none"/>
              </w:rPr>
            </w:pPr>
          </w:p>
        </w:tc>
        <w:tc>
          <w:tcPr>
            <w:tcW w:w="962" w:type="dxa"/>
            <w:vMerge w:val="continue"/>
            <w:vAlign w:val="center"/>
          </w:tcPr>
          <w:p>
            <w:pPr>
              <w:pStyle w:val="666"/>
              <w:rPr>
                <w:rFonts w:hint="default" w:ascii="Times New Roman" w:hAnsi="Times New Roman" w:cs="Times New Roman" w:eastAsiaTheme="minorEastAsia"/>
                <w:color w:val="auto"/>
                <w:highlight w:val="none"/>
              </w:rPr>
            </w:pPr>
          </w:p>
        </w:tc>
        <w:tc>
          <w:tcPr>
            <w:tcW w:w="1525"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H</w:t>
            </w:r>
            <w:r>
              <w:rPr>
                <w:rFonts w:hint="default" w:ascii="Times New Roman" w:hAnsi="Times New Roman" w:cs="Times New Roman" w:eastAsiaTheme="minorEastAsia"/>
                <w:color w:val="auto"/>
                <w:highlight w:val="none"/>
                <w:vertAlign w:val="subscript"/>
              </w:rPr>
              <w:t>2</w:t>
            </w:r>
            <w:r>
              <w:rPr>
                <w:rFonts w:hint="default" w:ascii="Times New Roman" w:hAnsi="Times New Roman" w:cs="Times New Roman" w:eastAsiaTheme="minorEastAsia"/>
                <w:color w:val="auto"/>
                <w:highlight w:val="none"/>
              </w:rPr>
              <w:t>S</w:t>
            </w:r>
          </w:p>
        </w:tc>
        <w:tc>
          <w:tcPr>
            <w:tcW w:w="2332"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10</w:t>
            </w:r>
          </w:p>
        </w:tc>
        <w:tc>
          <w:tcPr>
            <w:tcW w:w="992" w:type="dxa"/>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2.7303</w:t>
            </w:r>
          </w:p>
        </w:tc>
        <w:tc>
          <w:tcPr>
            <w:tcW w:w="1241"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1668"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饲料加工无组织粉尘</w:t>
            </w:r>
          </w:p>
        </w:tc>
        <w:tc>
          <w:tcPr>
            <w:tcW w:w="962" w:type="dxa"/>
            <w:vMerge w:val="continue"/>
            <w:vAlign w:val="center"/>
          </w:tcPr>
          <w:p>
            <w:pPr>
              <w:pStyle w:val="666"/>
              <w:rPr>
                <w:rFonts w:hint="default" w:ascii="Times New Roman" w:hAnsi="Times New Roman" w:cs="Times New Roman" w:eastAsiaTheme="minorEastAsia"/>
                <w:color w:val="auto"/>
                <w:highlight w:val="none"/>
              </w:rPr>
            </w:pPr>
          </w:p>
        </w:tc>
        <w:tc>
          <w:tcPr>
            <w:tcW w:w="1525"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TSP</w:t>
            </w:r>
          </w:p>
        </w:tc>
        <w:tc>
          <w:tcPr>
            <w:tcW w:w="2332"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900（折算）</w:t>
            </w:r>
          </w:p>
        </w:tc>
        <w:tc>
          <w:tcPr>
            <w:tcW w:w="992" w:type="dxa"/>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0.6382</w:t>
            </w:r>
          </w:p>
        </w:tc>
        <w:tc>
          <w:tcPr>
            <w:tcW w:w="1241"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w:t>
            </w:r>
          </w:p>
        </w:tc>
      </w:tr>
    </w:tbl>
    <w:p>
      <w:pPr>
        <w:ind w:firstLine="560"/>
        <w:rPr>
          <w:rFonts w:hint="default" w:ascii="Times New Roman" w:hAnsi="Times New Roman" w:cs="Times New Roman" w:eastAsiaTheme="minorEastAsia"/>
          <w:color w:val="auto"/>
          <w:sz w:val="24"/>
          <w:szCs w:val="22"/>
          <w:highlight w:val="none"/>
          <w:lang w:val="en-GB"/>
        </w:rPr>
      </w:pPr>
      <w:r>
        <w:rPr>
          <w:rFonts w:hint="default" w:ascii="Times New Roman" w:hAnsi="Times New Roman" w:cs="Times New Roman" w:eastAsiaTheme="minorEastAsia"/>
          <w:color w:val="auto"/>
          <w:sz w:val="24"/>
          <w:szCs w:val="22"/>
          <w:highlight w:val="none"/>
          <w:lang w:val="en-GB"/>
        </w:rPr>
        <w:t>由表2-3-8可知，最大地面浓度占标率</w:t>
      </w:r>
      <w:r>
        <w:rPr>
          <w:rFonts w:hint="default" w:ascii="Times New Roman" w:hAnsi="Times New Roman" w:cs="Times New Roman" w:eastAsiaTheme="minorEastAsia"/>
          <w:color w:val="auto"/>
          <w:sz w:val="24"/>
          <w:szCs w:val="22"/>
          <w:highlight w:val="none"/>
        </w:rPr>
        <w:t>1%≤</w:t>
      </w:r>
      <w:r>
        <w:rPr>
          <w:rFonts w:hint="default" w:ascii="Times New Roman" w:hAnsi="Times New Roman" w:cs="Times New Roman" w:eastAsiaTheme="minorEastAsia"/>
          <w:color w:val="auto"/>
          <w:sz w:val="24"/>
          <w:szCs w:val="22"/>
          <w:highlight w:val="none"/>
          <w:lang w:val="en-GB"/>
        </w:rPr>
        <w:t>P</w:t>
      </w:r>
      <w:r>
        <w:rPr>
          <w:rFonts w:hint="default" w:ascii="Times New Roman" w:hAnsi="Times New Roman" w:cs="Times New Roman" w:eastAsiaTheme="minorEastAsia"/>
          <w:color w:val="auto"/>
          <w:sz w:val="24"/>
          <w:szCs w:val="22"/>
          <w:highlight w:val="none"/>
          <w:vertAlign w:val="subscript"/>
          <w:lang w:val="en-GB"/>
        </w:rPr>
        <w:t>max</w:t>
      </w:r>
      <w:r>
        <w:rPr>
          <w:rFonts w:hint="default" w:ascii="Times New Roman" w:hAnsi="Times New Roman" w:cs="Times New Roman" w:eastAsiaTheme="minorEastAsia"/>
          <w:color w:val="auto"/>
          <w:sz w:val="24"/>
          <w:szCs w:val="22"/>
          <w:highlight w:val="none"/>
          <w:lang w:val="en-GB"/>
        </w:rPr>
        <w:t>（</w:t>
      </w:r>
      <w:r>
        <w:rPr>
          <w:rFonts w:hint="default" w:ascii="Times New Roman" w:hAnsi="Times New Roman" w:cs="Times New Roman" w:eastAsiaTheme="minorEastAsia"/>
          <w:color w:val="auto"/>
          <w:sz w:val="24"/>
          <w:szCs w:val="22"/>
          <w:highlight w:val="none"/>
          <w:lang w:val="en-GB" w:eastAsia="zh-CN"/>
        </w:rPr>
        <w:t>生物质锅炉氮氧化物</w:t>
      </w:r>
      <w:r>
        <w:rPr>
          <w:rFonts w:hint="default" w:ascii="Times New Roman" w:hAnsi="Times New Roman" w:cs="Times New Roman" w:eastAsiaTheme="minorEastAsia"/>
          <w:color w:val="auto"/>
          <w:sz w:val="24"/>
          <w:szCs w:val="22"/>
          <w:highlight w:val="none"/>
          <w:lang w:val="en-GB"/>
        </w:rPr>
        <w:t>）=</w:t>
      </w:r>
      <w:r>
        <w:rPr>
          <w:rFonts w:hint="default" w:ascii="Times New Roman" w:hAnsi="Times New Roman" w:cs="Times New Roman" w:eastAsiaTheme="minorEastAsia"/>
          <w:color w:val="auto"/>
          <w:sz w:val="24"/>
          <w:szCs w:val="22"/>
          <w:highlight w:val="none"/>
          <w:lang w:val="en-US" w:eastAsia="zh-CN"/>
        </w:rPr>
        <w:t>4.1114</w:t>
      </w:r>
      <w:r>
        <w:rPr>
          <w:rFonts w:hint="default" w:ascii="Times New Roman" w:hAnsi="Times New Roman" w:cs="Times New Roman" w:eastAsiaTheme="minorEastAsia"/>
          <w:color w:val="auto"/>
          <w:sz w:val="24"/>
          <w:szCs w:val="22"/>
          <w:highlight w:val="none"/>
          <w:lang w:val="en-GB"/>
        </w:rPr>
        <w:t>%</w:t>
      </w:r>
      <w:r>
        <w:rPr>
          <w:rFonts w:hint="default" w:ascii="Times New Roman" w:hAnsi="Times New Roman" w:cs="Times New Roman" w:eastAsiaTheme="minorEastAsia"/>
          <w:color w:val="auto"/>
          <w:sz w:val="24"/>
          <w:szCs w:val="22"/>
          <w:highlight w:val="none"/>
        </w:rPr>
        <w:t>&lt;10%，故</w:t>
      </w:r>
      <w:r>
        <w:rPr>
          <w:rFonts w:hint="default" w:ascii="Times New Roman" w:hAnsi="Times New Roman" w:cs="Times New Roman" w:eastAsiaTheme="minorEastAsia"/>
          <w:color w:val="auto"/>
          <w:sz w:val="24"/>
          <w:szCs w:val="22"/>
          <w:highlight w:val="none"/>
          <w:lang w:val="en-GB"/>
        </w:rPr>
        <w:t>确定本项目环境空气评价工作级别为二级。</w:t>
      </w:r>
    </w:p>
    <w:p>
      <w:pPr>
        <w:pStyle w:val="1297"/>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2.3.1.2 评价范围</w:t>
      </w:r>
      <w:bookmarkEnd w:id="50"/>
    </w:p>
    <w:p>
      <w:pPr>
        <w:ind w:firstLine="560"/>
        <w:rPr>
          <w:rFonts w:hint="default" w:ascii="Times New Roman" w:hAnsi="Times New Roman" w:cs="Times New Roman" w:eastAsiaTheme="minorEastAsia"/>
          <w:color w:val="auto"/>
          <w:sz w:val="24"/>
          <w:szCs w:val="22"/>
          <w:highlight w:val="none"/>
          <w:lang w:val="en-GB"/>
        </w:rPr>
      </w:pPr>
      <w:r>
        <w:rPr>
          <w:rFonts w:hint="default" w:ascii="Times New Roman" w:hAnsi="Times New Roman" w:cs="Times New Roman" w:eastAsiaTheme="minorEastAsia"/>
          <w:color w:val="auto"/>
          <w:sz w:val="24"/>
          <w:szCs w:val="22"/>
          <w:highlight w:val="none"/>
          <w:lang w:val="en-GB"/>
        </w:rPr>
        <w:t>根据《环境影响评价技术导则 大气环境》（HJ2.2-2018），本次评价范围为以本项目厂址为中心，边长为5km×5km=</w:t>
      </w:r>
      <w:r>
        <w:rPr>
          <w:rFonts w:hint="default" w:ascii="Times New Roman" w:hAnsi="Times New Roman" w:cs="Times New Roman" w:eastAsiaTheme="minorEastAsia"/>
          <w:color w:val="auto"/>
          <w:sz w:val="24"/>
          <w:szCs w:val="22"/>
          <w:highlight w:val="none"/>
        </w:rPr>
        <w:t>25</w:t>
      </w:r>
      <w:r>
        <w:rPr>
          <w:rFonts w:hint="default" w:ascii="Times New Roman" w:hAnsi="Times New Roman" w:cs="Times New Roman" w:eastAsiaTheme="minorEastAsia"/>
          <w:color w:val="auto"/>
          <w:sz w:val="24"/>
          <w:szCs w:val="22"/>
          <w:highlight w:val="none"/>
          <w:lang w:val="en-GB"/>
        </w:rPr>
        <w:t>km</w:t>
      </w:r>
      <w:r>
        <w:rPr>
          <w:rFonts w:hint="default" w:ascii="Times New Roman" w:hAnsi="Times New Roman" w:cs="Times New Roman" w:eastAsiaTheme="minorEastAsia"/>
          <w:color w:val="auto"/>
          <w:sz w:val="24"/>
          <w:szCs w:val="22"/>
          <w:highlight w:val="none"/>
          <w:vertAlign w:val="superscript"/>
          <w:lang w:val="en-GB"/>
        </w:rPr>
        <w:t>2</w:t>
      </w:r>
      <w:r>
        <w:rPr>
          <w:rFonts w:hint="default" w:ascii="Times New Roman" w:hAnsi="Times New Roman" w:cs="Times New Roman" w:eastAsiaTheme="minorEastAsia"/>
          <w:color w:val="auto"/>
          <w:sz w:val="24"/>
          <w:szCs w:val="22"/>
          <w:highlight w:val="none"/>
          <w:lang w:val="en-GB"/>
        </w:rPr>
        <w:t>的矩形区域。</w:t>
      </w:r>
    </w:p>
    <w:p>
      <w:pPr>
        <w:pStyle w:val="154"/>
        <w:rPr>
          <w:rFonts w:hint="default" w:ascii="Times New Roman" w:hAnsi="Times New Roman" w:cs="Times New Roman" w:eastAsiaTheme="minorEastAsia"/>
          <w:color w:val="auto"/>
          <w:highlight w:val="none"/>
          <w:lang w:val="en-GB"/>
        </w:rPr>
      </w:pPr>
    </w:p>
    <w:p>
      <w:pPr>
        <w:pStyle w:val="154"/>
        <w:rPr>
          <w:rFonts w:hint="default" w:ascii="Times New Roman" w:hAnsi="Times New Roman" w:cs="Times New Roman" w:eastAsiaTheme="minorEastAsia"/>
          <w:color w:val="auto"/>
          <w:highlight w:val="none"/>
          <w:lang w:val="en-GB"/>
        </w:rPr>
      </w:pPr>
    </w:p>
    <w:p>
      <w:pPr>
        <w:pStyle w:val="154"/>
        <w:keepNext w:val="0"/>
        <w:keepLines w:val="0"/>
        <w:pageBreakBefore w:val="0"/>
        <w:widowControl/>
        <w:kinsoku/>
        <w:wordWrap/>
        <w:overflowPunct/>
        <w:topLinePunct w:val="0"/>
        <w:autoSpaceDE/>
        <w:autoSpaceDN/>
        <w:bidi w:val="0"/>
        <w:adjustRightInd w:val="0"/>
        <w:snapToGrid w:val="0"/>
        <w:spacing w:line="480" w:lineRule="auto"/>
        <w:ind w:left="0" w:leftChars="0" w:firstLine="0" w:firstLineChars="0"/>
        <w:textAlignment w:val="auto"/>
        <w:rPr>
          <w:rFonts w:hint="default" w:ascii="Times New Roman" w:hAnsi="Times New Roman" w:cs="Times New Roman" w:eastAsiaTheme="minorEastAsia"/>
          <w:color w:val="auto"/>
          <w:highlight w:val="none"/>
          <w:lang w:val="en-GB" w:eastAsia="zh-CN"/>
        </w:rPr>
      </w:pPr>
      <w:r>
        <w:rPr>
          <w:rFonts w:hint="default" w:ascii="Times New Roman" w:hAnsi="Times New Roman" w:cs="Times New Roman" w:eastAsiaTheme="minorEastAsia"/>
          <w:color w:val="auto"/>
          <w:highlight w:val="none"/>
          <w:lang w:val="en-GB" w:eastAsia="zh-CN"/>
        </w:rPr>
        <w:drawing>
          <wp:inline distT="0" distB="0" distL="114300" distR="114300">
            <wp:extent cx="5394960" cy="4754245"/>
            <wp:effectExtent l="0" t="0" r="15240" b="8255"/>
            <wp:docPr id="44" name="图片 44" descr="7970b32fbd5f5f6a0909a316bfe2b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7970b32fbd5f5f6a0909a316bfe2be4"/>
                    <pic:cNvPicPr>
                      <a:picLocks noChangeAspect="1"/>
                    </pic:cNvPicPr>
                  </pic:nvPicPr>
                  <pic:blipFill>
                    <a:blip r:embed="rId47"/>
                    <a:stretch>
                      <a:fillRect/>
                    </a:stretch>
                  </pic:blipFill>
                  <pic:spPr>
                    <a:xfrm>
                      <a:off x="0" y="0"/>
                      <a:ext cx="5394960" cy="4754245"/>
                    </a:xfrm>
                    <a:prstGeom prst="rect">
                      <a:avLst/>
                    </a:prstGeom>
                  </pic:spPr>
                </pic:pic>
              </a:graphicData>
            </a:graphic>
          </wp:inline>
        </w:drawing>
      </w:r>
    </w:p>
    <w:p>
      <w:pPr>
        <w:pStyle w:val="1167"/>
        <w:keepNext w:val="0"/>
        <w:keepLines w:val="0"/>
        <w:pageBreakBefore w:val="0"/>
        <w:widowControl/>
        <w:kinsoku/>
        <w:wordWrap/>
        <w:overflowPunct/>
        <w:topLinePunct w:val="0"/>
        <w:autoSpaceDE/>
        <w:autoSpaceDN/>
        <w:bidi w:val="0"/>
        <w:adjustRightInd w:val="0"/>
        <w:snapToGrid w:val="0"/>
        <w:spacing w:line="480" w:lineRule="auto"/>
        <w:ind w:firstLine="2160" w:firstLineChars="900"/>
        <w:textAlignment w:val="auto"/>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pPr>
      <w:bookmarkStart w:id="51" w:name="_Toc447280998"/>
      <w:bookmarkStart w:id="52" w:name="_Toc215564490"/>
      <w:bookmarkStart w:id="53" w:name="_Toc337734315"/>
      <w:bookmarkStart w:id="54" w:name="_Toc216838059"/>
      <w:bookmarkStart w:id="55" w:name="_Toc170185557"/>
      <w:bookmarkStart w:id="56" w:name="_Toc176865891"/>
      <w:bookmarkStart w:id="57" w:name="_Toc355941896"/>
      <w:r>
        <w:rPr>
          <w:rFonts w:hint="default" w:ascii="Times New Roman" w:hAnsi="Times New Roman" w:cs="Times New Roman" w:eastAsiaTheme="minorEastAsia"/>
          <w:b w:val="0"/>
          <w:bCs/>
          <w:color w:val="000000" w:themeColor="text1"/>
          <w:sz w:val="24"/>
          <w:szCs w:val="24"/>
          <w:lang w:eastAsia="zh-CN"/>
          <w14:textFill>
            <w14:solidFill>
              <w14:schemeClr w14:val="tx1"/>
            </w14:solidFill>
          </w14:textFill>
        </w:rPr>
        <w:t>图</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2.3-1           大气评价范围图</w:t>
      </w:r>
    </w:p>
    <w:p>
      <w:pPr>
        <w:pStyle w:val="1167"/>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2.3.2 地表水环境</w:t>
      </w:r>
      <w:bookmarkEnd w:id="51"/>
      <w:bookmarkEnd w:id="52"/>
      <w:bookmarkEnd w:id="53"/>
      <w:bookmarkEnd w:id="54"/>
      <w:bookmarkEnd w:id="55"/>
      <w:bookmarkEnd w:id="56"/>
      <w:bookmarkEnd w:id="57"/>
    </w:p>
    <w:p>
      <w:pPr>
        <w:keepNext w:val="0"/>
        <w:keepLines w:val="0"/>
        <w:pageBreakBefore w:val="0"/>
        <w:widowControl/>
        <w:kinsoku/>
        <w:wordWrap/>
        <w:overflowPunct/>
        <w:topLinePunct w:val="0"/>
        <w:autoSpaceDE/>
        <w:autoSpaceDN/>
        <w:bidi w:val="0"/>
        <w:adjustRightInd w:val="0"/>
        <w:snapToGrid w:val="0"/>
        <w:spacing w:line="500" w:lineRule="exact"/>
        <w:ind w:firstLine="56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根据《畜禽养殖业污染防治技术规范》(HJ/T81-2001)的有关规定，畜禽养殖过程产生的生产废水应坚持种养结合的原则，经无害化处理后充分还田，实现污水资源化利用。养殖场采用干清粪工艺，可减少废水产生量。本项目废水经黑膜沼气池发酵后定期收集用于还田</w:t>
      </w:r>
      <w:r>
        <w:rPr>
          <w:rFonts w:hint="default" w:ascii="Times New Roman" w:hAnsi="Times New Roman" w:cs="Times New Roman" w:eastAsiaTheme="minorEastAsia"/>
          <w:color w:val="auto"/>
          <w:sz w:val="24"/>
          <w:szCs w:val="22"/>
          <w:highlight w:val="none"/>
        </w:rPr>
        <w:t>，不外排，对地表水环境无影响。</w:t>
      </w:r>
    </w:p>
    <w:p>
      <w:pPr>
        <w:ind w:firstLine="560"/>
        <w:rPr>
          <w:rFonts w:hint="default" w:ascii="Times New Roman" w:hAnsi="Times New Roman" w:cs="Times New Roman" w:eastAsiaTheme="minorEastAsia"/>
          <w:color w:val="000000" w:themeColor="text1"/>
          <w:sz w:val="24"/>
          <w:szCs w:val="22"/>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14:textFill>
            <w14:solidFill>
              <w14:schemeClr w14:val="tx1"/>
            </w14:solidFill>
          </w14:textFill>
        </w:rPr>
        <w:t>本项目属于水污染影响型建设项目，根据《环境影响评价技术导则 地表水环境》（HJ2.3-2018）表1判定本项目地表水环境影响评价等级为三级B。</w:t>
      </w:r>
    </w:p>
    <w:p>
      <w:pPr>
        <w:pStyle w:val="643"/>
        <w:rPr>
          <w:rFonts w:hint="default" w:ascii="Times New Roman" w:hAnsi="Times New Roman" w:cs="Times New Roman" w:eastAsiaTheme="minorEastAsia"/>
          <w:color w:val="000000" w:themeColor="text1"/>
          <w14:textFill>
            <w14:solidFill>
              <w14:schemeClr w14:val="tx1"/>
            </w14:solidFill>
          </w14:textFill>
        </w:rPr>
      </w:pPr>
    </w:p>
    <w:p>
      <w:pPr>
        <w:pStyle w:val="643"/>
        <w:rPr>
          <w:rFonts w:hint="default" w:ascii="Times New Roman" w:hAnsi="Times New Roman" w:cs="Times New Roman" w:eastAsiaTheme="minorEastAsia"/>
          <w:color w:val="000000" w:themeColor="text1"/>
          <w14:textFill>
            <w14:solidFill>
              <w14:schemeClr w14:val="tx1"/>
            </w14:solidFill>
          </w14:textFill>
        </w:rPr>
      </w:pPr>
    </w:p>
    <w:p>
      <w:pPr>
        <w:pStyle w:val="643"/>
        <w:rPr>
          <w:rFonts w:hint="default" w:ascii="Times New Roman" w:hAnsi="Times New Roman" w:cs="Times New Roman" w:eastAsiaTheme="minorEastAsia"/>
          <w:color w:val="000000" w:themeColor="text1"/>
          <w14:textFill>
            <w14:solidFill>
              <w14:schemeClr w14:val="tx1"/>
            </w14:solidFill>
          </w14:textFill>
        </w:rPr>
      </w:pP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表2-3-9 水污染影响型建设项目评价等级判定一览表</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3437"/>
        <w:gridCol w:w="29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2376" w:type="dxa"/>
            <w:vMerge w:val="restart"/>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评价等级</w:t>
            </w:r>
          </w:p>
        </w:tc>
        <w:tc>
          <w:tcPr>
            <w:tcW w:w="6344" w:type="dxa"/>
            <w:gridSpan w:val="2"/>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376" w:type="dxa"/>
            <w:vMerge w:val="continue"/>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3437"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排放方式</w:t>
            </w:r>
          </w:p>
        </w:tc>
        <w:tc>
          <w:tcPr>
            <w:tcW w:w="2907"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废水排放量 Q/（m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/d）;</w:t>
            </w:r>
          </w:p>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水污染物当量数W/（无量纲）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一级</w:t>
            </w:r>
          </w:p>
        </w:tc>
        <w:tc>
          <w:tcPr>
            <w:tcW w:w="3437"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直接排放</w:t>
            </w:r>
          </w:p>
        </w:tc>
        <w:tc>
          <w:tcPr>
            <w:tcW w:w="2907"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Q≥20000 或 W≥600000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二级</w:t>
            </w:r>
          </w:p>
        </w:tc>
        <w:tc>
          <w:tcPr>
            <w:tcW w:w="3437"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直接排放</w:t>
            </w:r>
          </w:p>
        </w:tc>
        <w:tc>
          <w:tcPr>
            <w:tcW w:w="2907"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三级 A</w:t>
            </w:r>
          </w:p>
        </w:tc>
        <w:tc>
          <w:tcPr>
            <w:tcW w:w="3437"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直接排放</w:t>
            </w:r>
          </w:p>
        </w:tc>
        <w:tc>
          <w:tcPr>
            <w:tcW w:w="2907"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Q＜200  且 W＜6000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三级 B</w:t>
            </w:r>
          </w:p>
        </w:tc>
        <w:tc>
          <w:tcPr>
            <w:tcW w:w="3437"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间接排放</w:t>
            </w:r>
          </w:p>
        </w:tc>
        <w:tc>
          <w:tcPr>
            <w:tcW w:w="2907" w:type="dxa"/>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20" w:type="dxa"/>
            <w:gridSpan w:val="3"/>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注1：水污染物当量数等于该污染物的年排放量除以该污染物的污染当量值，计算排放污染物的污染物当 量数，应区分第一类水污染物和其他类水污染物，统计第一类污染物当量数总和，然后与其他类污染物按照污染物当量数从大到小排序，取最大当量数作为建设项目评价等级确定的依据。</w:t>
            </w:r>
          </w:p>
          <w:p>
            <w:pPr>
              <w:pStyle w:val="666"/>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注 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pPr>
              <w:pStyle w:val="666"/>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注3：厂区存在堆积物（露天堆放的原料、燃料、废渣等以及垃圾堆放场）、降尘污染的，应将初期雨污水纳入废水排放量，相应的主要污染物纳入水污染当量计算。</w:t>
            </w:r>
          </w:p>
          <w:p>
            <w:pPr>
              <w:pStyle w:val="666"/>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注4：建设项目直接排放第一类污染物的，其评价等级为一级；建设项目直接排放的污染物为受纳水体超标因子的，评价等级不低于二级。</w:t>
            </w:r>
          </w:p>
          <w:p>
            <w:pPr>
              <w:pStyle w:val="666"/>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注5：直接排放受纳水体影响范围涉及饮用水水源保护区、饮用水取水口、重点保护与珍稀水生生物的栖息地、重要水生生物的自然产卵场等保护目标时，评价等级不低于二级。</w:t>
            </w:r>
          </w:p>
          <w:p>
            <w:pPr>
              <w:pStyle w:val="666"/>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注6：建设项目向河流、湖库排放温排水引起受纳水体水温变化超过水环境质量标准要求，且评价范围有水温敏感目标时，评价等级为一级。</w:t>
            </w:r>
          </w:p>
          <w:p>
            <w:pPr>
              <w:pStyle w:val="666"/>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注7：建设项目利用海水作为调节温度介质，排水量≥500万m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/d，评价等级为一级；排水量＜500万m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/d，评价等级为二级。</w:t>
            </w:r>
          </w:p>
          <w:p>
            <w:pPr>
              <w:pStyle w:val="666"/>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注8：仅涉及清净下水排放的，如其排放水质满足受纳水体水环境质量标准要求的，评价等级为三级A。</w:t>
            </w:r>
          </w:p>
          <w:p>
            <w:pPr>
              <w:pStyle w:val="666"/>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注9：依托现有排放口，且对外环境未新增排放污染物的直接排放建设项目，评价等级参照间接排放，定为三级B。</w:t>
            </w:r>
          </w:p>
          <w:p>
            <w:pPr>
              <w:pStyle w:val="666"/>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注10：建设项目生产工艺中有废水产生，但作为回水利用，不排放到外环境的，按三级B评价。</w:t>
            </w:r>
          </w:p>
        </w:tc>
      </w:tr>
    </w:tbl>
    <w:p>
      <w:pPr>
        <w:pStyle w:val="1167"/>
        <w:rPr>
          <w:rFonts w:hint="default" w:ascii="Times New Roman" w:hAnsi="Times New Roman" w:cs="Times New Roman" w:eastAsiaTheme="minorEastAsia"/>
          <w:color w:val="auto"/>
          <w:highlight w:val="none"/>
        </w:rPr>
      </w:pPr>
      <w:bookmarkStart w:id="58" w:name="_Toc447280999"/>
      <w:bookmarkStart w:id="59" w:name="_Toc355941897"/>
      <w:bookmarkStart w:id="60" w:name="_Toc337734316"/>
      <w:r>
        <w:rPr>
          <w:rFonts w:hint="default" w:ascii="Times New Roman" w:hAnsi="Times New Roman" w:cs="Times New Roman" w:eastAsiaTheme="minorEastAsia"/>
          <w:color w:val="auto"/>
          <w:highlight w:val="none"/>
        </w:rPr>
        <w:t>2.3.3 地下水环境</w:t>
      </w:r>
      <w:bookmarkEnd w:id="58"/>
    </w:p>
    <w:p>
      <w:pPr>
        <w:pStyle w:val="1297"/>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2.3.3.1 评价工作等级</w:t>
      </w:r>
    </w:p>
    <w:bookmarkEnd w:id="59"/>
    <w:bookmarkEnd w:id="60"/>
    <w:p>
      <w:pPr>
        <w:widowControl w:val="0"/>
        <w:adjustRightInd/>
        <w:snapToGrid/>
        <w:ind w:firstLine="560"/>
        <w:rPr>
          <w:rFonts w:hint="default" w:ascii="Times New Roman" w:hAnsi="Times New Roman" w:cs="Times New Roman" w:eastAsiaTheme="minorEastAsia"/>
          <w:color w:val="auto"/>
          <w:sz w:val="24"/>
          <w:szCs w:val="22"/>
          <w:highlight w:val="none"/>
          <w:lang w:val="en-GB"/>
        </w:rPr>
      </w:pPr>
      <w:r>
        <w:rPr>
          <w:rFonts w:hint="default" w:ascii="Times New Roman" w:hAnsi="Times New Roman" w:cs="Times New Roman" w:eastAsiaTheme="minorEastAsia"/>
          <w:color w:val="auto"/>
          <w:sz w:val="24"/>
          <w:szCs w:val="22"/>
          <w:highlight w:val="none"/>
          <w:lang w:val="en-GB"/>
        </w:rPr>
        <w:t>依据《环境影响评价技术导则 地下水环境》（HJ 610-2016）的要求，本项目为奶牛养殖基地建设项目，参照HJ610-2016附录A，编制报告书类的“</w:t>
      </w:r>
      <w:r>
        <w:rPr>
          <w:rFonts w:hint="default" w:ascii="Times New Roman" w:hAnsi="Times New Roman" w:cs="Times New Roman" w:eastAsiaTheme="minorEastAsia"/>
          <w:color w:val="auto"/>
          <w:sz w:val="24"/>
          <w:szCs w:val="22"/>
          <w:highlight w:val="none"/>
        </w:rPr>
        <w:t>14、畜禽养殖场、养殖小区</w:t>
      </w:r>
      <w:r>
        <w:rPr>
          <w:rFonts w:hint="default" w:ascii="Times New Roman" w:hAnsi="Times New Roman" w:cs="Times New Roman" w:eastAsiaTheme="minorEastAsia"/>
          <w:color w:val="auto"/>
          <w:sz w:val="24"/>
          <w:szCs w:val="22"/>
          <w:highlight w:val="none"/>
          <w:lang w:val="en-GB"/>
        </w:rPr>
        <w:t>”建设项目属于Ⅲ类项目。</w:t>
      </w:r>
    </w:p>
    <w:p>
      <w:pPr>
        <w:widowControl w:val="0"/>
        <w:adjustRightInd/>
        <w:snapToGrid/>
        <w:ind w:firstLine="560"/>
        <w:rPr>
          <w:rFonts w:hint="default" w:ascii="Times New Roman" w:hAnsi="Times New Roman" w:cs="Times New Roman" w:eastAsiaTheme="minorEastAsia"/>
          <w:color w:val="auto"/>
          <w:sz w:val="24"/>
          <w:szCs w:val="22"/>
          <w:highlight w:val="none"/>
          <w:lang w:val="en-GB"/>
        </w:rPr>
      </w:pPr>
      <w:r>
        <w:rPr>
          <w:rFonts w:hint="default" w:ascii="Times New Roman" w:hAnsi="Times New Roman" w:cs="Times New Roman" w:eastAsiaTheme="minorEastAsia"/>
          <w:color w:val="auto"/>
          <w:sz w:val="24"/>
          <w:szCs w:val="22"/>
          <w:highlight w:val="none"/>
          <w:lang w:val="en-GB"/>
        </w:rPr>
        <w:t>本项目位于绥化市</w:t>
      </w:r>
      <w:r>
        <w:rPr>
          <w:rFonts w:hint="eastAsia" w:ascii="Times New Roman" w:hAnsi="Times New Roman" w:cs="Times New Roman" w:eastAsiaTheme="minorEastAsia"/>
          <w:color w:val="auto"/>
          <w:sz w:val="24"/>
          <w:szCs w:val="22"/>
          <w:highlight w:val="none"/>
          <w:lang w:val="en-GB" w:eastAsia="zh-CN"/>
        </w:rPr>
        <w:t>安达市东14公里，明沈公路南侧1000米处</w:t>
      </w:r>
      <w:r>
        <w:rPr>
          <w:rFonts w:hint="default" w:ascii="Times New Roman" w:hAnsi="Times New Roman" w:cs="Times New Roman" w:eastAsiaTheme="minorEastAsia"/>
          <w:color w:val="auto"/>
          <w:sz w:val="24"/>
          <w:szCs w:val="22"/>
          <w:highlight w:val="none"/>
          <w:lang w:val="en-GB"/>
        </w:rPr>
        <w:t>，附近村屯均为市政自来水供水，项目所在区域不涉及集中饮用水水源准保护区及补给径流区，不属于特殊地下水资源保护区，也不属于分散居民饮用水水源地等。实地调查表明，距离本项目最近饮用水井为厂区内饮用水井，为单井，未划定水源保护区，属于分散式饮用水源，敏感区为单井为圆心，外扩50m为敏感区，敏感区外质点运移2000天为较敏感区，计算迁移距离为L=67m。因此本项目地下水敏感程度为较敏感。根据《环境影响评价技术导则 地下水环境》（HJ610-2016），建设项目地下水环境影响评价工作等级划分详见表2-3-</w:t>
      </w:r>
      <w:r>
        <w:rPr>
          <w:rFonts w:hint="default" w:ascii="Times New Roman" w:hAnsi="Times New Roman" w:cs="Times New Roman" w:eastAsiaTheme="minorEastAsia"/>
          <w:color w:val="auto"/>
          <w:sz w:val="24"/>
          <w:szCs w:val="22"/>
          <w:highlight w:val="none"/>
        </w:rPr>
        <w:t>11</w:t>
      </w:r>
      <w:r>
        <w:rPr>
          <w:rFonts w:hint="default" w:ascii="Times New Roman" w:hAnsi="Times New Roman" w:cs="Times New Roman" w:eastAsiaTheme="minorEastAsia"/>
          <w:color w:val="auto"/>
          <w:sz w:val="24"/>
          <w:szCs w:val="22"/>
          <w:highlight w:val="none"/>
          <w:lang w:val="en-GB"/>
        </w:rPr>
        <w:t>。</w:t>
      </w:r>
    </w:p>
    <w:p>
      <w:pPr>
        <w:pStyle w:val="643"/>
        <w:rPr>
          <w:rFonts w:hint="default" w:ascii="Times New Roman" w:hAnsi="Times New Roman" w:cs="Times New Roman" w:eastAsiaTheme="minorEastAsia"/>
          <w:color w:val="auto"/>
          <w:highlight w:val="none"/>
          <w:lang w:val="en-GB"/>
        </w:rPr>
      </w:pPr>
      <w:r>
        <w:rPr>
          <w:rFonts w:hint="default" w:ascii="Times New Roman" w:hAnsi="Times New Roman" w:cs="Times New Roman" w:eastAsiaTheme="minorEastAsia"/>
          <w:color w:val="auto"/>
          <w:highlight w:val="none"/>
          <w:lang w:val="en-GB"/>
        </w:rPr>
        <w:t>表2-3-</w:t>
      </w:r>
      <w:r>
        <w:rPr>
          <w:rFonts w:hint="default" w:ascii="Times New Roman" w:hAnsi="Times New Roman" w:cs="Times New Roman" w:eastAsiaTheme="minorEastAsia"/>
          <w:color w:val="auto"/>
          <w:highlight w:val="none"/>
        </w:rPr>
        <w:t>11</w:t>
      </w:r>
      <w:r>
        <w:rPr>
          <w:rFonts w:hint="default" w:ascii="Times New Roman" w:hAnsi="Times New Roman" w:cs="Times New Roman" w:eastAsiaTheme="minorEastAsia"/>
          <w:color w:val="auto"/>
          <w:highlight w:val="none"/>
          <w:lang w:val="en-GB"/>
        </w:rPr>
        <w:t xml:space="preserve">  评价工作等级分级表</w:t>
      </w:r>
    </w:p>
    <w:tbl>
      <w:tblPr>
        <w:tblStyle w:val="91"/>
        <w:tblW w:w="0" w:type="auto"/>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3227"/>
        <w:gridCol w:w="1527"/>
        <w:gridCol w:w="1983"/>
        <w:gridCol w:w="198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227"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项目类别</w:t>
            </w:r>
          </w:p>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mc:AlternateContent>
                <mc:Choice Requires="wps">
                  <w:drawing>
                    <wp:anchor distT="0" distB="0" distL="114300" distR="114300" simplePos="0" relativeHeight="251659264" behindDoc="1" locked="0" layoutInCell="1" allowOverlap="1">
                      <wp:simplePos x="0" y="0"/>
                      <wp:positionH relativeFrom="column">
                        <wp:posOffset>-67310</wp:posOffset>
                      </wp:positionH>
                      <wp:positionV relativeFrom="paragraph">
                        <wp:posOffset>-254635</wp:posOffset>
                      </wp:positionV>
                      <wp:extent cx="1966595" cy="478155"/>
                      <wp:effectExtent l="1270" t="4445" r="13335" b="12700"/>
                      <wp:wrapTight wrapText="bothSides">
                        <wp:wrapPolygon>
                          <wp:start x="-7" y="0"/>
                          <wp:lineTo x="21593" y="21600"/>
                          <wp:lineTo x="21607" y="21600"/>
                          <wp:lineTo x="7" y="0"/>
                          <wp:lineTo x="-7" y="0"/>
                        </wp:wrapPolygon>
                      </wp:wrapTight>
                      <wp:docPr id="1155" name="直线 673"/>
                      <wp:cNvGraphicFramePr/>
                      <a:graphic xmlns:a="http://schemas.openxmlformats.org/drawingml/2006/main">
                        <a:graphicData uri="http://schemas.microsoft.com/office/word/2010/wordprocessingShape">
                          <wps:wsp>
                            <wps:cNvCnPr>
                              <a:cxnSpLocks noChangeShapeType="1"/>
                            </wps:cNvCnPr>
                            <wps:spPr bwMode="auto">
                              <a:xfrm>
                                <a:off x="0" y="0"/>
                                <a:ext cx="1966595" cy="478155"/>
                              </a:xfrm>
                              <a:prstGeom prst="line">
                                <a:avLst/>
                              </a:prstGeom>
                              <a:noFill/>
                              <a:ln w="6350" cmpd="sng">
                                <a:solidFill>
                                  <a:srgbClr val="000000"/>
                                </a:solidFill>
                                <a:round/>
                              </a:ln>
                              <a:effectLst/>
                            </wps:spPr>
                            <wps:bodyPr/>
                          </wps:wsp>
                        </a:graphicData>
                      </a:graphic>
                    </wp:anchor>
                  </w:drawing>
                </mc:Choice>
                <mc:Fallback>
                  <w:pict>
                    <v:line id="直线 673" o:spid="_x0000_s1026" o:spt="20" style="position:absolute;left:0pt;margin-left:-5.3pt;margin-top:-20.05pt;height:37.65pt;width:154.85pt;mso-wrap-distance-left:9pt;mso-wrap-distance-right:9pt;z-index:-251657216;mso-width-relative:page;mso-height-relative:page;" filled="f" stroked="t" coordsize="21600,21600" wrapcoords="-7 0 21593 21600 21607 21600 7 0 -7 0" o:gfxdata="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P&#10;iQ7S1wAAAAoBAAAPAAAAAAAAAAEAIAAAACIAAABkcnMvZG93bnJldi54bWxQSwECFAAUAAAACACH&#10;TuJAJBOC2OwBAADEAwAADgAAAAAAAAABACAAAAAmAQAAZHJzL2Uyb0RvYy54bWxQSwUGAAAAAAYA&#10;BgBZAQAAhAUAAAAA&#10;">
                      <v:fill on="f" focussize="0,0"/>
                      <v:stroke weight="0.5pt" color="#000000" joinstyle="round"/>
                      <v:imagedata o:title=""/>
                      <o:lock v:ext="edit" aspectratio="f"/>
                      <w10:wrap type="tight"/>
                    </v:line>
                  </w:pict>
                </mc:Fallback>
              </mc:AlternateContent>
            </w:r>
            <w:r>
              <w:rPr>
                <w:rFonts w:hint="default" w:ascii="Times New Roman" w:hAnsi="Times New Roman" w:cs="Times New Roman" w:eastAsiaTheme="minorEastAsia"/>
                <w:color w:val="auto"/>
                <w:highlight w:val="none"/>
              </w:rPr>
              <w:t>环境敏感程度</w:t>
            </w:r>
          </w:p>
        </w:tc>
        <w:tc>
          <w:tcPr>
            <w:tcW w:w="1527"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Ⅰ类项目</w:t>
            </w:r>
          </w:p>
        </w:tc>
        <w:tc>
          <w:tcPr>
            <w:tcW w:w="1983"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Ⅱ类项目</w:t>
            </w:r>
          </w:p>
        </w:tc>
        <w:tc>
          <w:tcPr>
            <w:tcW w:w="1983" w:type="dxa"/>
            <w:vAlign w:val="center"/>
          </w:tcPr>
          <w:p>
            <w:pPr>
              <w:pStyle w:val="666"/>
              <w:rPr>
                <w:rFonts w:hint="default" w:ascii="Times New Roman" w:hAnsi="Times New Roman" w:cs="Times New Roman" w:eastAsiaTheme="minorEastAsia"/>
                <w:b/>
                <w:color w:val="auto"/>
                <w:highlight w:val="none"/>
              </w:rPr>
            </w:pPr>
            <w:r>
              <w:rPr>
                <w:rFonts w:hint="default" w:ascii="Times New Roman" w:hAnsi="Times New Roman" w:cs="Times New Roman" w:eastAsiaTheme="minorEastAsia"/>
                <w:b/>
                <w:color w:val="auto"/>
                <w:highlight w:val="none"/>
              </w:rPr>
              <w:t>Ⅲ类项目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227"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敏感</w:t>
            </w:r>
          </w:p>
        </w:tc>
        <w:tc>
          <w:tcPr>
            <w:tcW w:w="1527"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一</w:t>
            </w:r>
          </w:p>
        </w:tc>
        <w:tc>
          <w:tcPr>
            <w:tcW w:w="1983"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一</w:t>
            </w:r>
          </w:p>
        </w:tc>
        <w:tc>
          <w:tcPr>
            <w:tcW w:w="1983"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二</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227" w:type="dxa"/>
            <w:vAlign w:val="center"/>
          </w:tcPr>
          <w:p>
            <w:pPr>
              <w:pStyle w:val="666"/>
              <w:rPr>
                <w:rFonts w:hint="default" w:ascii="Times New Roman" w:hAnsi="Times New Roman" w:cs="Times New Roman" w:eastAsiaTheme="minorEastAsia"/>
                <w:b/>
                <w:color w:val="auto"/>
                <w:highlight w:val="none"/>
              </w:rPr>
            </w:pPr>
            <w:r>
              <w:rPr>
                <w:rFonts w:hint="default" w:ascii="Times New Roman" w:hAnsi="Times New Roman" w:cs="Times New Roman" w:eastAsiaTheme="minorEastAsia"/>
                <w:b/>
                <w:color w:val="auto"/>
                <w:highlight w:val="none"/>
              </w:rPr>
              <w:t>较敏感</w:t>
            </w:r>
          </w:p>
        </w:tc>
        <w:tc>
          <w:tcPr>
            <w:tcW w:w="1527"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一</w:t>
            </w:r>
          </w:p>
        </w:tc>
        <w:tc>
          <w:tcPr>
            <w:tcW w:w="1983"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二</w:t>
            </w:r>
          </w:p>
        </w:tc>
        <w:tc>
          <w:tcPr>
            <w:tcW w:w="1983"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b/>
                <w:color w:val="auto"/>
                <w:highlight w:val="none"/>
              </w:rPr>
              <w:t>三（√）</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227"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不敏感</w:t>
            </w:r>
          </w:p>
        </w:tc>
        <w:tc>
          <w:tcPr>
            <w:tcW w:w="1527"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二</w:t>
            </w:r>
          </w:p>
        </w:tc>
        <w:tc>
          <w:tcPr>
            <w:tcW w:w="1983"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三</w:t>
            </w:r>
          </w:p>
        </w:tc>
        <w:tc>
          <w:tcPr>
            <w:tcW w:w="1983"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b/>
                <w:color w:val="auto"/>
                <w:highlight w:val="none"/>
              </w:rPr>
              <w:t>三</w:t>
            </w:r>
          </w:p>
        </w:tc>
      </w:tr>
    </w:tbl>
    <w:p>
      <w:pPr>
        <w:ind w:firstLine="560"/>
        <w:rPr>
          <w:rFonts w:hint="default" w:ascii="Times New Roman" w:hAnsi="Times New Roman" w:cs="Times New Roman" w:eastAsiaTheme="minorEastAsia"/>
          <w:color w:val="auto"/>
          <w:sz w:val="24"/>
          <w:szCs w:val="22"/>
          <w:highlight w:val="none"/>
          <w:lang w:val="en-GB"/>
        </w:rPr>
      </w:pPr>
      <w:r>
        <w:rPr>
          <w:rFonts w:hint="default" w:ascii="Times New Roman" w:hAnsi="Times New Roman" w:cs="Times New Roman" w:eastAsiaTheme="minorEastAsia"/>
          <w:color w:val="auto"/>
          <w:sz w:val="24"/>
          <w:szCs w:val="22"/>
          <w:highlight w:val="none"/>
          <w:lang w:val="en-GB"/>
        </w:rPr>
        <w:t>本项目地下水环境影响评价项目类别为Ⅲ类，敏感程度为较敏感，结合表2-3-</w:t>
      </w:r>
      <w:r>
        <w:rPr>
          <w:rFonts w:hint="default" w:ascii="Times New Roman" w:hAnsi="Times New Roman" w:cs="Times New Roman" w:eastAsiaTheme="minorEastAsia"/>
          <w:color w:val="auto"/>
          <w:sz w:val="24"/>
          <w:szCs w:val="22"/>
          <w:highlight w:val="none"/>
        </w:rPr>
        <w:t>11</w:t>
      </w:r>
      <w:r>
        <w:rPr>
          <w:rFonts w:hint="default" w:ascii="Times New Roman" w:hAnsi="Times New Roman" w:cs="Times New Roman" w:eastAsiaTheme="minorEastAsia"/>
          <w:color w:val="auto"/>
          <w:sz w:val="24"/>
          <w:szCs w:val="22"/>
          <w:highlight w:val="none"/>
          <w:lang w:val="en-GB"/>
        </w:rPr>
        <w:t>工作等级分级表和评价的一般原则，确定本项目地下水环境评价工作等级为三级。</w:t>
      </w:r>
    </w:p>
    <w:p>
      <w:pPr>
        <w:pStyle w:val="1297"/>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2.3.3.2 评价范围</w:t>
      </w:r>
    </w:p>
    <w:p>
      <w:pPr>
        <w:widowControl w:val="0"/>
        <w:adjustRightInd/>
        <w:snapToGrid/>
        <w:ind w:firstLine="560"/>
        <w:rPr>
          <w:rFonts w:hint="default" w:ascii="Times New Roman" w:hAnsi="Times New Roman" w:cs="Times New Roman" w:eastAsiaTheme="minorEastAsia"/>
          <w:color w:val="000000" w:themeColor="text1"/>
          <w:sz w:val="24"/>
          <w:szCs w:val="22"/>
          <w:highlight w:val="none"/>
          <w:lang w:val="en-GB"/>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lang w:val="en-GB"/>
          <w14:textFill>
            <w14:solidFill>
              <w14:schemeClr w14:val="tx1"/>
            </w14:solidFill>
          </w14:textFill>
        </w:rPr>
        <w:t>本次评价采用导则中公式法确定敏感区及调查评价范围，导则中计算公式如下：</w:t>
      </w:r>
    </w:p>
    <w:p>
      <w:pPr>
        <w:widowControl w:val="0"/>
        <w:adjustRightInd/>
        <w:snapToGrid/>
        <w:ind w:firstLine="482" w:firstLineChars="0"/>
        <w:jc w:val="center"/>
        <w:rPr>
          <w:rFonts w:hint="default" w:ascii="Times New Roman" w:hAnsi="Times New Roman" w:cs="Times New Roman" w:eastAsiaTheme="minorEastAsia"/>
          <w:color w:val="000000" w:themeColor="text1"/>
          <w:highlight w:val="none"/>
          <w:vertAlign w:val="subscript"/>
          <w:lang w:val="en-GB"/>
          <w14:textFill>
            <w14:solidFill>
              <w14:schemeClr w14:val="tx1"/>
            </w14:solidFill>
          </w14:textFill>
        </w:rPr>
      </w:pPr>
      <w:r>
        <w:rPr>
          <w:rFonts w:hint="default" w:ascii="Times New Roman" w:hAnsi="Times New Roman" w:cs="Times New Roman" w:eastAsiaTheme="minorEastAsia"/>
          <w:color w:val="000000" w:themeColor="text1"/>
          <w:highlight w:val="none"/>
          <w:lang w:val="en-GB"/>
          <w14:textFill>
            <w14:solidFill>
              <w14:schemeClr w14:val="tx1"/>
            </w14:solidFill>
          </w14:textFill>
        </w:rPr>
        <w:t>L=a×K×I×T/n</w:t>
      </w:r>
      <w:r>
        <w:rPr>
          <w:rFonts w:hint="default" w:ascii="Times New Roman" w:hAnsi="Times New Roman" w:cs="Times New Roman" w:eastAsiaTheme="minorEastAsia"/>
          <w:color w:val="000000" w:themeColor="text1"/>
          <w:highlight w:val="none"/>
          <w:vertAlign w:val="subscript"/>
          <w:lang w:val="en-GB"/>
          <w14:textFill>
            <w14:solidFill>
              <w14:schemeClr w14:val="tx1"/>
            </w14:solidFill>
          </w14:textFill>
        </w:rPr>
        <w:t>e</w:t>
      </w:r>
    </w:p>
    <w:p>
      <w:pPr>
        <w:widowControl w:val="0"/>
        <w:adjustRightInd/>
        <w:snapToGrid/>
        <w:ind w:firstLine="0" w:firstLineChars="0"/>
        <w:rPr>
          <w:rFonts w:hint="default" w:ascii="Times New Roman" w:hAnsi="Times New Roman" w:cs="Times New Roman" w:eastAsiaTheme="minorEastAsia"/>
          <w:color w:val="000000" w:themeColor="text1"/>
          <w:sz w:val="24"/>
          <w:szCs w:val="22"/>
          <w:highlight w:val="none"/>
          <w:vertAlign w:val="subscript"/>
          <w:lang w:val="en-GB"/>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lang w:val="en-GB"/>
          <w14:textFill>
            <w14:solidFill>
              <w14:schemeClr w14:val="tx1"/>
            </w14:solidFill>
          </w14:textFill>
        </w:rPr>
        <w:t>式中：L-下游迁移距离，m</w:t>
      </w:r>
    </w:p>
    <w:p>
      <w:pPr>
        <w:widowControl w:val="0"/>
        <w:adjustRightInd/>
        <w:snapToGrid/>
        <w:ind w:firstLine="720" w:firstLineChars="300"/>
        <w:rPr>
          <w:rFonts w:hint="default" w:ascii="Times New Roman" w:hAnsi="Times New Roman" w:cs="Times New Roman" w:eastAsiaTheme="minorEastAsia"/>
          <w:color w:val="000000" w:themeColor="text1"/>
          <w:sz w:val="24"/>
          <w:szCs w:val="22"/>
          <w:highlight w:val="none"/>
          <w:lang w:val="en-GB"/>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lang w:val="en-GB"/>
          <w14:textFill>
            <w14:solidFill>
              <w14:schemeClr w14:val="tx1"/>
            </w14:solidFill>
          </w14:textFill>
        </w:rPr>
        <w:t>a-变化系数，a≥1，一般取2；</w:t>
      </w:r>
    </w:p>
    <w:p>
      <w:pPr>
        <w:widowControl w:val="0"/>
        <w:adjustRightInd/>
        <w:snapToGrid/>
        <w:ind w:firstLine="720" w:firstLineChars="300"/>
        <w:rPr>
          <w:rFonts w:hint="default" w:ascii="Times New Roman" w:hAnsi="Times New Roman" w:cs="Times New Roman" w:eastAsiaTheme="minorEastAsia"/>
          <w:color w:val="000000" w:themeColor="text1"/>
          <w:sz w:val="24"/>
          <w:szCs w:val="22"/>
          <w:highlight w:val="none"/>
          <w:lang w:val="en-GB"/>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lang w:val="en-GB"/>
          <w14:textFill>
            <w14:solidFill>
              <w14:schemeClr w14:val="tx1"/>
            </w14:solidFill>
          </w14:textFill>
        </w:rPr>
        <w:t>K-渗透系数，m/d；</w:t>
      </w:r>
    </w:p>
    <w:p>
      <w:pPr>
        <w:widowControl w:val="0"/>
        <w:adjustRightInd/>
        <w:snapToGrid/>
        <w:ind w:firstLine="720" w:firstLineChars="300"/>
        <w:rPr>
          <w:rFonts w:hint="default" w:ascii="Times New Roman" w:hAnsi="Times New Roman" w:cs="Times New Roman" w:eastAsiaTheme="minorEastAsia"/>
          <w:color w:val="000000" w:themeColor="text1"/>
          <w:sz w:val="24"/>
          <w:szCs w:val="22"/>
          <w:highlight w:val="none"/>
          <w:lang w:val="en-GB"/>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lang w:val="en-GB"/>
          <w14:textFill>
            <w14:solidFill>
              <w14:schemeClr w14:val="tx1"/>
            </w14:solidFill>
          </w14:textFill>
        </w:rPr>
        <w:t>I-水力坡度，无量纲；</w:t>
      </w:r>
    </w:p>
    <w:p>
      <w:pPr>
        <w:widowControl w:val="0"/>
        <w:adjustRightInd/>
        <w:snapToGrid/>
        <w:ind w:firstLine="720" w:firstLineChars="300"/>
        <w:rPr>
          <w:rFonts w:hint="default" w:ascii="Times New Roman" w:hAnsi="Times New Roman" w:cs="Times New Roman" w:eastAsiaTheme="minorEastAsia"/>
          <w:color w:val="000000" w:themeColor="text1"/>
          <w:sz w:val="24"/>
          <w:szCs w:val="22"/>
          <w:highlight w:val="none"/>
          <w:lang w:val="en-GB"/>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lang w:val="en-GB"/>
          <w14:textFill>
            <w14:solidFill>
              <w14:schemeClr w14:val="tx1"/>
            </w14:solidFill>
          </w14:textFill>
        </w:rPr>
        <w:t>T-质点运移天数，取值不小于5000d；</w:t>
      </w:r>
    </w:p>
    <w:p>
      <w:pPr>
        <w:widowControl w:val="0"/>
        <w:adjustRightInd/>
        <w:snapToGrid/>
        <w:ind w:firstLine="720" w:firstLineChars="300"/>
        <w:rPr>
          <w:rFonts w:hint="default" w:ascii="Times New Roman" w:hAnsi="Times New Roman" w:cs="Times New Roman" w:eastAsiaTheme="minorEastAsia"/>
          <w:color w:val="000000" w:themeColor="text1"/>
          <w:sz w:val="24"/>
          <w:szCs w:val="22"/>
          <w:highlight w:val="none"/>
          <w:lang w:val="en-GB"/>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lang w:val="en-GB"/>
          <w14:textFill>
            <w14:solidFill>
              <w14:schemeClr w14:val="tx1"/>
            </w14:solidFill>
          </w14:textFill>
        </w:rPr>
        <w:t>n</w:t>
      </w:r>
      <w:r>
        <w:rPr>
          <w:rFonts w:hint="default" w:ascii="Times New Roman" w:hAnsi="Times New Roman" w:cs="Times New Roman" w:eastAsiaTheme="minorEastAsia"/>
          <w:color w:val="000000" w:themeColor="text1"/>
          <w:sz w:val="24"/>
          <w:szCs w:val="22"/>
          <w:highlight w:val="none"/>
          <w:vertAlign w:val="subscript"/>
          <w:lang w:val="en-GB"/>
          <w14:textFill>
            <w14:solidFill>
              <w14:schemeClr w14:val="tx1"/>
            </w14:solidFill>
          </w14:textFill>
        </w:rPr>
        <w:t>e</w:t>
      </w:r>
      <w:r>
        <w:rPr>
          <w:rFonts w:hint="default" w:ascii="Times New Roman" w:hAnsi="Times New Roman" w:cs="Times New Roman" w:eastAsiaTheme="minorEastAsia"/>
          <w:color w:val="000000" w:themeColor="text1"/>
          <w:sz w:val="24"/>
          <w:szCs w:val="22"/>
          <w:highlight w:val="none"/>
          <w:lang w:val="en-GB"/>
          <w14:textFill>
            <w14:solidFill>
              <w14:schemeClr w14:val="tx1"/>
            </w14:solidFill>
          </w14:textFill>
        </w:rPr>
        <w:t>-有效孔隙度，无量纲。</w:t>
      </w:r>
    </w:p>
    <w:p>
      <w:pPr>
        <w:widowControl w:val="0"/>
        <w:adjustRightInd/>
        <w:snapToGrid/>
        <w:ind w:firstLine="560"/>
        <w:rPr>
          <w:rFonts w:hint="default" w:ascii="Times New Roman" w:hAnsi="Times New Roman" w:cs="Times New Roman" w:eastAsiaTheme="minorEastAsia"/>
          <w:color w:val="000000" w:themeColor="text1"/>
          <w:sz w:val="24"/>
          <w:szCs w:val="22"/>
          <w:highlight w:val="none"/>
          <w:lang w:val="en-GB"/>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lang w:val="en-GB"/>
          <w14:textFill>
            <w14:solidFill>
              <w14:schemeClr w14:val="tx1"/>
            </w14:solidFill>
          </w14:textFill>
        </w:rPr>
        <w:t>计算参数取值见表2-3-10.</w:t>
      </w:r>
    </w:p>
    <w:p>
      <w:pPr>
        <w:widowControl w:val="0"/>
        <w:adjustRightInd/>
        <w:snapToGrid/>
        <w:ind w:firstLine="480"/>
        <w:rPr>
          <w:rFonts w:hint="default" w:ascii="Times New Roman" w:hAnsi="Times New Roman" w:cs="Times New Roman" w:eastAsiaTheme="minorEastAsia"/>
          <w:color w:val="000000" w:themeColor="text1"/>
          <w:sz w:val="24"/>
          <w:highlight w:val="none"/>
          <w:lang w:val="en-GB"/>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GB"/>
          <w14:textFill>
            <w14:solidFill>
              <w14:schemeClr w14:val="tx1"/>
            </w14:solidFill>
          </w14:textFill>
        </w:rPr>
        <w:t>表2-3-10     地下水调查范围公示计算参数表</w:t>
      </w:r>
    </w:p>
    <w:tbl>
      <w:tblPr>
        <w:tblStyle w:val="92"/>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3"/>
        <w:gridCol w:w="1453"/>
        <w:gridCol w:w="1453"/>
        <w:gridCol w:w="1453"/>
        <w:gridCol w:w="1454"/>
        <w:gridCol w:w="145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3" w:type="dxa"/>
            <w:vAlign w:val="center"/>
          </w:tcPr>
          <w:p>
            <w:pPr>
              <w:widowControl w:val="0"/>
              <w:adjustRightInd/>
              <w:snapToGrid/>
              <w:ind w:firstLine="0" w:firstLineChars="0"/>
              <w:jc w:val="center"/>
              <w:rPr>
                <w:rFonts w:hint="default" w:ascii="Times New Roman" w:hAnsi="Times New Roman" w:cs="Times New Roman" w:eastAsiaTheme="minorEastAsia"/>
                <w:color w:val="000000" w:themeColor="text1"/>
                <w:sz w:val="21"/>
                <w:szCs w:val="21"/>
                <w:highlight w:val="none"/>
                <w:lang w:val="en-GB"/>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GB"/>
                <w14:textFill>
                  <w14:solidFill>
                    <w14:schemeClr w14:val="tx1"/>
                  </w14:solidFill>
                </w14:textFill>
              </w:rPr>
              <w:t>计算参数</w:t>
            </w:r>
          </w:p>
        </w:tc>
        <w:tc>
          <w:tcPr>
            <w:tcW w:w="1453" w:type="dxa"/>
            <w:vAlign w:val="center"/>
          </w:tcPr>
          <w:p>
            <w:pPr>
              <w:widowControl w:val="0"/>
              <w:adjustRightInd/>
              <w:snapToGrid/>
              <w:ind w:firstLine="0" w:firstLineChars="0"/>
              <w:jc w:val="center"/>
              <w:rPr>
                <w:rFonts w:hint="default" w:ascii="Times New Roman" w:hAnsi="Times New Roman" w:cs="Times New Roman" w:eastAsiaTheme="minorEastAsia"/>
                <w:color w:val="000000" w:themeColor="text1"/>
                <w:sz w:val="21"/>
                <w:szCs w:val="21"/>
                <w:highlight w:val="none"/>
                <w:lang w:val="en-GB"/>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GB"/>
                <w14:textFill>
                  <w14:solidFill>
                    <w14:schemeClr w14:val="tx1"/>
                  </w14:solidFill>
                </w14:textFill>
              </w:rPr>
              <w:t>a</w:t>
            </w:r>
          </w:p>
        </w:tc>
        <w:tc>
          <w:tcPr>
            <w:tcW w:w="1453" w:type="dxa"/>
            <w:vAlign w:val="center"/>
          </w:tcPr>
          <w:p>
            <w:pPr>
              <w:widowControl w:val="0"/>
              <w:adjustRightInd/>
              <w:snapToGrid/>
              <w:ind w:firstLine="0" w:firstLineChars="0"/>
              <w:jc w:val="center"/>
              <w:rPr>
                <w:rFonts w:hint="default" w:ascii="Times New Roman" w:hAnsi="Times New Roman" w:cs="Times New Roman" w:eastAsiaTheme="minorEastAsia"/>
                <w:color w:val="000000" w:themeColor="text1"/>
                <w:sz w:val="21"/>
                <w:szCs w:val="21"/>
                <w:highlight w:val="none"/>
                <w:lang w:val="en-GB"/>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GB"/>
                <w14:textFill>
                  <w14:solidFill>
                    <w14:schemeClr w14:val="tx1"/>
                  </w14:solidFill>
                </w14:textFill>
              </w:rPr>
              <w:t>K</w:t>
            </w:r>
          </w:p>
        </w:tc>
        <w:tc>
          <w:tcPr>
            <w:tcW w:w="1453" w:type="dxa"/>
            <w:vAlign w:val="center"/>
          </w:tcPr>
          <w:p>
            <w:pPr>
              <w:widowControl w:val="0"/>
              <w:adjustRightInd/>
              <w:snapToGrid/>
              <w:ind w:firstLine="0" w:firstLineChars="0"/>
              <w:jc w:val="center"/>
              <w:rPr>
                <w:rFonts w:hint="default" w:ascii="Times New Roman" w:hAnsi="Times New Roman" w:cs="Times New Roman" w:eastAsiaTheme="minorEastAsia"/>
                <w:color w:val="000000" w:themeColor="text1"/>
                <w:sz w:val="21"/>
                <w:szCs w:val="21"/>
                <w:highlight w:val="none"/>
                <w:lang w:val="en-GB"/>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GB"/>
                <w14:textFill>
                  <w14:solidFill>
                    <w14:schemeClr w14:val="tx1"/>
                  </w14:solidFill>
                </w14:textFill>
              </w:rPr>
              <w:t>I</w:t>
            </w:r>
          </w:p>
        </w:tc>
        <w:tc>
          <w:tcPr>
            <w:tcW w:w="1454" w:type="dxa"/>
            <w:vAlign w:val="center"/>
          </w:tcPr>
          <w:p>
            <w:pPr>
              <w:widowControl w:val="0"/>
              <w:adjustRightInd/>
              <w:snapToGrid/>
              <w:ind w:firstLine="0" w:firstLineChars="0"/>
              <w:jc w:val="center"/>
              <w:rPr>
                <w:rFonts w:hint="default" w:ascii="Times New Roman" w:hAnsi="Times New Roman" w:cs="Times New Roman" w:eastAsiaTheme="minorEastAsia"/>
                <w:color w:val="000000" w:themeColor="text1"/>
                <w:sz w:val="21"/>
                <w:szCs w:val="21"/>
                <w:highlight w:val="none"/>
                <w:lang w:val="en-GB"/>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GB"/>
                <w14:textFill>
                  <w14:solidFill>
                    <w14:schemeClr w14:val="tx1"/>
                  </w14:solidFill>
                </w14:textFill>
              </w:rPr>
              <w:t>T</w:t>
            </w:r>
          </w:p>
        </w:tc>
        <w:tc>
          <w:tcPr>
            <w:tcW w:w="1454" w:type="dxa"/>
            <w:vAlign w:val="center"/>
          </w:tcPr>
          <w:p>
            <w:pPr>
              <w:widowControl w:val="0"/>
              <w:adjustRightInd/>
              <w:snapToGrid/>
              <w:ind w:firstLine="0" w:firstLineChars="0"/>
              <w:jc w:val="center"/>
              <w:rPr>
                <w:rFonts w:hint="default" w:ascii="Times New Roman" w:hAnsi="Times New Roman" w:cs="Times New Roman" w:eastAsiaTheme="minorEastAsia"/>
                <w:color w:val="000000" w:themeColor="text1"/>
                <w:sz w:val="21"/>
                <w:szCs w:val="21"/>
                <w:highlight w:val="none"/>
                <w:lang w:val="en-GB"/>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GB"/>
                <w14:textFill>
                  <w14:solidFill>
                    <w14:schemeClr w14:val="tx1"/>
                  </w14:solidFill>
                </w14:textFill>
              </w:rPr>
              <w:t>n</w:t>
            </w:r>
            <w:r>
              <w:rPr>
                <w:rFonts w:hint="default" w:ascii="Times New Roman" w:hAnsi="Times New Roman" w:cs="Times New Roman" w:eastAsiaTheme="minorEastAsia"/>
                <w:color w:val="000000" w:themeColor="text1"/>
                <w:sz w:val="21"/>
                <w:szCs w:val="21"/>
                <w:highlight w:val="none"/>
                <w:vertAlign w:val="subscript"/>
                <w:lang w:val="en-GB"/>
                <w14:textFill>
                  <w14:solidFill>
                    <w14:schemeClr w14:val="tx1"/>
                  </w14:solidFill>
                </w14:textFill>
              </w:rPr>
              <w:t>e</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3" w:type="dxa"/>
            <w:vAlign w:val="center"/>
          </w:tcPr>
          <w:p>
            <w:pPr>
              <w:widowControl w:val="0"/>
              <w:adjustRightInd/>
              <w:snapToGrid/>
              <w:ind w:firstLine="0" w:firstLineChars="0"/>
              <w:jc w:val="center"/>
              <w:rPr>
                <w:rFonts w:hint="default" w:ascii="Times New Roman" w:hAnsi="Times New Roman" w:cs="Times New Roman" w:eastAsiaTheme="minorEastAsia"/>
                <w:color w:val="000000" w:themeColor="text1"/>
                <w:sz w:val="21"/>
                <w:szCs w:val="21"/>
                <w:highlight w:val="none"/>
                <w:lang w:val="en-GB"/>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GB"/>
                <w14:textFill>
                  <w14:solidFill>
                    <w14:schemeClr w14:val="tx1"/>
                  </w14:solidFill>
                </w14:textFill>
              </w:rPr>
              <w:t>取值</w:t>
            </w:r>
          </w:p>
        </w:tc>
        <w:tc>
          <w:tcPr>
            <w:tcW w:w="1453" w:type="dxa"/>
            <w:vAlign w:val="center"/>
          </w:tcPr>
          <w:p>
            <w:pPr>
              <w:widowControl w:val="0"/>
              <w:adjustRightInd/>
              <w:snapToGrid/>
              <w:ind w:firstLine="0" w:firstLineChars="0"/>
              <w:jc w:val="center"/>
              <w:rPr>
                <w:rFonts w:hint="default" w:ascii="Times New Roman" w:hAnsi="Times New Roman" w:cs="Times New Roman" w:eastAsiaTheme="minorEastAsia"/>
                <w:color w:val="000000" w:themeColor="text1"/>
                <w:sz w:val="21"/>
                <w:szCs w:val="21"/>
                <w:highlight w:val="none"/>
                <w:lang w:val="en-GB"/>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GB"/>
                <w14:textFill>
                  <w14:solidFill>
                    <w14:schemeClr w14:val="tx1"/>
                  </w14:solidFill>
                </w14:textFill>
              </w:rPr>
              <w:t>2</w:t>
            </w:r>
          </w:p>
        </w:tc>
        <w:tc>
          <w:tcPr>
            <w:tcW w:w="1453" w:type="dxa"/>
            <w:vAlign w:val="center"/>
          </w:tcPr>
          <w:p>
            <w:pPr>
              <w:widowControl w:val="0"/>
              <w:adjustRightInd/>
              <w:snapToGrid/>
              <w:ind w:firstLine="0" w:firstLineChars="0"/>
              <w:jc w:val="center"/>
              <w:rPr>
                <w:rFonts w:hint="default" w:ascii="Times New Roman" w:hAnsi="Times New Roman" w:cs="Times New Roman" w:eastAsiaTheme="minorEastAsia"/>
                <w:color w:val="000000" w:themeColor="text1"/>
                <w:sz w:val="21"/>
                <w:szCs w:val="21"/>
                <w:highlight w:val="none"/>
                <w:lang w:val="en-GB"/>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GB"/>
                <w14:textFill>
                  <w14:solidFill>
                    <w14:schemeClr w14:val="tx1"/>
                  </w14:solidFill>
                </w14:textFill>
              </w:rPr>
              <w:t>1.6</w:t>
            </w:r>
          </w:p>
        </w:tc>
        <w:tc>
          <w:tcPr>
            <w:tcW w:w="1453" w:type="dxa"/>
            <w:vAlign w:val="center"/>
          </w:tcPr>
          <w:p>
            <w:pPr>
              <w:widowControl w:val="0"/>
              <w:adjustRightInd/>
              <w:snapToGrid/>
              <w:ind w:firstLine="0" w:firstLineChars="0"/>
              <w:jc w:val="center"/>
              <w:rPr>
                <w:rFonts w:hint="default" w:ascii="Times New Roman" w:hAnsi="Times New Roman" w:cs="Times New Roman" w:eastAsiaTheme="minorEastAsia"/>
                <w:color w:val="000000" w:themeColor="text1"/>
                <w:sz w:val="21"/>
                <w:szCs w:val="21"/>
                <w:highlight w:val="none"/>
                <w:lang w:val="en-GB"/>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GB"/>
                <w14:textFill>
                  <w14:solidFill>
                    <w14:schemeClr w14:val="tx1"/>
                  </w14:solidFill>
                </w14:textFill>
              </w:rPr>
              <w:t>2‰</w:t>
            </w:r>
          </w:p>
        </w:tc>
        <w:tc>
          <w:tcPr>
            <w:tcW w:w="1454" w:type="dxa"/>
            <w:vAlign w:val="center"/>
          </w:tcPr>
          <w:p>
            <w:pPr>
              <w:widowControl w:val="0"/>
              <w:adjustRightInd/>
              <w:snapToGrid/>
              <w:ind w:firstLine="0" w:firstLineChars="0"/>
              <w:jc w:val="center"/>
              <w:rPr>
                <w:rFonts w:hint="default" w:ascii="Times New Roman" w:hAnsi="Times New Roman" w:cs="Times New Roman" w:eastAsiaTheme="minorEastAsia"/>
                <w:color w:val="000000" w:themeColor="text1"/>
                <w:sz w:val="21"/>
                <w:szCs w:val="21"/>
                <w:highlight w:val="none"/>
                <w:lang w:val="en-GB"/>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GB"/>
                <w14:textFill>
                  <w14:solidFill>
                    <w14:schemeClr w14:val="tx1"/>
                  </w14:solidFill>
                </w14:textFill>
              </w:rPr>
              <w:t>5000</w:t>
            </w:r>
          </w:p>
        </w:tc>
        <w:tc>
          <w:tcPr>
            <w:tcW w:w="1454" w:type="dxa"/>
            <w:vAlign w:val="center"/>
          </w:tcPr>
          <w:p>
            <w:pPr>
              <w:widowControl w:val="0"/>
              <w:adjustRightInd/>
              <w:snapToGrid/>
              <w:ind w:firstLine="0" w:firstLineChars="0"/>
              <w:jc w:val="center"/>
              <w:rPr>
                <w:rFonts w:hint="default" w:ascii="Times New Roman" w:hAnsi="Times New Roman" w:cs="Times New Roman" w:eastAsiaTheme="minorEastAsia"/>
                <w:color w:val="000000" w:themeColor="text1"/>
                <w:sz w:val="21"/>
                <w:szCs w:val="21"/>
                <w:highlight w:val="none"/>
                <w:lang w:val="en-GB"/>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GB"/>
                <w14:textFill>
                  <w14:solidFill>
                    <w14:schemeClr w14:val="tx1"/>
                  </w14:solidFill>
                </w14:textFill>
              </w:rPr>
              <w:t>0.18</w:t>
            </w:r>
          </w:p>
        </w:tc>
      </w:tr>
    </w:tbl>
    <w:p>
      <w:pPr>
        <w:widowControl w:val="0"/>
        <w:adjustRightInd/>
        <w:snapToGrid/>
        <w:ind w:firstLine="560"/>
        <w:rPr>
          <w:rFonts w:hint="default" w:ascii="Times New Roman" w:hAnsi="Times New Roman" w:cs="Times New Roman" w:eastAsiaTheme="minorEastAsia"/>
          <w:color w:val="000000" w:themeColor="text1"/>
          <w:sz w:val="24"/>
          <w:szCs w:val="22"/>
          <w:highlight w:val="none"/>
          <w:lang w:val="en-GB"/>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lang w:val="en-GB"/>
          <w14:textFill>
            <w14:solidFill>
              <w14:schemeClr w14:val="tx1"/>
            </w14:solidFill>
          </w14:textFill>
        </w:rPr>
        <w:t>L=2*1.6*0.002*5000/0.18=178m，依据《环境影响评价技术导则 地下水环境》（HJ 610-2016），地下水调查评价范围应为场地下游Lm及两侧L/2m构成的区域范围。</w:t>
      </w:r>
    </w:p>
    <w:p>
      <w:pPr>
        <w:widowControl w:val="0"/>
        <w:adjustRightInd/>
        <w:snapToGrid/>
        <w:ind w:firstLine="560"/>
        <w:rPr>
          <w:rFonts w:hint="default" w:ascii="Times New Roman" w:hAnsi="Times New Roman" w:cs="Times New Roman" w:eastAsiaTheme="minorEastAsia"/>
          <w:color w:val="000000" w:themeColor="text1"/>
          <w:sz w:val="24"/>
          <w:szCs w:val="22"/>
          <w:highlight w:val="none"/>
          <w:lang w:val="en-GB"/>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lang w:val="en-GB"/>
          <w14:textFill>
            <w14:solidFill>
              <w14:schemeClr w14:val="tx1"/>
            </w14:solidFill>
          </w14:textFill>
        </w:rPr>
        <w:t>评价区域第四系孔隙潜水水位等值线见图2-3-2。</w:t>
      </w:r>
    </w:p>
    <w:p>
      <w:pPr>
        <w:widowControl w:val="0"/>
        <w:adjustRightInd/>
        <w:snapToGrid/>
        <w:spacing w:line="480" w:lineRule="auto"/>
        <w:ind w:firstLine="198" w:firstLineChars="71"/>
        <w:rPr>
          <w:rFonts w:hint="default" w:ascii="Times New Roman" w:hAnsi="Times New Roman" w:cs="Times New Roman" w:eastAsiaTheme="minorEastAsia"/>
          <w:color w:val="000000" w:themeColor="text1"/>
          <w:highlight w:val="yellow"/>
          <w:lang w:val="en-GB"/>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drawing>
          <wp:inline distT="0" distB="0" distL="0" distR="0">
            <wp:extent cx="5400040" cy="5236210"/>
            <wp:effectExtent l="19050" t="0" r="0" b="0"/>
            <wp:docPr id="7" name="图片 7" descr="C:\Users\ADMINI~1\AppData\Local\Temp\16348865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1634886568(1).png"/>
                    <pic:cNvPicPr>
                      <a:picLocks noChangeAspect="1" noChangeArrowheads="1"/>
                    </pic:cNvPicPr>
                  </pic:nvPicPr>
                  <pic:blipFill>
                    <a:blip r:embed="rId48" cstate="print"/>
                    <a:srcRect/>
                    <a:stretch>
                      <a:fillRect/>
                    </a:stretch>
                  </pic:blipFill>
                  <pic:spPr>
                    <a:xfrm>
                      <a:off x="0" y="0"/>
                      <a:ext cx="5400040" cy="5236677"/>
                    </a:xfrm>
                    <a:prstGeom prst="rect">
                      <a:avLst/>
                    </a:prstGeom>
                    <a:noFill/>
                    <a:ln w="9525">
                      <a:noFill/>
                      <a:miter lim="800000"/>
                      <a:headEnd/>
                      <a:tailEnd/>
                    </a:ln>
                  </pic:spPr>
                </pic:pic>
              </a:graphicData>
            </a:graphic>
          </wp:inline>
        </w:drawing>
      </w:r>
    </w:p>
    <w:p>
      <w:pPr>
        <w:widowControl w:val="0"/>
        <w:adjustRightInd/>
        <w:snapToGrid/>
        <w:ind w:firstLine="170" w:firstLineChars="71"/>
        <w:jc w:val="center"/>
        <w:rPr>
          <w:rFonts w:hint="default" w:ascii="Times New Roman" w:hAnsi="Times New Roman" w:cs="Times New Roman" w:eastAsiaTheme="minorEastAsia"/>
          <w:color w:val="000000" w:themeColor="text1"/>
          <w:sz w:val="24"/>
          <w:highlight w:val="none"/>
          <w:lang w:val="en-GB"/>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GB"/>
          <w14:textFill>
            <w14:solidFill>
              <w14:schemeClr w14:val="tx1"/>
            </w14:solidFill>
          </w14:textFill>
        </w:rPr>
        <w:t>图2-3-2    评价区域第四系孔隙潜水水位等值线图</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000000" w:themeColor="text1"/>
          <w:sz w:val="24"/>
          <w:szCs w:val="22"/>
          <w:highlight w:val="none"/>
          <w:lang w:val="en-GB"/>
          <w14:textFill>
            <w14:solidFill>
              <w14:schemeClr w14:val="tx1"/>
            </w14:solidFill>
          </w14:textFill>
        </w:rPr>
        <w:t>根据上图判定，松嫩平原</w:t>
      </w:r>
      <w:r>
        <w:rPr>
          <w:rFonts w:hint="default" w:ascii="Times New Roman" w:hAnsi="Times New Roman" w:cs="Times New Roman" w:eastAsiaTheme="minorEastAsia"/>
          <w:color w:val="000000" w:themeColor="text1"/>
          <w:sz w:val="24"/>
          <w:szCs w:val="24"/>
          <w:highlight w:val="none"/>
          <w:lang w:val="en-GB"/>
          <w14:textFill>
            <w14:solidFill>
              <w14:schemeClr w14:val="tx1"/>
            </w14:solidFill>
          </w14:textFill>
        </w:rPr>
        <w:t>第四系孔隙潜水总体径流走向是由北向南，项目评价区域第四系孔隙潜水总体径流走向是由北向南。</w:t>
      </w:r>
      <w:r>
        <w:rPr>
          <w:rFonts w:hint="default" w:ascii="Times New Roman" w:hAnsi="Times New Roman" w:cs="Times New Roman" w:eastAsiaTheme="minorEastAsia"/>
          <w:color w:val="000000" w:themeColor="text1"/>
          <w:sz w:val="24"/>
          <w:szCs w:val="22"/>
          <w:highlight w:val="none"/>
          <w:lang w:val="en-GB"/>
          <w14:textFill>
            <w14:solidFill>
              <w14:schemeClr w14:val="tx1"/>
            </w14:solidFill>
          </w14:textFill>
        </w:rPr>
        <w:t>考虑到建设项目附近地下水保护目标，</w:t>
      </w:r>
      <w:r>
        <w:rPr>
          <w:rFonts w:hint="default" w:ascii="Times New Roman" w:hAnsi="Times New Roman" w:cs="Times New Roman" w:eastAsiaTheme="minorEastAsia"/>
          <w:color w:val="auto"/>
          <w:sz w:val="24"/>
          <w:szCs w:val="22"/>
          <w:highlight w:val="none"/>
          <w:lang w:val="en-GB"/>
        </w:rPr>
        <w:t>本次地下水环境影响评价范围在计算得到的调查评价范围基础上适当扩大，为矩形区域，包含地下水环境保护目标，根据HJ610-2016，结合地下水流向（由北向南），场地两侧调查评价范围应不低于L/2，即89m，因此</w:t>
      </w:r>
      <w:r>
        <w:rPr>
          <w:rFonts w:hint="default" w:ascii="Times New Roman" w:hAnsi="Times New Roman" w:cs="Times New Roman" w:eastAsiaTheme="minorEastAsia"/>
          <w:color w:val="auto"/>
          <w:sz w:val="24"/>
          <w:szCs w:val="22"/>
          <w:highlight w:val="none"/>
          <w:lang w:val="en-GB" w:eastAsia="zh-CN"/>
        </w:rPr>
        <w:t>北侧边界（上游）</w:t>
      </w:r>
      <w:r>
        <w:rPr>
          <w:rFonts w:hint="default" w:ascii="Times New Roman" w:hAnsi="Times New Roman" w:cs="Times New Roman" w:eastAsiaTheme="minorEastAsia"/>
          <w:color w:val="auto"/>
          <w:sz w:val="24"/>
          <w:szCs w:val="22"/>
          <w:highlight w:val="none"/>
          <w:lang w:val="en-US" w:eastAsia="zh-CN"/>
        </w:rPr>
        <w:t>900m，</w:t>
      </w:r>
      <w:r>
        <w:rPr>
          <w:rFonts w:hint="default" w:ascii="Times New Roman" w:hAnsi="Times New Roman" w:cs="Times New Roman" w:eastAsiaTheme="minorEastAsia"/>
          <w:color w:val="auto"/>
          <w:sz w:val="24"/>
          <w:szCs w:val="22"/>
          <w:highlight w:val="none"/>
        </w:rPr>
        <w:t>南侧边界（场地下游）外扩距厂界</w:t>
      </w:r>
      <w:r>
        <w:rPr>
          <w:rFonts w:hint="default" w:ascii="Times New Roman" w:hAnsi="Times New Roman" w:cs="Times New Roman" w:eastAsiaTheme="minorEastAsia"/>
          <w:color w:val="auto"/>
          <w:sz w:val="24"/>
          <w:szCs w:val="22"/>
          <w:highlight w:val="none"/>
          <w:lang w:val="en-US" w:eastAsia="zh-CN"/>
        </w:rPr>
        <w:t>2650</w:t>
      </w:r>
      <w:r>
        <w:rPr>
          <w:rFonts w:hint="default" w:ascii="Times New Roman" w:hAnsi="Times New Roman" w:cs="Times New Roman" w:eastAsiaTheme="minorEastAsia"/>
          <w:color w:val="auto"/>
          <w:sz w:val="24"/>
          <w:szCs w:val="22"/>
          <w:highlight w:val="none"/>
        </w:rPr>
        <w:t>m，两侧1</w:t>
      </w:r>
      <w:r>
        <w:rPr>
          <w:rFonts w:hint="default" w:ascii="Times New Roman" w:hAnsi="Times New Roman" w:cs="Times New Roman" w:eastAsiaTheme="minorEastAsia"/>
          <w:color w:val="auto"/>
          <w:sz w:val="24"/>
          <w:szCs w:val="22"/>
          <w:highlight w:val="none"/>
          <w:lang w:val="en-US" w:eastAsia="zh-CN"/>
        </w:rPr>
        <w:t>000</w:t>
      </w:r>
      <w:r>
        <w:rPr>
          <w:rFonts w:hint="default" w:ascii="Times New Roman" w:hAnsi="Times New Roman" w:cs="Times New Roman" w:eastAsiaTheme="minorEastAsia"/>
          <w:color w:val="auto"/>
          <w:sz w:val="24"/>
          <w:szCs w:val="22"/>
          <w:highlight w:val="none"/>
        </w:rPr>
        <w:t>m，面积约</w:t>
      </w:r>
      <w:r>
        <w:rPr>
          <w:rFonts w:hint="default" w:ascii="Times New Roman" w:hAnsi="Times New Roman" w:cs="Times New Roman" w:eastAsiaTheme="minorEastAsia"/>
          <w:color w:val="auto"/>
          <w:sz w:val="24"/>
          <w:szCs w:val="22"/>
          <w:highlight w:val="none"/>
          <w:lang w:val="en-US" w:eastAsia="zh-CN"/>
        </w:rPr>
        <w:t>3.95</w:t>
      </w:r>
      <w:r>
        <w:rPr>
          <w:rFonts w:hint="default" w:ascii="Times New Roman" w:hAnsi="Times New Roman" w:cs="Times New Roman" w:eastAsiaTheme="minorEastAsia"/>
          <w:color w:val="auto"/>
          <w:sz w:val="24"/>
          <w:szCs w:val="22"/>
          <w:highlight w:val="none"/>
        </w:rPr>
        <w:t>km</w:t>
      </w:r>
      <w:r>
        <w:rPr>
          <w:rFonts w:hint="default" w:ascii="Times New Roman" w:hAnsi="Times New Roman" w:cs="Times New Roman" w:eastAsiaTheme="minorEastAsia"/>
          <w:color w:val="auto"/>
          <w:sz w:val="24"/>
          <w:szCs w:val="22"/>
          <w:highlight w:val="none"/>
          <w:vertAlign w:val="superscript"/>
        </w:rPr>
        <w:t>2</w:t>
      </w:r>
      <w:r>
        <w:rPr>
          <w:rFonts w:hint="default" w:ascii="Times New Roman" w:hAnsi="Times New Roman" w:cs="Times New Roman" w:eastAsiaTheme="minorEastAsia"/>
          <w:color w:val="auto"/>
          <w:sz w:val="24"/>
          <w:szCs w:val="22"/>
          <w:highlight w:val="none"/>
        </w:rPr>
        <w:t>。</w:t>
      </w:r>
    </w:p>
    <w:p>
      <w:pPr>
        <w:pStyle w:val="154"/>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cs="Times New Roman" w:eastAsiaTheme="minorEastAsia"/>
          <w:color w:val="FF0000"/>
          <w:highlight w:val="none"/>
          <w:lang w:eastAsia="zh-CN"/>
        </w:rPr>
      </w:pPr>
      <w:r>
        <w:rPr>
          <w:rFonts w:hint="eastAsia" w:ascii="Times New Roman" w:hAnsi="Times New Roman" w:cs="Times New Roman" w:eastAsiaTheme="minorEastAsia"/>
          <w:color w:val="FF0000"/>
          <w:highlight w:val="none"/>
          <w:lang w:eastAsia="zh-CN"/>
        </w:rPr>
        <w:drawing>
          <wp:inline distT="0" distB="0" distL="114300" distR="114300">
            <wp:extent cx="5398135" cy="6252845"/>
            <wp:effectExtent l="0" t="0" r="12065" b="14605"/>
            <wp:docPr id="8" name="图片 8" descr="地下水评价范围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地下水评价范围2_副本"/>
                    <pic:cNvPicPr>
                      <a:picLocks noChangeAspect="1"/>
                    </pic:cNvPicPr>
                  </pic:nvPicPr>
                  <pic:blipFill>
                    <a:blip r:embed="rId49"/>
                    <a:stretch>
                      <a:fillRect/>
                    </a:stretch>
                  </pic:blipFill>
                  <pic:spPr>
                    <a:xfrm>
                      <a:off x="0" y="0"/>
                      <a:ext cx="5398135" cy="6252845"/>
                    </a:xfrm>
                    <a:prstGeom prst="rect">
                      <a:avLst/>
                    </a:prstGeom>
                  </pic:spPr>
                </pic:pic>
              </a:graphicData>
            </a:graphic>
          </wp:inline>
        </w:drawing>
      </w:r>
    </w:p>
    <w:p>
      <w:pPr>
        <w:pStyle w:val="154"/>
        <w:ind w:left="0" w:leftChars="0" w:firstLine="1440" w:firstLineChars="60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eastAsia="zh-CN"/>
        </w:rPr>
        <w:t>图</w:t>
      </w:r>
      <w:r>
        <w:rPr>
          <w:rFonts w:hint="default" w:ascii="Times New Roman" w:hAnsi="Times New Roman" w:cs="Times New Roman" w:eastAsiaTheme="minorEastAsia"/>
          <w:color w:val="auto"/>
          <w:highlight w:val="none"/>
          <w:lang w:val="en-US" w:eastAsia="zh-CN"/>
        </w:rPr>
        <w:t>2.3-3     地下水评价范围图</w:t>
      </w:r>
    </w:p>
    <w:p>
      <w:pPr>
        <w:pStyle w:val="1167"/>
        <w:rPr>
          <w:rFonts w:hint="default" w:ascii="Times New Roman" w:hAnsi="Times New Roman" w:cs="Times New Roman" w:eastAsiaTheme="minorEastAsia"/>
          <w:color w:val="000000" w:themeColor="text1"/>
          <w14:textFill>
            <w14:solidFill>
              <w14:schemeClr w14:val="tx1"/>
            </w14:solidFill>
          </w14:textFill>
        </w:rPr>
      </w:pPr>
      <w:bookmarkStart w:id="61" w:name="_Toc216838061"/>
      <w:bookmarkStart w:id="62" w:name="_Toc337734317"/>
      <w:bookmarkStart w:id="63" w:name="_Toc447281000"/>
      <w:bookmarkStart w:id="64" w:name="_Toc215564492"/>
      <w:bookmarkStart w:id="65" w:name="_Toc176865894"/>
      <w:bookmarkStart w:id="66" w:name="_Toc355941898"/>
      <w:bookmarkStart w:id="67" w:name="_Toc170185558"/>
      <w:r>
        <w:rPr>
          <w:rFonts w:hint="default" w:ascii="Times New Roman" w:hAnsi="Times New Roman" w:cs="Times New Roman" w:eastAsiaTheme="minorEastAsia"/>
          <w:color w:val="000000" w:themeColor="text1"/>
          <w14:textFill>
            <w14:solidFill>
              <w14:schemeClr w14:val="tx1"/>
            </w14:solidFill>
          </w14:textFill>
        </w:rPr>
        <w:t>2.3.4 声环境</w:t>
      </w:r>
      <w:bookmarkEnd w:id="61"/>
      <w:bookmarkEnd w:id="62"/>
      <w:bookmarkEnd w:id="63"/>
      <w:bookmarkEnd w:id="64"/>
      <w:bookmarkEnd w:id="65"/>
      <w:bookmarkEnd w:id="66"/>
      <w:bookmarkEnd w:id="67"/>
    </w:p>
    <w:p>
      <w:pPr>
        <w:pStyle w:val="1297"/>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2.3.4.1 评价工作等级</w:t>
      </w:r>
    </w:p>
    <w:p>
      <w:pPr>
        <w:spacing w:line="500" w:lineRule="exact"/>
        <w:ind w:firstLine="560"/>
        <w:rPr>
          <w:rFonts w:hint="default" w:ascii="Times New Roman" w:hAnsi="Times New Roman" w:cs="Times New Roman" w:eastAsiaTheme="minorEastAsia"/>
          <w:color w:val="000000" w:themeColor="text1"/>
          <w:sz w:val="24"/>
          <w:szCs w:val="22"/>
          <w:lang w:val="en-GB"/>
          <w14:textFill>
            <w14:solidFill>
              <w14:schemeClr w14:val="tx1"/>
            </w14:solidFill>
          </w14:textFill>
        </w:rPr>
      </w:pPr>
      <w:r>
        <w:rPr>
          <w:rFonts w:hint="default" w:ascii="Times New Roman" w:hAnsi="Times New Roman" w:cs="Times New Roman" w:eastAsiaTheme="minorEastAsia"/>
          <w:color w:val="auto"/>
          <w:sz w:val="24"/>
          <w:szCs w:val="22"/>
          <w:highlight w:val="none"/>
          <w:lang w:val="en-GB"/>
        </w:rPr>
        <w:t>根据《环境影响评价技术导则 声环境》（HJ2.4-2009）中规定的噪声环境影响评价工作等级划分的基本原则，本项目位于</w:t>
      </w:r>
      <w:r>
        <w:rPr>
          <w:rFonts w:hint="default" w:ascii="Times New Roman" w:hAnsi="Times New Roman" w:cs="Times New Roman" w:eastAsiaTheme="minorEastAsia"/>
          <w:color w:val="auto"/>
          <w:sz w:val="24"/>
          <w:szCs w:val="22"/>
          <w:highlight w:val="none"/>
        </w:rPr>
        <w:t>安达市先源乡红星村八屯，</w:t>
      </w:r>
      <w:r>
        <w:rPr>
          <w:rFonts w:hint="default" w:ascii="Times New Roman" w:hAnsi="Times New Roman" w:cs="Times New Roman" w:eastAsiaTheme="minorEastAsia"/>
          <w:color w:val="auto"/>
          <w:sz w:val="24"/>
          <w:szCs w:val="22"/>
          <w:highlight w:val="none"/>
          <w:lang w:val="en-GB"/>
        </w:rPr>
        <w:t>声环</w:t>
      </w:r>
      <w:r>
        <w:rPr>
          <w:rFonts w:hint="default" w:ascii="Times New Roman" w:hAnsi="Times New Roman" w:cs="Times New Roman" w:eastAsiaTheme="minorEastAsia"/>
          <w:color w:val="000000" w:themeColor="text1"/>
          <w:sz w:val="24"/>
          <w:szCs w:val="22"/>
          <w:lang w:val="en-GB"/>
          <w14:textFill>
            <w14:solidFill>
              <w14:schemeClr w14:val="tx1"/>
            </w14:solidFill>
          </w14:textFill>
        </w:rPr>
        <w:t>境功能按照《声环境质量标准》（GB3096-2008）中2类区域控制，项目建设前后噪声级增加量较小且受影响的人口变化不大，因此，确定声环境影响评价工作等级为二级。</w:t>
      </w:r>
    </w:p>
    <w:p>
      <w:pPr>
        <w:adjustRightInd/>
        <w:spacing w:line="520" w:lineRule="atLeast"/>
        <w:ind w:firstLine="0" w:firstLineChars="0"/>
        <w:jc w:val="center"/>
        <w:rPr>
          <w:rFonts w:hint="default" w:ascii="Times New Roman" w:hAnsi="Times New Roman" w:cs="Times New Roman" w:eastAsiaTheme="minorEastAsia"/>
          <w:bCs/>
          <w:color w:val="000000" w:themeColor="text1"/>
          <w:kern w:val="0"/>
          <w:sz w:val="24"/>
          <w14:textFill>
            <w14:solidFill>
              <w14:schemeClr w14:val="tx1"/>
            </w14:solidFill>
          </w14:textFill>
        </w:rPr>
      </w:pPr>
      <w:r>
        <w:rPr>
          <w:rFonts w:hint="default" w:ascii="Times New Roman" w:hAnsi="Times New Roman" w:cs="Times New Roman" w:eastAsiaTheme="minorEastAsia"/>
          <w:bCs/>
          <w:color w:val="000000" w:themeColor="text1"/>
          <w:kern w:val="0"/>
          <w:sz w:val="24"/>
          <w14:textFill>
            <w14:solidFill>
              <w14:schemeClr w14:val="tx1"/>
            </w14:solidFill>
          </w14:textFill>
        </w:rPr>
        <w:t>表2-3-12 声环境影响评价等级及其划分依据</w:t>
      </w:r>
    </w:p>
    <w:tbl>
      <w:tblPr>
        <w:tblStyle w:val="91"/>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376"/>
        <w:gridCol w:w="2180"/>
        <w:gridCol w:w="2984"/>
        <w:gridCol w:w="2180"/>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89" w:type="pct"/>
            <w:vMerge w:val="restart"/>
            <w:vAlign w:val="center"/>
          </w:tcPr>
          <w:p>
            <w:pPr>
              <w:adjustRightInd/>
              <w:spacing w:line="440" w:lineRule="exact"/>
              <w:ind w:firstLine="0" w:firstLineChars="0"/>
              <w:jc w:val="cente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t>工作等级</w:t>
            </w:r>
          </w:p>
        </w:tc>
        <w:tc>
          <w:tcPr>
            <w:tcW w:w="4211" w:type="pct"/>
            <w:gridSpan w:val="3"/>
            <w:vAlign w:val="center"/>
          </w:tcPr>
          <w:p>
            <w:pPr>
              <w:adjustRightInd/>
              <w:spacing w:line="440" w:lineRule="exact"/>
              <w:ind w:firstLine="0" w:firstLineChars="0"/>
              <w:jc w:val="cente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t>划分依据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89" w:type="pct"/>
            <w:vMerge w:val="continue"/>
            <w:vAlign w:val="center"/>
          </w:tcPr>
          <w:p>
            <w:pPr>
              <w:adjustRightInd/>
              <w:spacing w:line="440" w:lineRule="exact"/>
              <w:ind w:firstLine="0" w:firstLineChars="0"/>
              <w:jc w:val="cente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pPr>
          </w:p>
        </w:tc>
        <w:tc>
          <w:tcPr>
            <w:tcW w:w="1250" w:type="pct"/>
            <w:vAlign w:val="center"/>
          </w:tcPr>
          <w:p>
            <w:pPr>
              <w:adjustRightInd/>
              <w:spacing w:line="440" w:lineRule="exact"/>
              <w:ind w:firstLine="0" w:firstLineChars="0"/>
              <w:jc w:val="cente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t>声环境功能区域</w:t>
            </w:r>
          </w:p>
        </w:tc>
        <w:tc>
          <w:tcPr>
            <w:tcW w:w="1711" w:type="pct"/>
            <w:vAlign w:val="center"/>
          </w:tcPr>
          <w:p>
            <w:pPr>
              <w:spacing w:line="440" w:lineRule="exact"/>
              <w:ind w:firstLine="0" w:firstLineChars="0"/>
              <w:jc w:val="cente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t>敏感目标噪声级增高量</w:t>
            </w:r>
          </w:p>
        </w:tc>
        <w:tc>
          <w:tcPr>
            <w:tcW w:w="1250" w:type="pct"/>
            <w:vAlign w:val="center"/>
          </w:tcPr>
          <w:p>
            <w:pPr>
              <w:adjustRightInd/>
              <w:spacing w:line="440" w:lineRule="exact"/>
              <w:ind w:firstLine="0" w:firstLineChars="0"/>
              <w:jc w:val="cente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t>受影响人口数量</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89" w:type="pct"/>
            <w:vAlign w:val="center"/>
          </w:tcPr>
          <w:p>
            <w:pPr>
              <w:adjustRightInd/>
              <w:spacing w:line="440" w:lineRule="exact"/>
              <w:ind w:firstLine="0" w:firstLineChars="0"/>
              <w:jc w:val="cente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t>一级</w:t>
            </w:r>
          </w:p>
        </w:tc>
        <w:tc>
          <w:tcPr>
            <w:tcW w:w="1250" w:type="pct"/>
            <w:vAlign w:val="center"/>
          </w:tcPr>
          <w:p>
            <w:pPr>
              <w:adjustRightInd/>
              <w:spacing w:line="440" w:lineRule="exact"/>
              <w:ind w:firstLine="0" w:firstLineChars="0"/>
              <w:jc w:val="cente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t>0类</w:t>
            </w:r>
          </w:p>
        </w:tc>
        <w:tc>
          <w:tcPr>
            <w:tcW w:w="1711" w:type="pct"/>
            <w:vAlign w:val="center"/>
          </w:tcPr>
          <w:p>
            <w:pPr>
              <w:adjustRightInd/>
              <w:spacing w:line="440" w:lineRule="exact"/>
              <w:ind w:firstLine="0" w:firstLineChars="0"/>
              <w:jc w:val="cente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t>＞5 dB(A)</w:t>
            </w:r>
          </w:p>
        </w:tc>
        <w:tc>
          <w:tcPr>
            <w:tcW w:w="1250" w:type="pct"/>
            <w:vAlign w:val="center"/>
          </w:tcPr>
          <w:p>
            <w:pPr>
              <w:adjustRightInd/>
              <w:spacing w:line="440" w:lineRule="exact"/>
              <w:ind w:firstLine="0" w:firstLineChars="0"/>
              <w:jc w:val="cente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t>显著增多</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89" w:type="pct"/>
            <w:vAlign w:val="center"/>
          </w:tcPr>
          <w:p>
            <w:pPr>
              <w:adjustRightInd/>
              <w:spacing w:line="440" w:lineRule="exact"/>
              <w:ind w:firstLine="0" w:firstLineChars="0"/>
              <w:jc w:val="cente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t>二级</w:t>
            </w:r>
          </w:p>
        </w:tc>
        <w:tc>
          <w:tcPr>
            <w:tcW w:w="1250" w:type="pct"/>
            <w:vAlign w:val="center"/>
          </w:tcPr>
          <w:p>
            <w:pPr>
              <w:adjustRightInd/>
              <w:spacing w:line="440" w:lineRule="exact"/>
              <w:ind w:firstLine="0" w:firstLineChars="0"/>
              <w:jc w:val="cente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t>1 类、2 类</w:t>
            </w:r>
          </w:p>
        </w:tc>
        <w:tc>
          <w:tcPr>
            <w:tcW w:w="1711" w:type="pct"/>
            <w:vAlign w:val="center"/>
          </w:tcPr>
          <w:p>
            <w:pPr>
              <w:adjustRightInd/>
              <w:spacing w:line="440" w:lineRule="exact"/>
              <w:ind w:firstLine="0" w:firstLineChars="0"/>
              <w:jc w:val="cente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t>3～5 dB(A)</w:t>
            </w:r>
          </w:p>
        </w:tc>
        <w:tc>
          <w:tcPr>
            <w:tcW w:w="1250" w:type="pct"/>
            <w:vAlign w:val="center"/>
          </w:tcPr>
          <w:p>
            <w:pPr>
              <w:adjustRightInd/>
              <w:spacing w:line="440" w:lineRule="exact"/>
              <w:ind w:firstLine="0" w:firstLineChars="0"/>
              <w:jc w:val="cente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t>增加较多</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89" w:type="pct"/>
            <w:vAlign w:val="center"/>
          </w:tcPr>
          <w:p>
            <w:pPr>
              <w:adjustRightInd/>
              <w:spacing w:line="440" w:lineRule="exact"/>
              <w:ind w:firstLine="0" w:firstLineChars="0"/>
              <w:jc w:val="cente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t>三级</w:t>
            </w:r>
          </w:p>
        </w:tc>
        <w:tc>
          <w:tcPr>
            <w:tcW w:w="1250" w:type="pct"/>
            <w:vAlign w:val="center"/>
          </w:tcPr>
          <w:p>
            <w:pPr>
              <w:adjustRightInd/>
              <w:spacing w:line="440" w:lineRule="exact"/>
              <w:ind w:firstLine="0" w:firstLineChars="0"/>
              <w:jc w:val="cente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t>3 类、4 类</w:t>
            </w:r>
          </w:p>
        </w:tc>
        <w:tc>
          <w:tcPr>
            <w:tcW w:w="1711" w:type="pct"/>
            <w:vAlign w:val="center"/>
          </w:tcPr>
          <w:p>
            <w:pPr>
              <w:adjustRightInd/>
              <w:spacing w:line="440" w:lineRule="exact"/>
              <w:ind w:firstLine="0" w:firstLineChars="0"/>
              <w:jc w:val="cente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t>＜3 dB(A)</w:t>
            </w:r>
          </w:p>
        </w:tc>
        <w:tc>
          <w:tcPr>
            <w:tcW w:w="1250" w:type="pct"/>
            <w:vAlign w:val="center"/>
          </w:tcPr>
          <w:p>
            <w:pPr>
              <w:adjustRightInd/>
              <w:spacing w:line="440" w:lineRule="exact"/>
              <w:ind w:firstLine="0" w:firstLineChars="0"/>
              <w:jc w:val="cente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spacing w:val="-10"/>
                <w:kern w:val="0"/>
                <w:sz w:val="21"/>
                <w:szCs w:val="21"/>
                <w14:textFill>
                  <w14:solidFill>
                    <w14:schemeClr w14:val="tx1"/>
                  </w14:solidFill>
                </w14:textFill>
              </w:rPr>
              <w:t>变化不大</w:t>
            </w:r>
          </w:p>
        </w:tc>
      </w:tr>
    </w:tbl>
    <w:p>
      <w:pPr>
        <w:pStyle w:val="1297"/>
        <w:rPr>
          <w:rFonts w:hint="default" w:ascii="Times New Roman" w:hAnsi="Times New Roman" w:cs="Times New Roman" w:eastAsiaTheme="minorEastAsia"/>
          <w:color w:val="000000" w:themeColor="text1"/>
          <w:sz w:val="24"/>
          <w:szCs w:val="22"/>
          <w14:textFill>
            <w14:solidFill>
              <w14:schemeClr w14:val="tx1"/>
            </w14:solidFill>
          </w14:textFill>
        </w:rPr>
      </w:pPr>
      <w:bookmarkStart w:id="68" w:name="_Toc299033221"/>
      <w:r>
        <w:rPr>
          <w:rFonts w:hint="default" w:ascii="Times New Roman" w:hAnsi="Times New Roman" w:cs="Times New Roman" w:eastAsiaTheme="minorEastAsia"/>
          <w:color w:val="000000" w:themeColor="text1"/>
          <w:sz w:val="24"/>
          <w:szCs w:val="22"/>
          <w14:textFill>
            <w14:solidFill>
              <w14:schemeClr w14:val="tx1"/>
            </w14:solidFill>
          </w14:textFill>
        </w:rPr>
        <w:t>2.3.4.2 评价范围</w:t>
      </w:r>
      <w:bookmarkEnd w:id="68"/>
    </w:p>
    <w:p>
      <w:pPr>
        <w:spacing w:line="500" w:lineRule="exact"/>
        <w:ind w:firstLine="560"/>
        <w:rPr>
          <w:rFonts w:hint="default" w:ascii="Times New Roman" w:hAnsi="Times New Roman" w:cs="Times New Roman" w:eastAsiaTheme="minorEastAsia"/>
          <w:color w:val="000000" w:themeColor="text1"/>
          <w:sz w:val="24"/>
          <w:szCs w:val="22"/>
          <w:lang w:val="en-GB"/>
          <w14:textFill>
            <w14:solidFill>
              <w14:schemeClr w14:val="tx1"/>
            </w14:solidFill>
          </w14:textFill>
        </w:rPr>
      </w:pPr>
      <w:r>
        <w:rPr>
          <w:rFonts w:hint="default" w:ascii="Times New Roman" w:hAnsi="Times New Roman" w:cs="Times New Roman" w:eastAsiaTheme="minorEastAsia"/>
          <w:color w:val="000000" w:themeColor="text1"/>
          <w:sz w:val="24"/>
          <w:szCs w:val="22"/>
          <w:lang w:val="en-GB"/>
          <w14:textFill>
            <w14:solidFill>
              <w14:schemeClr w14:val="tx1"/>
            </w14:solidFill>
          </w14:textFill>
        </w:rPr>
        <w:t>根据《环境影响评价技术导则 声环境》（HJ2.4-2009）中关于噪声环境影响评价范围的确定原则，本项目噪声评价范围为厂界外200m范围内。</w:t>
      </w:r>
    </w:p>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bookmarkStart w:id="69" w:name="_Toc447281001"/>
      <w:r>
        <w:rPr>
          <w:rFonts w:hint="default" w:ascii="Times New Roman" w:hAnsi="Times New Roman" w:cs="Times New Roman" w:eastAsiaTheme="minorEastAsia"/>
          <w:color w:val="000000" w:themeColor="text1"/>
          <w:sz w:val="24"/>
          <w:szCs w:val="24"/>
          <w14:textFill>
            <w14:solidFill>
              <w14:schemeClr w14:val="tx1"/>
            </w14:solidFill>
          </w14:textFill>
        </w:rPr>
        <w:t>2.3.5 生态</w:t>
      </w:r>
      <w:bookmarkEnd w:id="69"/>
      <w:r>
        <w:rPr>
          <w:rFonts w:hint="default" w:ascii="Times New Roman" w:hAnsi="Times New Roman" w:cs="Times New Roman" w:eastAsiaTheme="minorEastAsia"/>
          <w:color w:val="000000" w:themeColor="text1"/>
          <w:sz w:val="24"/>
          <w:szCs w:val="24"/>
          <w14:textFill>
            <w14:solidFill>
              <w14:schemeClr w14:val="tx1"/>
            </w14:solidFill>
          </w14:textFill>
        </w:rPr>
        <w:t>影响</w:t>
      </w:r>
    </w:p>
    <w:p>
      <w:pPr>
        <w:pStyle w:val="1297"/>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2.3.5.1 评价工作等级</w:t>
      </w:r>
    </w:p>
    <w:p>
      <w:pPr>
        <w:spacing w:line="500" w:lineRule="exact"/>
        <w:ind w:firstLine="560"/>
        <w:rPr>
          <w:rFonts w:hint="default" w:ascii="Times New Roman" w:hAnsi="Times New Roman" w:cs="Times New Roman" w:eastAsiaTheme="minorEastAsia"/>
          <w:color w:val="000000" w:themeColor="text1"/>
          <w:sz w:val="24"/>
          <w:szCs w:val="22"/>
          <w:lang w:val="en-GB"/>
          <w14:textFill>
            <w14:solidFill>
              <w14:schemeClr w14:val="tx1"/>
            </w14:solidFill>
          </w14:textFill>
        </w:rPr>
      </w:pPr>
      <w:r>
        <w:rPr>
          <w:rFonts w:hint="default" w:ascii="Times New Roman" w:hAnsi="Times New Roman" w:cs="Times New Roman" w:eastAsiaTheme="minorEastAsia"/>
          <w:color w:val="auto"/>
          <w:sz w:val="24"/>
          <w:szCs w:val="22"/>
          <w:highlight w:val="none"/>
          <w:lang w:val="en-GB"/>
        </w:rPr>
        <w:t>本项目总占地面积为</w:t>
      </w:r>
      <w:r>
        <w:rPr>
          <w:rFonts w:hint="default" w:ascii="Times New Roman" w:hAnsi="Times New Roman" w:cs="Times New Roman" w:eastAsiaTheme="minorEastAsia"/>
          <w:color w:val="auto"/>
          <w:sz w:val="24"/>
          <w:szCs w:val="22"/>
          <w:highlight w:val="none"/>
        </w:rPr>
        <w:t>143000</w:t>
      </w:r>
      <w:r>
        <w:rPr>
          <w:rFonts w:hint="default" w:ascii="Times New Roman" w:hAnsi="Times New Roman" w:cs="Times New Roman" w:eastAsiaTheme="minorEastAsia"/>
          <w:color w:val="auto"/>
          <w:sz w:val="24"/>
          <w:szCs w:val="22"/>
          <w:highlight w:val="none"/>
          <w:lang w:val="en-GB"/>
        </w:rPr>
        <w:t>m</w:t>
      </w:r>
      <w:r>
        <w:rPr>
          <w:rFonts w:hint="default" w:ascii="Times New Roman" w:hAnsi="Times New Roman" w:cs="Times New Roman" w:eastAsiaTheme="minorEastAsia"/>
          <w:color w:val="auto"/>
          <w:sz w:val="24"/>
          <w:szCs w:val="22"/>
          <w:highlight w:val="none"/>
          <w:vertAlign w:val="superscript"/>
          <w:lang w:val="en-GB"/>
        </w:rPr>
        <w:t>2</w:t>
      </w:r>
      <w:r>
        <w:rPr>
          <w:rFonts w:hint="default" w:ascii="Times New Roman" w:hAnsi="Times New Roman" w:cs="Times New Roman" w:eastAsiaTheme="minorEastAsia"/>
          <w:color w:val="auto"/>
          <w:sz w:val="24"/>
          <w:szCs w:val="22"/>
          <w:highlight w:val="none"/>
          <w:lang w:val="en-GB"/>
        </w:rPr>
        <w:t>，用</w:t>
      </w:r>
      <w:r>
        <w:rPr>
          <w:rFonts w:hint="default" w:ascii="Times New Roman" w:hAnsi="Times New Roman" w:cs="Times New Roman" w:eastAsiaTheme="minorEastAsia"/>
          <w:color w:val="000000" w:themeColor="text1"/>
          <w:sz w:val="24"/>
          <w:szCs w:val="22"/>
          <w:lang w:val="en-GB"/>
          <w14:textFill>
            <w14:solidFill>
              <w14:schemeClr w14:val="tx1"/>
            </w14:solidFill>
          </w14:textFill>
        </w:rPr>
        <w:t>地性质为一般草地，占地范围内不涉及特殊及重要的生态敏感区，属于生态敏感一般性区域，工程占地范围小于2km</w:t>
      </w:r>
      <w:r>
        <w:rPr>
          <w:rFonts w:hint="default" w:ascii="Times New Roman" w:hAnsi="Times New Roman" w:cs="Times New Roman" w:eastAsiaTheme="minorEastAsia"/>
          <w:color w:val="000000" w:themeColor="text1"/>
          <w:sz w:val="24"/>
          <w:szCs w:val="22"/>
          <w:vertAlign w:val="superscript"/>
          <w:lang w:val="en-GB"/>
          <w14:textFill>
            <w14:solidFill>
              <w14:schemeClr w14:val="tx1"/>
            </w14:solidFill>
          </w14:textFill>
        </w:rPr>
        <w:t>2</w:t>
      </w:r>
      <w:r>
        <w:rPr>
          <w:rFonts w:hint="default" w:ascii="Times New Roman" w:hAnsi="Times New Roman" w:cs="Times New Roman" w:eastAsiaTheme="minorEastAsia"/>
          <w:color w:val="000000" w:themeColor="text1"/>
          <w:sz w:val="24"/>
          <w:szCs w:val="22"/>
          <w:lang w:val="en-GB"/>
          <w14:textFill>
            <w14:solidFill>
              <w14:schemeClr w14:val="tx1"/>
            </w14:solidFill>
          </w14:textFill>
        </w:rPr>
        <w:t>，根据《环境影响评价技术导则 生态影响》（HJ19-2011）规定，本项目生态影响评价等级为三级。评价工作等级判定依据详见表2-3-13。</w:t>
      </w:r>
    </w:p>
    <w:p>
      <w:pPr>
        <w:ind w:firstLine="480"/>
        <w:jc w:val="center"/>
        <w:rPr>
          <w:rFonts w:hint="default" w:ascii="Times New Roman" w:hAnsi="Times New Roman" w:cs="Times New Roman" w:eastAsiaTheme="minorEastAsia"/>
          <w:bCs/>
          <w:color w:val="000000" w:themeColor="text1"/>
          <w:sz w:val="24"/>
          <w14:textFill>
            <w14:solidFill>
              <w14:schemeClr w14:val="tx1"/>
            </w14:solidFill>
          </w14:textFill>
        </w:rPr>
      </w:pPr>
      <w:r>
        <w:rPr>
          <w:rFonts w:hint="default" w:ascii="Times New Roman" w:hAnsi="Times New Roman" w:cs="Times New Roman" w:eastAsiaTheme="minorEastAsia"/>
          <w:bCs/>
          <w:color w:val="000000" w:themeColor="text1"/>
          <w:sz w:val="24"/>
          <w14:textFill>
            <w14:solidFill>
              <w14:schemeClr w14:val="tx1"/>
            </w14:solidFill>
          </w14:textFill>
        </w:rPr>
        <w:t>表2-3-13 生态影响评价工作等级判定</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44"/>
        <w:gridCol w:w="1910"/>
        <w:gridCol w:w="2482"/>
        <w:gridCol w:w="17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4" w:type="dxa"/>
            <w:vMerge w:val="restart"/>
            <w:vAlign w:val="center"/>
          </w:tcPr>
          <w:p>
            <w:pPr>
              <w:spacing w:line="36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影响区域生态敏感性</w:t>
            </w:r>
          </w:p>
        </w:tc>
        <w:tc>
          <w:tcPr>
            <w:tcW w:w="6176" w:type="dxa"/>
            <w:gridSpan w:val="3"/>
            <w:vAlign w:val="center"/>
          </w:tcPr>
          <w:p>
            <w:pPr>
              <w:spacing w:line="36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工程占地（水域）范围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4" w:type="dxa"/>
            <w:vMerge w:val="continue"/>
            <w:vAlign w:val="center"/>
          </w:tcPr>
          <w:p>
            <w:pPr>
              <w:spacing w:line="36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p>
        </w:tc>
        <w:tc>
          <w:tcPr>
            <w:tcW w:w="1910" w:type="dxa"/>
            <w:vAlign w:val="center"/>
          </w:tcPr>
          <w:p>
            <w:pPr>
              <w:spacing w:line="36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面积≥20km</w:t>
            </w:r>
            <w:r>
              <w:rPr>
                <w:rFonts w:hint="default" w:ascii="Times New Roman" w:hAnsi="Times New Roman" w:cs="Times New Roman" w:eastAsiaTheme="minorEastAsia"/>
                <w:bCs/>
                <w:color w:val="000000" w:themeColor="text1"/>
                <w:kern w:val="0"/>
                <w:sz w:val="21"/>
                <w:szCs w:val="21"/>
                <w:vertAlign w:val="superscript"/>
                <w14:textFill>
                  <w14:solidFill>
                    <w14:schemeClr w14:val="tx1"/>
                  </w14:solidFill>
                </w14:textFill>
              </w:rPr>
              <w:t>2</w:t>
            </w:r>
          </w:p>
          <w:p>
            <w:pPr>
              <w:spacing w:line="36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或长度≥100km</w:t>
            </w:r>
          </w:p>
        </w:tc>
        <w:tc>
          <w:tcPr>
            <w:tcW w:w="2482" w:type="dxa"/>
            <w:vAlign w:val="center"/>
          </w:tcPr>
          <w:p>
            <w:pPr>
              <w:spacing w:line="36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面积2km</w:t>
            </w:r>
            <w:r>
              <w:rPr>
                <w:rFonts w:hint="default" w:ascii="Times New Roman" w:hAnsi="Times New Roman" w:cs="Times New Roman" w:eastAsiaTheme="minorEastAsia"/>
                <w:bCs/>
                <w:color w:val="000000" w:themeColor="text1"/>
                <w:kern w:val="0"/>
                <w:sz w:val="21"/>
                <w:szCs w:val="21"/>
                <w:vertAlign w:val="superscript"/>
                <w14:textFill>
                  <w14:solidFill>
                    <w14:schemeClr w14:val="tx1"/>
                  </w14:solidFill>
                </w14:textFill>
              </w:rPr>
              <w:t>2</w:t>
            </w:r>
            <w:r>
              <w:rPr>
                <w:rFonts w:hint="default" w:ascii="Times New Roman" w:hAnsi="Times New Roman" w:cs="Times New Roman" w:eastAsiaTheme="minorEastAsia"/>
                <w:bCs/>
                <w:color w:val="000000" w:themeColor="text1"/>
                <w:kern w:val="0"/>
                <w:sz w:val="21"/>
                <w:szCs w:val="21"/>
                <w14:textFill>
                  <w14:solidFill>
                    <w14:schemeClr w14:val="tx1"/>
                  </w14:solidFill>
                </w14:textFill>
              </w:rPr>
              <w:t>～20km</w:t>
            </w:r>
            <w:r>
              <w:rPr>
                <w:rFonts w:hint="default" w:ascii="Times New Roman" w:hAnsi="Times New Roman" w:cs="Times New Roman" w:eastAsiaTheme="minorEastAsia"/>
                <w:bCs/>
                <w:color w:val="000000" w:themeColor="text1"/>
                <w:kern w:val="0"/>
                <w:sz w:val="21"/>
                <w:szCs w:val="21"/>
                <w:vertAlign w:val="superscript"/>
                <w14:textFill>
                  <w14:solidFill>
                    <w14:schemeClr w14:val="tx1"/>
                  </w14:solidFill>
                </w14:textFill>
              </w:rPr>
              <w:t>2</w:t>
            </w:r>
          </w:p>
          <w:p>
            <w:pPr>
              <w:spacing w:line="36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或长度50km～100km</w:t>
            </w:r>
          </w:p>
        </w:tc>
        <w:tc>
          <w:tcPr>
            <w:tcW w:w="1784" w:type="dxa"/>
            <w:vAlign w:val="center"/>
          </w:tcPr>
          <w:p>
            <w:pPr>
              <w:spacing w:line="360" w:lineRule="exact"/>
              <w:ind w:firstLine="0" w:firstLineChars="0"/>
              <w:jc w:val="center"/>
              <w:rPr>
                <w:rFonts w:hint="default" w:ascii="Times New Roman" w:hAnsi="Times New Roman" w:cs="Times New Roman" w:eastAsiaTheme="minorEastAsia"/>
                <w:bCs/>
                <w:color w:val="000000" w:themeColor="text1"/>
                <w:kern w:val="0"/>
                <w:sz w:val="21"/>
                <w:szCs w:val="21"/>
                <w:vertAlign w:val="superscript"/>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面积≤2km</w:t>
            </w:r>
            <w:r>
              <w:rPr>
                <w:rFonts w:hint="default" w:ascii="Times New Roman" w:hAnsi="Times New Roman" w:cs="Times New Roman" w:eastAsiaTheme="minorEastAsia"/>
                <w:bCs/>
                <w:color w:val="000000" w:themeColor="text1"/>
                <w:kern w:val="0"/>
                <w:sz w:val="21"/>
                <w:szCs w:val="21"/>
                <w:vertAlign w:val="superscript"/>
                <w14:textFill>
                  <w14:solidFill>
                    <w14:schemeClr w14:val="tx1"/>
                  </w14:solidFill>
                </w14:textFill>
              </w:rPr>
              <w:t>2</w:t>
            </w:r>
          </w:p>
          <w:p>
            <w:pPr>
              <w:spacing w:line="36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或长度≤50km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4" w:type="dxa"/>
            <w:vAlign w:val="center"/>
          </w:tcPr>
          <w:p>
            <w:pPr>
              <w:spacing w:line="36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特殊生态敏感区</w:t>
            </w:r>
          </w:p>
        </w:tc>
        <w:tc>
          <w:tcPr>
            <w:tcW w:w="1910" w:type="dxa"/>
            <w:vAlign w:val="center"/>
          </w:tcPr>
          <w:p>
            <w:pPr>
              <w:spacing w:line="36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一级</w:t>
            </w:r>
          </w:p>
        </w:tc>
        <w:tc>
          <w:tcPr>
            <w:tcW w:w="2482" w:type="dxa"/>
            <w:vAlign w:val="center"/>
          </w:tcPr>
          <w:p>
            <w:pPr>
              <w:spacing w:line="36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一级</w:t>
            </w:r>
          </w:p>
        </w:tc>
        <w:tc>
          <w:tcPr>
            <w:tcW w:w="1784" w:type="dxa"/>
            <w:vAlign w:val="center"/>
          </w:tcPr>
          <w:p>
            <w:pPr>
              <w:spacing w:line="36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一级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4" w:type="dxa"/>
            <w:vAlign w:val="center"/>
          </w:tcPr>
          <w:p>
            <w:pPr>
              <w:spacing w:line="36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重要生态敏感区</w:t>
            </w:r>
          </w:p>
        </w:tc>
        <w:tc>
          <w:tcPr>
            <w:tcW w:w="1910" w:type="dxa"/>
            <w:vAlign w:val="center"/>
          </w:tcPr>
          <w:p>
            <w:pPr>
              <w:spacing w:line="36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一级</w:t>
            </w:r>
          </w:p>
        </w:tc>
        <w:tc>
          <w:tcPr>
            <w:tcW w:w="2482" w:type="dxa"/>
            <w:vAlign w:val="center"/>
          </w:tcPr>
          <w:p>
            <w:pPr>
              <w:spacing w:line="36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二级</w:t>
            </w:r>
          </w:p>
        </w:tc>
        <w:tc>
          <w:tcPr>
            <w:tcW w:w="1784" w:type="dxa"/>
            <w:tcBorders>
              <w:bottom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4" w:type="dxa"/>
            <w:vAlign w:val="center"/>
          </w:tcPr>
          <w:p>
            <w:pPr>
              <w:spacing w:line="36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一般区域</w:t>
            </w:r>
          </w:p>
        </w:tc>
        <w:tc>
          <w:tcPr>
            <w:tcW w:w="1910" w:type="dxa"/>
            <w:vAlign w:val="center"/>
          </w:tcPr>
          <w:p>
            <w:pPr>
              <w:spacing w:line="36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二级</w:t>
            </w:r>
          </w:p>
        </w:tc>
        <w:tc>
          <w:tcPr>
            <w:tcW w:w="2482" w:type="dxa"/>
            <w:vAlign w:val="center"/>
          </w:tcPr>
          <w:p>
            <w:pPr>
              <w:spacing w:line="36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三级</w:t>
            </w:r>
          </w:p>
        </w:tc>
        <w:tc>
          <w:tcPr>
            <w:tcW w:w="1784" w:type="dxa"/>
            <w:tcBorders>
              <w:top w:val="single" w:color="auto" w:sz="4" w:space="0"/>
              <w:bottom w:val="single" w:color="auto" w:sz="12" w:space="0"/>
            </w:tcBorders>
            <w:vAlign w:val="center"/>
          </w:tcPr>
          <w:p>
            <w:pPr>
              <w:spacing w:line="360" w:lineRule="exact"/>
              <w:ind w:firstLine="0" w:firstLineChars="0"/>
              <w:jc w:val="center"/>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三级</w:t>
            </w:r>
            <w:r>
              <w:rPr>
                <w:rFonts w:hint="default" w:ascii="Times New Roman" w:hAnsi="Times New Roman" w:cs="Times New Roman" w:eastAsiaTheme="minorEastAsia"/>
                <w:b/>
                <w:bCs/>
                <w:color w:val="000000" w:themeColor="text1"/>
                <w:kern w:val="0"/>
                <w:sz w:val="24"/>
                <w:szCs w:val="21"/>
                <w14:textFill>
                  <w14:solidFill>
                    <w14:schemeClr w14:val="tx1"/>
                  </w14:solidFill>
                </w14:textFill>
              </w:rPr>
              <w:t>（√）</w:t>
            </w:r>
          </w:p>
        </w:tc>
      </w:tr>
    </w:tbl>
    <w:p>
      <w:pPr>
        <w:pStyle w:val="1297"/>
        <w:rPr>
          <w:rFonts w:hint="default" w:ascii="Times New Roman" w:hAnsi="Times New Roman" w:cs="Times New Roman" w:eastAsiaTheme="minorEastAsia"/>
          <w:color w:val="000000" w:themeColor="text1"/>
          <w:sz w:val="24"/>
          <w:szCs w:val="22"/>
          <w:lang w:val="en-GB"/>
          <w14:textFill>
            <w14:solidFill>
              <w14:schemeClr w14:val="tx1"/>
            </w14:solidFill>
          </w14:textFill>
        </w:rPr>
      </w:pPr>
      <w:r>
        <w:rPr>
          <w:rFonts w:hint="default" w:ascii="Times New Roman" w:hAnsi="Times New Roman" w:cs="Times New Roman" w:eastAsiaTheme="minorEastAsia"/>
          <w:color w:val="000000" w:themeColor="text1"/>
          <w:sz w:val="24"/>
          <w:szCs w:val="22"/>
          <w:lang w:val="en-GB"/>
          <w14:textFill>
            <w14:solidFill>
              <w14:schemeClr w14:val="tx1"/>
            </w14:solidFill>
          </w14:textFill>
        </w:rPr>
        <w:t>2.3.5.2 评价范围</w:t>
      </w:r>
    </w:p>
    <w:p>
      <w:pPr>
        <w:ind w:firstLine="560"/>
        <w:rPr>
          <w:rFonts w:hint="default" w:ascii="Times New Roman" w:hAnsi="Times New Roman" w:cs="Times New Roman" w:eastAsiaTheme="minorEastAsia"/>
          <w:color w:val="000000" w:themeColor="text1"/>
          <w:sz w:val="24"/>
          <w:szCs w:val="22"/>
          <w:lang w:val="en-GB"/>
          <w14:textFill>
            <w14:solidFill>
              <w14:schemeClr w14:val="tx1"/>
            </w14:solidFill>
          </w14:textFill>
        </w:rPr>
      </w:pPr>
      <w:r>
        <w:rPr>
          <w:rFonts w:hint="default" w:ascii="Times New Roman" w:hAnsi="Times New Roman" w:cs="Times New Roman" w:eastAsiaTheme="minorEastAsia"/>
          <w:color w:val="000000" w:themeColor="text1"/>
          <w:sz w:val="24"/>
          <w:szCs w:val="22"/>
          <w:lang w:val="en-GB"/>
          <w14:textFill>
            <w14:solidFill>
              <w14:schemeClr w14:val="tx1"/>
            </w14:solidFill>
          </w14:textFill>
        </w:rPr>
        <w:t>项目厂界范围内。</w:t>
      </w:r>
    </w:p>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bookmarkStart w:id="70" w:name="_Toc215564494"/>
      <w:bookmarkStart w:id="71" w:name="_Toc216838063"/>
      <w:bookmarkStart w:id="72" w:name="_Toc355941877"/>
      <w:bookmarkStart w:id="73" w:name="_Toc337734296"/>
      <w:bookmarkStart w:id="74" w:name="_Toc447281002"/>
      <w:r>
        <w:rPr>
          <w:rFonts w:hint="default" w:ascii="Times New Roman" w:hAnsi="Times New Roman" w:cs="Times New Roman" w:eastAsiaTheme="minorEastAsia"/>
          <w:color w:val="000000" w:themeColor="text1"/>
          <w:sz w:val="24"/>
          <w:szCs w:val="24"/>
          <w14:textFill>
            <w14:solidFill>
              <w14:schemeClr w14:val="tx1"/>
            </w14:solidFill>
          </w14:textFill>
        </w:rPr>
        <w:t>2.3.6 土壤环境</w:t>
      </w:r>
    </w:p>
    <w:p>
      <w:pPr>
        <w:pStyle w:val="1297"/>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2.3.6.1 评价等级</w:t>
      </w:r>
    </w:p>
    <w:p>
      <w:pPr>
        <w:ind w:firstLine="56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根据《环境影响评价技术导则 土壤环境（试行）》（HJ964-2018）判断土壤环境影响评价工作等级，本项目为奶牛养殖项目，影响途径主要为垂直入渗，属于土壤环境污染影响型项目，项目年存栏奶牛1500头，折算猪为1.5万头，根据HJ964-2018附录A中农林牧渔业“年出栏生猪5000头（其他畜禽种类折合猪的养殖规模）及以上的畜禽养殖场或养殖小区”，项目类别为Ⅲ类项目；本项目周边存在耕地，敏感程度为敏感；</w:t>
      </w:r>
      <w:r>
        <w:rPr>
          <w:rFonts w:hint="default" w:ascii="Times New Roman" w:hAnsi="Times New Roman" w:cs="Times New Roman" w:eastAsiaTheme="minorEastAsia"/>
          <w:color w:val="000000" w:themeColor="text1"/>
          <w:sz w:val="24"/>
          <w:szCs w:val="22"/>
          <w:highlight w:val="none"/>
          <w14:textFill>
            <w14:solidFill>
              <w14:schemeClr w14:val="tx1"/>
            </w14:solidFill>
          </w14:textFill>
        </w:rPr>
        <w:t>本项目占地面积为143000m</w:t>
      </w:r>
      <w:r>
        <w:rPr>
          <w:rFonts w:hint="default" w:ascii="Times New Roman" w:hAnsi="Times New Roman" w:cs="Times New Roman" w:eastAsiaTheme="minorEastAsia"/>
          <w:color w:val="000000" w:themeColor="text1"/>
          <w:sz w:val="24"/>
          <w:szCs w:val="22"/>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szCs w:val="22"/>
          <w:highlight w:val="none"/>
          <w14:textFill>
            <w14:solidFill>
              <w14:schemeClr w14:val="tx1"/>
            </w14:solidFill>
          </w14:textFill>
        </w:rPr>
        <w:t>，即14.3hm</w:t>
      </w:r>
      <w:r>
        <w:rPr>
          <w:rFonts w:hint="default" w:ascii="Times New Roman" w:hAnsi="Times New Roman" w:cs="Times New Roman" w:eastAsiaTheme="minorEastAsia"/>
          <w:color w:val="000000" w:themeColor="text1"/>
          <w:sz w:val="24"/>
          <w:szCs w:val="22"/>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szCs w:val="22"/>
          <w:highlight w:val="none"/>
          <w14:textFill>
            <w14:solidFill>
              <w14:schemeClr w14:val="tx1"/>
            </w14:solidFill>
          </w14:textFill>
        </w:rPr>
        <w:t>，属</w:t>
      </w:r>
      <w:r>
        <w:rPr>
          <w:rFonts w:hint="default" w:ascii="Times New Roman" w:hAnsi="Times New Roman" w:cs="Times New Roman" w:eastAsiaTheme="minorEastAsia"/>
          <w:color w:val="000000" w:themeColor="text1"/>
          <w:sz w:val="24"/>
          <w:szCs w:val="22"/>
          <w14:textFill>
            <w14:solidFill>
              <w14:schemeClr w14:val="tx1"/>
            </w14:solidFill>
          </w14:textFill>
        </w:rPr>
        <w:t>于中型（5~50hm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szCs w:val="22"/>
          <w14:textFill>
            <w14:solidFill>
              <w14:schemeClr w14:val="tx1"/>
            </w14:solidFill>
          </w14:textFill>
        </w:rPr>
        <w:t>）占地规模。根据表2-3-14判断本项目土壤环境评价工作等级。</w:t>
      </w:r>
    </w:p>
    <w:p>
      <w:pPr>
        <w:ind w:firstLine="0" w:firstLineChars="0"/>
        <w:jc w:val="center"/>
        <w:rPr>
          <w:rFonts w:hint="default" w:ascii="Times New Roman" w:hAnsi="Times New Roman" w:cs="Times New Roman" w:eastAsiaTheme="minorEastAsia"/>
          <w:bCs/>
          <w:color w:val="000000" w:themeColor="text1"/>
          <w:kern w:val="0"/>
          <w:sz w:val="24"/>
          <w:szCs w:val="20"/>
          <w14:textFill>
            <w14:solidFill>
              <w14:schemeClr w14:val="tx1"/>
            </w14:solidFill>
          </w14:textFill>
        </w:rPr>
      </w:pPr>
      <w:r>
        <w:rPr>
          <w:rFonts w:hint="default" w:ascii="Times New Roman" w:hAnsi="Times New Roman" w:cs="Times New Roman" w:eastAsiaTheme="minorEastAsia"/>
          <w:bCs/>
          <w:color w:val="000000" w:themeColor="text1"/>
          <w:kern w:val="0"/>
          <w:sz w:val="24"/>
          <w:szCs w:val="20"/>
          <w14:textFill>
            <w14:solidFill>
              <w14:schemeClr w14:val="tx1"/>
            </w14:solidFill>
          </w14:textFill>
        </w:rPr>
        <w:t>表2-3-14 土壤环境污染影响型评价工作等级划分表</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40"/>
        <w:gridCol w:w="698"/>
        <w:gridCol w:w="698"/>
        <w:gridCol w:w="698"/>
        <w:gridCol w:w="699"/>
        <w:gridCol w:w="699"/>
        <w:gridCol w:w="699"/>
        <w:gridCol w:w="698"/>
        <w:gridCol w:w="693"/>
        <w:gridCol w:w="6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0" w:type="dxa"/>
            <w:vMerge w:val="restart"/>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-43180</wp:posOffset>
                      </wp:positionH>
                      <wp:positionV relativeFrom="paragraph">
                        <wp:posOffset>253365</wp:posOffset>
                      </wp:positionV>
                      <wp:extent cx="1506220" cy="307975"/>
                      <wp:effectExtent l="1270" t="4445" r="16510" b="11430"/>
                      <wp:wrapNone/>
                      <wp:docPr id="1154" name="直接连接符 13238"/>
                      <wp:cNvGraphicFramePr/>
                      <a:graphic xmlns:a="http://schemas.openxmlformats.org/drawingml/2006/main">
                        <a:graphicData uri="http://schemas.microsoft.com/office/word/2010/wordprocessingShape">
                          <wps:wsp>
                            <wps:cNvCnPr>
                              <a:cxnSpLocks noChangeShapeType="1"/>
                            </wps:cNvCnPr>
                            <wps:spPr bwMode="auto">
                              <a:xfrm flipH="1" flipV="1">
                                <a:off x="0" y="0"/>
                                <a:ext cx="1506220" cy="307975"/>
                              </a:xfrm>
                              <a:prstGeom prst="line">
                                <a:avLst/>
                              </a:prstGeom>
                              <a:noFill/>
                              <a:ln w="9525" cmpd="sng" algn="ctr">
                                <a:solidFill>
                                  <a:srgbClr val="000000"/>
                                </a:solidFill>
                                <a:round/>
                              </a:ln>
                              <a:effectLst/>
                            </wps:spPr>
                            <wps:bodyPr/>
                          </wps:wsp>
                        </a:graphicData>
                      </a:graphic>
                    </wp:anchor>
                  </w:drawing>
                </mc:Choice>
                <mc:Fallback>
                  <w:pict>
                    <v:line id="直接连接符 13238" o:spid="_x0000_s1026" o:spt="20" style="position:absolute;left:0pt;flip:x y;margin-left:-3.4pt;margin-top:19.95pt;height:24.25pt;width:118.6pt;z-index:251662336;mso-width-relative:page;mso-height-relative:page;" filled="f" stroked="t" coordsize="21600,21600" o:gfxdata="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fFwg9UAAAAIAQAADwAAAAAAAAABACAAAAAi&#10;AAAAZHJzL2Rvd25yZXYueG1sUEsBAhQAFAAAAAgAh07iQLfrz2kNAgAA7gMAAA4AAAAAAAAAAQAg&#10;AAAAJAEAAGRycy9lMm9Eb2MueG1sUEsFBgAAAAAGAAYAWQEAAKMFAAAAAA==&#10;">
                      <v:fill on="f" focussize="0,0"/>
                      <v:stroke color="#000000" joinstyle="round"/>
                      <v:imagedata o:title=""/>
                      <o:lock v:ext="edit" aspectratio="f"/>
                    </v:line>
                  </w:pict>
                </mc:Fallback>
              </mc:AlternateContent>
            </w:r>
            <w:r>
              <w:rPr>
                <w:rFonts w:hint="default" w:ascii="Times New Roman" w:hAnsi="Times New Roman" w:cs="Times New Roman" w:eastAsiaTheme="minorEastAsia"/>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458470</wp:posOffset>
                      </wp:positionH>
                      <wp:positionV relativeFrom="paragraph">
                        <wp:posOffset>-8255</wp:posOffset>
                      </wp:positionV>
                      <wp:extent cx="1004570" cy="572770"/>
                      <wp:effectExtent l="2540" t="4445" r="2540" b="13335"/>
                      <wp:wrapNone/>
                      <wp:docPr id="1153" name="直接连接符 13237"/>
                      <wp:cNvGraphicFramePr/>
                      <a:graphic xmlns:a="http://schemas.openxmlformats.org/drawingml/2006/main">
                        <a:graphicData uri="http://schemas.microsoft.com/office/word/2010/wordprocessingShape">
                          <wps:wsp>
                            <wps:cNvCnPr>
                              <a:cxnSpLocks noChangeShapeType="1"/>
                            </wps:cNvCnPr>
                            <wps:spPr bwMode="auto">
                              <a:xfrm flipH="1" flipV="1">
                                <a:off x="0" y="0"/>
                                <a:ext cx="1004570" cy="572770"/>
                              </a:xfrm>
                              <a:prstGeom prst="line">
                                <a:avLst/>
                              </a:prstGeom>
                              <a:noFill/>
                              <a:ln w="9525" cmpd="sng" algn="ctr">
                                <a:solidFill>
                                  <a:srgbClr val="000000"/>
                                </a:solidFill>
                                <a:round/>
                              </a:ln>
                              <a:effectLst/>
                            </wps:spPr>
                            <wps:bodyPr/>
                          </wps:wsp>
                        </a:graphicData>
                      </a:graphic>
                    </wp:anchor>
                  </w:drawing>
                </mc:Choice>
                <mc:Fallback>
                  <w:pict>
                    <v:line id="直接连接符 13237" o:spid="_x0000_s1026" o:spt="20" style="position:absolute;left:0pt;flip:x y;margin-left:36.1pt;margin-top:-0.65pt;height:45.1pt;width:79.1pt;z-index:251661312;mso-width-relative:page;mso-height-relative:page;" filled="f" stroked="t" coordsize="21600,21600" o:gfxdata="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oIFa9QAAAAIAQAADwAAAAAAAAABACAAAAAi&#10;AAAAZHJzL2Rvd25yZXYueG1sUEsBAhQAFAAAAAgAh07iQKbhygwOAgAA7gMAAA4AAAAAAAAAAQAg&#10;AAAAIwEAAGRycy9lMm9Eb2MueG1sUEsFBgAAAAAGAAYAWQEAAKMFAAAAAA==&#10;">
                      <v:fill on="f" focussize="0,0"/>
                      <v:stroke color="#000000" joinstyle="round"/>
                      <v:imagedata o:title=""/>
                      <o:lock v:ext="edit" aspectratio="f"/>
                    </v:line>
                  </w:pict>
                </mc:Fallback>
              </mc:AlternateContent>
            </w:r>
            <w:r>
              <w:rPr>
                <w:rFonts w:hint="default" w:ascii="Times New Roman" w:hAnsi="Times New Roman" w:cs="Times New Roman" w:eastAsiaTheme="minorEastAsia"/>
                <w:bCs/>
                <w:color w:val="000000" w:themeColor="text1"/>
                <w:kern w:val="0"/>
                <w:sz w:val="21"/>
                <w:szCs w:val="21"/>
                <w14:textFill>
                  <w14:solidFill>
                    <w14:schemeClr w14:val="tx1"/>
                  </w14:solidFill>
                </w14:textFill>
              </w:rPr>
              <w:t>评价等级     占地规模</w:t>
            </w:r>
          </w:p>
          <w:p>
            <w:pPr>
              <w:widowControl w:val="0"/>
              <w:spacing w:line="440" w:lineRule="exact"/>
              <w:ind w:firstLine="0" w:firstLineChars="0"/>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敏感程度</w:t>
            </w:r>
          </w:p>
        </w:tc>
        <w:tc>
          <w:tcPr>
            <w:tcW w:w="2094" w:type="dxa"/>
            <w:gridSpan w:val="3"/>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Ⅰ类</w:t>
            </w:r>
          </w:p>
        </w:tc>
        <w:tc>
          <w:tcPr>
            <w:tcW w:w="2097" w:type="dxa"/>
            <w:gridSpan w:val="3"/>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Ⅱ类</w:t>
            </w:r>
          </w:p>
        </w:tc>
        <w:tc>
          <w:tcPr>
            <w:tcW w:w="2089" w:type="dxa"/>
            <w:gridSpan w:val="3"/>
          </w:tcPr>
          <w:p>
            <w:pPr>
              <w:widowControl w:val="0"/>
              <w:spacing w:line="440" w:lineRule="exact"/>
              <w:ind w:firstLine="0" w:firstLineChars="0"/>
              <w:jc w:val="center"/>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0" w:type="dxa"/>
            <w:vMerge w:val="continue"/>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p>
        </w:tc>
        <w:tc>
          <w:tcPr>
            <w:tcW w:w="698" w:type="dxa"/>
            <w:tcBorders>
              <w:righ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大</w:t>
            </w:r>
          </w:p>
        </w:tc>
        <w:tc>
          <w:tcPr>
            <w:tcW w:w="698" w:type="dxa"/>
            <w:tcBorders>
              <w:left w:val="single" w:color="auto" w:sz="2" w:space="0"/>
              <w:righ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中</w:t>
            </w:r>
          </w:p>
        </w:tc>
        <w:tc>
          <w:tcPr>
            <w:tcW w:w="698" w:type="dxa"/>
            <w:tcBorders>
              <w:lef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小</w:t>
            </w:r>
          </w:p>
        </w:tc>
        <w:tc>
          <w:tcPr>
            <w:tcW w:w="699" w:type="dxa"/>
            <w:tcBorders>
              <w:righ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大</w:t>
            </w:r>
          </w:p>
        </w:tc>
        <w:tc>
          <w:tcPr>
            <w:tcW w:w="699" w:type="dxa"/>
            <w:tcBorders>
              <w:left w:val="single" w:color="auto" w:sz="2" w:space="0"/>
              <w:righ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中</w:t>
            </w:r>
          </w:p>
        </w:tc>
        <w:tc>
          <w:tcPr>
            <w:tcW w:w="699" w:type="dxa"/>
            <w:tcBorders>
              <w:lef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小</w:t>
            </w:r>
          </w:p>
        </w:tc>
        <w:tc>
          <w:tcPr>
            <w:tcW w:w="698" w:type="dxa"/>
            <w:tcBorders>
              <w:righ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大</w:t>
            </w:r>
          </w:p>
        </w:tc>
        <w:tc>
          <w:tcPr>
            <w:tcW w:w="693" w:type="dxa"/>
            <w:tcBorders>
              <w:left w:val="single" w:color="auto" w:sz="2" w:space="0"/>
              <w:righ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中</w:t>
            </w:r>
          </w:p>
        </w:tc>
        <w:tc>
          <w:tcPr>
            <w:tcW w:w="698" w:type="dxa"/>
            <w:tcBorders>
              <w:lef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0" w:type="dxa"/>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敏感</w:t>
            </w:r>
          </w:p>
        </w:tc>
        <w:tc>
          <w:tcPr>
            <w:tcW w:w="698" w:type="dxa"/>
            <w:tcBorders>
              <w:righ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一级</w:t>
            </w:r>
          </w:p>
        </w:tc>
        <w:tc>
          <w:tcPr>
            <w:tcW w:w="698" w:type="dxa"/>
            <w:tcBorders>
              <w:left w:val="single" w:color="auto" w:sz="2" w:space="0"/>
              <w:righ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一级</w:t>
            </w:r>
          </w:p>
        </w:tc>
        <w:tc>
          <w:tcPr>
            <w:tcW w:w="698" w:type="dxa"/>
            <w:tcBorders>
              <w:lef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一级</w:t>
            </w:r>
          </w:p>
        </w:tc>
        <w:tc>
          <w:tcPr>
            <w:tcW w:w="699" w:type="dxa"/>
            <w:tcBorders>
              <w:righ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二级</w:t>
            </w:r>
          </w:p>
        </w:tc>
        <w:tc>
          <w:tcPr>
            <w:tcW w:w="699" w:type="dxa"/>
            <w:tcBorders>
              <w:left w:val="single" w:color="auto" w:sz="2" w:space="0"/>
              <w:righ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二级</w:t>
            </w:r>
          </w:p>
        </w:tc>
        <w:tc>
          <w:tcPr>
            <w:tcW w:w="699" w:type="dxa"/>
            <w:tcBorders>
              <w:lef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二级</w:t>
            </w:r>
          </w:p>
        </w:tc>
        <w:tc>
          <w:tcPr>
            <w:tcW w:w="698" w:type="dxa"/>
            <w:tcBorders>
              <w:righ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三级</w:t>
            </w:r>
          </w:p>
        </w:tc>
        <w:tc>
          <w:tcPr>
            <w:tcW w:w="693" w:type="dxa"/>
            <w:tcBorders>
              <w:left w:val="single" w:color="auto" w:sz="2" w:space="0"/>
              <w:righ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三级</w:t>
            </w:r>
          </w:p>
        </w:tc>
        <w:tc>
          <w:tcPr>
            <w:tcW w:w="698" w:type="dxa"/>
            <w:tcBorders>
              <w:lef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0" w:type="dxa"/>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较敏感</w:t>
            </w:r>
          </w:p>
        </w:tc>
        <w:tc>
          <w:tcPr>
            <w:tcW w:w="698" w:type="dxa"/>
            <w:tcBorders>
              <w:righ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一级</w:t>
            </w:r>
          </w:p>
        </w:tc>
        <w:tc>
          <w:tcPr>
            <w:tcW w:w="698" w:type="dxa"/>
            <w:tcBorders>
              <w:left w:val="single" w:color="auto" w:sz="2" w:space="0"/>
              <w:righ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一级</w:t>
            </w:r>
          </w:p>
        </w:tc>
        <w:tc>
          <w:tcPr>
            <w:tcW w:w="698" w:type="dxa"/>
            <w:tcBorders>
              <w:lef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二级</w:t>
            </w:r>
          </w:p>
        </w:tc>
        <w:tc>
          <w:tcPr>
            <w:tcW w:w="699" w:type="dxa"/>
            <w:tcBorders>
              <w:righ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二级</w:t>
            </w:r>
          </w:p>
        </w:tc>
        <w:tc>
          <w:tcPr>
            <w:tcW w:w="699" w:type="dxa"/>
            <w:tcBorders>
              <w:left w:val="single" w:color="auto" w:sz="2" w:space="0"/>
              <w:righ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二级</w:t>
            </w:r>
          </w:p>
        </w:tc>
        <w:tc>
          <w:tcPr>
            <w:tcW w:w="699" w:type="dxa"/>
            <w:tcBorders>
              <w:lef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三级</w:t>
            </w:r>
          </w:p>
        </w:tc>
        <w:tc>
          <w:tcPr>
            <w:tcW w:w="698" w:type="dxa"/>
            <w:tcBorders>
              <w:righ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三级</w:t>
            </w:r>
          </w:p>
        </w:tc>
        <w:tc>
          <w:tcPr>
            <w:tcW w:w="693" w:type="dxa"/>
            <w:tcBorders>
              <w:left w:val="single" w:color="auto" w:sz="2" w:space="0"/>
              <w:righ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三级</w:t>
            </w:r>
          </w:p>
        </w:tc>
        <w:tc>
          <w:tcPr>
            <w:tcW w:w="698" w:type="dxa"/>
            <w:tcBorders>
              <w:lef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0" w:type="dxa"/>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不敏感</w:t>
            </w:r>
          </w:p>
        </w:tc>
        <w:tc>
          <w:tcPr>
            <w:tcW w:w="698" w:type="dxa"/>
            <w:tcBorders>
              <w:righ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一级</w:t>
            </w:r>
          </w:p>
        </w:tc>
        <w:tc>
          <w:tcPr>
            <w:tcW w:w="698" w:type="dxa"/>
            <w:tcBorders>
              <w:left w:val="single" w:color="auto" w:sz="2" w:space="0"/>
              <w:righ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二级</w:t>
            </w:r>
          </w:p>
        </w:tc>
        <w:tc>
          <w:tcPr>
            <w:tcW w:w="698" w:type="dxa"/>
            <w:tcBorders>
              <w:lef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二级</w:t>
            </w:r>
          </w:p>
        </w:tc>
        <w:tc>
          <w:tcPr>
            <w:tcW w:w="699" w:type="dxa"/>
            <w:tcBorders>
              <w:righ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二级</w:t>
            </w:r>
          </w:p>
        </w:tc>
        <w:tc>
          <w:tcPr>
            <w:tcW w:w="699" w:type="dxa"/>
            <w:tcBorders>
              <w:left w:val="single" w:color="auto" w:sz="2" w:space="0"/>
              <w:righ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三级</w:t>
            </w:r>
          </w:p>
        </w:tc>
        <w:tc>
          <w:tcPr>
            <w:tcW w:w="699" w:type="dxa"/>
            <w:tcBorders>
              <w:lef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三级</w:t>
            </w:r>
          </w:p>
        </w:tc>
        <w:tc>
          <w:tcPr>
            <w:tcW w:w="698" w:type="dxa"/>
            <w:tcBorders>
              <w:righ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三级</w:t>
            </w:r>
          </w:p>
        </w:tc>
        <w:tc>
          <w:tcPr>
            <w:tcW w:w="693" w:type="dxa"/>
            <w:tcBorders>
              <w:left w:val="single" w:color="auto" w:sz="2" w:space="0"/>
              <w:righ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w:t>
            </w:r>
          </w:p>
        </w:tc>
        <w:tc>
          <w:tcPr>
            <w:tcW w:w="698" w:type="dxa"/>
            <w:tcBorders>
              <w:left w:val="single" w:color="auto" w:sz="2" w:space="0"/>
            </w:tcBorders>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w:t>
            </w:r>
          </w:p>
        </w:tc>
      </w:tr>
    </w:tbl>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由表2-3-14中可以看出，本项目土壤环境评价工作等级为三级。</w:t>
      </w:r>
    </w:p>
    <w:p>
      <w:pPr>
        <w:pStyle w:val="1297"/>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2.3.6.2 评价范围</w:t>
      </w:r>
    </w:p>
    <w:p>
      <w:pPr>
        <w:ind w:firstLine="560"/>
        <w:rPr>
          <w:rFonts w:hint="default" w:ascii="Times New Roman" w:hAnsi="Times New Roman" w:cs="Times New Roman" w:eastAsiaTheme="minorEastAsia"/>
          <w:color w:val="000000" w:themeColor="text1"/>
          <w:sz w:val="24"/>
          <w:szCs w:val="22"/>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14:textFill>
            <w14:solidFill>
              <w14:schemeClr w14:val="tx1"/>
            </w14:solidFill>
          </w14:textFill>
        </w:rPr>
        <w:t>本项目土壤环境影响评价等级为三级，评价范围为占地范围外50m范围内。</w:t>
      </w:r>
    </w:p>
    <w:p>
      <w:pPr>
        <w:pStyle w:val="1167"/>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2.3.7 环境风险</w:t>
      </w:r>
    </w:p>
    <w:p>
      <w:pPr>
        <w:pStyle w:val="1297"/>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2.3.7.1 评价等级</w:t>
      </w:r>
    </w:p>
    <w:p>
      <w:pPr>
        <w:spacing w:line="500" w:lineRule="exact"/>
        <w:ind w:firstLine="560"/>
        <w:rPr>
          <w:rFonts w:hint="default" w:ascii="Times New Roman" w:hAnsi="Times New Roman" w:cs="Times New Roman" w:eastAsiaTheme="minorEastAsia"/>
          <w:color w:val="auto"/>
          <w:sz w:val="24"/>
          <w:szCs w:val="22"/>
          <w:highlight w:val="none"/>
          <w:lang w:val="en-GB"/>
        </w:rPr>
      </w:pPr>
      <w:r>
        <w:rPr>
          <w:rFonts w:hint="default" w:ascii="Times New Roman" w:hAnsi="Times New Roman" w:cs="Times New Roman" w:eastAsiaTheme="minorEastAsia"/>
          <w:color w:val="auto"/>
          <w:kern w:val="24"/>
          <w:sz w:val="24"/>
          <w:szCs w:val="24"/>
          <w:highlight w:val="none"/>
        </w:rPr>
        <w:t>根据《建设项目环境风险评价技术导则》（HJ169-2018）附录B进行</w:t>
      </w:r>
      <w:r>
        <w:rPr>
          <w:rFonts w:hint="default" w:ascii="Times New Roman" w:hAnsi="Times New Roman" w:cs="Times New Roman" w:eastAsiaTheme="minorEastAsia"/>
          <w:color w:val="auto"/>
          <w:sz w:val="24"/>
          <w:szCs w:val="22"/>
          <w:highlight w:val="none"/>
          <w:lang w:val="en-GB"/>
        </w:rPr>
        <w:t>分析判定，</w:t>
      </w:r>
      <w:r>
        <w:rPr>
          <w:rFonts w:hint="default" w:ascii="Times New Roman" w:hAnsi="Times New Roman" w:cs="Times New Roman" w:eastAsiaTheme="minorEastAsia"/>
          <w:color w:val="auto"/>
          <w:sz w:val="24"/>
          <w:szCs w:val="22"/>
          <w:highlight w:val="none"/>
        </w:rPr>
        <w:t>本项目涉及危险物质主要</w:t>
      </w:r>
      <w:r>
        <w:rPr>
          <w:rFonts w:hint="default" w:ascii="Times New Roman" w:hAnsi="Times New Roman" w:cs="Times New Roman" w:eastAsiaTheme="minorEastAsia"/>
          <w:color w:val="auto"/>
          <w:sz w:val="24"/>
          <w:szCs w:val="22"/>
          <w:highlight w:val="none"/>
          <w:lang w:val="en-GB"/>
        </w:rPr>
        <w:t>为甲烷（沼气），</w:t>
      </w:r>
      <w:r>
        <w:rPr>
          <w:rFonts w:hint="default" w:ascii="Times New Roman" w:hAnsi="Times New Roman" w:cs="Times New Roman" w:eastAsiaTheme="minorEastAsia"/>
          <w:color w:val="auto"/>
          <w:sz w:val="24"/>
          <w:szCs w:val="22"/>
          <w:highlight w:val="none"/>
        </w:rPr>
        <w:t>可能扩散途径为发生火灾、爆炸事故产生污染物污染大气环境，因此环境风险类型主要为大气环境风险。</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根据《建设项目环境风险评价技术导则》（HJ169-2018）规定：环境风险评价工作等级划分为一级、二级、三级。根据建设项目涉及的物质及工艺系统危险性和所在地的环境敏感性确定环境风险潜势。风险潜势为Ⅳ及以上，进行一级评价；风险潜势为Ⅲ，进行二级评价；风险潜势为Ⅱ，进行三级评价；风险潜势为Ⅰ，可开展简单分析。</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4"/>
          <w:highlight w:val="none"/>
        </w:rPr>
        <w:t>本项目危险物质主要为</w:t>
      </w:r>
      <w:r>
        <w:rPr>
          <w:rFonts w:hint="default" w:ascii="Times New Roman" w:hAnsi="Times New Roman" w:cs="Times New Roman" w:eastAsiaTheme="minorEastAsia"/>
          <w:color w:val="auto"/>
          <w:sz w:val="24"/>
          <w:szCs w:val="24"/>
          <w:highlight w:val="none"/>
          <w:lang w:val="en-GB"/>
        </w:rPr>
        <w:t>甲烷</w:t>
      </w:r>
      <w:r>
        <w:rPr>
          <w:rFonts w:hint="default" w:ascii="Times New Roman" w:hAnsi="Times New Roman" w:cs="Times New Roman" w:eastAsiaTheme="minorEastAsia"/>
          <w:color w:val="auto"/>
          <w:sz w:val="24"/>
          <w:szCs w:val="22"/>
          <w:highlight w:val="none"/>
        </w:rPr>
        <w:t>，风险源主要包括黑膜沼气池。黑膜沼气池中沼气量按照液面距离池顶高度0.5m的区域的容积计算，容积为900m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，沼气中甲烷含量约为60%，甲烷密度为0.72kg/m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，因此黑膜沼气池中甲烷存在总量为0.39t。</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①危险物质数量与临界量的比值（Q）</w:t>
      </w:r>
    </w:p>
    <w:p>
      <w:pPr>
        <w:pStyle w:val="643"/>
        <w:ind w:firstLine="56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表2-3-15  本项目环境风险物质数量、临界量及其比值(Q)</w:t>
      </w:r>
    </w:p>
    <w:tbl>
      <w:tblPr>
        <w:tblStyle w:val="9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606"/>
        <w:gridCol w:w="1276"/>
        <w:gridCol w:w="2268"/>
        <w:gridCol w:w="1418"/>
        <w:gridCol w:w="11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810"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序号</w:t>
            </w:r>
          </w:p>
        </w:tc>
        <w:tc>
          <w:tcPr>
            <w:tcW w:w="1606"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危险物质名称</w:t>
            </w:r>
          </w:p>
        </w:tc>
        <w:tc>
          <w:tcPr>
            <w:tcW w:w="1276"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CAS号</w:t>
            </w:r>
          </w:p>
        </w:tc>
        <w:tc>
          <w:tcPr>
            <w:tcW w:w="2268"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最大存在总量q</w:t>
            </w:r>
            <w:r>
              <w:rPr>
                <w:rFonts w:hint="default" w:ascii="Times New Roman" w:hAnsi="Times New Roman" w:cs="Times New Roman" w:eastAsiaTheme="minorEastAsia"/>
                <w:color w:val="auto"/>
                <w:highlight w:val="none"/>
                <w:vertAlign w:val="subscript"/>
              </w:rPr>
              <w:t>n</w:t>
            </w:r>
            <w:r>
              <w:rPr>
                <w:rFonts w:hint="default" w:ascii="Times New Roman" w:hAnsi="Times New Roman" w:cs="Times New Roman" w:eastAsiaTheme="minorEastAsia"/>
                <w:color w:val="auto"/>
                <w:highlight w:val="none"/>
              </w:rPr>
              <w:t>(t)</w:t>
            </w:r>
          </w:p>
        </w:tc>
        <w:tc>
          <w:tcPr>
            <w:tcW w:w="1418"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临界量Q</w:t>
            </w:r>
            <w:r>
              <w:rPr>
                <w:rFonts w:hint="default" w:ascii="Times New Roman" w:hAnsi="Times New Roman" w:cs="Times New Roman" w:eastAsiaTheme="minorEastAsia"/>
                <w:color w:val="auto"/>
                <w:highlight w:val="none"/>
                <w:vertAlign w:val="subscript"/>
              </w:rPr>
              <w:t>n</w:t>
            </w:r>
            <w:r>
              <w:rPr>
                <w:rFonts w:hint="default" w:ascii="Times New Roman" w:hAnsi="Times New Roman" w:cs="Times New Roman" w:eastAsiaTheme="minorEastAsia"/>
                <w:color w:val="auto"/>
                <w:highlight w:val="none"/>
              </w:rPr>
              <w:t>（t）</w:t>
            </w:r>
          </w:p>
        </w:tc>
        <w:tc>
          <w:tcPr>
            <w:tcW w:w="1138"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0" w:type="dxa"/>
            <w:tcBorders>
              <w:top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w:t>
            </w:r>
          </w:p>
        </w:tc>
        <w:tc>
          <w:tcPr>
            <w:tcW w:w="1606" w:type="dxa"/>
            <w:tcBorders>
              <w:top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甲烷</w:t>
            </w:r>
          </w:p>
        </w:tc>
        <w:tc>
          <w:tcPr>
            <w:tcW w:w="1276" w:type="dxa"/>
            <w:tcBorders>
              <w:top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74-82-8</w:t>
            </w:r>
          </w:p>
        </w:tc>
        <w:tc>
          <w:tcPr>
            <w:tcW w:w="2268" w:type="dxa"/>
            <w:tcBorders>
              <w:top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0.39</w:t>
            </w:r>
          </w:p>
        </w:tc>
        <w:tc>
          <w:tcPr>
            <w:tcW w:w="1418" w:type="dxa"/>
            <w:tcBorders>
              <w:top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10</w:t>
            </w:r>
          </w:p>
        </w:tc>
        <w:tc>
          <w:tcPr>
            <w:tcW w:w="1138" w:type="dxa"/>
            <w:tcBorders>
              <w:top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0.039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378" w:type="dxa"/>
            <w:gridSpan w:val="5"/>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本项目Q值</w:t>
            </w:r>
          </w:p>
        </w:tc>
        <w:tc>
          <w:tcPr>
            <w:tcW w:w="1138" w:type="dxa"/>
          </w:tcPr>
          <w:p>
            <w:pPr>
              <w:pStyle w:val="666"/>
              <w:rPr>
                <w:rFonts w:hint="default" w:ascii="Times New Roman" w:hAnsi="Times New Roman" w:cs="Times New Roman" w:eastAsiaTheme="minorEastAsia"/>
                <w:b/>
                <w:color w:val="auto"/>
                <w:highlight w:val="none"/>
              </w:rPr>
            </w:pPr>
            <w:r>
              <w:rPr>
                <w:rFonts w:hint="default" w:ascii="Times New Roman" w:hAnsi="Times New Roman" w:cs="Times New Roman" w:eastAsiaTheme="minorEastAsia"/>
                <w:b/>
                <w:color w:val="auto"/>
                <w:highlight w:val="none"/>
              </w:rPr>
              <w:t>0.039</w:t>
            </w:r>
          </w:p>
        </w:tc>
      </w:tr>
    </w:tbl>
    <w:p>
      <w:pPr>
        <w:widowControl w:val="0"/>
        <w:adjustRightInd/>
        <w:snapToGrid/>
        <w:ind w:firstLine="560"/>
        <w:rPr>
          <w:rFonts w:hint="default" w:ascii="Times New Roman" w:hAnsi="Times New Roman" w:cs="Times New Roman" w:eastAsiaTheme="minorEastAsia"/>
          <w:color w:val="auto"/>
          <w:kern w:val="0"/>
          <w:sz w:val="24"/>
          <w:szCs w:val="18"/>
          <w:highlight w:val="none"/>
        </w:rPr>
      </w:pPr>
      <w:r>
        <w:rPr>
          <w:rFonts w:hint="default" w:ascii="Times New Roman" w:hAnsi="Times New Roman" w:cs="Times New Roman" w:eastAsiaTheme="minorEastAsia"/>
          <w:color w:val="auto"/>
          <w:kern w:val="0"/>
          <w:sz w:val="24"/>
          <w:szCs w:val="18"/>
          <w:highlight w:val="none"/>
        </w:rPr>
        <w:t>根据HJ169-2018中附录C，当Q＜1时，项目环境风险潜势为Ｉ。</w:t>
      </w:r>
    </w:p>
    <w:p>
      <w:pPr>
        <w:widowControl w:val="0"/>
        <w:adjustRightInd/>
        <w:snapToGrid/>
        <w:ind w:firstLine="560"/>
        <w:rPr>
          <w:rFonts w:hint="default" w:ascii="Times New Roman" w:hAnsi="Times New Roman" w:cs="Times New Roman" w:eastAsiaTheme="minorEastAsia"/>
          <w:color w:val="000000" w:themeColor="text1"/>
          <w:kern w:val="0"/>
          <w:sz w:val="24"/>
          <w:szCs w:val="18"/>
          <w14:textFill>
            <w14:solidFill>
              <w14:schemeClr w14:val="tx1"/>
            </w14:solidFill>
          </w14:textFill>
        </w:rPr>
      </w:pPr>
      <w:r>
        <w:rPr>
          <w:rFonts w:hint="default" w:ascii="Times New Roman" w:hAnsi="Times New Roman" w:cs="Times New Roman" w:eastAsiaTheme="minorEastAsia"/>
          <w:color w:val="000000" w:themeColor="text1"/>
          <w:kern w:val="0"/>
          <w:sz w:val="24"/>
          <w:szCs w:val="18"/>
          <w14:textFill>
            <w14:solidFill>
              <w14:schemeClr w14:val="tx1"/>
            </w14:solidFill>
          </w14:textFill>
        </w:rPr>
        <w:t>②环境风险评价等级</w:t>
      </w:r>
    </w:p>
    <w:p>
      <w:pPr>
        <w:widowControl w:val="0"/>
        <w:adjustRightInd/>
        <w:snapToGrid/>
        <w:ind w:firstLine="560"/>
        <w:rPr>
          <w:rFonts w:hint="default" w:ascii="Times New Roman" w:hAnsi="Times New Roman" w:cs="Times New Roman" w:eastAsiaTheme="minorEastAsia"/>
          <w:color w:val="000000" w:themeColor="text1"/>
          <w:kern w:val="0"/>
          <w:sz w:val="24"/>
          <w:szCs w:val="18"/>
          <w14:textFill>
            <w14:solidFill>
              <w14:schemeClr w14:val="tx1"/>
            </w14:solidFill>
          </w14:textFill>
        </w:rPr>
      </w:pPr>
      <w:r>
        <w:rPr>
          <w:rFonts w:hint="default" w:ascii="Times New Roman" w:hAnsi="Times New Roman" w:cs="Times New Roman" w:eastAsiaTheme="minorEastAsia"/>
          <w:color w:val="000000" w:themeColor="text1"/>
          <w:kern w:val="0"/>
          <w:sz w:val="24"/>
          <w:szCs w:val="18"/>
          <w14:textFill>
            <w14:solidFill>
              <w14:schemeClr w14:val="tx1"/>
            </w14:solidFill>
          </w14:textFill>
        </w:rPr>
        <w:t>本项目环境风险评价等级划分见表2-3-16。</w:t>
      </w:r>
    </w:p>
    <w:p>
      <w:pPr>
        <w:widowControl w:val="0"/>
        <w:adjustRightInd/>
        <w:ind w:firstLine="0" w:firstLineChars="0"/>
        <w:jc w:val="center"/>
        <w:rPr>
          <w:rFonts w:hint="default" w:ascii="Times New Roman" w:hAnsi="Times New Roman" w:cs="Times New Roman" w:eastAsiaTheme="minorEastAsia"/>
          <w:bCs/>
          <w:color w:val="000000" w:themeColor="text1"/>
          <w:sz w:val="24"/>
          <w14:textFill>
            <w14:solidFill>
              <w14:schemeClr w14:val="tx1"/>
            </w14:solidFill>
          </w14:textFill>
        </w:rPr>
      </w:pPr>
      <w:r>
        <w:rPr>
          <w:rFonts w:hint="default" w:ascii="Times New Roman" w:hAnsi="Times New Roman" w:cs="Times New Roman" w:eastAsiaTheme="minorEastAsia"/>
          <w:bCs/>
          <w:color w:val="000000" w:themeColor="text1"/>
          <w:sz w:val="24"/>
          <w14:textFill>
            <w14:solidFill>
              <w14:schemeClr w14:val="tx1"/>
            </w14:solidFill>
          </w14:textFill>
        </w:rPr>
        <w:t>表2-3-16 环境风险评价工作等级划分表</w:t>
      </w:r>
    </w:p>
    <w:tbl>
      <w:tblPr>
        <w:tblStyle w:val="9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21"/>
        <w:gridCol w:w="1444"/>
        <w:gridCol w:w="1732"/>
        <w:gridCol w:w="1732"/>
        <w:gridCol w:w="17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021" w:type="dxa"/>
            <w:vAlign w:val="center"/>
          </w:tcPr>
          <w:p>
            <w:pPr>
              <w:widowControl w:val="0"/>
              <w:adjustRightInd/>
              <w:spacing w:line="440" w:lineRule="exact"/>
              <w:ind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环境风险潜势</w:t>
            </w:r>
          </w:p>
        </w:tc>
        <w:tc>
          <w:tcPr>
            <w:tcW w:w="1444" w:type="dxa"/>
            <w:vAlign w:val="center"/>
          </w:tcPr>
          <w:p>
            <w:pPr>
              <w:widowControl w:val="0"/>
              <w:adjustRightInd/>
              <w:spacing w:line="440" w:lineRule="exact"/>
              <w:ind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Ⅳ、Ⅳ</w:t>
            </w:r>
            <w:r>
              <w:rPr>
                <w:rFonts w:hint="default" w:ascii="Times New Roman" w:hAnsi="Times New Roman" w:cs="Times New Roman" w:eastAsiaTheme="minorEastAsia"/>
                <w:bCs/>
                <w:color w:val="000000" w:themeColor="text1"/>
                <w:sz w:val="21"/>
                <w:szCs w:val="21"/>
                <w:vertAlign w:val="superscript"/>
                <w14:textFill>
                  <w14:solidFill>
                    <w14:schemeClr w14:val="tx1"/>
                  </w14:solidFill>
                </w14:textFill>
              </w:rPr>
              <w:t>+</w:t>
            </w:r>
          </w:p>
        </w:tc>
        <w:tc>
          <w:tcPr>
            <w:tcW w:w="1732" w:type="dxa"/>
            <w:vAlign w:val="center"/>
          </w:tcPr>
          <w:p>
            <w:pPr>
              <w:widowControl w:val="0"/>
              <w:adjustRightInd/>
              <w:spacing w:line="440" w:lineRule="exact"/>
              <w:ind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Ⅲ</w:t>
            </w:r>
          </w:p>
        </w:tc>
        <w:tc>
          <w:tcPr>
            <w:tcW w:w="1732" w:type="dxa"/>
            <w:vAlign w:val="center"/>
          </w:tcPr>
          <w:p>
            <w:pPr>
              <w:widowControl w:val="0"/>
              <w:adjustRightInd/>
              <w:spacing w:line="440" w:lineRule="exact"/>
              <w:ind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Ⅱ</w:t>
            </w:r>
          </w:p>
        </w:tc>
        <w:tc>
          <w:tcPr>
            <w:tcW w:w="1791" w:type="dxa"/>
            <w:vAlign w:val="center"/>
          </w:tcPr>
          <w:p>
            <w:pPr>
              <w:widowControl w:val="0"/>
              <w:adjustRightInd/>
              <w:spacing w:line="440" w:lineRule="exact"/>
              <w:ind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021" w:type="dxa"/>
            <w:vAlign w:val="center"/>
          </w:tcPr>
          <w:p>
            <w:pPr>
              <w:widowControl w:val="0"/>
              <w:adjustRightInd/>
              <w:spacing w:line="440" w:lineRule="exact"/>
              <w:ind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评价工作等级</w:t>
            </w:r>
          </w:p>
        </w:tc>
        <w:tc>
          <w:tcPr>
            <w:tcW w:w="1444" w:type="dxa"/>
            <w:vAlign w:val="center"/>
          </w:tcPr>
          <w:p>
            <w:pPr>
              <w:widowControl w:val="0"/>
              <w:adjustRightInd/>
              <w:spacing w:line="440" w:lineRule="exact"/>
              <w:ind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一</w:t>
            </w:r>
          </w:p>
        </w:tc>
        <w:tc>
          <w:tcPr>
            <w:tcW w:w="1732" w:type="dxa"/>
            <w:vAlign w:val="center"/>
          </w:tcPr>
          <w:p>
            <w:pPr>
              <w:widowControl w:val="0"/>
              <w:adjustRightInd/>
              <w:spacing w:line="440" w:lineRule="exact"/>
              <w:ind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二</w:t>
            </w:r>
          </w:p>
        </w:tc>
        <w:tc>
          <w:tcPr>
            <w:tcW w:w="1732" w:type="dxa"/>
            <w:vAlign w:val="center"/>
          </w:tcPr>
          <w:p>
            <w:pPr>
              <w:widowControl w:val="0"/>
              <w:adjustRightInd/>
              <w:spacing w:line="440" w:lineRule="exact"/>
              <w:ind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三</w:t>
            </w:r>
          </w:p>
        </w:tc>
        <w:tc>
          <w:tcPr>
            <w:tcW w:w="1791" w:type="dxa"/>
            <w:vAlign w:val="center"/>
          </w:tcPr>
          <w:p>
            <w:pPr>
              <w:widowControl w:val="0"/>
              <w:adjustRightInd/>
              <w:spacing w:line="440" w:lineRule="exact"/>
              <w:ind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简单分析</w:t>
            </w:r>
          </w:p>
        </w:tc>
      </w:tr>
    </w:tbl>
    <w:p>
      <w:pPr>
        <w:widowControl w:val="0"/>
        <w:adjustRightInd/>
        <w:snapToGrid/>
        <w:ind w:firstLine="560"/>
        <w:rPr>
          <w:rFonts w:hint="default" w:ascii="Times New Roman" w:hAnsi="Times New Roman" w:cs="Times New Roman" w:eastAsiaTheme="minorEastAsia"/>
          <w:color w:val="000000" w:themeColor="text1"/>
          <w:kern w:val="0"/>
          <w:sz w:val="24"/>
          <w:szCs w:val="18"/>
          <w14:textFill>
            <w14:solidFill>
              <w14:schemeClr w14:val="tx1"/>
            </w14:solidFill>
          </w14:textFill>
        </w:rPr>
      </w:pPr>
      <w:r>
        <w:rPr>
          <w:rFonts w:hint="default" w:ascii="Times New Roman" w:hAnsi="Times New Roman" w:cs="Times New Roman" w:eastAsiaTheme="minorEastAsia"/>
          <w:color w:val="000000" w:themeColor="text1"/>
          <w:kern w:val="0"/>
          <w:sz w:val="24"/>
          <w:szCs w:val="18"/>
          <w14:textFill>
            <w14:solidFill>
              <w14:schemeClr w14:val="tx1"/>
            </w14:solidFill>
          </w14:textFill>
        </w:rPr>
        <w:t>根据表2-3-16可知，本项目环境风险评价工作等级为简单分析。</w:t>
      </w:r>
    </w:p>
    <w:p>
      <w:pPr>
        <w:pStyle w:val="1297"/>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2.3.7.2 评价范围</w:t>
      </w:r>
    </w:p>
    <w:p>
      <w:pPr>
        <w:ind w:firstLine="544"/>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pacing w:val="-4"/>
          <w:kern w:val="0"/>
          <w:sz w:val="24"/>
          <w:szCs w:val="18"/>
          <w:highlight w:val="none"/>
        </w:rPr>
        <w:t>本项目环境风险进行简单分析，根据HJ169-2018无需设置评价范围。</w:t>
      </w:r>
    </w:p>
    <w:p>
      <w:pPr>
        <w:pStyle w:val="639"/>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cs="Times New Roman" w:eastAsiaTheme="minorEastAsia"/>
          <w:color w:val="auto"/>
          <w:sz w:val="28"/>
          <w:szCs w:val="28"/>
          <w:highlight w:val="none"/>
        </w:rPr>
      </w:pPr>
      <w:bookmarkStart w:id="75" w:name="_Toc13715"/>
      <w:r>
        <w:rPr>
          <w:rFonts w:hint="default" w:ascii="Times New Roman" w:hAnsi="Times New Roman" w:cs="Times New Roman" w:eastAsiaTheme="minorEastAsia"/>
          <w:color w:val="auto"/>
          <w:sz w:val="28"/>
          <w:szCs w:val="28"/>
          <w:highlight w:val="none"/>
        </w:rPr>
        <w:t>2.4 环境保护目标</w:t>
      </w:r>
      <w:bookmarkEnd w:id="70"/>
      <w:bookmarkEnd w:id="71"/>
      <w:bookmarkEnd w:id="72"/>
      <w:bookmarkEnd w:id="73"/>
      <w:bookmarkEnd w:id="74"/>
      <w:bookmarkEnd w:id="75"/>
    </w:p>
    <w:p>
      <w:pPr>
        <w:ind w:firstLine="560"/>
        <w:rPr>
          <w:rFonts w:hint="default" w:ascii="Times New Roman" w:hAnsi="Times New Roman" w:cs="Times New Roman" w:eastAsiaTheme="minorEastAsia"/>
          <w:color w:val="000000" w:themeColor="text1"/>
          <w14:textFill>
            <w14:solidFill>
              <w14:schemeClr w14:val="tx1"/>
            </w14:solidFill>
          </w14:textFill>
        </w:rPr>
        <w:sectPr>
          <w:footerReference r:id="rId21" w:type="default"/>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eastAsiaTheme="minorEastAsia"/>
          <w:color w:val="auto"/>
          <w:sz w:val="24"/>
          <w:szCs w:val="22"/>
          <w:highlight w:val="none"/>
        </w:rPr>
        <w:t>经现场调查，本项目评价区内无国家、省、市级自然保护区、风景名胜区和文物保护单位，环境保护目标</w:t>
      </w:r>
      <w:r>
        <w:rPr>
          <w:rFonts w:hint="default" w:ascii="Times New Roman" w:hAnsi="Times New Roman" w:cs="Times New Roman" w:eastAsiaTheme="minorEastAsia"/>
          <w:color w:val="000000" w:themeColor="text1"/>
          <w:sz w:val="24"/>
          <w:szCs w:val="22"/>
          <w14:textFill>
            <w14:solidFill>
              <w14:schemeClr w14:val="tx1"/>
            </w14:solidFill>
          </w14:textFill>
        </w:rPr>
        <w:t>主要为评价区范围内受项目排污影响的大气环境、水环境、声环境、土壤环境。同时，通过对评价范围内环境及人群分布情况的调查，确定本项目的环境保护目标，项目环境保护目标见表2-4-1</w:t>
      </w:r>
      <w:r>
        <w:rPr>
          <w:rFonts w:hint="default" w:ascii="Times New Roman" w:hAnsi="Times New Roman" w:cs="Times New Roman" w:eastAsiaTheme="minorEastAsia"/>
          <w:color w:val="000000" w:themeColor="text1"/>
          <w14:textFill>
            <w14:solidFill>
              <w14:schemeClr w14:val="tx1"/>
            </w14:solidFill>
          </w14:textFill>
        </w:rPr>
        <w:t>。</w:t>
      </w:r>
    </w:p>
    <w:p>
      <w:pPr>
        <w:pStyle w:val="643"/>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表2-4-1 项目环境保护目标一览表</w:t>
      </w:r>
    </w:p>
    <w:tbl>
      <w:tblPr>
        <w:tblStyle w:val="9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21"/>
        <w:gridCol w:w="1276"/>
        <w:gridCol w:w="1558"/>
        <w:gridCol w:w="1419"/>
        <w:gridCol w:w="1133"/>
        <w:gridCol w:w="851"/>
        <w:gridCol w:w="708"/>
        <w:gridCol w:w="708"/>
        <w:gridCol w:w="853"/>
        <w:gridCol w:w="1276"/>
        <w:gridCol w:w="1240"/>
        <w:gridCol w:w="16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5" w:hRule="atLeast"/>
          <w:jc w:val="center"/>
        </w:trPr>
        <w:tc>
          <w:tcPr>
            <w:tcW w:w="372" w:type="pct"/>
            <w:vMerge w:val="restar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环境要素</w:t>
            </w:r>
          </w:p>
        </w:tc>
        <w:tc>
          <w:tcPr>
            <w:tcW w:w="465" w:type="pct"/>
            <w:vMerge w:val="restar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名称</w:t>
            </w:r>
          </w:p>
        </w:tc>
        <w:tc>
          <w:tcPr>
            <w:tcW w:w="1084" w:type="pct"/>
            <w:gridSpan w:val="2"/>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坐标</w:t>
            </w:r>
          </w:p>
        </w:tc>
        <w:tc>
          <w:tcPr>
            <w:tcW w:w="412" w:type="pct"/>
            <w:vMerge w:val="restar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保护对象</w:t>
            </w:r>
          </w:p>
        </w:tc>
        <w:tc>
          <w:tcPr>
            <w:tcW w:w="310" w:type="pct"/>
            <w:vMerge w:val="restar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水层</w:t>
            </w:r>
          </w:p>
        </w:tc>
        <w:tc>
          <w:tcPr>
            <w:tcW w:w="258" w:type="pct"/>
            <w:vMerge w:val="restar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供水人口</w:t>
            </w:r>
          </w:p>
        </w:tc>
        <w:tc>
          <w:tcPr>
            <w:tcW w:w="258" w:type="pct"/>
            <w:vMerge w:val="restar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水井功能</w:t>
            </w:r>
          </w:p>
        </w:tc>
        <w:tc>
          <w:tcPr>
            <w:tcW w:w="310" w:type="pct"/>
            <w:vMerge w:val="restar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井深</w:t>
            </w:r>
          </w:p>
        </w:tc>
        <w:tc>
          <w:tcPr>
            <w:tcW w:w="465" w:type="pct"/>
            <w:vMerge w:val="restar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环境功能区</w:t>
            </w:r>
          </w:p>
        </w:tc>
        <w:tc>
          <w:tcPr>
            <w:tcW w:w="451" w:type="pct"/>
            <w:vMerge w:val="restar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相对厂址方位</w:t>
            </w:r>
          </w:p>
        </w:tc>
        <w:tc>
          <w:tcPr>
            <w:tcW w:w="610" w:type="pct"/>
            <w:vMerge w:val="restar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相对距离/m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5" w:hRule="atLeast"/>
          <w:jc w:val="center"/>
        </w:trPr>
        <w:tc>
          <w:tcPr>
            <w:tcW w:w="372" w:type="pct"/>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p>
        </w:tc>
        <w:tc>
          <w:tcPr>
            <w:tcW w:w="465" w:type="pct"/>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p>
        </w:tc>
        <w:tc>
          <w:tcPr>
            <w:tcW w:w="567" w:type="pc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经度（°）</w:t>
            </w:r>
          </w:p>
        </w:tc>
        <w:tc>
          <w:tcPr>
            <w:tcW w:w="517" w:type="pc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纬度（°）</w:t>
            </w:r>
          </w:p>
        </w:tc>
        <w:tc>
          <w:tcPr>
            <w:tcW w:w="412" w:type="pct"/>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p>
        </w:tc>
        <w:tc>
          <w:tcPr>
            <w:tcW w:w="310" w:type="pct"/>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p>
        </w:tc>
        <w:tc>
          <w:tcPr>
            <w:tcW w:w="258" w:type="pct"/>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p>
        </w:tc>
        <w:tc>
          <w:tcPr>
            <w:tcW w:w="258" w:type="pct"/>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p>
        </w:tc>
        <w:tc>
          <w:tcPr>
            <w:tcW w:w="310" w:type="pct"/>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p>
        </w:tc>
        <w:tc>
          <w:tcPr>
            <w:tcW w:w="465" w:type="pct"/>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p>
        </w:tc>
        <w:tc>
          <w:tcPr>
            <w:tcW w:w="451" w:type="pct"/>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p>
        </w:tc>
        <w:tc>
          <w:tcPr>
            <w:tcW w:w="610" w:type="pct"/>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72" w:type="pct"/>
            <w:vMerge w:val="restar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大气环境</w:t>
            </w:r>
          </w:p>
        </w:tc>
        <w:tc>
          <w:tcPr>
            <w:tcW w:w="465" w:type="pct"/>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Cs/>
                <w:color w:val="auto"/>
                <w:spacing w:val="0"/>
                <w:kern w:val="2"/>
                <w:sz w:val="21"/>
                <w:szCs w:val="21"/>
                <w:highlight w:val="none"/>
                <w:lang w:val="en-US" w:eastAsia="zh-CN" w:bidi="ar-SA"/>
              </w:rPr>
            </w:pPr>
            <w:r>
              <w:rPr>
                <w:rFonts w:hint="default" w:ascii="Times New Roman" w:hAnsi="Times New Roman" w:cs="Times New Roman" w:eastAsiaTheme="minorEastAsia"/>
                <w:bCs/>
                <w:color w:val="auto"/>
                <w:spacing w:val="0"/>
                <w:sz w:val="21"/>
                <w:szCs w:val="21"/>
                <w:highlight w:val="none"/>
                <w:lang w:val="en-US" w:eastAsia="zh-CN" w:bidi="ar-SA"/>
              </w:rPr>
              <w:t>鞠家窑</w:t>
            </w:r>
          </w:p>
        </w:tc>
        <w:tc>
          <w:tcPr>
            <w:tcW w:w="567" w:type="pct"/>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Cs/>
                <w:color w:val="auto"/>
                <w:spacing w:val="0"/>
                <w:kern w:val="2"/>
                <w:sz w:val="21"/>
                <w:szCs w:val="21"/>
                <w:highlight w:val="none"/>
                <w:lang w:val="en-US" w:eastAsia="zh-CN" w:bidi="ar-SA"/>
              </w:rPr>
            </w:pPr>
            <w:r>
              <w:rPr>
                <w:rFonts w:hint="default" w:ascii="Times New Roman" w:hAnsi="Times New Roman" w:cs="Times New Roman" w:eastAsiaTheme="minorEastAsia"/>
                <w:bCs/>
                <w:color w:val="auto"/>
                <w:spacing w:val="0"/>
                <w:sz w:val="21"/>
                <w:szCs w:val="21"/>
                <w:highlight w:val="none"/>
                <w:lang w:val="en-US" w:eastAsia="zh-CN" w:bidi="ar-SA"/>
              </w:rPr>
              <w:t>125.47297</w:t>
            </w:r>
          </w:p>
        </w:tc>
        <w:tc>
          <w:tcPr>
            <w:tcW w:w="517" w:type="pct"/>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Cs/>
                <w:color w:val="auto"/>
                <w:spacing w:val="0"/>
                <w:kern w:val="2"/>
                <w:sz w:val="21"/>
                <w:szCs w:val="21"/>
                <w:highlight w:val="none"/>
                <w:lang w:val="en-US" w:eastAsia="zh-CN" w:bidi="ar-SA"/>
              </w:rPr>
            </w:pPr>
            <w:r>
              <w:rPr>
                <w:rFonts w:hint="default" w:ascii="Times New Roman" w:hAnsi="Times New Roman" w:cs="Times New Roman" w:eastAsiaTheme="minorEastAsia"/>
                <w:bCs/>
                <w:color w:val="auto"/>
                <w:spacing w:val="0"/>
                <w:sz w:val="21"/>
                <w:szCs w:val="21"/>
                <w:highlight w:val="none"/>
                <w:lang w:val="en-US" w:eastAsia="zh-CN" w:bidi="ar-SA"/>
              </w:rPr>
              <w:t>46.51824</w:t>
            </w:r>
          </w:p>
        </w:tc>
        <w:tc>
          <w:tcPr>
            <w:tcW w:w="412" w:type="pct"/>
            <w:vMerge w:val="restar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居住区</w:t>
            </w:r>
          </w:p>
        </w:tc>
        <w:tc>
          <w:tcPr>
            <w:tcW w:w="1137" w:type="pct"/>
            <w:gridSpan w:val="4"/>
            <w:vMerge w:val="restar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w:t>
            </w:r>
          </w:p>
        </w:tc>
        <w:tc>
          <w:tcPr>
            <w:tcW w:w="465" w:type="pct"/>
            <w:vMerge w:val="restar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二类区</w:t>
            </w:r>
          </w:p>
        </w:tc>
        <w:tc>
          <w:tcPr>
            <w:tcW w:w="451" w:type="pc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N</w:t>
            </w:r>
          </w:p>
        </w:tc>
        <w:tc>
          <w:tcPr>
            <w:tcW w:w="610" w:type="pc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lang w:val="en-US" w:eastAsia="zh-CN"/>
              </w:rPr>
            </w:pPr>
            <w:r>
              <w:rPr>
                <w:rFonts w:hint="default" w:ascii="Times New Roman" w:hAnsi="Times New Roman" w:cs="Times New Roman" w:eastAsiaTheme="minorEastAsia"/>
                <w:color w:val="auto"/>
                <w:spacing w:val="0"/>
                <w:highlight w:val="none"/>
                <w:lang w:val="en-US" w:eastAsia="zh-CN"/>
              </w:rPr>
              <w:t>863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72" w:type="pct"/>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p>
        </w:tc>
        <w:tc>
          <w:tcPr>
            <w:tcW w:w="465" w:type="pct"/>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Cs/>
                <w:color w:val="auto"/>
                <w:spacing w:val="0"/>
                <w:kern w:val="2"/>
                <w:sz w:val="21"/>
                <w:szCs w:val="21"/>
                <w:highlight w:val="none"/>
                <w:lang w:val="en-US" w:eastAsia="zh-CN" w:bidi="ar-SA"/>
              </w:rPr>
            </w:pPr>
            <w:r>
              <w:rPr>
                <w:rFonts w:hint="default" w:ascii="Times New Roman" w:hAnsi="Times New Roman" w:cs="Times New Roman" w:eastAsiaTheme="minorEastAsia"/>
                <w:bCs/>
                <w:color w:val="auto"/>
                <w:spacing w:val="0"/>
                <w:sz w:val="21"/>
                <w:szCs w:val="21"/>
                <w:highlight w:val="none"/>
                <w:lang w:val="en-US" w:eastAsia="zh-CN" w:bidi="ar-SA"/>
              </w:rPr>
              <w:t>红星村</w:t>
            </w:r>
          </w:p>
        </w:tc>
        <w:tc>
          <w:tcPr>
            <w:tcW w:w="567" w:type="pct"/>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Cs/>
                <w:color w:val="auto"/>
                <w:spacing w:val="0"/>
                <w:kern w:val="2"/>
                <w:sz w:val="21"/>
                <w:szCs w:val="21"/>
                <w:highlight w:val="none"/>
                <w:lang w:val="en-US" w:eastAsia="zh-CN" w:bidi="ar-SA"/>
              </w:rPr>
            </w:pPr>
            <w:r>
              <w:rPr>
                <w:rFonts w:hint="default" w:ascii="Times New Roman" w:hAnsi="Times New Roman" w:cs="Times New Roman" w:eastAsiaTheme="minorEastAsia"/>
                <w:bCs/>
                <w:color w:val="auto"/>
                <w:spacing w:val="0"/>
                <w:sz w:val="21"/>
                <w:szCs w:val="21"/>
                <w:highlight w:val="none"/>
                <w:lang w:val="en-US" w:eastAsia="zh-CN" w:bidi="ar-SA"/>
              </w:rPr>
              <w:t>125.44506</w:t>
            </w:r>
          </w:p>
        </w:tc>
        <w:tc>
          <w:tcPr>
            <w:tcW w:w="517" w:type="pct"/>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firstLine="0" w:firstLineChars="0"/>
              <w:jc w:val="center"/>
              <w:textAlignment w:val="auto"/>
              <w:rPr>
                <w:rFonts w:hint="default" w:ascii="Times New Roman" w:hAnsi="Times New Roman" w:cs="Times New Roman" w:eastAsiaTheme="minorEastAsia"/>
                <w:bCs/>
                <w:color w:val="auto"/>
                <w:spacing w:val="0"/>
                <w:kern w:val="2"/>
                <w:sz w:val="21"/>
                <w:szCs w:val="21"/>
                <w:highlight w:val="none"/>
                <w:lang w:val="en-US" w:eastAsia="zh-CN" w:bidi="ar-SA"/>
              </w:rPr>
            </w:pPr>
            <w:r>
              <w:rPr>
                <w:rFonts w:hint="default" w:ascii="Times New Roman" w:hAnsi="Times New Roman" w:cs="Times New Roman" w:eastAsiaTheme="minorEastAsia"/>
                <w:bCs/>
                <w:color w:val="auto"/>
                <w:spacing w:val="0"/>
                <w:sz w:val="21"/>
                <w:szCs w:val="21"/>
                <w:highlight w:val="none"/>
                <w:lang w:val="en-US" w:eastAsia="zh-CN" w:bidi="ar-SA"/>
              </w:rPr>
              <w:t>46.48876</w:t>
            </w:r>
          </w:p>
        </w:tc>
        <w:tc>
          <w:tcPr>
            <w:tcW w:w="412" w:type="pct"/>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p>
        </w:tc>
        <w:tc>
          <w:tcPr>
            <w:tcW w:w="1137" w:type="pct"/>
            <w:gridSpan w:val="4"/>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p>
        </w:tc>
        <w:tc>
          <w:tcPr>
            <w:tcW w:w="465" w:type="pct"/>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p>
        </w:tc>
        <w:tc>
          <w:tcPr>
            <w:tcW w:w="451" w:type="pc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W</w:t>
            </w:r>
          </w:p>
        </w:tc>
        <w:tc>
          <w:tcPr>
            <w:tcW w:w="610" w:type="pc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lang w:val="en-US" w:eastAsia="zh-CN"/>
              </w:rPr>
            </w:pPr>
            <w:r>
              <w:rPr>
                <w:rFonts w:hint="default" w:ascii="Times New Roman" w:hAnsi="Times New Roman" w:cs="Times New Roman" w:eastAsiaTheme="minorEastAsia"/>
                <w:color w:val="auto"/>
                <w:spacing w:val="0"/>
                <w:highlight w:val="none"/>
                <w:lang w:val="en-US" w:eastAsia="zh-CN"/>
              </w:rPr>
              <w:t>2586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5" w:hRule="atLeast"/>
          <w:jc w:val="center"/>
        </w:trPr>
        <w:tc>
          <w:tcPr>
            <w:tcW w:w="372" w:type="pc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声环境</w:t>
            </w:r>
          </w:p>
        </w:tc>
        <w:tc>
          <w:tcPr>
            <w:tcW w:w="3565" w:type="pct"/>
            <w:gridSpan w:val="9"/>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《声环境质量标准》（GB3096-2008）2类</w:t>
            </w:r>
          </w:p>
        </w:tc>
        <w:tc>
          <w:tcPr>
            <w:tcW w:w="1062" w:type="pct"/>
            <w:gridSpan w:val="2"/>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厂界外200m范围内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33" w:hRule="atLeast"/>
          <w:jc w:val="center"/>
        </w:trPr>
        <w:tc>
          <w:tcPr>
            <w:tcW w:w="372" w:type="pct"/>
            <w:vMerge w:val="restar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地下水环境</w:t>
            </w:r>
          </w:p>
        </w:tc>
        <w:tc>
          <w:tcPr>
            <w:tcW w:w="465" w:type="pct"/>
            <w:tcBorders>
              <w:bottom w:val="single" w:color="auto" w:sz="2" w:space="0"/>
              <w:right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lang w:val="en-US" w:eastAsia="zh-CN"/>
              </w:rPr>
            </w:pPr>
            <w:r>
              <w:rPr>
                <w:rFonts w:hint="default" w:ascii="Times New Roman" w:hAnsi="Times New Roman" w:cs="Times New Roman" w:eastAsiaTheme="minorEastAsia"/>
                <w:bCs/>
                <w:color w:val="auto"/>
                <w:spacing w:val="0"/>
                <w:sz w:val="21"/>
                <w:szCs w:val="21"/>
                <w:highlight w:val="none"/>
                <w:lang w:val="en-US" w:eastAsia="zh-CN" w:bidi="ar-SA"/>
              </w:rPr>
              <w:t>鞠家窑</w:t>
            </w:r>
          </w:p>
        </w:tc>
        <w:tc>
          <w:tcPr>
            <w:tcW w:w="567" w:type="pct"/>
            <w:tcBorders>
              <w:left w:val="single" w:color="auto" w:sz="2" w:space="0"/>
              <w:bottom w:val="single" w:color="auto" w:sz="2" w:space="0"/>
              <w:right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lang w:val="en-US" w:eastAsia="zh-CN"/>
              </w:rPr>
              <w:t>125.474554</w:t>
            </w:r>
          </w:p>
        </w:tc>
        <w:tc>
          <w:tcPr>
            <w:tcW w:w="517" w:type="pct"/>
            <w:tcBorders>
              <w:left w:val="single" w:color="auto" w:sz="2" w:space="0"/>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4</w:t>
            </w:r>
            <w:r>
              <w:rPr>
                <w:rFonts w:hint="default" w:ascii="Times New Roman" w:hAnsi="Times New Roman" w:cs="Times New Roman" w:eastAsiaTheme="minorEastAsia"/>
                <w:color w:val="auto"/>
                <w:spacing w:val="0"/>
                <w:highlight w:val="none"/>
                <w:lang w:val="en-US" w:eastAsia="zh-CN"/>
              </w:rPr>
              <w:t>6.518133</w:t>
            </w:r>
          </w:p>
        </w:tc>
        <w:tc>
          <w:tcPr>
            <w:tcW w:w="412" w:type="pct"/>
            <w:tcBorders>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灌溉井</w:t>
            </w:r>
          </w:p>
        </w:tc>
        <w:tc>
          <w:tcPr>
            <w:tcW w:w="310" w:type="pct"/>
            <w:tcBorders>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潜水</w:t>
            </w:r>
          </w:p>
        </w:tc>
        <w:tc>
          <w:tcPr>
            <w:tcW w:w="258" w:type="pct"/>
            <w:tcBorders>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lang w:val="en-US" w:eastAsia="zh-CN"/>
              </w:rPr>
            </w:pPr>
            <w:r>
              <w:rPr>
                <w:rFonts w:hint="default" w:ascii="Times New Roman" w:hAnsi="Times New Roman" w:cs="Times New Roman" w:eastAsiaTheme="minorEastAsia"/>
                <w:color w:val="auto"/>
                <w:spacing w:val="0"/>
                <w:highlight w:val="none"/>
                <w:lang w:val="en-US" w:eastAsia="zh-CN"/>
              </w:rPr>
              <w:t>/</w:t>
            </w:r>
          </w:p>
        </w:tc>
        <w:tc>
          <w:tcPr>
            <w:tcW w:w="258" w:type="pct"/>
            <w:tcBorders>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浇灌</w:t>
            </w:r>
          </w:p>
        </w:tc>
        <w:tc>
          <w:tcPr>
            <w:tcW w:w="310" w:type="pct"/>
            <w:tcBorders>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lang w:val="en-US" w:eastAsia="zh-CN"/>
              </w:rPr>
            </w:pPr>
            <w:r>
              <w:rPr>
                <w:rFonts w:hint="default" w:ascii="Times New Roman" w:hAnsi="Times New Roman" w:cs="Times New Roman" w:eastAsiaTheme="minorEastAsia"/>
                <w:color w:val="auto"/>
                <w:spacing w:val="0"/>
                <w:highlight w:val="none"/>
                <w:lang w:eastAsia="zh-CN"/>
              </w:rPr>
              <w:t>2</w:t>
            </w:r>
            <w:r>
              <w:rPr>
                <w:rFonts w:hint="default" w:ascii="Times New Roman" w:hAnsi="Times New Roman" w:cs="Times New Roman" w:eastAsiaTheme="minorEastAsia"/>
                <w:color w:val="auto"/>
                <w:spacing w:val="0"/>
                <w:highlight w:val="none"/>
                <w:lang w:val="en-US" w:eastAsia="zh-CN"/>
              </w:rPr>
              <w:t>0</w:t>
            </w:r>
          </w:p>
        </w:tc>
        <w:tc>
          <w:tcPr>
            <w:tcW w:w="465" w:type="pct"/>
            <w:vMerge w:val="restar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《地下水质量标准》（GB/T14848-2017）Ⅲ类</w:t>
            </w:r>
          </w:p>
        </w:tc>
        <w:tc>
          <w:tcPr>
            <w:tcW w:w="451" w:type="pct"/>
            <w:tcBorders>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N</w:t>
            </w:r>
          </w:p>
        </w:tc>
        <w:tc>
          <w:tcPr>
            <w:tcW w:w="610" w:type="pct"/>
            <w:tcBorders>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lang w:val="en-US" w:eastAsia="zh-CN"/>
              </w:rPr>
            </w:pPr>
            <w:r>
              <w:rPr>
                <w:rFonts w:hint="default" w:ascii="Times New Roman" w:hAnsi="Times New Roman" w:cs="Times New Roman" w:eastAsiaTheme="minorEastAsia"/>
                <w:color w:val="auto"/>
                <w:spacing w:val="0"/>
                <w:highlight w:val="none"/>
                <w:lang w:val="en-US" w:eastAsia="zh-CN"/>
              </w:rPr>
              <w:t>887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16" w:hRule="atLeast"/>
          <w:jc w:val="center"/>
        </w:trPr>
        <w:tc>
          <w:tcPr>
            <w:tcW w:w="372" w:type="pct"/>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p>
        </w:tc>
        <w:tc>
          <w:tcPr>
            <w:tcW w:w="465" w:type="pct"/>
            <w:tcBorders>
              <w:top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Cs/>
                <w:color w:val="auto"/>
                <w:spacing w:val="0"/>
                <w:kern w:val="2"/>
                <w:sz w:val="21"/>
                <w:szCs w:val="21"/>
                <w:highlight w:val="none"/>
                <w:lang w:val="en-US" w:eastAsia="zh-CN" w:bidi="ar-SA"/>
              </w:rPr>
            </w:pPr>
            <w:r>
              <w:rPr>
                <w:rFonts w:hint="default" w:ascii="Times New Roman" w:hAnsi="Times New Roman" w:cs="Times New Roman" w:eastAsiaTheme="minorEastAsia"/>
                <w:bCs/>
                <w:color w:val="auto"/>
                <w:spacing w:val="0"/>
                <w:sz w:val="21"/>
                <w:szCs w:val="21"/>
                <w:highlight w:val="none"/>
                <w:lang w:val="en-US" w:eastAsia="zh-CN" w:bidi="ar-SA"/>
              </w:rPr>
              <w:t>鞠家窑</w:t>
            </w:r>
          </w:p>
        </w:tc>
        <w:tc>
          <w:tcPr>
            <w:tcW w:w="567" w:type="pct"/>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Cs/>
                <w:color w:val="auto"/>
                <w:spacing w:val="0"/>
                <w:kern w:val="2"/>
                <w:sz w:val="21"/>
                <w:szCs w:val="21"/>
                <w:highlight w:val="none"/>
                <w:lang w:val="en-US" w:eastAsia="zh-CN" w:bidi="ar-SA"/>
              </w:rPr>
            </w:pPr>
            <w:r>
              <w:rPr>
                <w:rFonts w:hint="default" w:ascii="Times New Roman" w:hAnsi="Times New Roman" w:cs="Times New Roman" w:eastAsiaTheme="minorEastAsia"/>
                <w:bCs/>
                <w:color w:val="auto"/>
                <w:spacing w:val="0"/>
                <w:sz w:val="21"/>
                <w:szCs w:val="21"/>
                <w:highlight w:val="none"/>
                <w:lang w:val="en-US" w:eastAsia="zh-CN" w:bidi="ar-SA"/>
              </w:rPr>
              <w:t>125.47297</w:t>
            </w:r>
          </w:p>
        </w:tc>
        <w:tc>
          <w:tcPr>
            <w:tcW w:w="517" w:type="pct"/>
            <w:tcBorders>
              <w:top w:val="single" w:color="auto" w:sz="2" w:space="0"/>
              <w:left w:val="single" w:color="auto" w:sz="2" w:space="0"/>
              <w:bottom w:val="single" w:color="auto" w:sz="2" w:space="0"/>
            </w:tcBorders>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Cs/>
                <w:color w:val="auto"/>
                <w:spacing w:val="0"/>
                <w:kern w:val="2"/>
                <w:sz w:val="21"/>
                <w:szCs w:val="21"/>
                <w:highlight w:val="none"/>
                <w:lang w:val="en-US" w:eastAsia="zh-CN" w:bidi="ar-SA"/>
              </w:rPr>
            </w:pPr>
            <w:r>
              <w:rPr>
                <w:rFonts w:hint="default" w:ascii="Times New Roman" w:hAnsi="Times New Roman" w:cs="Times New Roman" w:eastAsiaTheme="minorEastAsia"/>
                <w:bCs/>
                <w:color w:val="auto"/>
                <w:spacing w:val="0"/>
                <w:sz w:val="21"/>
                <w:szCs w:val="21"/>
                <w:highlight w:val="none"/>
                <w:lang w:val="en-US" w:eastAsia="zh-CN" w:bidi="ar-SA"/>
              </w:rPr>
              <w:t>46.51824</w:t>
            </w:r>
          </w:p>
        </w:tc>
        <w:tc>
          <w:tcPr>
            <w:tcW w:w="412" w:type="pct"/>
            <w:tcBorders>
              <w:top w:val="single" w:color="auto" w:sz="2" w:space="0"/>
              <w:bottom w:val="single" w:color="auto" w:sz="2" w:space="0"/>
            </w:tcBorders>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sz w:val="21"/>
                <w:szCs w:val="21"/>
                <w:highlight w:val="none"/>
              </w:rPr>
            </w:pPr>
            <w:r>
              <w:rPr>
                <w:rFonts w:hint="default" w:ascii="Times New Roman" w:hAnsi="Times New Roman" w:cs="Times New Roman" w:eastAsiaTheme="minorEastAsia"/>
                <w:color w:val="auto"/>
                <w:spacing w:val="0"/>
                <w:sz w:val="21"/>
                <w:szCs w:val="21"/>
                <w:highlight w:val="none"/>
              </w:rPr>
              <w:t>灌溉井</w:t>
            </w:r>
          </w:p>
        </w:tc>
        <w:tc>
          <w:tcPr>
            <w:tcW w:w="310" w:type="pct"/>
            <w:tcBorders>
              <w:top w:val="single" w:color="auto" w:sz="2" w:space="0"/>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潜水</w:t>
            </w:r>
          </w:p>
        </w:tc>
        <w:tc>
          <w:tcPr>
            <w:tcW w:w="258" w:type="pct"/>
            <w:tcBorders>
              <w:top w:val="single" w:color="auto" w:sz="2" w:space="0"/>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lang w:val="en-US" w:eastAsia="zh-CN"/>
              </w:rPr>
            </w:pPr>
            <w:r>
              <w:rPr>
                <w:rFonts w:hint="default" w:ascii="Times New Roman" w:hAnsi="Times New Roman" w:cs="Times New Roman" w:eastAsiaTheme="minorEastAsia"/>
                <w:color w:val="auto"/>
                <w:spacing w:val="0"/>
                <w:highlight w:val="none"/>
                <w:lang w:val="en-US" w:eastAsia="zh-CN"/>
              </w:rPr>
              <w:t>/</w:t>
            </w:r>
          </w:p>
        </w:tc>
        <w:tc>
          <w:tcPr>
            <w:tcW w:w="258" w:type="pct"/>
            <w:tcBorders>
              <w:top w:val="single" w:color="auto" w:sz="2" w:space="0"/>
              <w:bottom w:val="single" w:color="auto" w:sz="2" w:space="0"/>
            </w:tcBorders>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auto"/>
                <w:spacing w:val="0"/>
                <w:sz w:val="21"/>
                <w:szCs w:val="21"/>
                <w:highlight w:val="none"/>
              </w:rPr>
            </w:pPr>
            <w:r>
              <w:rPr>
                <w:rFonts w:hint="default" w:ascii="Times New Roman" w:hAnsi="Times New Roman" w:cs="Times New Roman" w:eastAsiaTheme="minorEastAsia"/>
                <w:color w:val="auto"/>
                <w:spacing w:val="0"/>
                <w:sz w:val="21"/>
                <w:szCs w:val="21"/>
                <w:highlight w:val="none"/>
              </w:rPr>
              <w:t>浇灌</w:t>
            </w:r>
          </w:p>
        </w:tc>
        <w:tc>
          <w:tcPr>
            <w:tcW w:w="310" w:type="pct"/>
            <w:tcBorders>
              <w:top w:val="single" w:color="auto" w:sz="2" w:space="0"/>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lang w:val="en-US" w:eastAsia="zh-CN"/>
              </w:rPr>
            </w:pPr>
            <w:r>
              <w:rPr>
                <w:rFonts w:hint="default" w:ascii="Times New Roman" w:hAnsi="Times New Roman" w:cs="Times New Roman" w:eastAsiaTheme="minorEastAsia"/>
                <w:color w:val="auto"/>
                <w:spacing w:val="0"/>
                <w:highlight w:val="none"/>
                <w:lang w:val="en-US" w:eastAsia="zh-CN"/>
              </w:rPr>
              <w:t>18</w:t>
            </w:r>
          </w:p>
        </w:tc>
        <w:tc>
          <w:tcPr>
            <w:tcW w:w="465" w:type="pct"/>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p>
        </w:tc>
        <w:tc>
          <w:tcPr>
            <w:tcW w:w="451" w:type="pct"/>
            <w:tcBorders>
              <w:top w:val="single" w:color="auto" w:sz="2" w:space="0"/>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W</w:t>
            </w:r>
          </w:p>
        </w:tc>
        <w:tc>
          <w:tcPr>
            <w:tcW w:w="610" w:type="pct"/>
            <w:tcBorders>
              <w:top w:val="single" w:color="auto" w:sz="2" w:space="0"/>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lang w:val="en-US" w:eastAsia="zh-CN"/>
              </w:rPr>
            </w:pPr>
            <w:r>
              <w:rPr>
                <w:rFonts w:hint="default" w:ascii="Times New Roman" w:hAnsi="Times New Roman" w:cs="Times New Roman" w:eastAsiaTheme="minorEastAsia"/>
                <w:color w:val="auto"/>
                <w:spacing w:val="0"/>
                <w:highlight w:val="none"/>
                <w:lang w:val="en-US" w:eastAsia="zh-CN"/>
              </w:rPr>
              <w:t>886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25" w:hRule="atLeast"/>
          <w:jc w:val="center"/>
        </w:trPr>
        <w:tc>
          <w:tcPr>
            <w:tcW w:w="372" w:type="pct"/>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p>
        </w:tc>
        <w:tc>
          <w:tcPr>
            <w:tcW w:w="465" w:type="pct"/>
            <w:tcBorders>
              <w:top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Cs/>
                <w:color w:val="auto"/>
                <w:spacing w:val="0"/>
                <w:kern w:val="2"/>
                <w:sz w:val="21"/>
                <w:szCs w:val="21"/>
                <w:highlight w:val="none"/>
                <w:lang w:val="en-US" w:eastAsia="zh-CN" w:bidi="ar-SA"/>
              </w:rPr>
            </w:pPr>
            <w:r>
              <w:rPr>
                <w:rFonts w:hint="default" w:ascii="Times New Roman" w:hAnsi="Times New Roman" w:cs="Times New Roman" w:eastAsiaTheme="minorEastAsia"/>
                <w:bCs/>
                <w:color w:val="auto"/>
                <w:spacing w:val="0"/>
                <w:sz w:val="21"/>
                <w:szCs w:val="21"/>
                <w:highlight w:val="none"/>
                <w:lang w:val="en-US" w:eastAsia="zh-CN" w:bidi="ar-SA"/>
              </w:rPr>
              <w:t>红星村</w:t>
            </w:r>
          </w:p>
        </w:tc>
        <w:tc>
          <w:tcPr>
            <w:tcW w:w="567" w:type="pct"/>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Cs/>
                <w:color w:val="auto"/>
                <w:spacing w:val="0"/>
                <w:kern w:val="2"/>
                <w:sz w:val="21"/>
                <w:szCs w:val="21"/>
                <w:highlight w:val="none"/>
                <w:lang w:val="en-US" w:eastAsia="zh-CN" w:bidi="ar-SA"/>
              </w:rPr>
            </w:pPr>
            <w:r>
              <w:rPr>
                <w:rFonts w:hint="default" w:ascii="Times New Roman" w:hAnsi="Times New Roman" w:cs="Times New Roman" w:eastAsiaTheme="minorEastAsia"/>
                <w:bCs/>
                <w:color w:val="auto"/>
                <w:spacing w:val="0"/>
                <w:sz w:val="21"/>
                <w:szCs w:val="21"/>
                <w:highlight w:val="none"/>
                <w:lang w:val="en-US" w:eastAsia="zh-CN" w:bidi="ar-SA"/>
              </w:rPr>
              <w:t>125.445065</w:t>
            </w:r>
          </w:p>
        </w:tc>
        <w:tc>
          <w:tcPr>
            <w:tcW w:w="517" w:type="pct"/>
            <w:tcBorders>
              <w:top w:val="single" w:color="auto" w:sz="2" w:space="0"/>
              <w:left w:val="single" w:color="auto" w:sz="2" w:space="0"/>
              <w:bottom w:val="single" w:color="auto" w:sz="2" w:space="0"/>
            </w:tcBorders>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Cs/>
                <w:color w:val="auto"/>
                <w:spacing w:val="0"/>
                <w:kern w:val="2"/>
                <w:sz w:val="21"/>
                <w:szCs w:val="21"/>
                <w:highlight w:val="none"/>
                <w:lang w:val="en-US" w:eastAsia="zh-CN" w:bidi="ar-SA"/>
              </w:rPr>
            </w:pPr>
            <w:r>
              <w:rPr>
                <w:rFonts w:hint="default" w:ascii="Times New Roman" w:hAnsi="Times New Roman" w:cs="Times New Roman" w:eastAsiaTheme="minorEastAsia"/>
                <w:bCs/>
                <w:color w:val="auto"/>
                <w:spacing w:val="0"/>
                <w:sz w:val="21"/>
                <w:szCs w:val="21"/>
                <w:highlight w:val="none"/>
                <w:lang w:val="en-US" w:eastAsia="zh-CN" w:bidi="ar-SA"/>
              </w:rPr>
              <w:t>46.488759</w:t>
            </w:r>
          </w:p>
        </w:tc>
        <w:tc>
          <w:tcPr>
            <w:tcW w:w="412" w:type="pct"/>
            <w:tcBorders>
              <w:top w:val="single" w:color="auto" w:sz="2" w:space="0"/>
              <w:bottom w:val="single" w:color="auto" w:sz="2" w:space="0"/>
            </w:tcBorders>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sz w:val="21"/>
                <w:szCs w:val="21"/>
                <w:highlight w:val="none"/>
              </w:rPr>
            </w:pPr>
            <w:r>
              <w:rPr>
                <w:rFonts w:hint="default" w:ascii="Times New Roman" w:hAnsi="Times New Roman" w:cs="Times New Roman" w:eastAsiaTheme="minorEastAsia"/>
                <w:color w:val="auto"/>
                <w:spacing w:val="0"/>
                <w:sz w:val="21"/>
                <w:szCs w:val="21"/>
                <w:highlight w:val="none"/>
              </w:rPr>
              <w:t>灌溉井</w:t>
            </w:r>
          </w:p>
        </w:tc>
        <w:tc>
          <w:tcPr>
            <w:tcW w:w="310" w:type="pct"/>
            <w:tcBorders>
              <w:top w:val="single" w:color="auto" w:sz="2" w:space="0"/>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lang w:eastAsia="zh-CN"/>
              </w:rPr>
              <w:t>潜</w:t>
            </w:r>
            <w:r>
              <w:rPr>
                <w:rFonts w:hint="default" w:ascii="Times New Roman" w:hAnsi="Times New Roman" w:cs="Times New Roman" w:eastAsiaTheme="minorEastAsia"/>
                <w:color w:val="auto"/>
                <w:spacing w:val="0"/>
                <w:highlight w:val="none"/>
              </w:rPr>
              <w:t>水</w:t>
            </w:r>
          </w:p>
        </w:tc>
        <w:tc>
          <w:tcPr>
            <w:tcW w:w="258" w:type="pct"/>
            <w:tcBorders>
              <w:top w:val="single" w:color="auto" w:sz="2" w:space="0"/>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lang w:val="en-US" w:eastAsia="zh-CN"/>
              </w:rPr>
            </w:pPr>
            <w:r>
              <w:rPr>
                <w:rFonts w:hint="default" w:ascii="Times New Roman" w:hAnsi="Times New Roman" w:cs="Times New Roman" w:eastAsiaTheme="minorEastAsia"/>
                <w:color w:val="auto"/>
                <w:spacing w:val="0"/>
                <w:highlight w:val="none"/>
                <w:lang w:val="en-US" w:eastAsia="zh-CN"/>
              </w:rPr>
              <w:t>/</w:t>
            </w:r>
          </w:p>
        </w:tc>
        <w:tc>
          <w:tcPr>
            <w:tcW w:w="258" w:type="pct"/>
            <w:tcBorders>
              <w:top w:val="single" w:color="auto" w:sz="2" w:space="0"/>
              <w:bottom w:val="single" w:color="auto" w:sz="2" w:space="0"/>
            </w:tcBorders>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auto"/>
                <w:spacing w:val="0"/>
                <w:sz w:val="21"/>
                <w:szCs w:val="21"/>
                <w:highlight w:val="none"/>
              </w:rPr>
            </w:pPr>
            <w:r>
              <w:rPr>
                <w:rFonts w:hint="default" w:ascii="Times New Roman" w:hAnsi="Times New Roman" w:cs="Times New Roman" w:eastAsiaTheme="minorEastAsia"/>
                <w:color w:val="auto"/>
                <w:spacing w:val="0"/>
                <w:sz w:val="21"/>
                <w:szCs w:val="21"/>
                <w:highlight w:val="none"/>
              </w:rPr>
              <w:t>浇灌</w:t>
            </w:r>
          </w:p>
        </w:tc>
        <w:tc>
          <w:tcPr>
            <w:tcW w:w="310" w:type="pct"/>
            <w:tcBorders>
              <w:top w:val="single" w:color="auto" w:sz="2" w:space="0"/>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lang w:val="en-US" w:eastAsia="zh-CN"/>
              </w:rPr>
            </w:pPr>
            <w:r>
              <w:rPr>
                <w:rFonts w:hint="default" w:ascii="Times New Roman" w:hAnsi="Times New Roman" w:cs="Times New Roman" w:eastAsiaTheme="minorEastAsia"/>
                <w:color w:val="auto"/>
                <w:spacing w:val="0"/>
                <w:highlight w:val="none"/>
                <w:lang w:val="en-US" w:eastAsia="zh-CN"/>
              </w:rPr>
              <w:t>18</w:t>
            </w:r>
          </w:p>
        </w:tc>
        <w:tc>
          <w:tcPr>
            <w:tcW w:w="465" w:type="pct"/>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p>
        </w:tc>
        <w:tc>
          <w:tcPr>
            <w:tcW w:w="451" w:type="pct"/>
            <w:tcBorders>
              <w:top w:val="single" w:color="auto" w:sz="2" w:space="0"/>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SW</w:t>
            </w:r>
          </w:p>
        </w:tc>
        <w:tc>
          <w:tcPr>
            <w:tcW w:w="610" w:type="pct"/>
            <w:tcBorders>
              <w:top w:val="single" w:color="auto" w:sz="2" w:space="0"/>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lang w:val="en-US" w:eastAsia="zh-CN"/>
              </w:rPr>
            </w:pPr>
            <w:r>
              <w:rPr>
                <w:rFonts w:hint="default" w:ascii="Times New Roman" w:hAnsi="Times New Roman" w:cs="Times New Roman" w:eastAsiaTheme="minorEastAsia"/>
                <w:color w:val="auto"/>
                <w:spacing w:val="0"/>
                <w:highlight w:val="none"/>
                <w:lang w:val="en-US" w:eastAsia="zh-CN"/>
              </w:rPr>
              <w:t>2595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372" w:type="pct"/>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p>
        </w:tc>
        <w:tc>
          <w:tcPr>
            <w:tcW w:w="465" w:type="pct"/>
            <w:tcBorders>
              <w:top w:val="single" w:color="auto" w:sz="2" w:space="0"/>
              <w:right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厂区内饮用水井</w:t>
            </w:r>
          </w:p>
        </w:tc>
        <w:tc>
          <w:tcPr>
            <w:tcW w:w="567" w:type="pct"/>
            <w:tcBorders>
              <w:top w:val="single" w:color="auto" w:sz="2" w:space="0"/>
              <w:left w:val="single" w:color="auto" w:sz="2" w:space="0"/>
              <w:right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lang w:val="en-US" w:eastAsia="zh-CN"/>
              </w:rPr>
            </w:pPr>
            <w:r>
              <w:rPr>
                <w:rFonts w:hint="default" w:ascii="Times New Roman" w:hAnsi="Times New Roman" w:cs="Times New Roman" w:eastAsiaTheme="minorEastAsia"/>
                <w:color w:val="auto"/>
                <w:spacing w:val="0"/>
                <w:highlight w:val="none"/>
              </w:rPr>
              <w:t>12</w:t>
            </w:r>
            <w:r>
              <w:rPr>
                <w:rFonts w:hint="default" w:ascii="Times New Roman" w:hAnsi="Times New Roman" w:cs="Times New Roman" w:eastAsiaTheme="minorEastAsia"/>
                <w:color w:val="auto"/>
                <w:spacing w:val="0"/>
                <w:highlight w:val="none"/>
                <w:lang w:val="en-US" w:eastAsia="zh-CN"/>
              </w:rPr>
              <w:t>5.475497</w:t>
            </w:r>
          </w:p>
        </w:tc>
        <w:tc>
          <w:tcPr>
            <w:tcW w:w="517" w:type="pct"/>
            <w:tcBorders>
              <w:top w:val="single" w:color="auto" w:sz="2" w:space="0"/>
              <w:left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lang w:val="en-US" w:eastAsia="zh-CN"/>
              </w:rPr>
            </w:pPr>
            <w:r>
              <w:rPr>
                <w:rFonts w:hint="default" w:ascii="Times New Roman" w:hAnsi="Times New Roman" w:cs="Times New Roman" w:eastAsiaTheme="minorEastAsia"/>
                <w:color w:val="auto"/>
                <w:spacing w:val="0"/>
                <w:highlight w:val="none"/>
                <w:lang w:val="en-US" w:eastAsia="zh-CN"/>
              </w:rPr>
              <w:t>46.509084</w:t>
            </w:r>
          </w:p>
        </w:tc>
        <w:tc>
          <w:tcPr>
            <w:tcW w:w="412" w:type="pct"/>
            <w:tcBorders>
              <w:top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lang w:eastAsia="zh-CN"/>
              </w:rPr>
              <w:t>养殖和</w:t>
            </w:r>
            <w:r>
              <w:rPr>
                <w:rFonts w:hint="default" w:ascii="Times New Roman" w:hAnsi="Times New Roman" w:cs="Times New Roman" w:eastAsiaTheme="minorEastAsia"/>
                <w:color w:val="auto"/>
                <w:spacing w:val="0"/>
                <w:highlight w:val="none"/>
              </w:rPr>
              <w:t>饮用水井</w:t>
            </w:r>
          </w:p>
        </w:tc>
        <w:tc>
          <w:tcPr>
            <w:tcW w:w="310" w:type="pct"/>
            <w:tcBorders>
              <w:top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承压水</w:t>
            </w:r>
          </w:p>
        </w:tc>
        <w:tc>
          <w:tcPr>
            <w:tcW w:w="258" w:type="pct"/>
            <w:tcBorders>
              <w:top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lang w:val="en-US" w:eastAsia="zh-CN"/>
              </w:rPr>
            </w:pPr>
            <w:r>
              <w:rPr>
                <w:rFonts w:hint="default" w:ascii="Times New Roman" w:hAnsi="Times New Roman" w:cs="Times New Roman" w:eastAsiaTheme="minorEastAsia"/>
                <w:color w:val="auto"/>
                <w:spacing w:val="0"/>
                <w:highlight w:val="none"/>
                <w:lang w:val="en-US" w:eastAsia="zh-CN"/>
              </w:rPr>
              <w:t>20</w:t>
            </w:r>
          </w:p>
        </w:tc>
        <w:tc>
          <w:tcPr>
            <w:tcW w:w="258" w:type="pct"/>
            <w:tcBorders>
              <w:top w:val="single" w:color="auto" w:sz="2" w:space="0"/>
            </w:tcBorders>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auto"/>
                <w:spacing w:val="0"/>
                <w:sz w:val="21"/>
                <w:szCs w:val="21"/>
                <w:highlight w:val="none"/>
                <w:lang w:eastAsia="zh-CN"/>
              </w:rPr>
            </w:pPr>
            <w:r>
              <w:rPr>
                <w:rFonts w:hint="default" w:ascii="Times New Roman" w:hAnsi="Times New Roman" w:cs="Times New Roman" w:eastAsiaTheme="minorEastAsia"/>
                <w:color w:val="auto"/>
                <w:spacing w:val="0"/>
                <w:sz w:val="21"/>
                <w:szCs w:val="21"/>
                <w:highlight w:val="none"/>
                <w:lang w:eastAsia="zh-CN"/>
              </w:rPr>
              <w:t>养殖和饮用</w:t>
            </w:r>
          </w:p>
        </w:tc>
        <w:tc>
          <w:tcPr>
            <w:tcW w:w="310" w:type="pct"/>
            <w:tcBorders>
              <w:top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lang w:val="en-US" w:eastAsia="zh-CN"/>
              </w:rPr>
            </w:pPr>
            <w:r>
              <w:rPr>
                <w:rFonts w:hint="default" w:ascii="Times New Roman" w:hAnsi="Times New Roman" w:cs="Times New Roman" w:eastAsiaTheme="minorEastAsia"/>
                <w:color w:val="auto"/>
                <w:spacing w:val="0"/>
                <w:highlight w:val="none"/>
                <w:lang w:val="en-US" w:eastAsia="zh-CN"/>
              </w:rPr>
              <w:t>80</w:t>
            </w:r>
          </w:p>
        </w:tc>
        <w:tc>
          <w:tcPr>
            <w:tcW w:w="465" w:type="pct"/>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p>
        </w:tc>
        <w:tc>
          <w:tcPr>
            <w:tcW w:w="451" w:type="pct"/>
            <w:tcBorders>
              <w:top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w:t>
            </w:r>
          </w:p>
        </w:tc>
        <w:tc>
          <w:tcPr>
            <w:tcW w:w="610" w:type="pct"/>
            <w:tcBorders>
              <w:top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554" w:hRule="atLeast"/>
          <w:jc w:val="center"/>
        </w:trPr>
        <w:tc>
          <w:tcPr>
            <w:tcW w:w="372" w:type="pc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土壤环境</w:t>
            </w:r>
          </w:p>
        </w:tc>
        <w:tc>
          <w:tcPr>
            <w:tcW w:w="1550" w:type="pct"/>
            <w:gridSpan w:val="3"/>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占地范围外50m范围内</w:t>
            </w:r>
          </w:p>
        </w:tc>
        <w:tc>
          <w:tcPr>
            <w:tcW w:w="1550" w:type="pct"/>
            <w:gridSpan w:val="5"/>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一般牧草地</w:t>
            </w:r>
          </w:p>
        </w:tc>
        <w:tc>
          <w:tcPr>
            <w:tcW w:w="465" w:type="pc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《土壤环境质量 农用地土壤污染风险管控标准（试行）》（GB 15618-2018）</w:t>
            </w:r>
          </w:p>
        </w:tc>
        <w:tc>
          <w:tcPr>
            <w:tcW w:w="451" w:type="pc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w:t>
            </w:r>
          </w:p>
        </w:tc>
        <w:tc>
          <w:tcPr>
            <w:tcW w:w="610" w:type="pc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65" w:hRule="atLeast"/>
          <w:jc w:val="center"/>
        </w:trPr>
        <w:tc>
          <w:tcPr>
            <w:tcW w:w="372" w:type="pc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生态影响</w:t>
            </w:r>
          </w:p>
        </w:tc>
        <w:tc>
          <w:tcPr>
            <w:tcW w:w="4627" w:type="pct"/>
            <w:gridSpan w:val="11"/>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项目所在区域厂界范围内</w:t>
            </w:r>
          </w:p>
        </w:tc>
      </w:tr>
    </w:tbl>
    <w:p>
      <w:pPr>
        <w:adjustRightInd/>
        <w:snapToGrid/>
        <w:spacing w:line="240" w:lineRule="auto"/>
        <w:ind w:firstLine="560" w:firstLineChars="0"/>
        <w:jc w:val="center"/>
        <w:rPr>
          <w:rFonts w:hint="default" w:ascii="Times New Roman" w:hAnsi="Times New Roman" w:cs="Times New Roman" w:eastAsiaTheme="minorEastAsia"/>
          <w:color w:val="000000" w:themeColor="text1"/>
          <w:lang w:val="en-GB"/>
          <w14:textFill>
            <w14:solidFill>
              <w14:schemeClr w14:val="tx1"/>
            </w14:solidFill>
          </w14:textFill>
        </w:rPr>
      </w:pPr>
    </w:p>
    <w:p>
      <w:pPr>
        <w:adjustRightInd/>
        <w:snapToGrid/>
        <w:spacing w:line="240" w:lineRule="auto"/>
        <w:ind w:firstLine="560" w:firstLineChars="0"/>
        <w:jc w:val="center"/>
        <w:rPr>
          <w:rFonts w:hint="default" w:ascii="Times New Roman" w:hAnsi="Times New Roman" w:cs="Times New Roman" w:eastAsiaTheme="minorEastAsia"/>
          <w:color w:val="000000" w:themeColor="text1"/>
          <w:lang w:val="en-GB"/>
          <w14:textFill>
            <w14:solidFill>
              <w14:schemeClr w14:val="tx1"/>
            </w14:solidFill>
          </w14:textFill>
        </w:rPr>
      </w:pPr>
    </w:p>
    <w:p>
      <w:pPr>
        <w:adjustRightInd/>
        <w:snapToGrid/>
        <w:spacing w:line="240" w:lineRule="auto"/>
        <w:ind w:firstLine="560" w:firstLineChars="0"/>
        <w:jc w:val="center"/>
        <w:rPr>
          <w:rFonts w:hint="default" w:ascii="Times New Roman" w:hAnsi="Times New Roman" w:cs="Times New Roman" w:eastAsiaTheme="minorEastAsia"/>
          <w:color w:val="000000" w:themeColor="text1"/>
          <w:lang w:val="en-GB"/>
          <w14:textFill>
            <w14:solidFill>
              <w14:schemeClr w14:val="tx1"/>
            </w14:solidFill>
          </w14:textFill>
        </w:rPr>
      </w:pPr>
    </w:p>
    <w:p>
      <w:pPr>
        <w:adjustRightInd/>
        <w:snapToGrid/>
        <w:spacing w:line="240" w:lineRule="auto"/>
        <w:ind w:firstLine="560" w:firstLineChars="0"/>
        <w:jc w:val="center"/>
        <w:rPr>
          <w:rFonts w:hint="default" w:ascii="Times New Roman" w:hAnsi="Times New Roman" w:cs="Times New Roman" w:eastAsiaTheme="minorEastAsia"/>
          <w:color w:val="000000" w:themeColor="text1"/>
          <w:lang w:val="en-GB"/>
          <w14:textFill>
            <w14:solidFill>
              <w14:schemeClr w14:val="tx1"/>
            </w14:solidFill>
          </w14:textFill>
        </w:rPr>
      </w:pPr>
    </w:p>
    <w:p>
      <w:pPr>
        <w:adjustRightInd/>
        <w:snapToGrid/>
        <w:spacing w:line="240" w:lineRule="auto"/>
        <w:ind w:left="0" w:leftChars="0" w:firstLine="0" w:firstLineChars="0"/>
        <w:jc w:val="lef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drawing>
          <wp:inline distT="0" distB="0" distL="114300" distR="114300">
            <wp:extent cx="7887335" cy="4724400"/>
            <wp:effectExtent l="0" t="0" r="18415" b="0"/>
            <wp:docPr id="45" name="图片 45" descr="db84b4d92fef8854ffc48e297038c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b84b4d92fef8854ffc48e297038c0b"/>
                    <pic:cNvPicPr>
                      <a:picLocks noChangeAspect="1"/>
                    </pic:cNvPicPr>
                  </pic:nvPicPr>
                  <pic:blipFill>
                    <a:blip r:embed="rId50"/>
                    <a:stretch>
                      <a:fillRect/>
                    </a:stretch>
                  </pic:blipFill>
                  <pic:spPr>
                    <a:xfrm>
                      <a:off x="0" y="0"/>
                      <a:ext cx="7887335" cy="4724400"/>
                    </a:xfrm>
                    <a:prstGeom prst="rect">
                      <a:avLst/>
                    </a:prstGeom>
                  </pic:spPr>
                </pic:pic>
              </a:graphicData>
            </a:graphic>
          </wp:inline>
        </w:drawing>
      </w:r>
    </w:p>
    <w:p>
      <w:pPr>
        <w:adjustRightInd/>
        <w:snapToGrid/>
        <w:spacing w:line="240" w:lineRule="auto"/>
        <w:ind w:left="0" w:leftChars="0" w:firstLine="0" w:firstLineChars="0"/>
        <w:jc w:val="left"/>
        <w:rPr>
          <w:rFonts w:hint="default" w:ascii="Times New Roman" w:hAnsi="Times New Roman" w:cs="Times New Roman" w:eastAsiaTheme="minorEastAsia"/>
          <w:color w:val="000000" w:themeColor="text1"/>
          <w:sz w:val="24"/>
          <w:szCs w:val="24"/>
          <w:lang w:val="en-US"/>
          <w14:textFill>
            <w14:solidFill>
              <w14:schemeClr w14:val="tx1"/>
            </w14:solidFill>
          </w14:textFill>
        </w:rPr>
        <w:sectPr>
          <w:footerReference r:id="rId22" w:type="default"/>
          <w:pgSz w:w="16838" w:h="11906" w:orient="landscape"/>
          <w:pgMar w:top="1701" w:right="1701" w:bottom="1701" w:left="1474" w:header="1134" w:footer="1134"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eastAsiaTheme="minorEastAsia"/>
          <w:color w:val="000000" w:themeColor="text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1845310</wp:posOffset>
                </wp:positionH>
                <wp:positionV relativeFrom="paragraph">
                  <wp:posOffset>5063490</wp:posOffset>
                </wp:positionV>
                <wp:extent cx="866775" cy="0"/>
                <wp:effectExtent l="0" t="0" r="0" b="0"/>
                <wp:wrapNone/>
                <wp:docPr id="1238" name="自选图形 1256"/>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19050" cmpd="sng">
                          <a:solidFill>
                            <a:srgbClr val="FFFFFF"/>
                          </a:solidFill>
                          <a:round/>
                        </a:ln>
                        <a:effectLst/>
                      </wps:spPr>
                      <wps:bodyPr/>
                    </wps:wsp>
                  </a:graphicData>
                </a:graphic>
              </wp:anchor>
            </w:drawing>
          </mc:Choice>
          <mc:Fallback>
            <w:pict>
              <v:shape id="自选图形 1256" o:spid="_x0000_s1026" o:spt="32" type="#_x0000_t32" style="position:absolute;left:0pt;margin-left:145.3pt;margin-top:398.7pt;height:0pt;width:68.25pt;z-index:251666432;mso-width-relative:page;mso-height-relative:page;" filled="f" stroked="t" coordsize="21600,21600" o:gfxdata="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j7xpfZAAAACwEAAA8AAAAAAAAAAQAgAAAAIgAAAGRycy9kb3du&#10;cmV2LnhtbFBLAQIUABQAAAAIAIdO4kDfh24e/gEAANQDAAAOAAAAAAAAAAEAIAAAACgBAABkcnMv&#10;ZTJvRG9jLnhtbFBLBQYAAAAABgAGAFkBAACYBQAAAAA=&#10;">
                <v:fill on="f" focussize="0,0"/>
                <v:stroke weight="1.5pt" color="#FFFFFF" joinstyle="round"/>
                <v:imagedata o:title=""/>
                <o:lock v:ext="edit" aspectratio="f"/>
              </v:shape>
            </w:pict>
          </mc:Fallback>
        </mc:AlternateContent>
      </w:r>
      <w:r>
        <w:rPr>
          <w:rFonts w:hint="default" w:ascii="Times New Roman" w:hAnsi="Times New Roman" w:cs="Times New Roman" w:eastAsiaTheme="minorEastAsia"/>
          <w:color w:val="000000" w:themeColor="text1"/>
          <w:kern w:val="0"/>
          <w:sz w:val="24"/>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8462010</wp:posOffset>
                </wp:positionH>
                <wp:positionV relativeFrom="paragraph">
                  <wp:posOffset>3811270</wp:posOffset>
                </wp:positionV>
                <wp:extent cx="339725" cy="0"/>
                <wp:effectExtent l="0" t="0" r="0" b="0"/>
                <wp:wrapNone/>
                <wp:docPr id="1230" name="自选图形 1081"/>
                <wp:cNvGraphicFramePr/>
                <a:graphic xmlns:a="http://schemas.openxmlformats.org/drawingml/2006/main">
                  <a:graphicData uri="http://schemas.microsoft.com/office/word/2010/wordprocessingShape">
                    <wps:wsp>
                      <wps:cNvCnPr>
                        <a:cxnSpLocks noChangeShapeType="1"/>
                      </wps:cNvCnPr>
                      <wps:spPr bwMode="auto">
                        <a:xfrm>
                          <a:off x="0" y="0"/>
                          <a:ext cx="339725" cy="0"/>
                        </a:xfrm>
                        <a:prstGeom prst="straightConnector1">
                          <a:avLst/>
                        </a:prstGeom>
                        <a:noFill/>
                        <a:ln>
                          <a:noFill/>
                        </a:ln>
                        <a:effectLst/>
                      </wps:spPr>
                      <wps:bodyPr/>
                    </wps:wsp>
                  </a:graphicData>
                </a:graphic>
              </wp:anchor>
            </w:drawing>
          </mc:Choice>
          <mc:Fallback>
            <w:pict>
              <v:shape id="自选图形 1081" o:spid="_x0000_s1026" o:spt="32" type="#_x0000_t32" style="position:absolute;left:0pt;margin-left:666.3pt;margin-top:300.1pt;height:0pt;width:26.75pt;z-index:251660288;mso-width-relative:page;mso-height-relative:page;" filled="f" stroked="f" coordsize="21600,21600" o:gfxdata="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WQgjrYAAAADQEAAA8AAAAAAAAAAQAgAAAA&#10;IgAAAGRycy9kb3ducmV2LnhtbFBLAQIUABQAAAAIAIdO4kAn5k+s0gEAAIwDAAAOAAAAAAAAAAEA&#10;IAAAACcBAABkcnMvZTJvRG9jLnhtbFBLBQYAAAAABgAGAFkBAABrBQAAAAA=&#10;">
                <v:fill on="f" focussize="0,0"/>
                <v:stroke on="f"/>
                <v:imagedata o:title=""/>
                <o:lock v:ext="edit" aspectratio="f"/>
              </v:shape>
            </w:pict>
          </mc:Fallback>
        </mc:AlternateContent>
      </w:r>
      <w:r>
        <w:rPr>
          <w:rFonts w:hint="default" w:ascii="Times New Roman" w:hAnsi="Times New Roman" w:cs="Times New Roman" w:eastAsiaTheme="minorEastAsia"/>
          <w:color w:val="000000" w:themeColor="text1"/>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 xml:space="preserve">                             图2.4-1         本项目环境保护目标</w:t>
      </w:r>
    </w:p>
    <w:p>
      <w:pPr>
        <w:pStyle w:val="639"/>
        <w:rPr>
          <w:rFonts w:hint="default" w:ascii="Times New Roman" w:hAnsi="Times New Roman" w:cs="Times New Roman" w:eastAsiaTheme="minorEastAsia"/>
          <w:b/>
          <w:bCs w:val="0"/>
          <w:color w:val="000000" w:themeColor="text1"/>
          <w14:textFill>
            <w14:solidFill>
              <w14:schemeClr w14:val="tx1"/>
            </w14:solidFill>
          </w14:textFill>
        </w:rPr>
      </w:pPr>
      <w:bookmarkStart w:id="76" w:name="_Toc472338479"/>
      <w:bookmarkStart w:id="77" w:name="_Toc4813"/>
      <w:r>
        <w:rPr>
          <w:rFonts w:hint="default" w:ascii="Times New Roman" w:hAnsi="Times New Roman" w:cs="Times New Roman" w:eastAsiaTheme="minorEastAsia"/>
          <w:b/>
          <w:bCs w:val="0"/>
          <w:color w:val="000000" w:themeColor="text1"/>
          <w14:textFill>
            <w14:solidFill>
              <w14:schemeClr w14:val="tx1"/>
            </w14:solidFill>
          </w14:textFill>
        </w:rPr>
        <w:t>2.5 环境功能区划与评价标准</w:t>
      </w:r>
      <w:bookmarkEnd w:id="76"/>
      <w:bookmarkEnd w:id="77"/>
    </w:p>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2.5.1 环境功能区划</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auto"/>
          <w:sz w:val="24"/>
          <w:szCs w:val="22"/>
          <w:highlight w:val="none"/>
        </w:rPr>
        <w:t>本项目位于</w:t>
      </w:r>
      <w:r>
        <w:rPr>
          <w:rFonts w:hint="eastAsia" w:ascii="Times New Roman" w:hAnsi="Times New Roman" w:cs="Times New Roman" w:eastAsiaTheme="minorEastAsia"/>
          <w:color w:val="auto"/>
          <w:sz w:val="24"/>
          <w:szCs w:val="22"/>
          <w:highlight w:val="none"/>
          <w:lang w:eastAsia="zh-CN"/>
        </w:rPr>
        <w:t>安达市东14公里，明沈公路南侧1000米处</w:t>
      </w:r>
      <w:r>
        <w:rPr>
          <w:rFonts w:hint="default" w:ascii="Times New Roman" w:hAnsi="Times New Roman" w:cs="Times New Roman" w:eastAsiaTheme="minorEastAsia"/>
          <w:color w:val="auto"/>
          <w:sz w:val="24"/>
          <w:szCs w:val="22"/>
          <w:highlight w:val="none"/>
        </w:rPr>
        <w:t>，评价区环</w:t>
      </w:r>
      <w:r>
        <w:rPr>
          <w:rFonts w:hint="default" w:ascii="Times New Roman" w:hAnsi="Times New Roman" w:cs="Times New Roman" w:eastAsiaTheme="minorEastAsia"/>
          <w:color w:val="000000" w:themeColor="text1"/>
          <w:sz w:val="24"/>
          <w:szCs w:val="22"/>
          <w14:textFill>
            <w14:solidFill>
              <w14:schemeClr w14:val="tx1"/>
            </w14:solidFill>
          </w14:textFill>
        </w:rPr>
        <w:t>境质量功能区划见表2-5-1。</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表2-5-1 项目所在区域环境功能区划一览表</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276"/>
        <w:gridCol w:w="1134"/>
        <w:gridCol w:w="1985"/>
        <w:gridCol w:w="36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675" w:type="dxa"/>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序号</w:t>
            </w:r>
          </w:p>
        </w:tc>
        <w:tc>
          <w:tcPr>
            <w:tcW w:w="1276" w:type="dxa"/>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环境要素</w:t>
            </w:r>
          </w:p>
        </w:tc>
        <w:tc>
          <w:tcPr>
            <w:tcW w:w="1134" w:type="dxa"/>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所属区域</w:t>
            </w:r>
          </w:p>
        </w:tc>
        <w:tc>
          <w:tcPr>
            <w:tcW w:w="1985" w:type="dxa"/>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功能区划</w:t>
            </w:r>
          </w:p>
        </w:tc>
        <w:tc>
          <w:tcPr>
            <w:tcW w:w="3650" w:type="dxa"/>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划分依据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w:t>
            </w:r>
          </w:p>
        </w:tc>
        <w:tc>
          <w:tcPr>
            <w:tcW w:w="1276"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环境空气</w:t>
            </w:r>
          </w:p>
        </w:tc>
        <w:tc>
          <w:tcPr>
            <w:tcW w:w="113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安达市</w:t>
            </w:r>
          </w:p>
        </w:tc>
        <w:tc>
          <w:tcPr>
            <w:tcW w:w="1985"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《环境空气质量标准》（GB3095-2012）及其修改单二类区</w:t>
            </w:r>
          </w:p>
        </w:tc>
        <w:tc>
          <w:tcPr>
            <w:tcW w:w="3650"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环境空气功能区分类：二类区为居住区、商业交通居民混合区、文化区、工业区和农村地区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675"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w:t>
            </w:r>
          </w:p>
        </w:tc>
        <w:tc>
          <w:tcPr>
            <w:tcW w:w="1276"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地表水环境</w:t>
            </w:r>
          </w:p>
        </w:tc>
        <w:tc>
          <w:tcPr>
            <w:tcW w:w="113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东湖水库</w:t>
            </w:r>
          </w:p>
        </w:tc>
        <w:tc>
          <w:tcPr>
            <w:tcW w:w="1985"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Ⅴ类</w:t>
            </w:r>
          </w:p>
        </w:tc>
        <w:tc>
          <w:tcPr>
            <w:tcW w:w="3650"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《地表水环境质量标准》（GB3838-2002）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675"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w:t>
            </w:r>
          </w:p>
        </w:tc>
        <w:tc>
          <w:tcPr>
            <w:tcW w:w="1276"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地下水环境</w:t>
            </w:r>
          </w:p>
        </w:tc>
        <w:tc>
          <w:tcPr>
            <w:tcW w:w="113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w:t>
            </w:r>
          </w:p>
        </w:tc>
        <w:tc>
          <w:tcPr>
            <w:tcW w:w="1985"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Ⅲ类</w:t>
            </w:r>
          </w:p>
        </w:tc>
        <w:tc>
          <w:tcPr>
            <w:tcW w:w="3650"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区域居民以地下水为水源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5"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4</w:t>
            </w:r>
          </w:p>
        </w:tc>
        <w:tc>
          <w:tcPr>
            <w:tcW w:w="1276"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声环境</w:t>
            </w:r>
          </w:p>
        </w:tc>
        <w:tc>
          <w:tcPr>
            <w:tcW w:w="113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pacing w:val="-20"/>
                <w:highlight w:val="none"/>
              </w:rPr>
            </w:pPr>
            <w:r>
              <w:rPr>
                <w:rFonts w:hint="default" w:ascii="Times New Roman" w:hAnsi="Times New Roman" w:cs="Times New Roman" w:eastAsiaTheme="minorEastAsia"/>
                <w:color w:val="auto"/>
                <w:spacing w:val="-20"/>
                <w:highlight w:val="none"/>
              </w:rPr>
              <w:t>农村</w:t>
            </w:r>
          </w:p>
        </w:tc>
        <w:tc>
          <w:tcPr>
            <w:tcW w:w="1985"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2类</w:t>
            </w:r>
          </w:p>
        </w:tc>
        <w:tc>
          <w:tcPr>
            <w:tcW w:w="3650"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《声环境质量标准》（GB3096-2008）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675"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5</w:t>
            </w:r>
          </w:p>
        </w:tc>
        <w:tc>
          <w:tcPr>
            <w:tcW w:w="1276"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土壤环境</w:t>
            </w:r>
          </w:p>
        </w:tc>
        <w:tc>
          <w:tcPr>
            <w:tcW w:w="113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pacing w:val="-20"/>
                <w:highlight w:val="none"/>
              </w:rPr>
            </w:pPr>
            <w:r>
              <w:rPr>
                <w:rFonts w:hint="default" w:ascii="Times New Roman" w:hAnsi="Times New Roman" w:cs="Times New Roman" w:eastAsiaTheme="minorEastAsia"/>
                <w:color w:val="auto"/>
                <w:spacing w:val="-20"/>
                <w:highlight w:val="none"/>
              </w:rPr>
              <w:t>牧草地</w:t>
            </w:r>
          </w:p>
        </w:tc>
        <w:tc>
          <w:tcPr>
            <w:tcW w:w="1985"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农用地</w:t>
            </w:r>
          </w:p>
        </w:tc>
        <w:tc>
          <w:tcPr>
            <w:tcW w:w="3650"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《土壤环境质量 农用地土壤污染风险管控标准（试行）》（GB 15618-2018）</w:t>
            </w:r>
          </w:p>
        </w:tc>
      </w:tr>
    </w:tbl>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bookmarkStart w:id="78" w:name="_Toc245544734"/>
      <w:r>
        <w:rPr>
          <w:rFonts w:hint="default" w:ascii="Times New Roman" w:hAnsi="Times New Roman" w:cs="Times New Roman" w:eastAsiaTheme="minorEastAsia"/>
          <w:color w:val="000000" w:themeColor="text1"/>
          <w:sz w:val="24"/>
          <w:szCs w:val="24"/>
          <w14:textFill>
            <w14:solidFill>
              <w14:schemeClr w14:val="tx1"/>
            </w14:solidFill>
          </w14:textFill>
        </w:rPr>
        <w:t>2.5.2 环境质量标准</w:t>
      </w:r>
      <w:bookmarkEnd w:id="78"/>
    </w:p>
    <w:p>
      <w:pPr>
        <w:pStyle w:val="1297"/>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2.5.2.1 环境空气</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本项目环境空气质量现状执行的评价标准见表2-5-2。</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表2-5-2 环境空气执行标准一览表</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1804"/>
        <w:gridCol w:w="1665"/>
        <w:gridCol w:w="39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084"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污染物名称</w:t>
            </w:r>
          </w:p>
        </w:tc>
        <w:tc>
          <w:tcPr>
            <w:tcW w:w="1804"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取值时间</w:t>
            </w:r>
          </w:p>
        </w:tc>
        <w:tc>
          <w:tcPr>
            <w:tcW w:w="1665"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二级标准值</w:t>
            </w:r>
          </w:p>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（μg/m</w:t>
            </w:r>
            <w:r>
              <w:rPr>
                <w:rFonts w:hint="default" w:ascii="Times New Roman" w:hAnsi="Times New Roman" w:cs="Times New Roman" w:eastAsiaTheme="minorEastAsia"/>
                <w:color w:val="000000" w:themeColor="text1"/>
                <w:vertAlign w:val="superscript"/>
                <w14:textFill>
                  <w14:solidFill>
                    <w14:schemeClr w14:val="tx1"/>
                  </w14:solidFill>
                </w14:textFill>
              </w:rPr>
              <w:t>3</w:t>
            </w:r>
            <w:r>
              <w:rPr>
                <w:rFonts w:hint="default" w:ascii="Times New Roman" w:hAnsi="Times New Roman" w:cs="Times New Roman" w:eastAsiaTheme="minorEastAsia"/>
                <w:color w:val="000000" w:themeColor="text1"/>
                <w14:textFill>
                  <w14:solidFill>
                    <w14:schemeClr w14:val="tx1"/>
                  </w14:solidFill>
                </w14:textFill>
              </w:rPr>
              <w:t>）</w:t>
            </w:r>
          </w:p>
        </w:tc>
        <w:tc>
          <w:tcPr>
            <w:tcW w:w="3922"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0" w:hRule="atLeast"/>
        </w:trPr>
        <w:tc>
          <w:tcPr>
            <w:tcW w:w="1084" w:type="dxa"/>
            <w:vMerge w:val="restart"/>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PM</w:t>
            </w:r>
            <w:r>
              <w:rPr>
                <w:rFonts w:hint="default" w:ascii="Times New Roman" w:hAnsi="Times New Roman" w:cs="Times New Roman" w:eastAsiaTheme="minorEastAsia"/>
                <w:color w:val="000000" w:themeColor="text1"/>
                <w:vertAlign w:val="subscript"/>
                <w14:textFill>
                  <w14:solidFill>
                    <w14:schemeClr w14:val="tx1"/>
                  </w14:solidFill>
                </w14:textFill>
              </w:rPr>
              <w:t>2.5</w:t>
            </w:r>
          </w:p>
        </w:tc>
        <w:tc>
          <w:tcPr>
            <w:tcW w:w="1804"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年平均</w:t>
            </w:r>
          </w:p>
        </w:tc>
        <w:tc>
          <w:tcPr>
            <w:tcW w:w="1665"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35</w:t>
            </w:r>
          </w:p>
        </w:tc>
        <w:tc>
          <w:tcPr>
            <w:tcW w:w="3922" w:type="dxa"/>
            <w:vMerge w:val="restar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《环境空气质量标准》（GB3095-2012）及其修改单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084" w:type="dxa"/>
            <w:vMerge w:val="continue"/>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p>
        </w:tc>
        <w:tc>
          <w:tcPr>
            <w:tcW w:w="1804"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24小时平均</w:t>
            </w:r>
          </w:p>
        </w:tc>
        <w:tc>
          <w:tcPr>
            <w:tcW w:w="1665"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75</w:t>
            </w:r>
          </w:p>
        </w:tc>
        <w:tc>
          <w:tcPr>
            <w:tcW w:w="3922"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084" w:type="dxa"/>
            <w:vMerge w:val="restart"/>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PM</w:t>
            </w:r>
            <w:r>
              <w:rPr>
                <w:rFonts w:hint="default" w:ascii="Times New Roman" w:hAnsi="Times New Roman" w:cs="Times New Roman" w:eastAsiaTheme="minorEastAsia"/>
                <w:color w:val="000000" w:themeColor="text1"/>
                <w:vertAlign w:val="subscript"/>
                <w14:textFill>
                  <w14:solidFill>
                    <w14:schemeClr w14:val="tx1"/>
                  </w14:solidFill>
                </w14:textFill>
              </w:rPr>
              <w:t>10</w:t>
            </w:r>
          </w:p>
        </w:tc>
        <w:tc>
          <w:tcPr>
            <w:tcW w:w="1804"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年平均</w:t>
            </w:r>
          </w:p>
        </w:tc>
        <w:tc>
          <w:tcPr>
            <w:tcW w:w="1665"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70</w:t>
            </w:r>
          </w:p>
        </w:tc>
        <w:tc>
          <w:tcPr>
            <w:tcW w:w="3922"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084" w:type="dxa"/>
            <w:vMerge w:val="continue"/>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p>
        </w:tc>
        <w:tc>
          <w:tcPr>
            <w:tcW w:w="1804"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24小时平均</w:t>
            </w:r>
          </w:p>
        </w:tc>
        <w:tc>
          <w:tcPr>
            <w:tcW w:w="1665"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150</w:t>
            </w:r>
          </w:p>
        </w:tc>
        <w:tc>
          <w:tcPr>
            <w:tcW w:w="3922"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5" w:hRule="atLeast"/>
        </w:trPr>
        <w:tc>
          <w:tcPr>
            <w:tcW w:w="1084" w:type="dxa"/>
            <w:vMerge w:val="restart"/>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TSP</w:t>
            </w:r>
          </w:p>
        </w:tc>
        <w:tc>
          <w:tcPr>
            <w:tcW w:w="1804"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年平均</w:t>
            </w:r>
          </w:p>
        </w:tc>
        <w:tc>
          <w:tcPr>
            <w:tcW w:w="1665"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200</w:t>
            </w:r>
          </w:p>
        </w:tc>
        <w:tc>
          <w:tcPr>
            <w:tcW w:w="3922"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8" w:hRule="atLeast"/>
        </w:trPr>
        <w:tc>
          <w:tcPr>
            <w:tcW w:w="1084" w:type="dxa"/>
            <w:vMerge w:val="continue"/>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p>
        </w:tc>
        <w:tc>
          <w:tcPr>
            <w:tcW w:w="1804"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24小时平均</w:t>
            </w:r>
          </w:p>
        </w:tc>
        <w:tc>
          <w:tcPr>
            <w:tcW w:w="1665"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300</w:t>
            </w:r>
          </w:p>
        </w:tc>
        <w:tc>
          <w:tcPr>
            <w:tcW w:w="3922"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084" w:type="dxa"/>
            <w:vMerge w:val="restart"/>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SO</w:t>
            </w:r>
            <w:r>
              <w:rPr>
                <w:rFonts w:hint="default" w:ascii="Times New Roman" w:hAnsi="Times New Roman" w:cs="Times New Roman" w:eastAsiaTheme="minorEastAsia"/>
                <w:color w:val="000000" w:themeColor="text1"/>
                <w:vertAlign w:val="subscript"/>
                <w14:textFill>
                  <w14:solidFill>
                    <w14:schemeClr w14:val="tx1"/>
                  </w14:solidFill>
                </w14:textFill>
              </w:rPr>
              <w:t>2</w:t>
            </w:r>
          </w:p>
        </w:tc>
        <w:tc>
          <w:tcPr>
            <w:tcW w:w="1804"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年平均</w:t>
            </w:r>
          </w:p>
        </w:tc>
        <w:tc>
          <w:tcPr>
            <w:tcW w:w="1665"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60</w:t>
            </w:r>
          </w:p>
        </w:tc>
        <w:tc>
          <w:tcPr>
            <w:tcW w:w="3922"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084" w:type="dxa"/>
            <w:vMerge w:val="continue"/>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p>
        </w:tc>
        <w:tc>
          <w:tcPr>
            <w:tcW w:w="1804"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24小时平均</w:t>
            </w:r>
          </w:p>
        </w:tc>
        <w:tc>
          <w:tcPr>
            <w:tcW w:w="1665"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150</w:t>
            </w:r>
          </w:p>
        </w:tc>
        <w:tc>
          <w:tcPr>
            <w:tcW w:w="3922"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084" w:type="dxa"/>
            <w:vMerge w:val="continue"/>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p>
        </w:tc>
        <w:tc>
          <w:tcPr>
            <w:tcW w:w="1804"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1小时平均</w:t>
            </w:r>
          </w:p>
        </w:tc>
        <w:tc>
          <w:tcPr>
            <w:tcW w:w="1665"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500</w:t>
            </w:r>
          </w:p>
        </w:tc>
        <w:tc>
          <w:tcPr>
            <w:tcW w:w="3922"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084" w:type="dxa"/>
            <w:vMerge w:val="restart"/>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NO</w:t>
            </w:r>
            <w:r>
              <w:rPr>
                <w:rFonts w:hint="default" w:ascii="Times New Roman" w:hAnsi="Times New Roman" w:cs="Times New Roman" w:eastAsiaTheme="minorEastAsia"/>
                <w:color w:val="000000" w:themeColor="text1"/>
                <w:vertAlign w:val="subscript"/>
                <w14:textFill>
                  <w14:solidFill>
                    <w14:schemeClr w14:val="tx1"/>
                  </w14:solidFill>
                </w14:textFill>
              </w:rPr>
              <w:t>2</w:t>
            </w:r>
          </w:p>
        </w:tc>
        <w:tc>
          <w:tcPr>
            <w:tcW w:w="1804"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年平均</w:t>
            </w:r>
          </w:p>
        </w:tc>
        <w:tc>
          <w:tcPr>
            <w:tcW w:w="1665"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40</w:t>
            </w:r>
          </w:p>
        </w:tc>
        <w:tc>
          <w:tcPr>
            <w:tcW w:w="3922"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084" w:type="dxa"/>
            <w:vMerge w:val="continue"/>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p>
        </w:tc>
        <w:tc>
          <w:tcPr>
            <w:tcW w:w="1804"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24小时平均</w:t>
            </w:r>
          </w:p>
        </w:tc>
        <w:tc>
          <w:tcPr>
            <w:tcW w:w="1665"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80</w:t>
            </w:r>
          </w:p>
        </w:tc>
        <w:tc>
          <w:tcPr>
            <w:tcW w:w="3922"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4" w:hRule="atLeast"/>
        </w:trPr>
        <w:tc>
          <w:tcPr>
            <w:tcW w:w="1084" w:type="dxa"/>
            <w:vMerge w:val="continue"/>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p>
        </w:tc>
        <w:tc>
          <w:tcPr>
            <w:tcW w:w="1804"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1小时平均</w:t>
            </w:r>
          </w:p>
        </w:tc>
        <w:tc>
          <w:tcPr>
            <w:tcW w:w="1665"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200</w:t>
            </w:r>
          </w:p>
        </w:tc>
        <w:tc>
          <w:tcPr>
            <w:tcW w:w="3922"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1084" w:type="dxa"/>
            <w:vMerge w:val="restart"/>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CO</w:t>
            </w:r>
          </w:p>
        </w:tc>
        <w:tc>
          <w:tcPr>
            <w:tcW w:w="1804"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24小时平均</w:t>
            </w:r>
          </w:p>
        </w:tc>
        <w:tc>
          <w:tcPr>
            <w:tcW w:w="1665"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4（mg/m</w:t>
            </w:r>
            <w:r>
              <w:rPr>
                <w:rFonts w:hint="default" w:ascii="Times New Roman" w:hAnsi="Times New Roman" w:cs="Times New Roman" w:eastAsiaTheme="minorEastAsia"/>
                <w:color w:val="000000" w:themeColor="text1"/>
                <w:vertAlign w:val="superscript"/>
                <w14:textFill>
                  <w14:solidFill>
                    <w14:schemeClr w14:val="tx1"/>
                  </w14:solidFill>
                </w14:textFill>
              </w:rPr>
              <w:t>3</w:t>
            </w:r>
            <w:r>
              <w:rPr>
                <w:rFonts w:hint="default" w:ascii="Times New Roman" w:hAnsi="Times New Roman" w:cs="Times New Roman" w:eastAsiaTheme="minorEastAsia"/>
                <w:color w:val="000000" w:themeColor="text1"/>
                <w14:textFill>
                  <w14:solidFill>
                    <w14:schemeClr w14:val="tx1"/>
                  </w14:solidFill>
                </w14:textFill>
              </w:rPr>
              <w:t>）</w:t>
            </w:r>
          </w:p>
        </w:tc>
        <w:tc>
          <w:tcPr>
            <w:tcW w:w="3922"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5" w:hRule="atLeast"/>
        </w:trPr>
        <w:tc>
          <w:tcPr>
            <w:tcW w:w="1084" w:type="dxa"/>
            <w:vMerge w:val="continue"/>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p>
        </w:tc>
        <w:tc>
          <w:tcPr>
            <w:tcW w:w="1804"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1小时平均</w:t>
            </w:r>
          </w:p>
        </w:tc>
        <w:tc>
          <w:tcPr>
            <w:tcW w:w="1665"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10（mg/m</w:t>
            </w:r>
            <w:r>
              <w:rPr>
                <w:rFonts w:hint="default" w:ascii="Times New Roman" w:hAnsi="Times New Roman" w:cs="Times New Roman" w:eastAsiaTheme="minorEastAsia"/>
                <w:color w:val="000000" w:themeColor="text1"/>
                <w:vertAlign w:val="superscript"/>
                <w14:textFill>
                  <w14:solidFill>
                    <w14:schemeClr w14:val="tx1"/>
                  </w14:solidFill>
                </w14:textFill>
              </w:rPr>
              <w:t>3</w:t>
            </w:r>
            <w:r>
              <w:rPr>
                <w:rFonts w:hint="default" w:ascii="Times New Roman" w:hAnsi="Times New Roman" w:cs="Times New Roman" w:eastAsiaTheme="minorEastAsia"/>
                <w:color w:val="000000" w:themeColor="text1"/>
                <w14:textFill>
                  <w14:solidFill>
                    <w14:schemeClr w14:val="tx1"/>
                  </w14:solidFill>
                </w14:textFill>
              </w:rPr>
              <w:t>）</w:t>
            </w:r>
          </w:p>
        </w:tc>
        <w:tc>
          <w:tcPr>
            <w:tcW w:w="3922"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7" w:hRule="atLeast"/>
        </w:trPr>
        <w:tc>
          <w:tcPr>
            <w:tcW w:w="1084" w:type="dxa"/>
            <w:vMerge w:val="restart"/>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O</w:t>
            </w:r>
            <w:r>
              <w:rPr>
                <w:rFonts w:hint="default" w:ascii="Times New Roman" w:hAnsi="Times New Roman" w:cs="Times New Roman" w:eastAsiaTheme="minorEastAsia"/>
                <w:color w:val="000000" w:themeColor="text1"/>
                <w:vertAlign w:val="subscript"/>
                <w14:textFill>
                  <w14:solidFill>
                    <w14:schemeClr w14:val="tx1"/>
                  </w14:solidFill>
                </w14:textFill>
              </w:rPr>
              <w:t>3</w:t>
            </w:r>
          </w:p>
        </w:tc>
        <w:tc>
          <w:tcPr>
            <w:tcW w:w="1804"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日最大8小时平均</w:t>
            </w:r>
          </w:p>
        </w:tc>
        <w:tc>
          <w:tcPr>
            <w:tcW w:w="1665"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160</w:t>
            </w:r>
          </w:p>
        </w:tc>
        <w:tc>
          <w:tcPr>
            <w:tcW w:w="3922"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3" w:hRule="atLeast"/>
        </w:trPr>
        <w:tc>
          <w:tcPr>
            <w:tcW w:w="1084" w:type="dxa"/>
            <w:vMerge w:val="continue"/>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p>
        </w:tc>
        <w:tc>
          <w:tcPr>
            <w:tcW w:w="1804"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1小时平均</w:t>
            </w:r>
          </w:p>
        </w:tc>
        <w:tc>
          <w:tcPr>
            <w:tcW w:w="1665"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200</w:t>
            </w:r>
          </w:p>
        </w:tc>
        <w:tc>
          <w:tcPr>
            <w:tcW w:w="3922"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084"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H</w:t>
            </w:r>
            <w:r>
              <w:rPr>
                <w:rFonts w:hint="default" w:ascii="Times New Roman" w:hAnsi="Times New Roman" w:cs="Times New Roman" w:eastAsiaTheme="minorEastAsia"/>
                <w:color w:val="000000" w:themeColor="text1"/>
                <w:vertAlign w:val="subscript"/>
                <w14:textFill>
                  <w14:solidFill>
                    <w14:schemeClr w14:val="tx1"/>
                  </w14:solidFill>
                </w14:textFill>
              </w:rPr>
              <w:t>2</w:t>
            </w:r>
            <w:r>
              <w:rPr>
                <w:rFonts w:hint="default" w:ascii="Times New Roman" w:hAnsi="Times New Roman" w:cs="Times New Roman" w:eastAsiaTheme="minorEastAsia"/>
                <w:color w:val="000000" w:themeColor="text1"/>
                <w14:textFill>
                  <w14:solidFill>
                    <w14:schemeClr w14:val="tx1"/>
                  </w14:solidFill>
                </w14:textFill>
              </w:rPr>
              <w:t>S</w:t>
            </w:r>
          </w:p>
        </w:tc>
        <w:tc>
          <w:tcPr>
            <w:tcW w:w="1804"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1小时平均</w:t>
            </w:r>
          </w:p>
        </w:tc>
        <w:tc>
          <w:tcPr>
            <w:tcW w:w="1665"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w:t>
            </w:r>
          </w:p>
        </w:tc>
        <w:tc>
          <w:tcPr>
            <w:tcW w:w="3922" w:type="dxa"/>
            <w:vMerge w:val="restar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《环境影响评价技术导则 大气环境》（HJ2.2-2018）附录D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084"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NH</w:t>
            </w:r>
            <w:r>
              <w:rPr>
                <w:rFonts w:hint="default" w:ascii="Times New Roman" w:hAnsi="Times New Roman" w:cs="Times New Roman" w:eastAsiaTheme="minorEastAsia"/>
                <w:color w:val="000000" w:themeColor="text1"/>
                <w:vertAlign w:val="subscript"/>
                <w14:textFill>
                  <w14:solidFill>
                    <w14:schemeClr w14:val="tx1"/>
                  </w14:solidFill>
                </w14:textFill>
              </w:rPr>
              <w:t>3</w:t>
            </w:r>
          </w:p>
        </w:tc>
        <w:tc>
          <w:tcPr>
            <w:tcW w:w="1804"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1小时平均</w:t>
            </w:r>
          </w:p>
        </w:tc>
        <w:tc>
          <w:tcPr>
            <w:tcW w:w="1665" w:type="dxa"/>
            <w:tcMar>
              <w:left w:w="0" w:type="dxa"/>
              <w:right w:w="0" w:type="dxa"/>
            </w:tcMar>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200</w:t>
            </w:r>
          </w:p>
        </w:tc>
        <w:tc>
          <w:tcPr>
            <w:tcW w:w="3922"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p>
        </w:tc>
      </w:tr>
    </w:tbl>
    <w:p>
      <w:pPr>
        <w:pStyle w:val="1297"/>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2.5.2.2 地表水环境</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本项目所在区域地表水体为东湖水库，东湖水库主要为安达区域景观农田用水，东湖水库水体功能为农业用水区，执行《地表水环境质量标准》（GB3838-2002）中Ⅴ类水体标准，具体标准值见表2-5-3。</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xml:space="preserve">表2-5-3  地表水环境质量执行标准一览表 </w:t>
      </w:r>
    </w:p>
    <w:tbl>
      <w:tblPr>
        <w:tblStyle w:val="9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69"/>
        <w:gridCol w:w="2666"/>
        <w:gridCol w:w="1440"/>
        <w:gridCol w:w="1412"/>
        <w:gridCol w:w="245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9" w:hRule="atLeast"/>
          <w:jc w:val="center"/>
        </w:trPr>
        <w:tc>
          <w:tcPr>
            <w:tcW w:w="869" w:type="dxa"/>
            <w:tcBorders>
              <w:right w:val="single" w:color="000000"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xml:space="preserve">序号 </w:t>
            </w:r>
          </w:p>
        </w:tc>
        <w:tc>
          <w:tcPr>
            <w:tcW w:w="2666" w:type="dxa"/>
            <w:tcBorders>
              <w:left w:val="single" w:color="000000"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污染物</w:t>
            </w:r>
          </w:p>
        </w:tc>
        <w:tc>
          <w:tcPr>
            <w:tcW w:w="1440"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单位</w:t>
            </w:r>
          </w:p>
        </w:tc>
        <w:tc>
          <w:tcPr>
            <w:tcW w:w="1412"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Ⅴ类标准值</w:t>
            </w:r>
          </w:p>
        </w:tc>
        <w:tc>
          <w:tcPr>
            <w:tcW w:w="2455"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标准来源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01" w:hRule="atLeast"/>
          <w:jc w:val="center"/>
        </w:trPr>
        <w:tc>
          <w:tcPr>
            <w:tcW w:w="869" w:type="dxa"/>
            <w:tcBorders>
              <w:right w:val="single" w:color="000000"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c>
          <w:tcPr>
            <w:tcW w:w="2666" w:type="dxa"/>
            <w:tcBorders>
              <w:left w:val="single" w:color="000000"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pH</w:t>
            </w:r>
          </w:p>
        </w:tc>
        <w:tc>
          <w:tcPr>
            <w:tcW w:w="1440"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无量纲</w:t>
            </w:r>
          </w:p>
        </w:tc>
        <w:tc>
          <w:tcPr>
            <w:tcW w:w="1412"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6～9</w:t>
            </w:r>
          </w:p>
        </w:tc>
        <w:tc>
          <w:tcPr>
            <w:tcW w:w="2455" w:type="dxa"/>
            <w:vMerge w:val="restar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《地表水环境质量标准》（GB3838-2002）Ⅴ类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29" w:hRule="atLeast"/>
          <w:jc w:val="center"/>
        </w:trPr>
        <w:tc>
          <w:tcPr>
            <w:tcW w:w="869" w:type="dxa"/>
            <w:tcBorders>
              <w:right w:val="single" w:color="000000"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c>
          <w:tcPr>
            <w:tcW w:w="2666" w:type="dxa"/>
            <w:tcBorders>
              <w:left w:val="single" w:color="000000"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COD</w:t>
            </w:r>
          </w:p>
        </w:tc>
        <w:tc>
          <w:tcPr>
            <w:tcW w:w="1440"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mg/L</w:t>
            </w:r>
          </w:p>
        </w:tc>
        <w:tc>
          <w:tcPr>
            <w:tcW w:w="1412"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≤40</w:t>
            </w:r>
          </w:p>
        </w:tc>
        <w:tc>
          <w:tcPr>
            <w:tcW w:w="2455"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29" w:hRule="atLeast"/>
          <w:jc w:val="center"/>
        </w:trPr>
        <w:tc>
          <w:tcPr>
            <w:tcW w:w="869" w:type="dxa"/>
            <w:tcBorders>
              <w:right w:val="single" w:color="000000"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w:t>
            </w:r>
          </w:p>
        </w:tc>
        <w:tc>
          <w:tcPr>
            <w:tcW w:w="2666" w:type="dxa"/>
            <w:tcBorders>
              <w:left w:val="single" w:color="000000"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BOD</w:t>
            </w:r>
            <w:r>
              <w:rPr>
                <w:rFonts w:hint="default" w:ascii="Times New Roman" w:hAnsi="Times New Roman" w:cs="Times New Roman" w:eastAsiaTheme="minorEastAsia"/>
                <w:color w:val="000000" w:themeColor="text1"/>
                <w:vertAlign w:val="subscript"/>
                <w14:textFill>
                  <w14:solidFill>
                    <w14:schemeClr w14:val="tx1"/>
                  </w14:solidFill>
                </w14:textFill>
              </w:rPr>
              <w:t>5</w:t>
            </w:r>
          </w:p>
        </w:tc>
        <w:tc>
          <w:tcPr>
            <w:tcW w:w="1440"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mg/L</w:t>
            </w:r>
          </w:p>
        </w:tc>
        <w:tc>
          <w:tcPr>
            <w:tcW w:w="1412"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w:t>
            </w:r>
          </w:p>
        </w:tc>
        <w:tc>
          <w:tcPr>
            <w:tcW w:w="2455"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29" w:hRule="atLeast"/>
          <w:jc w:val="center"/>
        </w:trPr>
        <w:tc>
          <w:tcPr>
            <w:tcW w:w="869" w:type="dxa"/>
            <w:tcBorders>
              <w:right w:val="single" w:color="000000"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w:t>
            </w:r>
          </w:p>
        </w:tc>
        <w:tc>
          <w:tcPr>
            <w:tcW w:w="2666" w:type="dxa"/>
            <w:tcBorders>
              <w:left w:val="single" w:color="000000"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氨氮</w:t>
            </w:r>
          </w:p>
        </w:tc>
        <w:tc>
          <w:tcPr>
            <w:tcW w:w="1440"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mg/L</w:t>
            </w:r>
          </w:p>
        </w:tc>
        <w:tc>
          <w:tcPr>
            <w:tcW w:w="1412"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w:t>
            </w:r>
          </w:p>
        </w:tc>
        <w:tc>
          <w:tcPr>
            <w:tcW w:w="2455"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02" w:hRule="atLeast"/>
          <w:jc w:val="center"/>
        </w:trPr>
        <w:tc>
          <w:tcPr>
            <w:tcW w:w="869" w:type="dxa"/>
            <w:tcBorders>
              <w:right w:val="single" w:color="000000"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w:t>
            </w:r>
          </w:p>
        </w:tc>
        <w:tc>
          <w:tcPr>
            <w:tcW w:w="2666" w:type="dxa"/>
            <w:tcBorders>
              <w:left w:val="single" w:color="000000"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总鳞</w:t>
            </w:r>
          </w:p>
        </w:tc>
        <w:tc>
          <w:tcPr>
            <w:tcW w:w="1440"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mg/L</w:t>
            </w:r>
          </w:p>
        </w:tc>
        <w:tc>
          <w:tcPr>
            <w:tcW w:w="1412"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≤0.4</w:t>
            </w:r>
          </w:p>
        </w:tc>
        <w:tc>
          <w:tcPr>
            <w:tcW w:w="2455"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17" w:hRule="atLeast"/>
          <w:jc w:val="center"/>
        </w:trPr>
        <w:tc>
          <w:tcPr>
            <w:tcW w:w="869" w:type="dxa"/>
            <w:tcBorders>
              <w:right w:val="single" w:color="000000"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w:t>
            </w:r>
          </w:p>
        </w:tc>
        <w:tc>
          <w:tcPr>
            <w:tcW w:w="2666" w:type="dxa"/>
            <w:tcBorders>
              <w:left w:val="single" w:color="000000"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粪大肠菌群（个/L）</w:t>
            </w:r>
          </w:p>
        </w:tc>
        <w:tc>
          <w:tcPr>
            <w:tcW w:w="1440"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mg/L</w:t>
            </w:r>
          </w:p>
        </w:tc>
        <w:tc>
          <w:tcPr>
            <w:tcW w:w="1412"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≤40000</w:t>
            </w:r>
          </w:p>
        </w:tc>
        <w:tc>
          <w:tcPr>
            <w:tcW w:w="2455"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p>
        </w:tc>
      </w:tr>
    </w:tbl>
    <w:p>
      <w:pPr>
        <w:pStyle w:val="1297"/>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2.5.2.3 地下水环境</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本项目所在区域执行《地下水质量标准》（GB/T14848-2017）中Ⅲ类标准，具体标准见表2-5-4。</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表2-5-4 地下水质量执行标准一览表</w:t>
      </w:r>
    </w:p>
    <w:tbl>
      <w:tblPr>
        <w:tblStyle w:val="91"/>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44"/>
        <w:gridCol w:w="3344"/>
        <w:gridCol w:w="1612"/>
        <w:gridCol w:w="238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11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序号</w:t>
            </w:r>
          </w:p>
        </w:tc>
        <w:tc>
          <w:tcPr>
            <w:tcW w:w="33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标准项目</w:t>
            </w:r>
          </w:p>
        </w:tc>
        <w:tc>
          <w:tcPr>
            <w:tcW w:w="1612" w:type="dxa"/>
            <w:tcBorders>
              <w:righ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单位</w:t>
            </w:r>
          </w:p>
        </w:tc>
        <w:tc>
          <w:tcPr>
            <w:tcW w:w="2384" w:type="dxa"/>
            <w:tcBorders>
              <w:lef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标准限值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11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c>
          <w:tcPr>
            <w:tcW w:w="33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pH</w:t>
            </w:r>
          </w:p>
        </w:tc>
        <w:tc>
          <w:tcPr>
            <w:tcW w:w="1612" w:type="dxa"/>
            <w:tcBorders>
              <w:righ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无量纲</w:t>
            </w:r>
          </w:p>
        </w:tc>
        <w:tc>
          <w:tcPr>
            <w:tcW w:w="2384" w:type="dxa"/>
            <w:tcBorders>
              <w:lef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6.5-8.5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11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c>
          <w:tcPr>
            <w:tcW w:w="33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总硬度</w:t>
            </w:r>
          </w:p>
        </w:tc>
        <w:tc>
          <w:tcPr>
            <w:tcW w:w="1612" w:type="dxa"/>
            <w:tcBorders>
              <w:righ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mg/L</w:t>
            </w:r>
          </w:p>
        </w:tc>
        <w:tc>
          <w:tcPr>
            <w:tcW w:w="2384" w:type="dxa"/>
            <w:tcBorders>
              <w:lef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5" w:hRule="atLeast"/>
          <w:jc w:val="center"/>
        </w:trPr>
        <w:tc>
          <w:tcPr>
            <w:tcW w:w="11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w:t>
            </w:r>
          </w:p>
        </w:tc>
        <w:tc>
          <w:tcPr>
            <w:tcW w:w="33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溶解性总固体</w:t>
            </w:r>
          </w:p>
        </w:tc>
        <w:tc>
          <w:tcPr>
            <w:tcW w:w="1612" w:type="dxa"/>
            <w:tcBorders>
              <w:righ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mg/L</w:t>
            </w:r>
          </w:p>
        </w:tc>
        <w:tc>
          <w:tcPr>
            <w:tcW w:w="2384" w:type="dxa"/>
            <w:tcBorders>
              <w:lef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6" w:hRule="atLeast"/>
          <w:jc w:val="center"/>
        </w:trPr>
        <w:tc>
          <w:tcPr>
            <w:tcW w:w="11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w:t>
            </w:r>
          </w:p>
        </w:tc>
        <w:tc>
          <w:tcPr>
            <w:tcW w:w="33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氨氮</w:t>
            </w:r>
          </w:p>
        </w:tc>
        <w:tc>
          <w:tcPr>
            <w:tcW w:w="1612" w:type="dxa"/>
            <w:tcBorders>
              <w:righ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mg/L</w:t>
            </w:r>
          </w:p>
        </w:tc>
        <w:tc>
          <w:tcPr>
            <w:tcW w:w="2384" w:type="dxa"/>
            <w:tcBorders>
              <w:lef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4" w:hRule="atLeast"/>
          <w:jc w:val="center"/>
        </w:trPr>
        <w:tc>
          <w:tcPr>
            <w:tcW w:w="11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w:t>
            </w:r>
          </w:p>
        </w:tc>
        <w:tc>
          <w:tcPr>
            <w:tcW w:w="33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硝酸盐氮</w:t>
            </w:r>
          </w:p>
        </w:tc>
        <w:tc>
          <w:tcPr>
            <w:tcW w:w="1612" w:type="dxa"/>
            <w:tcBorders>
              <w:righ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mg/L</w:t>
            </w:r>
          </w:p>
        </w:tc>
        <w:tc>
          <w:tcPr>
            <w:tcW w:w="2384" w:type="dxa"/>
            <w:tcBorders>
              <w:lef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4" w:hRule="atLeast"/>
          <w:jc w:val="center"/>
        </w:trPr>
        <w:tc>
          <w:tcPr>
            <w:tcW w:w="11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w:t>
            </w:r>
          </w:p>
        </w:tc>
        <w:tc>
          <w:tcPr>
            <w:tcW w:w="33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亚硝酸盐氮</w:t>
            </w:r>
          </w:p>
        </w:tc>
        <w:tc>
          <w:tcPr>
            <w:tcW w:w="1612" w:type="dxa"/>
            <w:tcBorders>
              <w:righ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xml:space="preserve">mg/L </w:t>
            </w:r>
          </w:p>
        </w:tc>
        <w:tc>
          <w:tcPr>
            <w:tcW w:w="2384" w:type="dxa"/>
            <w:tcBorders>
              <w:lef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11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w:t>
            </w:r>
          </w:p>
        </w:tc>
        <w:tc>
          <w:tcPr>
            <w:tcW w:w="33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硫酸盐</w:t>
            </w:r>
          </w:p>
        </w:tc>
        <w:tc>
          <w:tcPr>
            <w:tcW w:w="1612" w:type="dxa"/>
            <w:tcBorders>
              <w:righ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mg/L</w:t>
            </w:r>
          </w:p>
        </w:tc>
        <w:tc>
          <w:tcPr>
            <w:tcW w:w="2384" w:type="dxa"/>
            <w:tcBorders>
              <w:lef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11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w:t>
            </w:r>
          </w:p>
        </w:tc>
        <w:tc>
          <w:tcPr>
            <w:tcW w:w="33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挥发酚</w:t>
            </w:r>
          </w:p>
        </w:tc>
        <w:tc>
          <w:tcPr>
            <w:tcW w:w="1612" w:type="dxa"/>
            <w:tcBorders>
              <w:righ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mg/L</w:t>
            </w:r>
          </w:p>
        </w:tc>
        <w:tc>
          <w:tcPr>
            <w:tcW w:w="2384" w:type="dxa"/>
            <w:tcBorders>
              <w:lef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11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w:t>
            </w:r>
          </w:p>
        </w:tc>
        <w:tc>
          <w:tcPr>
            <w:tcW w:w="33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耗氧量</w:t>
            </w:r>
          </w:p>
        </w:tc>
        <w:tc>
          <w:tcPr>
            <w:tcW w:w="1612" w:type="dxa"/>
            <w:tcBorders>
              <w:righ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mg/L</w:t>
            </w:r>
          </w:p>
        </w:tc>
        <w:tc>
          <w:tcPr>
            <w:tcW w:w="2384" w:type="dxa"/>
            <w:tcBorders>
              <w:lef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11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w:t>
            </w:r>
          </w:p>
        </w:tc>
        <w:tc>
          <w:tcPr>
            <w:tcW w:w="33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氰化物</w:t>
            </w:r>
          </w:p>
        </w:tc>
        <w:tc>
          <w:tcPr>
            <w:tcW w:w="1612" w:type="dxa"/>
            <w:tcBorders>
              <w:righ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mg/L</w:t>
            </w:r>
          </w:p>
        </w:tc>
        <w:tc>
          <w:tcPr>
            <w:tcW w:w="2384" w:type="dxa"/>
            <w:tcBorders>
              <w:lef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11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11</w:t>
            </w:r>
          </w:p>
        </w:tc>
        <w:tc>
          <w:tcPr>
            <w:tcW w:w="33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氟化物</w:t>
            </w:r>
          </w:p>
        </w:tc>
        <w:tc>
          <w:tcPr>
            <w:tcW w:w="1612" w:type="dxa"/>
            <w:tcBorders>
              <w:righ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mg/L</w:t>
            </w:r>
          </w:p>
        </w:tc>
        <w:tc>
          <w:tcPr>
            <w:tcW w:w="2384" w:type="dxa"/>
            <w:tcBorders>
              <w:lef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6" w:hRule="atLeast"/>
          <w:jc w:val="center"/>
        </w:trPr>
        <w:tc>
          <w:tcPr>
            <w:tcW w:w="11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12</w:t>
            </w:r>
          </w:p>
        </w:tc>
        <w:tc>
          <w:tcPr>
            <w:tcW w:w="33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氯化物</w:t>
            </w:r>
          </w:p>
        </w:tc>
        <w:tc>
          <w:tcPr>
            <w:tcW w:w="1612" w:type="dxa"/>
            <w:tcBorders>
              <w:righ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xml:space="preserve">mg/L </w:t>
            </w:r>
          </w:p>
        </w:tc>
        <w:tc>
          <w:tcPr>
            <w:tcW w:w="2384" w:type="dxa"/>
            <w:tcBorders>
              <w:lef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11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13</w:t>
            </w:r>
          </w:p>
        </w:tc>
        <w:tc>
          <w:tcPr>
            <w:tcW w:w="33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总大肠菌群</w:t>
            </w:r>
          </w:p>
        </w:tc>
        <w:tc>
          <w:tcPr>
            <w:tcW w:w="1612" w:type="dxa"/>
            <w:tcBorders>
              <w:righ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MPN/100mL</w:t>
            </w:r>
          </w:p>
        </w:tc>
        <w:tc>
          <w:tcPr>
            <w:tcW w:w="2384" w:type="dxa"/>
            <w:tcBorders>
              <w:lef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11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14</w:t>
            </w:r>
          </w:p>
        </w:tc>
        <w:tc>
          <w:tcPr>
            <w:tcW w:w="33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菌落总数</w:t>
            </w:r>
          </w:p>
        </w:tc>
        <w:tc>
          <w:tcPr>
            <w:tcW w:w="1612" w:type="dxa"/>
            <w:tcBorders>
              <w:righ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CFU/mL</w:t>
            </w:r>
          </w:p>
        </w:tc>
        <w:tc>
          <w:tcPr>
            <w:tcW w:w="2384" w:type="dxa"/>
            <w:tcBorders>
              <w:lef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11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15</w:t>
            </w:r>
          </w:p>
        </w:tc>
        <w:tc>
          <w:tcPr>
            <w:tcW w:w="33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Fe</w:t>
            </w:r>
          </w:p>
        </w:tc>
        <w:tc>
          <w:tcPr>
            <w:tcW w:w="1612" w:type="dxa"/>
            <w:tcBorders>
              <w:righ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mg/L</w:t>
            </w:r>
          </w:p>
        </w:tc>
        <w:tc>
          <w:tcPr>
            <w:tcW w:w="2384" w:type="dxa"/>
            <w:tcBorders>
              <w:lef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3" w:hRule="atLeast"/>
          <w:jc w:val="center"/>
        </w:trPr>
        <w:tc>
          <w:tcPr>
            <w:tcW w:w="11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16</w:t>
            </w:r>
          </w:p>
        </w:tc>
        <w:tc>
          <w:tcPr>
            <w:tcW w:w="33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Mn</w:t>
            </w:r>
          </w:p>
        </w:tc>
        <w:tc>
          <w:tcPr>
            <w:tcW w:w="1612" w:type="dxa"/>
            <w:tcBorders>
              <w:righ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mg/L</w:t>
            </w:r>
          </w:p>
        </w:tc>
        <w:tc>
          <w:tcPr>
            <w:tcW w:w="2384" w:type="dxa"/>
            <w:tcBorders>
              <w:lef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11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17</w:t>
            </w:r>
          </w:p>
        </w:tc>
        <w:tc>
          <w:tcPr>
            <w:tcW w:w="33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Pb</w:t>
            </w:r>
          </w:p>
        </w:tc>
        <w:tc>
          <w:tcPr>
            <w:tcW w:w="1612" w:type="dxa"/>
            <w:tcBorders>
              <w:righ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xml:space="preserve">mg/L </w:t>
            </w:r>
          </w:p>
        </w:tc>
        <w:tc>
          <w:tcPr>
            <w:tcW w:w="2384" w:type="dxa"/>
            <w:tcBorders>
              <w:lef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1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18</w:t>
            </w:r>
          </w:p>
        </w:tc>
        <w:tc>
          <w:tcPr>
            <w:tcW w:w="33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As</w:t>
            </w:r>
          </w:p>
        </w:tc>
        <w:tc>
          <w:tcPr>
            <w:tcW w:w="1612" w:type="dxa"/>
            <w:tcBorders>
              <w:righ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mg/L</w:t>
            </w:r>
          </w:p>
        </w:tc>
        <w:tc>
          <w:tcPr>
            <w:tcW w:w="2384" w:type="dxa"/>
            <w:tcBorders>
              <w:lef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8" w:hRule="atLeast"/>
          <w:jc w:val="center"/>
        </w:trPr>
        <w:tc>
          <w:tcPr>
            <w:tcW w:w="11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19</w:t>
            </w:r>
          </w:p>
        </w:tc>
        <w:tc>
          <w:tcPr>
            <w:tcW w:w="33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Cd</w:t>
            </w:r>
          </w:p>
        </w:tc>
        <w:tc>
          <w:tcPr>
            <w:tcW w:w="1612" w:type="dxa"/>
            <w:tcBorders>
              <w:righ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mg/L</w:t>
            </w:r>
          </w:p>
        </w:tc>
        <w:tc>
          <w:tcPr>
            <w:tcW w:w="2384" w:type="dxa"/>
            <w:tcBorders>
              <w:lef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11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w:t>
            </w:r>
          </w:p>
        </w:tc>
        <w:tc>
          <w:tcPr>
            <w:tcW w:w="33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Hg</w:t>
            </w:r>
          </w:p>
        </w:tc>
        <w:tc>
          <w:tcPr>
            <w:tcW w:w="1612" w:type="dxa"/>
            <w:tcBorders>
              <w:righ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mg/L</w:t>
            </w:r>
          </w:p>
        </w:tc>
        <w:tc>
          <w:tcPr>
            <w:tcW w:w="2384" w:type="dxa"/>
            <w:tcBorders>
              <w:lef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11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21</w:t>
            </w:r>
          </w:p>
        </w:tc>
        <w:tc>
          <w:tcPr>
            <w:tcW w:w="33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六价铬</w:t>
            </w:r>
          </w:p>
        </w:tc>
        <w:tc>
          <w:tcPr>
            <w:tcW w:w="1612" w:type="dxa"/>
            <w:tcBorders>
              <w:righ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mg/L</w:t>
            </w:r>
          </w:p>
        </w:tc>
        <w:tc>
          <w:tcPr>
            <w:tcW w:w="2384" w:type="dxa"/>
            <w:tcBorders>
              <w:lef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11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22</w:t>
            </w:r>
          </w:p>
        </w:tc>
        <w:tc>
          <w:tcPr>
            <w:tcW w:w="334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钠</w:t>
            </w:r>
          </w:p>
        </w:tc>
        <w:tc>
          <w:tcPr>
            <w:tcW w:w="1612" w:type="dxa"/>
            <w:tcBorders>
              <w:righ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mg/L</w:t>
            </w:r>
          </w:p>
        </w:tc>
        <w:tc>
          <w:tcPr>
            <w:tcW w:w="2384" w:type="dxa"/>
            <w:tcBorders>
              <w:left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200</w:t>
            </w:r>
          </w:p>
        </w:tc>
      </w:tr>
    </w:tbl>
    <w:p>
      <w:pPr>
        <w:pStyle w:val="1297"/>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2.5.2.4 声环境</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auto"/>
          <w:sz w:val="24"/>
          <w:szCs w:val="22"/>
          <w:highlight w:val="none"/>
        </w:rPr>
        <w:t>本项目厂址位于</w:t>
      </w:r>
      <w:r>
        <w:rPr>
          <w:rFonts w:hint="eastAsia" w:ascii="Times New Roman" w:hAnsi="Times New Roman" w:cs="Times New Roman" w:eastAsiaTheme="minorEastAsia"/>
          <w:color w:val="auto"/>
          <w:sz w:val="24"/>
          <w:szCs w:val="22"/>
          <w:highlight w:val="none"/>
          <w:lang w:eastAsia="zh-CN"/>
        </w:rPr>
        <w:t>安达市东14公里，明沈公路南侧1000米处</w:t>
      </w:r>
      <w:r>
        <w:rPr>
          <w:rFonts w:hint="default" w:ascii="Times New Roman" w:hAnsi="Times New Roman" w:cs="Times New Roman" w:eastAsiaTheme="minorEastAsia"/>
          <w:color w:val="auto"/>
          <w:sz w:val="24"/>
          <w:szCs w:val="22"/>
          <w:highlight w:val="none"/>
        </w:rPr>
        <w:t>，厂界</w:t>
      </w:r>
      <w:r>
        <w:rPr>
          <w:rFonts w:hint="default" w:ascii="Times New Roman" w:hAnsi="Times New Roman" w:cs="Times New Roman" w:eastAsiaTheme="minorEastAsia"/>
          <w:color w:val="auto"/>
          <w:sz w:val="24"/>
          <w:szCs w:val="22"/>
        </w:rPr>
        <w:t>声</w:t>
      </w:r>
      <w:r>
        <w:rPr>
          <w:rFonts w:hint="default" w:ascii="Times New Roman" w:hAnsi="Times New Roman" w:cs="Times New Roman" w:eastAsiaTheme="minorEastAsia"/>
          <w:color w:val="000000" w:themeColor="text1"/>
          <w:sz w:val="24"/>
          <w:szCs w:val="22"/>
          <w14:textFill>
            <w14:solidFill>
              <w14:schemeClr w14:val="tx1"/>
            </w14:solidFill>
          </w14:textFill>
        </w:rPr>
        <w:t>环境质量评价执行《声环境质量标准》（GB3096-2008）中的2类标准限值要求，周围村屯执行《声环境质量标准》（GB3096-2008）1类标准限值要求。具体标准见表2-5-5。</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xml:space="preserve">表2-5-5 声环境执行标准一览表 </w:t>
      </w:r>
    </w:p>
    <w:tbl>
      <w:tblPr>
        <w:tblStyle w:val="91"/>
        <w:tblW w:w="0" w:type="auto"/>
        <w:jc w:val="center"/>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3430"/>
        <w:gridCol w:w="993"/>
        <w:gridCol w:w="1417"/>
        <w:gridCol w:w="1559"/>
        <w:gridCol w:w="1161"/>
      </w:tblGrid>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88" w:hRule="atLeast"/>
          <w:jc w:val="center"/>
        </w:trPr>
        <w:tc>
          <w:tcPr>
            <w:tcW w:w="4423" w:type="dxa"/>
            <w:gridSpan w:val="2"/>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适用区域</w:t>
            </w:r>
          </w:p>
        </w:tc>
        <w:tc>
          <w:tcPr>
            <w:tcW w:w="141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昼间(dB(A))</w:t>
            </w:r>
          </w:p>
        </w:tc>
        <w:tc>
          <w:tcPr>
            <w:tcW w:w="1559" w:type="dxa"/>
            <w:tcBorders>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夜间(dB(A))</w:t>
            </w:r>
          </w:p>
        </w:tc>
        <w:tc>
          <w:tcPr>
            <w:tcW w:w="1161" w:type="dxa"/>
            <w:tcBorders>
              <w:lef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执行区域</w:t>
            </w: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240" w:hRule="atLeast"/>
          <w:jc w:val="center"/>
        </w:trPr>
        <w:tc>
          <w:tcPr>
            <w:tcW w:w="3430"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《声环境质量标准》（GB3096–2008）</w:t>
            </w:r>
          </w:p>
        </w:tc>
        <w:tc>
          <w:tcPr>
            <w:tcW w:w="993" w:type="dxa"/>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2类</w:t>
            </w:r>
          </w:p>
        </w:tc>
        <w:tc>
          <w:tcPr>
            <w:tcW w:w="1417" w:type="dxa"/>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60</w:t>
            </w:r>
          </w:p>
        </w:tc>
        <w:tc>
          <w:tcPr>
            <w:tcW w:w="1559" w:type="dxa"/>
            <w:tcBorders>
              <w:bottom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50</w:t>
            </w:r>
          </w:p>
        </w:tc>
        <w:tc>
          <w:tcPr>
            <w:tcW w:w="1161" w:type="dxa"/>
            <w:tcBorders>
              <w:left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厂界</w:t>
            </w: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189" w:hRule="atLeast"/>
          <w:jc w:val="center"/>
        </w:trPr>
        <w:tc>
          <w:tcPr>
            <w:tcW w:w="3430"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93" w:type="dxa"/>
            <w:tcBorders>
              <w:top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1类</w:t>
            </w:r>
          </w:p>
        </w:tc>
        <w:tc>
          <w:tcPr>
            <w:tcW w:w="1417" w:type="dxa"/>
            <w:tcBorders>
              <w:top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55</w:t>
            </w:r>
          </w:p>
        </w:tc>
        <w:tc>
          <w:tcPr>
            <w:tcW w:w="1559" w:type="dxa"/>
            <w:tcBorders>
              <w:top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45</w:t>
            </w:r>
          </w:p>
        </w:tc>
        <w:tc>
          <w:tcPr>
            <w:tcW w:w="1161" w:type="dxa"/>
            <w:tcBorders>
              <w:top w:val="single" w:color="auto" w:sz="4" w:space="0"/>
              <w:lef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周围村屯</w:t>
            </w:r>
          </w:p>
        </w:tc>
      </w:tr>
    </w:tbl>
    <w:p>
      <w:pPr>
        <w:pStyle w:val="1297"/>
        <w:rPr>
          <w:rFonts w:hint="default" w:ascii="Times New Roman" w:hAnsi="Times New Roman" w:cs="Times New Roman" w:eastAsiaTheme="minorEastAsia"/>
          <w:color w:val="000000" w:themeColor="text1"/>
          <w:sz w:val="24"/>
          <w:szCs w:val="22"/>
          <w14:textFill>
            <w14:solidFill>
              <w14:schemeClr w14:val="tx1"/>
            </w14:solidFill>
          </w14:textFill>
        </w:rPr>
      </w:pPr>
      <w:bookmarkStart w:id="79" w:name="_Toc472338480"/>
      <w:r>
        <w:rPr>
          <w:rFonts w:hint="default" w:ascii="Times New Roman" w:hAnsi="Times New Roman" w:cs="Times New Roman" w:eastAsiaTheme="minorEastAsia"/>
          <w:color w:val="000000" w:themeColor="text1"/>
          <w:sz w:val="24"/>
          <w:szCs w:val="22"/>
          <w14:textFill>
            <w14:solidFill>
              <w14:schemeClr w14:val="tx1"/>
            </w14:solidFill>
          </w14:textFill>
        </w:rPr>
        <w:t>2.5.2.5 土壤环境</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本项目占地类型为一般草地，属于农用地，土壤环境执行《土壤环境质量 农用地土壤污染风险管控标准（试行）》（GB 15618-2018）中农用地筛选值和管制值标准，根据土壤监测监测结果，项目所在区域土壤pH&gt;7.5，执行相应筛选值标准</w:t>
      </w:r>
      <w:r>
        <w:rPr>
          <w:rFonts w:hint="default" w:ascii="Times New Roman" w:hAnsi="Times New Roman" w:cs="Times New Roman" w:eastAsiaTheme="minorEastAsia"/>
          <w:b/>
          <w:color w:val="000000" w:themeColor="text1"/>
          <w:sz w:val="24"/>
          <w:szCs w:val="22"/>
          <w14:textFill>
            <w14:solidFill>
              <w14:schemeClr w14:val="tx1"/>
            </w14:solidFill>
          </w14:textFill>
        </w:rPr>
        <w:t>。</w:t>
      </w:r>
    </w:p>
    <w:p>
      <w:pPr>
        <w:pStyle w:val="1167"/>
        <w:ind w:firstLine="960" w:firstLineChars="400"/>
        <w:rPr>
          <w:rFonts w:hint="default" w:ascii="Times New Roman" w:hAnsi="Times New Roman" w:cs="Times New Roman" w:eastAsiaTheme="minorEastAsia"/>
          <w:b/>
          <w:color w:val="000000"/>
        </w:rPr>
      </w:pPr>
      <w:r>
        <w:rPr>
          <w:rFonts w:hint="default" w:ascii="Times New Roman" w:hAnsi="Times New Roman" w:cs="Times New Roman" w:eastAsiaTheme="minorEastAsia"/>
          <w:b w:val="0"/>
          <w:bCs w:val="0"/>
          <w:color w:val="000000" w:themeColor="text1"/>
          <w:kern w:val="0"/>
          <w:sz w:val="24"/>
          <w:szCs w:val="20"/>
          <w14:textFill>
            <w14:solidFill>
              <w14:schemeClr w14:val="tx1"/>
            </w14:solidFill>
          </w14:textFill>
        </w:rPr>
        <w:t xml:space="preserve">表2-5-6 </w:t>
      </w:r>
      <w:r>
        <w:rPr>
          <w:rFonts w:hint="default" w:ascii="Times New Roman" w:hAnsi="Times New Roman" w:cs="Times New Roman" w:eastAsiaTheme="minorEastAsia"/>
          <w:b w:val="0"/>
          <w:bCs w:val="0"/>
          <w:color w:val="000000" w:themeColor="text1"/>
          <w:kern w:val="0"/>
          <w:sz w:val="24"/>
          <w:szCs w:val="20"/>
          <w:lang w:val="en-US" w:eastAsia="zh-CN"/>
          <w14:textFill>
            <w14:solidFill>
              <w14:schemeClr w14:val="tx1"/>
            </w14:solidFill>
          </w14:textFill>
        </w:rPr>
        <w:t xml:space="preserve"> </w:t>
      </w:r>
      <w:r>
        <w:rPr>
          <w:rFonts w:hint="default" w:ascii="Times New Roman" w:hAnsi="Times New Roman" w:cs="Times New Roman" w:eastAsiaTheme="minorEastAsia"/>
          <w:b w:val="0"/>
          <w:bCs w:val="0"/>
          <w:sz w:val="24"/>
        </w:rPr>
        <w:t>土壤环境质量农用地土壤污染风险管控标准</w:t>
      </w:r>
      <w:r>
        <w:rPr>
          <w:rFonts w:hint="default" w:ascii="Times New Roman" w:hAnsi="Times New Roman" w:cs="Times New Roman" w:eastAsiaTheme="minorEastAsia"/>
          <w:b w:val="0"/>
          <w:bCs w:val="0"/>
          <w:color w:val="000000" w:themeColor="text1"/>
          <w:kern w:val="0"/>
          <w:sz w:val="24"/>
          <w:szCs w:val="20"/>
          <w14:textFill>
            <w14:solidFill>
              <w14:schemeClr w14:val="tx1"/>
            </w14:solidFill>
          </w14:textFill>
        </w:rPr>
        <w:t>（单位：mg/kg）</w:t>
      </w:r>
      <w:r>
        <w:rPr>
          <w:rFonts w:hint="default" w:ascii="Times New Roman" w:hAnsi="Times New Roman" w:cs="Times New Roman" w:eastAsiaTheme="minorEastAsia"/>
          <w:b/>
          <w:color w:val="000000"/>
        </w:rPr>
        <w:t xml:space="preserve">  </w:t>
      </w:r>
    </w:p>
    <w:tbl>
      <w:tblPr>
        <w:tblStyle w:val="91"/>
        <w:tblW w:w="878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567"/>
        <w:gridCol w:w="851"/>
        <w:gridCol w:w="992"/>
        <w:gridCol w:w="1559"/>
        <w:gridCol w:w="1559"/>
        <w:gridCol w:w="993"/>
        <w:gridCol w:w="15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709" w:type="dxa"/>
            <w:vMerge w:val="restart"/>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序号</w:t>
            </w:r>
          </w:p>
        </w:tc>
        <w:tc>
          <w:tcPr>
            <w:tcW w:w="1418" w:type="dxa"/>
            <w:gridSpan w:val="2"/>
            <w:vMerge w:val="restart"/>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项 目</w:t>
            </w:r>
          </w:p>
        </w:tc>
        <w:tc>
          <w:tcPr>
            <w:tcW w:w="5103" w:type="dxa"/>
            <w:gridSpan w:val="4"/>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标准值（mg/kg）</w:t>
            </w:r>
          </w:p>
        </w:tc>
        <w:tc>
          <w:tcPr>
            <w:tcW w:w="1559"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709" w:type="dxa"/>
            <w:vMerge w:val="continue"/>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c>
          <w:tcPr>
            <w:tcW w:w="1418" w:type="dxa"/>
            <w:gridSpan w:val="2"/>
            <w:vMerge w:val="continue"/>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c>
          <w:tcPr>
            <w:tcW w:w="992"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pH≤5.5</w:t>
            </w:r>
          </w:p>
        </w:tc>
        <w:tc>
          <w:tcPr>
            <w:tcW w:w="1559"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5.5＜pH≤6.5</w:t>
            </w:r>
          </w:p>
        </w:tc>
        <w:tc>
          <w:tcPr>
            <w:tcW w:w="1559"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6.5＜pH≤7.5</w:t>
            </w:r>
          </w:p>
        </w:tc>
        <w:tc>
          <w:tcPr>
            <w:tcW w:w="993"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pH＞7.5</w:t>
            </w:r>
          </w:p>
        </w:tc>
        <w:tc>
          <w:tcPr>
            <w:tcW w:w="1559" w:type="dxa"/>
            <w:vMerge w:val="restart"/>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《土壤环境质量 农用地土壤污染风险管控标准（试行）》（GB15618-1995）中农用地土壤污染风险筛选值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1</w:t>
            </w:r>
          </w:p>
        </w:tc>
        <w:tc>
          <w:tcPr>
            <w:tcW w:w="567" w:type="dxa"/>
            <w:vMerge w:val="restart"/>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镉</w:t>
            </w:r>
          </w:p>
        </w:tc>
        <w:tc>
          <w:tcPr>
            <w:tcW w:w="851"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水田</w:t>
            </w:r>
          </w:p>
        </w:tc>
        <w:tc>
          <w:tcPr>
            <w:tcW w:w="992"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0.3</w:t>
            </w:r>
          </w:p>
        </w:tc>
        <w:tc>
          <w:tcPr>
            <w:tcW w:w="1559"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0.4</w:t>
            </w:r>
          </w:p>
        </w:tc>
        <w:tc>
          <w:tcPr>
            <w:tcW w:w="1559"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0.6</w:t>
            </w:r>
          </w:p>
        </w:tc>
        <w:tc>
          <w:tcPr>
            <w:tcW w:w="993"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0.8</w:t>
            </w:r>
          </w:p>
        </w:tc>
        <w:tc>
          <w:tcPr>
            <w:tcW w:w="1559" w:type="dxa"/>
            <w:vMerge w:val="continue"/>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c>
          <w:tcPr>
            <w:tcW w:w="567" w:type="dxa"/>
            <w:vMerge w:val="continue"/>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c>
          <w:tcPr>
            <w:tcW w:w="851"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其他</w:t>
            </w:r>
          </w:p>
        </w:tc>
        <w:tc>
          <w:tcPr>
            <w:tcW w:w="992"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0.3</w:t>
            </w:r>
          </w:p>
        </w:tc>
        <w:tc>
          <w:tcPr>
            <w:tcW w:w="1559"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0.3</w:t>
            </w:r>
          </w:p>
        </w:tc>
        <w:tc>
          <w:tcPr>
            <w:tcW w:w="1559"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0.3</w:t>
            </w:r>
          </w:p>
        </w:tc>
        <w:tc>
          <w:tcPr>
            <w:tcW w:w="993"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0.6</w:t>
            </w:r>
          </w:p>
        </w:tc>
        <w:tc>
          <w:tcPr>
            <w:tcW w:w="1559" w:type="dxa"/>
            <w:vMerge w:val="continue"/>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2</w:t>
            </w:r>
          </w:p>
        </w:tc>
        <w:tc>
          <w:tcPr>
            <w:tcW w:w="567" w:type="dxa"/>
            <w:vMerge w:val="restart"/>
            <w:tcBorders>
              <w:right w:val="single" w:color="auto" w:sz="2" w:space="0"/>
            </w:tcBorders>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汞</w:t>
            </w:r>
          </w:p>
        </w:tc>
        <w:tc>
          <w:tcPr>
            <w:tcW w:w="851" w:type="dxa"/>
            <w:tcBorders>
              <w:left w:val="single" w:color="auto" w:sz="2" w:space="0"/>
            </w:tcBorders>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水田</w:t>
            </w:r>
          </w:p>
        </w:tc>
        <w:tc>
          <w:tcPr>
            <w:tcW w:w="992"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0.5</w:t>
            </w:r>
          </w:p>
        </w:tc>
        <w:tc>
          <w:tcPr>
            <w:tcW w:w="1559"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0.5</w:t>
            </w:r>
          </w:p>
        </w:tc>
        <w:tc>
          <w:tcPr>
            <w:tcW w:w="1559"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0.6</w:t>
            </w:r>
          </w:p>
        </w:tc>
        <w:tc>
          <w:tcPr>
            <w:tcW w:w="993"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1.0</w:t>
            </w:r>
          </w:p>
        </w:tc>
        <w:tc>
          <w:tcPr>
            <w:tcW w:w="1559" w:type="dxa"/>
            <w:vMerge w:val="continue"/>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c>
          <w:tcPr>
            <w:tcW w:w="567" w:type="dxa"/>
            <w:vMerge w:val="continue"/>
            <w:tcBorders>
              <w:right w:val="single" w:color="auto" w:sz="2" w:space="0"/>
            </w:tcBorders>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c>
          <w:tcPr>
            <w:tcW w:w="851" w:type="dxa"/>
            <w:tcBorders>
              <w:left w:val="single" w:color="auto" w:sz="2" w:space="0"/>
            </w:tcBorders>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其他</w:t>
            </w:r>
          </w:p>
        </w:tc>
        <w:tc>
          <w:tcPr>
            <w:tcW w:w="992"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1.3</w:t>
            </w:r>
          </w:p>
        </w:tc>
        <w:tc>
          <w:tcPr>
            <w:tcW w:w="1559"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1.8</w:t>
            </w:r>
          </w:p>
        </w:tc>
        <w:tc>
          <w:tcPr>
            <w:tcW w:w="1559"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2.4</w:t>
            </w:r>
          </w:p>
        </w:tc>
        <w:tc>
          <w:tcPr>
            <w:tcW w:w="993"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3.4</w:t>
            </w:r>
          </w:p>
        </w:tc>
        <w:tc>
          <w:tcPr>
            <w:tcW w:w="1559" w:type="dxa"/>
            <w:vMerge w:val="continue"/>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3</w:t>
            </w:r>
          </w:p>
        </w:tc>
        <w:tc>
          <w:tcPr>
            <w:tcW w:w="567" w:type="dxa"/>
            <w:vMerge w:val="restart"/>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砷</w:t>
            </w:r>
          </w:p>
        </w:tc>
        <w:tc>
          <w:tcPr>
            <w:tcW w:w="851"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水田</w:t>
            </w:r>
          </w:p>
        </w:tc>
        <w:tc>
          <w:tcPr>
            <w:tcW w:w="992"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30</w:t>
            </w:r>
          </w:p>
        </w:tc>
        <w:tc>
          <w:tcPr>
            <w:tcW w:w="1559"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30</w:t>
            </w:r>
          </w:p>
        </w:tc>
        <w:tc>
          <w:tcPr>
            <w:tcW w:w="1559"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25</w:t>
            </w:r>
          </w:p>
        </w:tc>
        <w:tc>
          <w:tcPr>
            <w:tcW w:w="993"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20</w:t>
            </w:r>
          </w:p>
        </w:tc>
        <w:tc>
          <w:tcPr>
            <w:tcW w:w="1559" w:type="dxa"/>
            <w:vMerge w:val="continue"/>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c>
          <w:tcPr>
            <w:tcW w:w="567" w:type="dxa"/>
            <w:vMerge w:val="continue"/>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c>
          <w:tcPr>
            <w:tcW w:w="851"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其他</w:t>
            </w:r>
          </w:p>
        </w:tc>
        <w:tc>
          <w:tcPr>
            <w:tcW w:w="992"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40</w:t>
            </w:r>
          </w:p>
        </w:tc>
        <w:tc>
          <w:tcPr>
            <w:tcW w:w="1559"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40</w:t>
            </w:r>
          </w:p>
        </w:tc>
        <w:tc>
          <w:tcPr>
            <w:tcW w:w="1559"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30</w:t>
            </w:r>
          </w:p>
        </w:tc>
        <w:tc>
          <w:tcPr>
            <w:tcW w:w="993"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25</w:t>
            </w:r>
          </w:p>
        </w:tc>
        <w:tc>
          <w:tcPr>
            <w:tcW w:w="1559" w:type="dxa"/>
            <w:vMerge w:val="continue"/>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4</w:t>
            </w:r>
          </w:p>
        </w:tc>
        <w:tc>
          <w:tcPr>
            <w:tcW w:w="567" w:type="dxa"/>
            <w:vMerge w:val="restart"/>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铅</w:t>
            </w:r>
          </w:p>
        </w:tc>
        <w:tc>
          <w:tcPr>
            <w:tcW w:w="851"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水田</w:t>
            </w:r>
          </w:p>
        </w:tc>
        <w:tc>
          <w:tcPr>
            <w:tcW w:w="992"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80</w:t>
            </w:r>
          </w:p>
        </w:tc>
        <w:tc>
          <w:tcPr>
            <w:tcW w:w="1559"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100</w:t>
            </w:r>
          </w:p>
        </w:tc>
        <w:tc>
          <w:tcPr>
            <w:tcW w:w="1559"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140</w:t>
            </w:r>
          </w:p>
        </w:tc>
        <w:tc>
          <w:tcPr>
            <w:tcW w:w="993"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240</w:t>
            </w:r>
          </w:p>
        </w:tc>
        <w:tc>
          <w:tcPr>
            <w:tcW w:w="1559" w:type="dxa"/>
            <w:vMerge w:val="continue"/>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c>
          <w:tcPr>
            <w:tcW w:w="567" w:type="dxa"/>
            <w:vMerge w:val="continue"/>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c>
          <w:tcPr>
            <w:tcW w:w="851"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其他</w:t>
            </w:r>
          </w:p>
        </w:tc>
        <w:tc>
          <w:tcPr>
            <w:tcW w:w="992"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70</w:t>
            </w:r>
          </w:p>
        </w:tc>
        <w:tc>
          <w:tcPr>
            <w:tcW w:w="1559"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90</w:t>
            </w:r>
          </w:p>
        </w:tc>
        <w:tc>
          <w:tcPr>
            <w:tcW w:w="1559"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120</w:t>
            </w:r>
          </w:p>
        </w:tc>
        <w:tc>
          <w:tcPr>
            <w:tcW w:w="993"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170</w:t>
            </w:r>
          </w:p>
        </w:tc>
        <w:tc>
          <w:tcPr>
            <w:tcW w:w="1559" w:type="dxa"/>
            <w:vMerge w:val="continue"/>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5</w:t>
            </w:r>
          </w:p>
        </w:tc>
        <w:tc>
          <w:tcPr>
            <w:tcW w:w="567" w:type="dxa"/>
            <w:vMerge w:val="restart"/>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铬</w:t>
            </w:r>
          </w:p>
        </w:tc>
        <w:tc>
          <w:tcPr>
            <w:tcW w:w="851"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水田</w:t>
            </w:r>
          </w:p>
        </w:tc>
        <w:tc>
          <w:tcPr>
            <w:tcW w:w="992"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250</w:t>
            </w:r>
          </w:p>
        </w:tc>
        <w:tc>
          <w:tcPr>
            <w:tcW w:w="1559"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250</w:t>
            </w:r>
          </w:p>
        </w:tc>
        <w:tc>
          <w:tcPr>
            <w:tcW w:w="1559"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300</w:t>
            </w:r>
          </w:p>
        </w:tc>
        <w:tc>
          <w:tcPr>
            <w:tcW w:w="993"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350</w:t>
            </w:r>
          </w:p>
        </w:tc>
        <w:tc>
          <w:tcPr>
            <w:tcW w:w="1559" w:type="dxa"/>
            <w:vMerge w:val="continue"/>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c>
          <w:tcPr>
            <w:tcW w:w="567" w:type="dxa"/>
            <w:vMerge w:val="continue"/>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c>
          <w:tcPr>
            <w:tcW w:w="851"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其他</w:t>
            </w:r>
          </w:p>
        </w:tc>
        <w:tc>
          <w:tcPr>
            <w:tcW w:w="992"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150</w:t>
            </w:r>
          </w:p>
        </w:tc>
        <w:tc>
          <w:tcPr>
            <w:tcW w:w="1559"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150</w:t>
            </w:r>
          </w:p>
        </w:tc>
        <w:tc>
          <w:tcPr>
            <w:tcW w:w="1559"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200</w:t>
            </w:r>
          </w:p>
        </w:tc>
        <w:tc>
          <w:tcPr>
            <w:tcW w:w="993"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200</w:t>
            </w:r>
          </w:p>
        </w:tc>
        <w:tc>
          <w:tcPr>
            <w:tcW w:w="1559" w:type="dxa"/>
            <w:vMerge w:val="continue"/>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6</w:t>
            </w:r>
          </w:p>
        </w:tc>
        <w:tc>
          <w:tcPr>
            <w:tcW w:w="567" w:type="dxa"/>
            <w:vMerge w:val="restart"/>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铜</w:t>
            </w:r>
          </w:p>
        </w:tc>
        <w:tc>
          <w:tcPr>
            <w:tcW w:w="851"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果园</w:t>
            </w:r>
          </w:p>
        </w:tc>
        <w:tc>
          <w:tcPr>
            <w:tcW w:w="992"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150</w:t>
            </w:r>
          </w:p>
        </w:tc>
        <w:tc>
          <w:tcPr>
            <w:tcW w:w="1559"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150</w:t>
            </w:r>
          </w:p>
        </w:tc>
        <w:tc>
          <w:tcPr>
            <w:tcW w:w="1559"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200</w:t>
            </w:r>
          </w:p>
        </w:tc>
        <w:tc>
          <w:tcPr>
            <w:tcW w:w="993"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200</w:t>
            </w:r>
          </w:p>
        </w:tc>
        <w:tc>
          <w:tcPr>
            <w:tcW w:w="1559" w:type="dxa"/>
            <w:vMerge w:val="continue"/>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c>
          <w:tcPr>
            <w:tcW w:w="567" w:type="dxa"/>
            <w:vMerge w:val="continue"/>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c>
          <w:tcPr>
            <w:tcW w:w="851"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其他</w:t>
            </w:r>
          </w:p>
        </w:tc>
        <w:tc>
          <w:tcPr>
            <w:tcW w:w="992"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50</w:t>
            </w:r>
          </w:p>
        </w:tc>
        <w:tc>
          <w:tcPr>
            <w:tcW w:w="1559"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50</w:t>
            </w:r>
          </w:p>
        </w:tc>
        <w:tc>
          <w:tcPr>
            <w:tcW w:w="1559"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100</w:t>
            </w:r>
          </w:p>
        </w:tc>
        <w:tc>
          <w:tcPr>
            <w:tcW w:w="993"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100</w:t>
            </w:r>
          </w:p>
        </w:tc>
        <w:tc>
          <w:tcPr>
            <w:tcW w:w="1559" w:type="dxa"/>
            <w:vMerge w:val="continue"/>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7</w:t>
            </w:r>
          </w:p>
        </w:tc>
        <w:tc>
          <w:tcPr>
            <w:tcW w:w="1418" w:type="dxa"/>
            <w:gridSpan w:val="2"/>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镍</w:t>
            </w:r>
          </w:p>
        </w:tc>
        <w:tc>
          <w:tcPr>
            <w:tcW w:w="992"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60</w:t>
            </w:r>
          </w:p>
        </w:tc>
        <w:tc>
          <w:tcPr>
            <w:tcW w:w="1559"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70</w:t>
            </w:r>
          </w:p>
        </w:tc>
        <w:tc>
          <w:tcPr>
            <w:tcW w:w="1559"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100</w:t>
            </w:r>
          </w:p>
        </w:tc>
        <w:tc>
          <w:tcPr>
            <w:tcW w:w="993"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190</w:t>
            </w:r>
          </w:p>
        </w:tc>
        <w:tc>
          <w:tcPr>
            <w:tcW w:w="1559" w:type="dxa"/>
            <w:vMerge w:val="continue"/>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8</w:t>
            </w:r>
          </w:p>
        </w:tc>
        <w:tc>
          <w:tcPr>
            <w:tcW w:w="1418" w:type="dxa"/>
            <w:gridSpan w:val="2"/>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锌</w:t>
            </w:r>
          </w:p>
        </w:tc>
        <w:tc>
          <w:tcPr>
            <w:tcW w:w="992"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200</w:t>
            </w:r>
          </w:p>
        </w:tc>
        <w:tc>
          <w:tcPr>
            <w:tcW w:w="1559"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200</w:t>
            </w:r>
          </w:p>
        </w:tc>
        <w:tc>
          <w:tcPr>
            <w:tcW w:w="1559"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250</w:t>
            </w:r>
          </w:p>
        </w:tc>
        <w:tc>
          <w:tcPr>
            <w:tcW w:w="993" w:type="dxa"/>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300</w:t>
            </w:r>
          </w:p>
        </w:tc>
        <w:tc>
          <w:tcPr>
            <w:tcW w:w="1559" w:type="dxa"/>
            <w:vMerge w:val="continue"/>
            <w:vAlign w:val="center"/>
          </w:tcPr>
          <w:p>
            <w:pPr>
              <w:pStyle w:val="1232"/>
              <w:keepNext w:val="0"/>
              <w:keepLines w:val="0"/>
              <w:pageBreakBefore w:val="0"/>
              <w:widowControl/>
              <w:tabs>
                <w:tab w:val="left" w:pos="851"/>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r>
    </w:tbl>
    <w:p>
      <w:pPr>
        <w:pStyle w:val="1167"/>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2.5.3 污染物排放标准</w:t>
      </w:r>
    </w:p>
    <w:p>
      <w:pPr>
        <w:ind w:firstLine="560"/>
        <w:rPr>
          <w:rFonts w:hint="default" w:ascii="Times New Roman" w:hAnsi="Times New Roman" w:cs="Times New Roman" w:eastAsiaTheme="minorEastAsia"/>
          <w:color w:val="000000" w:themeColor="text1"/>
          <w:sz w:val="24"/>
          <w:szCs w:val="22"/>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14:textFill>
            <w14:solidFill>
              <w14:schemeClr w14:val="tx1"/>
            </w14:solidFill>
          </w14:textFill>
        </w:rPr>
        <w:t>（1）废气</w:t>
      </w:r>
    </w:p>
    <w:p>
      <w:pPr>
        <w:ind w:firstLine="560"/>
        <w:rPr>
          <w:rFonts w:hint="default" w:ascii="Times New Roman" w:hAnsi="Times New Roman" w:cs="Times New Roman" w:eastAsiaTheme="minorEastAsia"/>
          <w:color w:val="000000" w:themeColor="text1"/>
          <w:sz w:val="24"/>
          <w:szCs w:val="22"/>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14:textFill>
            <w14:solidFill>
              <w14:schemeClr w14:val="tx1"/>
            </w14:solidFill>
          </w14:textFill>
        </w:rPr>
        <w:t>本项目生物质锅炉排放废气执行《锅炉大气污染物排放标准》（GB13271-2014）中表2燃煤锅炉排放浓度限值；沼气燃烧废气</w:t>
      </w:r>
      <w:r>
        <w:rPr>
          <w:rFonts w:hint="default" w:ascii="Times New Roman" w:hAnsi="Times New Roman" w:cs="Times New Roman" w:eastAsiaTheme="minorEastAsia"/>
          <w:color w:val="000000" w:themeColor="text1"/>
          <w:sz w:val="24"/>
          <w:szCs w:val="22"/>
          <w:highlight w:val="none"/>
          <w:lang w:eastAsia="zh-CN"/>
          <w14:textFill>
            <w14:solidFill>
              <w14:schemeClr w14:val="tx1"/>
            </w14:solidFill>
          </w14:textFill>
        </w:rPr>
        <w:t>执行</w:t>
      </w:r>
      <w:r>
        <w:rPr>
          <w:rFonts w:hint="default" w:ascii="Times New Roman" w:hAnsi="Times New Roman" w:cs="Times New Roman" w:eastAsiaTheme="minorEastAsia"/>
          <w:color w:val="000000" w:themeColor="text1"/>
          <w:sz w:val="24"/>
          <w:szCs w:val="22"/>
          <w:highlight w:val="none"/>
          <w14:textFill>
            <w14:solidFill>
              <w14:schemeClr w14:val="tx1"/>
            </w14:solidFill>
          </w14:textFill>
        </w:rPr>
        <w:t>《大气污染物综合排放标准》（GB16297-1996）中表2二级标准相关要求；固液分离间</w:t>
      </w:r>
      <w:r>
        <w:rPr>
          <w:rFonts w:hint="default" w:ascii="Times New Roman" w:hAnsi="Times New Roman" w:cs="Times New Roman" w:eastAsiaTheme="minorEastAsia"/>
          <w:sz w:val="24"/>
          <w:szCs w:val="24"/>
          <w:highlight w:val="none"/>
        </w:rPr>
        <w:t>有组织排放的H</w:t>
      </w:r>
      <w:r>
        <w:rPr>
          <w:rFonts w:hint="default" w:ascii="Times New Roman" w:hAnsi="Times New Roman" w:cs="Times New Roman" w:eastAsiaTheme="minorEastAsia"/>
          <w:sz w:val="24"/>
          <w:szCs w:val="24"/>
          <w:highlight w:val="none"/>
          <w:vertAlign w:val="subscript"/>
        </w:rPr>
        <w:t>2</w:t>
      </w:r>
      <w:r>
        <w:rPr>
          <w:rFonts w:hint="default" w:ascii="Times New Roman" w:hAnsi="Times New Roman" w:cs="Times New Roman" w:eastAsiaTheme="minorEastAsia"/>
          <w:sz w:val="24"/>
          <w:szCs w:val="24"/>
          <w:highlight w:val="none"/>
        </w:rPr>
        <w:t>S、NH</w:t>
      </w:r>
      <w:r>
        <w:rPr>
          <w:rFonts w:hint="default" w:ascii="Times New Roman" w:hAnsi="Times New Roman" w:cs="Times New Roman" w:eastAsiaTheme="minorEastAsia"/>
          <w:sz w:val="24"/>
          <w:szCs w:val="24"/>
          <w:highlight w:val="none"/>
          <w:vertAlign w:val="subscript"/>
        </w:rPr>
        <w:t>3</w:t>
      </w:r>
      <w:r>
        <w:rPr>
          <w:rFonts w:hint="default" w:ascii="Times New Roman" w:hAnsi="Times New Roman" w:cs="Times New Roman" w:eastAsiaTheme="minorEastAsia"/>
          <w:sz w:val="24"/>
          <w:szCs w:val="24"/>
          <w:highlight w:val="none"/>
        </w:rPr>
        <w:t>、臭气浓度执行《恶臭污染物排放标准》（GB14554-93）中表2恶臭污染物排放标准值；</w:t>
      </w:r>
      <w:r>
        <w:rPr>
          <w:rFonts w:hint="default" w:ascii="Times New Roman" w:hAnsi="Times New Roman" w:cs="Times New Roman" w:eastAsiaTheme="minorEastAsia"/>
          <w:color w:val="000000" w:themeColor="text1"/>
          <w:sz w:val="24"/>
          <w:szCs w:val="22"/>
          <w:highlight w:val="none"/>
          <w14:textFill>
            <w14:solidFill>
              <w14:schemeClr w14:val="tx1"/>
            </w14:solidFill>
          </w14:textFill>
        </w:rPr>
        <w:t>无组织氨和硫化氢厂界浓度执行《恶臭污染物排放标准》（GB14554-93）表1中二级新改扩建标准，臭气浓度排放执行《畜禽养殖业污染物排放标准》（GB18596-2001）中表7标准限值。饲料加工无组织粉尘执行《大气污染物综合排放标准》（GB16297-1996）中表2无组织排放监控浓度限值。具体见表2-5-7。</w:t>
      </w:r>
    </w:p>
    <w:p>
      <w:pPr>
        <w:pStyle w:val="643"/>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表2-5-7  废气排放标准一览表</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1330"/>
        <w:gridCol w:w="2127"/>
        <w:gridCol w:w="1842"/>
        <w:gridCol w:w="12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2180" w:type="dxa"/>
            <w:tcBorders>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标准</w:t>
            </w:r>
          </w:p>
        </w:tc>
        <w:tc>
          <w:tcPr>
            <w:tcW w:w="1330" w:type="dxa"/>
            <w:tcBorders>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类型</w:t>
            </w:r>
          </w:p>
        </w:tc>
        <w:tc>
          <w:tcPr>
            <w:tcW w:w="2127" w:type="dxa"/>
            <w:tcBorders>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项目</w:t>
            </w:r>
          </w:p>
        </w:tc>
        <w:tc>
          <w:tcPr>
            <w:tcW w:w="1842" w:type="dxa"/>
            <w:tcBorders>
              <w:bottom w:val="single" w:color="auto" w:sz="2" w:space="0"/>
              <w:right w:val="single" w:color="auto" w:sz="2" w:space="0"/>
            </w:tcBorders>
            <w:vAlign w:val="center"/>
          </w:tcPr>
          <w:p>
            <w:pPr>
              <w:pStyle w:val="666"/>
              <w:keepNext w:val="0"/>
              <w:keepLines w:val="0"/>
              <w:pageBreakBefore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排放浓度（mg/m</w:t>
            </w:r>
            <w:r>
              <w:rPr>
                <w:rFonts w:hint="default" w:ascii="Times New Roman" w:hAnsi="Times New Roman" w:cs="Times New Roman" w:eastAsiaTheme="minorEastAsia"/>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c>
          <w:tcPr>
            <w:tcW w:w="1241" w:type="dxa"/>
            <w:tcBorders>
              <w:left w:val="single" w:color="auto" w:sz="2" w:space="0"/>
              <w:bottom w:val="single" w:color="auto" w:sz="2" w:space="0"/>
            </w:tcBorders>
            <w:vAlign w:val="center"/>
          </w:tcPr>
          <w:p>
            <w:pPr>
              <w:pStyle w:val="666"/>
              <w:keepNext w:val="0"/>
              <w:keepLines w:val="0"/>
              <w:pageBreakBefore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180" w:type="dxa"/>
            <w:vMerge w:val="restart"/>
            <w:tcBorders>
              <w:top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《锅炉大气污染物排放标准》（GB13271-2014）中表2</w:t>
            </w:r>
          </w:p>
        </w:tc>
        <w:tc>
          <w:tcPr>
            <w:tcW w:w="1330" w:type="dxa"/>
            <w:vMerge w:val="restart"/>
            <w:tcBorders>
              <w:top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有组织排放（2</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m排气筒）</w:t>
            </w:r>
          </w:p>
        </w:tc>
        <w:tc>
          <w:tcPr>
            <w:tcW w:w="2127" w:type="dxa"/>
            <w:tcBorders>
              <w:top w:val="single" w:color="auto" w:sz="2" w:space="0"/>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颗粒物</w:t>
            </w:r>
          </w:p>
        </w:tc>
        <w:tc>
          <w:tcPr>
            <w:tcW w:w="1842" w:type="dxa"/>
            <w:tcBorders>
              <w:top w:val="single" w:color="auto" w:sz="2" w:space="0"/>
              <w:bottom w:val="single" w:color="auto" w:sz="2" w:space="0"/>
              <w:right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50</w:t>
            </w:r>
          </w:p>
        </w:tc>
        <w:tc>
          <w:tcPr>
            <w:tcW w:w="1241" w:type="dxa"/>
            <w:tcBorders>
              <w:top w:val="single" w:color="auto" w:sz="2" w:space="0"/>
              <w:left w:val="single" w:color="auto" w:sz="2" w:space="0"/>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180" w:type="dxa"/>
            <w:vMerge w:val="continue"/>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1330" w:type="dxa"/>
            <w:vMerge w:val="continue"/>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2127" w:type="dxa"/>
            <w:tcBorders>
              <w:top w:val="single" w:color="auto" w:sz="2" w:space="0"/>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二氧化硫</w:t>
            </w:r>
          </w:p>
        </w:tc>
        <w:tc>
          <w:tcPr>
            <w:tcW w:w="1842" w:type="dxa"/>
            <w:tcBorders>
              <w:top w:val="single" w:color="auto" w:sz="2" w:space="0"/>
              <w:bottom w:val="single" w:color="auto" w:sz="2" w:space="0"/>
              <w:right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300</w:t>
            </w:r>
          </w:p>
        </w:tc>
        <w:tc>
          <w:tcPr>
            <w:tcW w:w="1241" w:type="dxa"/>
            <w:tcBorders>
              <w:top w:val="single" w:color="auto" w:sz="2" w:space="0"/>
              <w:left w:val="single" w:color="auto" w:sz="2" w:space="0"/>
              <w:bottom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80" w:type="dxa"/>
            <w:vMerge w:val="continue"/>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1330" w:type="dxa"/>
            <w:vMerge w:val="continue"/>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2127" w:type="dxa"/>
            <w:tcBorders>
              <w:top w:val="single" w:color="auto" w:sz="2" w:space="0"/>
              <w:bottom w:val="single" w:color="auto" w:sz="4"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氮氧化物</w:t>
            </w:r>
          </w:p>
        </w:tc>
        <w:tc>
          <w:tcPr>
            <w:tcW w:w="1842" w:type="dxa"/>
            <w:tcBorders>
              <w:top w:val="single" w:color="auto" w:sz="2" w:space="0"/>
              <w:bottom w:val="single" w:color="auto" w:sz="4" w:space="0"/>
              <w:right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300</w:t>
            </w:r>
          </w:p>
        </w:tc>
        <w:tc>
          <w:tcPr>
            <w:tcW w:w="1241" w:type="dxa"/>
            <w:tcBorders>
              <w:top w:val="single" w:color="auto" w:sz="2" w:space="0"/>
              <w:left w:val="single" w:color="auto" w:sz="2" w:space="0"/>
              <w:bottom w:val="single" w:color="auto" w:sz="4"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80" w:type="dxa"/>
            <w:vMerge w:val="continue"/>
            <w:tcBorders>
              <w:bottom w:val="single" w:color="auto" w:sz="4"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1330" w:type="dxa"/>
            <w:vMerge w:val="continue"/>
            <w:tcBorders>
              <w:bottom w:val="single" w:color="auto" w:sz="4"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2127" w:type="dxa"/>
            <w:tcBorders>
              <w:top w:val="single" w:color="auto" w:sz="2" w:space="0"/>
              <w:bottom w:val="single" w:color="auto" w:sz="4"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烟气黑度</w:t>
            </w:r>
          </w:p>
        </w:tc>
        <w:tc>
          <w:tcPr>
            <w:tcW w:w="1842" w:type="dxa"/>
            <w:tcBorders>
              <w:top w:val="single" w:color="auto" w:sz="2" w:space="0"/>
              <w:bottom w:val="single" w:color="auto" w:sz="4" w:space="0"/>
              <w:right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w:t>
            </w:r>
          </w:p>
        </w:tc>
        <w:tc>
          <w:tcPr>
            <w:tcW w:w="1241" w:type="dxa"/>
            <w:tcBorders>
              <w:top w:val="single" w:color="auto" w:sz="2" w:space="0"/>
              <w:left w:val="single" w:color="auto" w:sz="2" w:space="0"/>
              <w:bottom w:val="single" w:color="auto" w:sz="4"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80" w:type="dxa"/>
            <w:vMerge w:val="restart"/>
            <w:tcBorders>
              <w:top w:val="single" w:color="auto" w:sz="4"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《大气污染物综合排放标准》（GB16297-1996）表2</w:t>
            </w:r>
          </w:p>
        </w:tc>
        <w:tc>
          <w:tcPr>
            <w:tcW w:w="1330" w:type="dxa"/>
            <w:vMerge w:val="restart"/>
            <w:tcBorders>
              <w:top w:val="single" w:color="auto" w:sz="4"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有组织排放（15m排气筒）</w:t>
            </w:r>
          </w:p>
        </w:tc>
        <w:tc>
          <w:tcPr>
            <w:tcW w:w="2127" w:type="dxa"/>
            <w:tcBorders>
              <w:top w:val="single" w:color="auto" w:sz="4" w:space="0"/>
              <w:bottom w:val="single" w:color="auto" w:sz="4"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颗粒物</w:t>
            </w:r>
          </w:p>
        </w:tc>
        <w:tc>
          <w:tcPr>
            <w:tcW w:w="1842" w:type="dxa"/>
            <w:tcBorders>
              <w:top w:val="single" w:color="auto" w:sz="4" w:space="0"/>
              <w:bottom w:val="single" w:color="auto" w:sz="4" w:space="0"/>
              <w:right w:val="single" w:color="auto" w:sz="2" w:space="0"/>
            </w:tcBorders>
            <w:vAlign w:val="center"/>
          </w:tcPr>
          <w:p>
            <w:pPr>
              <w:pStyle w:val="666"/>
              <w:keepNext w:val="0"/>
              <w:keepLines w:val="0"/>
              <w:pageBreakBefore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120</w:t>
            </w:r>
          </w:p>
        </w:tc>
        <w:tc>
          <w:tcPr>
            <w:tcW w:w="1241" w:type="dxa"/>
            <w:tcBorders>
              <w:top w:val="single" w:color="auto" w:sz="4" w:space="0"/>
              <w:left w:val="single" w:color="auto" w:sz="2" w:space="0"/>
              <w:bottom w:val="single" w:color="auto" w:sz="4" w:space="0"/>
            </w:tcBorders>
            <w:vAlign w:val="center"/>
          </w:tcPr>
          <w:p>
            <w:pPr>
              <w:pStyle w:val="666"/>
              <w:keepNext w:val="0"/>
              <w:keepLines w:val="0"/>
              <w:pageBreakBefore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80" w:type="dxa"/>
            <w:vMerge w:val="continue"/>
            <w:tcBorders>
              <w:top w:val="single" w:color="auto" w:sz="4"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1330" w:type="dxa"/>
            <w:vMerge w:val="continue"/>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2127" w:type="dxa"/>
            <w:tcBorders>
              <w:top w:val="single" w:color="auto" w:sz="4" w:space="0"/>
              <w:bottom w:val="single" w:color="auto" w:sz="4"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二氧化硫</w:t>
            </w:r>
          </w:p>
        </w:tc>
        <w:tc>
          <w:tcPr>
            <w:tcW w:w="1842" w:type="dxa"/>
            <w:tcBorders>
              <w:top w:val="single" w:color="auto" w:sz="4" w:space="0"/>
              <w:bottom w:val="single" w:color="auto" w:sz="4" w:space="0"/>
              <w:right w:val="single" w:color="auto" w:sz="2" w:space="0"/>
            </w:tcBorders>
            <w:vAlign w:val="center"/>
          </w:tcPr>
          <w:p>
            <w:pPr>
              <w:pStyle w:val="666"/>
              <w:keepNext w:val="0"/>
              <w:keepLines w:val="0"/>
              <w:pageBreakBefore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550</w:t>
            </w:r>
          </w:p>
        </w:tc>
        <w:tc>
          <w:tcPr>
            <w:tcW w:w="1241" w:type="dxa"/>
            <w:tcBorders>
              <w:top w:val="single" w:color="auto" w:sz="4" w:space="0"/>
              <w:left w:val="single" w:color="auto" w:sz="2" w:space="0"/>
              <w:bottom w:val="single" w:color="auto" w:sz="4" w:space="0"/>
            </w:tcBorders>
            <w:vAlign w:val="center"/>
          </w:tcPr>
          <w:p>
            <w:pPr>
              <w:pStyle w:val="666"/>
              <w:keepNext w:val="0"/>
              <w:keepLines w:val="0"/>
              <w:pageBreakBefore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180" w:type="dxa"/>
            <w:vMerge w:val="continue"/>
            <w:tcBorders>
              <w:top w:val="single" w:color="auto" w:sz="4"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1330" w:type="dxa"/>
            <w:vMerge w:val="continue"/>
            <w:tcBorders>
              <w:bottom w:val="single" w:color="auto" w:sz="4"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2127" w:type="dxa"/>
            <w:tcBorders>
              <w:top w:val="single" w:color="auto" w:sz="4" w:space="0"/>
              <w:bottom w:val="single" w:color="auto" w:sz="4"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氮氧化物</w:t>
            </w:r>
          </w:p>
        </w:tc>
        <w:tc>
          <w:tcPr>
            <w:tcW w:w="1842" w:type="dxa"/>
            <w:tcBorders>
              <w:top w:val="single" w:color="auto" w:sz="4" w:space="0"/>
              <w:bottom w:val="single" w:color="auto" w:sz="4" w:space="0"/>
              <w:right w:val="single" w:color="auto" w:sz="2" w:space="0"/>
            </w:tcBorders>
            <w:vAlign w:val="center"/>
          </w:tcPr>
          <w:p>
            <w:pPr>
              <w:pStyle w:val="666"/>
              <w:keepNext w:val="0"/>
              <w:keepLines w:val="0"/>
              <w:pageBreakBefore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240</w:t>
            </w:r>
          </w:p>
        </w:tc>
        <w:tc>
          <w:tcPr>
            <w:tcW w:w="1241" w:type="dxa"/>
            <w:tcBorders>
              <w:top w:val="single" w:color="auto" w:sz="4" w:space="0"/>
              <w:left w:val="single" w:color="auto" w:sz="2" w:space="0"/>
              <w:bottom w:val="single" w:color="auto" w:sz="4" w:space="0"/>
            </w:tcBorders>
            <w:vAlign w:val="center"/>
          </w:tcPr>
          <w:p>
            <w:pPr>
              <w:pStyle w:val="666"/>
              <w:keepNext w:val="0"/>
              <w:keepLines w:val="0"/>
              <w:pageBreakBefore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0.77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180" w:type="dxa"/>
            <w:vMerge w:val="continue"/>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1330" w:type="dxa"/>
            <w:tcBorders>
              <w:top w:val="single" w:color="auto" w:sz="4"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无组织</w:t>
            </w:r>
          </w:p>
        </w:tc>
        <w:tc>
          <w:tcPr>
            <w:tcW w:w="2127" w:type="dxa"/>
            <w:tcBorders>
              <w:top w:val="single" w:color="auto" w:sz="4" w:space="0"/>
              <w:bottom w:val="single" w:color="auto" w:sz="2" w:space="0"/>
            </w:tcBorders>
            <w:vAlign w:val="center"/>
          </w:tcPr>
          <w:p>
            <w:pPr>
              <w:pStyle w:val="666"/>
              <w:keepNext w:val="0"/>
              <w:keepLines w:val="0"/>
              <w:pageBreakBefore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颗粒物</w:t>
            </w:r>
          </w:p>
        </w:tc>
        <w:tc>
          <w:tcPr>
            <w:tcW w:w="1842" w:type="dxa"/>
            <w:tcBorders>
              <w:top w:val="single" w:color="auto" w:sz="4" w:space="0"/>
              <w:bottom w:val="single" w:color="auto" w:sz="2" w:space="0"/>
              <w:right w:val="single" w:color="auto" w:sz="2" w:space="0"/>
            </w:tcBorders>
            <w:vAlign w:val="center"/>
          </w:tcPr>
          <w:p>
            <w:pPr>
              <w:pStyle w:val="666"/>
              <w:keepNext w:val="0"/>
              <w:keepLines w:val="0"/>
              <w:pageBreakBefore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1.0</w:t>
            </w:r>
          </w:p>
        </w:tc>
        <w:tc>
          <w:tcPr>
            <w:tcW w:w="1241" w:type="dxa"/>
            <w:tcBorders>
              <w:top w:val="single" w:color="auto" w:sz="4" w:space="0"/>
              <w:left w:val="single" w:color="auto" w:sz="2" w:space="0"/>
              <w:bottom w:val="single" w:color="auto" w:sz="2" w:space="0"/>
            </w:tcBorders>
            <w:vAlign w:val="center"/>
          </w:tcPr>
          <w:p>
            <w:pPr>
              <w:pStyle w:val="666"/>
              <w:keepNext w:val="0"/>
              <w:keepLines w:val="0"/>
              <w:pageBreakBefore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0" w:type="dxa"/>
            <w:vMerge w:val="restart"/>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《恶臭污染物排放标准》GB14554-93</w:t>
            </w:r>
          </w:p>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表2</w:t>
            </w:r>
          </w:p>
        </w:tc>
        <w:tc>
          <w:tcPr>
            <w:tcW w:w="1330" w:type="dxa"/>
            <w:vMerge w:val="restart"/>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有组织排放</w:t>
            </w:r>
          </w:p>
        </w:tc>
        <w:tc>
          <w:tcPr>
            <w:tcW w:w="2127" w:type="dxa"/>
            <w:tcBorders>
              <w:bottom w:val="single" w:color="auto" w:sz="4" w:space="0"/>
            </w:tcBorders>
            <w:vAlign w:val="center"/>
          </w:tcPr>
          <w:p>
            <w:pPr>
              <w:pStyle w:val="666"/>
              <w:keepNext w:val="0"/>
              <w:keepLines w:val="0"/>
              <w:pageBreakBefore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氨</w:t>
            </w:r>
          </w:p>
        </w:tc>
        <w:tc>
          <w:tcPr>
            <w:tcW w:w="1842" w:type="dxa"/>
            <w:tcBorders>
              <w:bottom w:val="single" w:color="auto" w:sz="4" w:space="0"/>
              <w:right w:val="single" w:color="auto" w:sz="2" w:space="0"/>
            </w:tcBorders>
            <w:vAlign w:val="center"/>
          </w:tcPr>
          <w:p>
            <w:pPr>
              <w:pStyle w:val="666"/>
              <w:keepNext w:val="0"/>
              <w:keepLines w:val="0"/>
              <w:pageBreakBefore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4.9kg/h</w:t>
            </w:r>
          </w:p>
        </w:tc>
        <w:tc>
          <w:tcPr>
            <w:tcW w:w="1241" w:type="dxa"/>
            <w:vMerge w:val="restart"/>
            <w:tcBorders>
              <w:left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15m排气筒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180" w:type="dxa"/>
            <w:vMerge w:val="continue"/>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1330" w:type="dxa"/>
            <w:vMerge w:val="continue"/>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2127" w:type="dxa"/>
            <w:tcBorders>
              <w:bottom w:val="single" w:color="auto" w:sz="4" w:space="0"/>
            </w:tcBorders>
            <w:vAlign w:val="center"/>
          </w:tcPr>
          <w:p>
            <w:pPr>
              <w:pStyle w:val="666"/>
              <w:keepNext w:val="0"/>
              <w:keepLines w:val="0"/>
              <w:pageBreakBefore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硫化氢</w:t>
            </w:r>
          </w:p>
        </w:tc>
        <w:tc>
          <w:tcPr>
            <w:tcW w:w="1842" w:type="dxa"/>
            <w:tcBorders>
              <w:bottom w:val="single" w:color="auto" w:sz="4" w:space="0"/>
              <w:right w:val="single" w:color="auto" w:sz="2" w:space="0"/>
            </w:tcBorders>
            <w:vAlign w:val="center"/>
          </w:tcPr>
          <w:p>
            <w:pPr>
              <w:pStyle w:val="666"/>
              <w:keepNext w:val="0"/>
              <w:keepLines w:val="0"/>
              <w:pageBreakBefore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0.33kg/h</w:t>
            </w:r>
          </w:p>
        </w:tc>
        <w:tc>
          <w:tcPr>
            <w:tcW w:w="1241" w:type="dxa"/>
            <w:vMerge w:val="continue"/>
            <w:tcBorders>
              <w:left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80" w:type="dxa"/>
            <w:vMerge w:val="continue"/>
            <w:tcBorders>
              <w:bottom w:val="single" w:color="auto" w:sz="4"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1330" w:type="dxa"/>
            <w:vMerge w:val="continue"/>
            <w:tcBorders>
              <w:bottom w:val="single" w:color="auto" w:sz="4"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2127" w:type="dxa"/>
            <w:tcBorders>
              <w:bottom w:val="single" w:color="auto" w:sz="4" w:space="0"/>
            </w:tcBorders>
            <w:vAlign w:val="center"/>
          </w:tcPr>
          <w:p>
            <w:pPr>
              <w:pStyle w:val="666"/>
              <w:keepNext w:val="0"/>
              <w:keepLines w:val="0"/>
              <w:pageBreakBefore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臭气浓度（无量纲）</w:t>
            </w:r>
          </w:p>
        </w:tc>
        <w:tc>
          <w:tcPr>
            <w:tcW w:w="1842" w:type="dxa"/>
            <w:tcBorders>
              <w:bottom w:val="single" w:color="auto" w:sz="4" w:space="0"/>
              <w:right w:val="single" w:color="auto" w:sz="2" w:space="0"/>
            </w:tcBorders>
            <w:vAlign w:val="center"/>
          </w:tcPr>
          <w:p>
            <w:pPr>
              <w:pStyle w:val="666"/>
              <w:keepNext w:val="0"/>
              <w:keepLines w:val="0"/>
              <w:pageBreakBefore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2000</w:t>
            </w:r>
          </w:p>
        </w:tc>
        <w:tc>
          <w:tcPr>
            <w:tcW w:w="1241" w:type="dxa"/>
            <w:vMerge w:val="continue"/>
            <w:tcBorders>
              <w:left w:val="single" w:color="auto" w:sz="2" w:space="0"/>
              <w:bottom w:val="single" w:color="auto" w:sz="4"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80" w:type="dxa"/>
            <w:tcBorders>
              <w:bottom w:val="single" w:color="auto" w:sz="4"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《畜禽养殖业污染物排放标准》GB18596-2001表7</w:t>
            </w:r>
          </w:p>
        </w:tc>
        <w:tc>
          <w:tcPr>
            <w:tcW w:w="1330" w:type="dxa"/>
            <w:tcBorders>
              <w:bottom w:val="single" w:color="auto" w:sz="4"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无组织排放</w:t>
            </w:r>
          </w:p>
        </w:tc>
        <w:tc>
          <w:tcPr>
            <w:tcW w:w="2127" w:type="dxa"/>
            <w:tcBorders>
              <w:bottom w:val="single" w:color="auto" w:sz="4"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臭气浓度（无量纲）</w:t>
            </w:r>
          </w:p>
        </w:tc>
        <w:tc>
          <w:tcPr>
            <w:tcW w:w="1842" w:type="dxa"/>
            <w:tcBorders>
              <w:bottom w:val="single" w:color="auto" w:sz="4" w:space="0"/>
              <w:right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70</w:t>
            </w:r>
          </w:p>
        </w:tc>
        <w:tc>
          <w:tcPr>
            <w:tcW w:w="1241" w:type="dxa"/>
            <w:tcBorders>
              <w:left w:val="single" w:color="auto" w:sz="2" w:space="0"/>
              <w:bottom w:val="single" w:color="auto" w:sz="4"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80" w:type="dxa"/>
            <w:vMerge w:val="restart"/>
            <w:tcBorders>
              <w:top w:val="single" w:color="auto" w:sz="4" w:space="0"/>
              <w:bottom w:val="single" w:color="auto" w:sz="4"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《恶臭污染物排放标准》GB14554-93</w:t>
            </w:r>
          </w:p>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表1</w:t>
            </w:r>
          </w:p>
        </w:tc>
        <w:tc>
          <w:tcPr>
            <w:tcW w:w="1330" w:type="dxa"/>
            <w:vMerge w:val="restart"/>
            <w:tcBorders>
              <w:top w:val="single" w:color="auto" w:sz="4" w:space="0"/>
              <w:bottom w:val="single" w:color="auto" w:sz="4"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无组织排放</w:t>
            </w:r>
          </w:p>
        </w:tc>
        <w:tc>
          <w:tcPr>
            <w:tcW w:w="2127" w:type="dxa"/>
            <w:tcBorders>
              <w:top w:val="single" w:color="auto" w:sz="4" w:space="0"/>
              <w:bottom w:val="single" w:color="auto" w:sz="4"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氨</w:t>
            </w:r>
          </w:p>
        </w:tc>
        <w:tc>
          <w:tcPr>
            <w:tcW w:w="1842" w:type="dxa"/>
            <w:tcBorders>
              <w:top w:val="single" w:color="auto" w:sz="4" w:space="0"/>
              <w:bottom w:val="single" w:color="auto" w:sz="4" w:space="0"/>
              <w:right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厂界标准值1.5mg/m</w:t>
            </w:r>
            <w:r>
              <w:rPr>
                <w:rFonts w:hint="default" w:ascii="Times New Roman" w:hAnsi="Times New Roman" w:cs="Times New Roman" w:eastAsiaTheme="minorEastAsia"/>
                <w:color w:val="000000" w:themeColor="text1"/>
                <w:sz w:val="21"/>
                <w:szCs w:val="21"/>
                <w:highlight w:val="none"/>
                <w:vertAlign w:val="superscript"/>
                <w14:textFill>
                  <w14:solidFill>
                    <w14:schemeClr w14:val="tx1"/>
                  </w14:solidFill>
                </w14:textFill>
              </w:rPr>
              <w:t>3</w:t>
            </w:r>
          </w:p>
        </w:tc>
        <w:tc>
          <w:tcPr>
            <w:tcW w:w="1241" w:type="dxa"/>
            <w:tcBorders>
              <w:top w:val="single" w:color="auto" w:sz="4" w:space="0"/>
              <w:left w:val="single" w:color="auto" w:sz="2" w:space="0"/>
              <w:bottom w:val="single" w:color="auto" w:sz="4"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80" w:type="dxa"/>
            <w:vMerge w:val="continue"/>
            <w:tcBorders>
              <w:top w:val="single" w:color="auto" w:sz="4" w:space="0"/>
              <w:bottom w:val="single" w:color="auto" w:sz="1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1330" w:type="dxa"/>
            <w:vMerge w:val="continue"/>
            <w:tcBorders>
              <w:top w:val="single" w:color="auto" w:sz="4" w:space="0"/>
              <w:bottom w:val="single" w:color="auto" w:sz="1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2127" w:type="dxa"/>
            <w:tcBorders>
              <w:top w:val="single" w:color="auto" w:sz="4" w:space="0"/>
              <w:bottom w:val="single" w:color="auto" w:sz="1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硫化氢</w:t>
            </w:r>
          </w:p>
        </w:tc>
        <w:tc>
          <w:tcPr>
            <w:tcW w:w="1842" w:type="dxa"/>
            <w:tcBorders>
              <w:top w:val="single" w:color="auto" w:sz="4" w:space="0"/>
              <w:bottom w:val="single" w:color="auto" w:sz="12" w:space="0"/>
              <w:right w:val="single" w:color="auto" w:sz="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厂界标准值0.06mg/m</w:t>
            </w:r>
            <w:r>
              <w:rPr>
                <w:rFonts w:hint="default" w:ascii="Times New Roman" w:hAnsi="Times New Roman" w:cs="Times New Roman" w:eastAsiaTheme="minorEastAsia"/>
                <w:color w:val="000000" w:themeColor="text1"/>
                <w:sz w:val="21"/>
                <w:szCs w:val="21"/>
                <w:highlight w:val="none"/>
                <w:vertAlign w:val="superscript"/>
                <w14:textFill>
                  <w14:solidFill>
                    <w14:schemeClr w14:val="tx1"/>
                  </w14:solidFill>
                </w14:textFill>
              </w:rPr>
              <w:t>3</w:t>
            </w:r>
          </w:p>
        </w:tc>
        <w:tc>
          <w:tcPr>
            <w:tcW w:w="1241" w:type="dxa"/>
            <w:tcBorders>
              <w:top w:val="single" w:color="auto" w:sz="4" w:space="0"/>
              <w:left w:val="single" w:color="auto" w:sz="2" w:space="0"/>
              <w:bottom w:val="single" w:color="auto" w:sz="12" w:space="0"/>
            </w:tcBorders>
            <w:vAlign w:val="center"/>
          </w:tcPr>
          <w:p>
            <w:pPr>
              <w:pStyle w:val="666"/>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r>
    </w:tbl>
    <w:p>
      <w:pPr>
        <w:ind w:firstLine="560"/>
        <w:rPr>
          <w:rFonts w:hint="default" w:ascii="Times New Roman" w:hAnsi="Times New Roman" w:cs="Times New Roman" w:eastAsiaTheme="minorEastAsia"/>
          <w:color w:val="000000" w:themeColor="text1"/>
          <w:sz w:val="24"/>
          <w:szCs w:val="22"/>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14:textFill>
            <w14:solidFill>
              <w14:schemeClr w14:val="tx1"/>
            </w14:solidFill>
          </w14:textFill>
        </w:rPr>
        <w:t>（2）厂界噪声</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施工期场界噪声执行《建筑施工场界环境噪声排放标准》（GB12523-2011），运营期厂界噪声执行《工业企业厂界环境噪声排放标准》（GB12348-2008）2类标准，具体见表2-5-9。</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表2-5-9 噪声排放标准一览表</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3753"/>
        <w:gridCol w:w="37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时期</w:t>
            </w:r>
          </w:p>
        </w:tc>
        <w:tc>
          <w:tcPr>
            <w:tcW w:w="3753"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标准</w:t>
            </w:r>
          </w:p>
        </w:tc>
        <w:tc>
          <w:tcPr>
            <w:tcW w:w="3725"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噪声限值/dB（A）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施工期</w:t>
            </w:r>
          </w:p>
        </w:tc>
        <w:tc>
          <w:tcPr>
            <w:tcW w:w="3753"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《建筑施工场界环境噪声排放标准》（GB12523-2011）</w:t>
            </w:r>
          </w:p>
        </w:tc>
        <w:tc>
          <w:tcPr>
            <w:tcW w:w="3725"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昼间70</w:t>
            </w:r>
            <w:r>
              <w:rPr>
                <w:rFonts w:hint="default" w:ascii="Times New Roman" w:hAnsi="Times New Roman" w:cs="Times New Roman" w:eastAsiaTheme="minorEastAsia"/>
                <w:bCs w:val="0"/>
                <w:color w:val="000000" w:themeColor="text1"/>
                <w:kern w:val="2"/>
                <w:sz w:val="28"/>
                <w:szCs w:val="24"/>
                <w14:textFill>
                  <w14:solidFill>
                    <w14:schemeClr w14:val="tx1"/>
                  </w14:solidFill>
                </w14:textFill>
              </w:rPr>
              <w:t xml:space="preserve"> </w:t>
            </w:r>
            <w:r>
              <w:rPr>
                <w:rFonts w:hint="default" w:ascii="Times New Roman" w:hAnsi="Times New Roman" w:cs="Times New Roman" w:eastAsiaTheme="minorEastAsia"/>
                <w:color w:val="000000" w:themeColor="text1"/>
                <w14:textFill>
                  <w14:solidFill>
                    <w14:schemeClr w14:val="tx1"/>
                  </w14:solidFill>
                </w14:textFill>
              </w:rPr>
              <w:t>dB（A），夜间55 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42"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运营期</w:t>
            </w:r>
          </w:p>
        </w:tc>
        <w:tc>
          <w:tcPr>
            <w:tcW w:w="3753"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《工业企业厂界环境噪声排放标准》（GB12348-2008）2类标准</w:t>
            </w:r>
          </w:p>
        </w:tc>
        <w:tc>
          <w:tcPr>
            <w:tcW w:w="3725"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昼间60dB（A），夜间50 dB（A）</w:t>
            </w:r>
          </w:p>
        </w:tc>
      </w:tr>
    </w:tbl>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（3）固体废物</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危险废物的处置执行《危险废物贮存污染控制标准》（GB18597-2001）及其修改单要求；一般废物的处置/处理执行《一般工业固体废物贮存和填埋污染控制标准》（GB18599-2020）的有关规定。</w:t>
      </w:r>
    </w:p>
    <w:bookmarkEnd w:id="79"/>
    <w:p>
      <w:pPr>
        <w:pStyle w:val="641"/>
        <w:outlineLvl w:val="9"/>
        <w:rPr>
          <w:rFonts w:hint="default" w:ascii="Times New Roman" w:hAnsi="Times New Roman" w:cs="Times New Roman" w:eastAsiaTheme="minorEastAsia"/>
          <w:color w:val="000000" w:themeColor="text1"/>
          <w:sz w:val="28"/>
          <w:szCs w:val="18"/>
          <w14:textFill>
            <w14:solidFill>
              <w14:schemeClr w14:val="tx1"/>
            </w14:solidFill>
          </w14:textFill>
        </w:rPr>
        <w:sectPr>
          <w:footerReference r:id="rId23" w:type="default"/>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12" w:charSpace="0"/>
        </w:sectPr>
      </w:pPr>
    </w:p>
    <w:p>
      <w:pPr>
        <w:pStyle w:val="641"/>
        <w:rPr>
          <w:rFonts w:hint="default" w:ascii="Times New Roman" w:hAnsi="Times New Roman" w:cs="Times New Roman" w:eastAsiaTheme="minorEastAsia"/>
          <w:color w:val="000000" w:themeColor="text1"/>
          <w14:textFill>
            <w14:solidFill>
              <w14:schemeClr w14:val="tx1"/>
            </w14:solidFill>
          </w14:textFill>
        </w:rPr>
      </w:pPr>
      <w:bookmarkStart w:id="80" w:name="_Toc18832"/>
      <w:r>
        <w:rPr>
          <w:rFonts w:hint="default" w:ascii="Times New Roman" w:hAnsi="Times New Roman" w:cs="Times New Roman" w:eastAsiaTheme="minorEastAsia"/>
          <w:color w:val="000000" w:themeColor="text1"/>
          <w14:textFill>
            <w14:solidFill>
              <w14:schemeClr w14:val="tx1"/>
            </w14:solidFill>
          </w14:textFill>
        </w:rPr>
        <w:t>3 建设项目工程分析</w:t>
      </w:r>
      <w:bookmarkEnd w:id="80"/>
    </w:p>
    <w:p>
      <w:pPr>
        <w:pStyle w:val="639"/>
        <w:rPr>
          <w:rFonts w:hint="default" w:ascii="Times New Roman" w:hAnsi="Times New Roman" w:cs="Times New Roman" w:eastAsiaTheme="minorEastAsia"/>
          <w:color w:val="000000" w:themeColor="text1"/>
          <w:sz w:val="28"/>
          <w:szCs w:val="28"/>
          <w14:textFill>
            <w14:solidFill>
              <w14:schemeClr w14:val="tx1"/>
            </w14:solidFill>
          </w14:textFill>
        </w:rPr>
      </w:pPr>
      <w:bookmarkStart w:id="81" w:name="_Toc11816"/>
      <w:bookmarkStart w:id="82" w:name="_Toc227725160"/>
      <w:bookmarkStart w:id="83" w:name="_Toc458421816"/>
      <w:bookmarkStart w:id="84" w:name="_Toc288640026"/>
      <w:r>
        <w:rPr>
          <w:rFonts w:hint="default" w:ascii="Times New Roman" w:hAnsi="Times New Roman" w:cs="Times New Roman" w:eastAsiaTheme="minorEastAsia"/>
          <w:color w:val="000000" w:themeColor="text1"/>
          <w:sz w:val="28"/>
          <w:szCs w:val="28"/>
          <w14:textFill>
            <w14:solidFill>
              <w14:schemeClr w14:val="tx1"/>
            </w14:solidFill>
          </w14:textFill>
        </w:rPr>
        <w:t>3.1 建设项目概况</w:t>
      </w:r>
      <w:bookmarkEnd w:id="81"/>
    </w:p>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3.1.1 项目基本情况</w:t>
      </w:r>
      <w:bookmarkEnd w:id="82"/>
      <w:bookmarkEnd w:id="83"/>
      <w:bookmarkEnd w:id="84"/>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bookmarkStart w:id="85" w:name="_Toc288640027"/>
      <w:bookmarkStart w:id="86" w:name="_Toc458421817"/>
      <w:bookmarkStart w:id="87" w:name="_Toc227725161"/>
      <w:r>
        <w:rPr>
          <w:rFonts w:hint="default" w:ascii="Times New Roman" w:hAnsi="Times New Roman" w:cs="Times New Roman" w:eastAsiaTheme="minorEastAsia"/>
          <w:color w:val="000000" w:themeColor="text1"/>
          <w:sz w:val="24"/>
          <w:szCs w:val="22"/>
          <w14:textFill>
            <w14:solidFill>
              <w14:schemeClr w14:val="tx1"/>
            </w14:solidFill>
          </w14:textFill>
        </w:rPr>
        <w:t>项目名称：安达市宝源现代示范奶牛场；</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建设单位：安达市宝源现代示范奶牛场；</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000000" w:themeColor="text1"/>
          <w:sz w:val="24"/>
          <w:szCs w:val="22"/>
          <w14:textFill>
            <w14:solidFill>
              <w14:schemeClr w14:val="tx1"/>
            </w14:solidFill>
          </w14:textFill>
        </w:rPr>
        <w:t>建设地点：</w:t>
      </w:r>
      <w:r>
        <w:rPr>
          <w:rFonts w:hint="eastAsia" w:ascii="Times New Roman" w:hAnsi="Times New Roman" w:cs="Times New Roman" w:eastAsiaTheme="minorEastAsia"/>
          <w:color w:val="auto"/>
          <w:sz w:val="24"/>
          <w:szCs w:val="22"/>
          <w:highlight w:val="none"/>
          <w:lang w:eastAsia="zh-CN"/>
        </w:rPr>
        <w:t>安达市东14公里，明沈公路南侧1000米处</w:t>
      </w:r>
      <w:r>
        <w:rPr>
          <w:rFonts w:hint="default" w:ascii="Times New Roman" w:hAnsi="Times New Roman" w:cs="Times New Roman" w:eastAsiaTheme="minorEastAsia"/>
          <w:color w:val="auto"/>
          <w:sz w:val="24"/>
          <w:szCs w:val="22"/>
          <w:highlight w:val="none"/>
        </w:rPr>
        <w:t>（厂址中心E125.47590，N46.50718）；</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建设性质：新建；</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建设规模：年存栏奶牛1500头，其中泌乳牛1200头，育成牛300头；</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项目投资：总投资520万元，其中环保投资</w:t>
      </w:r>
      <w:r>
        <w:rPr>
          <w:rFonts w:hint="default" w:ascii="Times New Roman" w:hAnsi="Times New Roman" w:cs="Times New Roman" w:eastAsiaTheme="minorEastAsia"/>
          <w:color w:val="auto"/>
          <w:sz w:val="24"/>
          <w:szCs w:val="22"/>
          <w:highlight w:val="none"/>
          <w:lang w:val="en-US" w:eastAsia="zh-CN"/>
        </w:rPr>
        <w:t>96</w:t>
      </w:r>
      <w:r>
        <w:rPr>
          <w:rFonts w:hint="default" w:ascii="Times New Roman" w:hAnsi="Times New Roman" w:cs="Times New Roman" w:eastAsiaTheme="minorEastAsia"/>
          <w:color w:val="auto"/>
          <w:sz w:val="24"/>
          <w:szCs w:val="22"/>
          <w:highlight w:val="none"/>
        </w:rPr>
        <w:t>万元，占项目总投资的</w:t>
      </w:r>
      <w:r>
        <w:rPr>
          <w:rFonts w:hint="default" w:ascii="Times New Roman" w:hAnsi="Times New Roman" w:cs="Times New Roman" w:eastAsiaTheme="minorEastAsia"/>
          <w:color w:val="auto"/>
          <w:sz w:val="24"/>
          <w:szCs w:val="22"/>
          <w:highlight w:val="none"/>
          <w:lang w:val="en-US" w:eastAsia="zh-CN"/>
        </w:rPr>
        <w:t>18.46</w:t>
      </w:r>
      <w:r>
        <w:rPr>
          <w:rFonts w:hint="default" w:ascii="Times New Roman" w:hAnsi="Times New Roman" w:cs="Times New Roman" w:eastAsiaTheme="minorEastAsia"/>
          <w:color w:val="auto"/>
          <w:sz w:val="24"/>
          <w:szCs w:val="22"/>
          <w:highlight w:val="none"/>
        </w:rPr>
        <w:t>％；</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占地面积：项目总占地面积143000m</w:t>
      </w:r>
      <w:r>
        <w:rPr>
          <w:rFonts w:hint="default" w:ascii="Times New Roman" w:hAnsi="Times New Roman" w:cs="Times New Roman" w:eastAsiaTheme="minorEastAsia"/>
          <w:color w:val="auto"/>
          <w:sz w:val="24"/>
          <w:szCs w:val="22"/>
          <w:highlight w:val="none"/>
          <w:vertAlign w:val="superscript"/>
        </w:rPr>
        <w:t>2</w:t>
      </w:r>
      <w:r>
        <w:rPr>
          <w:rFonts w:hint="default" w:ascii="Times New Roman" w:hAnsi="Times New Roman" w:cs="Times New Roman" w:eastAsiaTheme="minorEastAsia"/>
          <w:color w:val="auto"/>
          <w:sz w:val="24"/>
          <w:szCs w:val="22"/>
          <w:highlight w:val="none"/>
        </w:rPr>
        <w:t>，建筑面积40652m</w:t>
      </w:r>
      <w:r>
        <w:rPr>
          <w:rFonts w:hint="default" w:ascii="Times New Roman" w:hAnsi="Times New Roman" w:cs="Times New Roman" w:eastAsiaTheme="minorEastAsia"/>
          <w:color w:val="auto"/>
          <w:sz w:val="24"/>
          <w:szCs w:val="22"/>
          <w:highlight w:val="none"/>
          <w:vertAlign w:val="superscript"/>
        </w:rPr>
        <w:t>2</w:t>
      </w:r>
      <w:r>
        <w:rPr>
          <w:rFonts w:hint="default" w:ascii="Times New Roman" w:hAnsi="Times New Roman" w:cs="Times New Roman" w:eastAsiaTheme="minorEastAsia"/>
          <w:color w:val="auto"/>
          <w:sz w:val="24"/>
          <w:szCs w:val="22"/>
          <w:highlight w:val="none"/>
        </w:rPr>
        <w:t>。</w:t>
      </w:r>
    </w:p>
    <w:p>
      <w:pPr>
        <w:ind w:firstLine="560"/>
        <w:rPr>
          <w:rFonts w:hint="default" w:ascii="Times New Roman" w:hAnsi="Times New Roman" w:cs="Times New Roman" w:eastAsiaTheme="minorEastAsia"/>
          <w:sz w:val="24"/>
          <w:szCs w:val="22"/>
        </w:rPr>
      </w:pPr>
      <w:r>
        <w:rPr>
          <w:rFonts w:hint="default" w:ascii="Times New Roman" w:hAnsi="Times New Roman" w:cs="Times New Roman" w:eastAsiaTheme="minorEastAsia"/>
          <w:color w:val="auto"/>
          <w:sz w:val="24"/>
          <w:szCs w:val="22"/>
          <w:highlight w:val="none"/>
        </w:rPr>
        <w:t>劳动定员及工作制度：劳动定员20人；三班</w:t>
      </w:r>
      <w:r>
        <w:rPr>
          <w:rFonts w:hint="default" w:ascii="Times New Roman" w:hAnsi="Times New Roman" w:cs="Times New Roman" w:eastAsiaTheme="minorEastAsia"/>
          <w:sz w:val="24"/>
          <w:szCs w:val="22"/>
        </w:rPr>
        <w:t>运转制，每班8h，全年工作天数为365天。本项目不设食堂和宿舍。</w:t>
      </w:r>
    </w:p>
    <w:p>
      <w:pPr>
        <w:ind w:firstLine="560"/>
        <w:rPr>
          <w:rFonts w:hint="default" w:ascii="Times New Roman" w:hAnsi="Times New Roman" w:cs="Times New Roman" w:eastAsiaTheme="minorEastAsia"/>
          <w:sz w:val="24"/>
          <w:szCs w:val="22"/>
        </w:rPr>
      </w:pPr>
      <w:r>
        <w:rPr>
          <w:rFonts w:hint="default" w:ascii="Times New Roman" w:hAnsi="Times New Roman" w:cs="Times New Roman" w:eastAsiaTheme="minorEastAsia"/>
          <w:sz w:val="24"/>
          <w:szCs w:val="22"/>
        </w:rPr>
        <w:t>建设周期：2021年12月-2022年11月，施工期12个月。</w:t>
      </w:r>
    </w:p>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3.1.2 项目建设内容</w:t>
      </w:r>
      <w:bookmarkEnd w:id="85"/>
      <w:bookmarkEnd w:id="86"/>
      <w:bookmarkEnd w:id="87"/>
    </w:p>
    <w:p>
      <w:pPr>
        <w:ind w:firstLine="560"/>
        <w:rPr>
          <w:rFonts w:hint="default" w:ascii="Times New Roman" w:hAnsi="Times New Roman" w:cs="Times New Roman" w:eastAsiaTheme="minorEastAsia"/>
          <w:color w:val="auto"/>
          <w:sz w:val="24"/>
          <w:szCs w:val="22"/>
          <w:highlight w:val="none"/>
        </w:rPr>
      </w:pPr>
      <w:bookmarkStart w:id="88" w:name="_Toc458421827"/>
      <w:bookmarkStart w:id="89" w:name="_Toc155235089"/>
      <w:r>
        <w:rPr>
          <w:rFonts w:hint="default" w:ascii="Times New Roman" w:hAnsi="Times New Roman" w:cs="Times New Roman" w:eastAsiaTheme="minorEastAsia"/>
          <w:color w:val="auto"/>
          <w:sz w:val="24"/>
          <w:szCs w:val="22"/>
          <w:highlight w:val="none"/>
        </w:rPr>
        <w:t>本项目占地面积143000m</w:t>
      </w:r>
      <w:r>
        <w:rPr>
          <w:rFonts w:hint="default" w:ascii="Times New Roman" w:hAnsi="Times New Roman" w:cs="Times New Roman" w:eastAsiaTheme="minorEastAsia"/>
          <w:color w:val="auto"/>
          <w:sz w:val="24"/>
          <w:szCs w:val="22"/>
          <w:highlight w:val="none"/>
          <w:vertAlign w:val="superscript"/>
        </w:rPr>
        <w:t>2</w:t>
      </w:r>
      <w:r>
        <w:rPr>
          <w:rFonts w:hint="default" w:ascii="Times New Roman" w:hAnsi="Times New Roman" w:cs="Times New Roman" w:eastAsiaTheme="minorEastAsia"/>
          <w:color w:val="auto"/>
          <w:sz w:val="24"/>
          <w:szCs w:val="22"/>
          <w:highlight w:val="none"/>
        </w:rPr>
        <w:t>，泌乳牛舍2栋，特需牛舍1栋，后备牛舍1栋，挤奶厅1栋；饲料区建设青贮仓2栋，饲草库1栋，料库1栋；无害化处理区包括固液分离间、黑膜沼气池、沼液储存池；生活区包括办公楼、门卫、锅炉房、机械库、车库等配套设施，建筑面积共计40652m</w:t>
      </w:r>
      <w:r>
        <w:rPr>
          <w:rFonts w:hint="default" w:ascii="Times New Roman" w:hAnsi="Times New Roman" w:cs="Times New Roman" w:eastAsiaTheme="minorEastAsia"/>
          <w:color w:val="auto"/>
          <w:sz w:val="24"/>
          <w:szCs w:val="22"/>
          <w:highlight w:val="none"/>
          <w:vertAlign w:val="superscript"/>
        </w:rPr>
        <w:t>2</w:t>
      </w:r>
      <w:r>
        <w:rPr>
          <w:rFonts w:hint="default" w:ascii="Times New Roman" w:hAnsi="Times New Roman" w:cs="Times New Roman" w:eastAsiaTheme="minorEastAsia"/>
          <w:color w:val="auto"/>
          <w:sz w:val="24"/>
          <w:szCs w:val="22"/>
          <w:highlight w:val="none"/>
        </w:rPr>
        <w:t>。项目工程组成见表3-1-1。</w:t>
      </w:r>
    </w:p>
    <w:p>
      <w:pPr>
        <w:pStyle w:val="643"/>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表3-1-1  项目工程组成一览表</w:t>
      </w:r>
    </w:p>
    <w:tbl>
      <w:tblPr>
        <w:tblStyle w:val="91"/>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48"/>
        <w:gridCol w:w="1238"/>
        <w:gridCol w:w="683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8" w:type="dxa"/>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类型</w:t>
            </w:r>
          </w:p>
        </w:tc>
        <w:tc>
          <w:tcPr>
            <w:tcW w:w="1238" w:type="dxa"/>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名称</w:t>
            </w:r>
          </w:p>
        </w:tc>
        <w:tc>
          <w:tcPr>
            <w:tcW w:w="6834" w:type="dxa"/>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主要建设内容及规模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648" w:type="dxa"/>
            <w:vMerge w:val="restar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主体工程</w:t>
            </w:r>
          </w:p>
        </w:tc>
        <w:tc>
          <w:tcPr>
            <w:tcW w:w="1238"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牛舍</w:t>
            </w:r>
          </w:p>
        </w:tc>
        <w:tc>
          <w:tcPr>
            <w:tcW w:w="6834" w:type="dxa"/>
            <w:tcBorders>
              <w:bottom w:val="single" w:color="auto" w:sz="4" w:space="0"/>
            </w:tcBorders>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新建4栋牛舍，其中泌乳牛舍2栋，泌乳牛舍1和2建筑面积均为5220m</w:t>
            </w:r>
            <w:r>
              <w:rPr>
                <w:rFonts w:hint="default" w:ascii="Times New Roman" w:hAnsi="Times New Roman" w:cs="Times New Roman" w:eastAsiaTheme="minorEastAsia"/>
                <w:color w:val="auto"/>
                <w:highlight w:val="none"/>
                <w:vertAlign w:val="superscript"/>
              </w:rPr>
              <w:t>2</w:t>
            </w:r>
            <w:r>
              <w:rPr>
                <w:rFonts w:hint="default" w:ascii="Times New Roman" w:hAnsi="Times New Roman" w:cs="Times New Roman" w:eastAsiaTheme="minorEastAsia"/>
                <w:color w:val="auto"/>
                <w:highlight w:val="none"/>
              </w:rPr>
              <w:t>，特需牛舍3建筑面积为2220m</w:t>
            </w:r>
            <w:r>
              <w:rPr>
                <w:rFonts w:hint="default" w:ascii="Times New Roman" w:hAnsi="Times New Roman" w:cs="Times New Roman" w:eastAsiaTheme="minorEastAsia"/>
                <w:color w:val="auto"/>
                <w:highlight w:val="none"/>
                <w:vertAlign w:val="superscript"/>
              </w:rPr>
              <w:t>2</w:t>
            </w:r>
            <w:r>
              <w:rPr>
                <w:rFonts w:hint="default" w:ascii="Times New Roman" w:hAnsi="Times New Roman" w:cs="Times New Roman" w:eastAsiaTheme="minorEastAsia"/>
                <w:color w:val="auto"/>
                <w:highlight w:val="none"/>
              </w:rPr>
              <w:t>;后备牛舍1栋，建筑面积为3600m</w:t>
            </w:r>
            <w:r>
              <w:rPr>
                <w:rFonts w:hint="default" w:ascii="Times New Roman" w:hAnsi="Times New Roman" w:cs="Times New Roman" w:eastAsiaTheme="minorEastAsia"/>
                <w:color w:val="auto"/>
                <w:highlight w:val="none"/>
                <w:vertAlign w:val="superscript"/>
              </w:rPr>
              <w:t>2</w:t>
            </w:r>
            <w:r>
              <w:rPr>
                <w:rFonts w:hint="default" w:ascii="Times New Roman" w:hAnsi="Times New Roman" w:cs="Times New Roman" w:eastAsiaTheme="minorEastAsia"/>
                <w:color w:val="auto"/>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648"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1238"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挤奶厅</w:t>
            </w:r>
          </w:p>
        </w:tc>
        <w:tc>
          <w:tcPr>
            <w:tcW w:w="6834" w:type="dxa"/>
            <w:tcBorders>
              <w:top w:val="single" w:color="auto" w:sz="4" w:space="0"/>
              <w:bottom w:val="single" w:color="auto" w:sz="4" w:space="0"/>
            </w:tcBorders>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新建1栋挤奶厅，位于厂区中间，建筑面积1350m</w:t>
            </w:r>
            <w:r>
              <w:rPr>
                <w:rFonts w:hint="default" w:ascii="Times New Roman" w:hAnsi="Times New Roman" w:cs="Times New Roman" w:eastAsiaTheme="minorEastAsia"/>
                <w:color w:val="auto"/>
                <w:highlight w:val="none"/>
                <w:vertAlign w:val="superscript"/>
              </w:rPr>
              <w:t>2</w:t>
            </w:r>
            <w:r>
              <w:rPr>
                <w:rFonts w:hint="default" w:ascii="Times New Roman" w:hAnsi="Times New Roman" w:cs="Times New Roman" w:eastAsiaTheme="minorEastAsia"/>
                <w:color w:val="auto"/>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8" w:type="dxa"/>
            <w:vMerge w:val="restart"/>
            <w:tcBorders>
              <w:top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辅助工程</w:t>
            </w:r>
          </w:p>
        </w:tc>
        <w:tc>
          <w:tcPr>
            <w:tcW w:w="1238"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办公楼</w:t>
            </w:r>
          </w:p>
        </w:tc>
        <w:tc>
          <w:tcPr>
            <w:tcW w:w="683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位于厂区内北部，1栋，单层，建筑面积520m</w:t>
            </w:r>
            <w:r>
              <w:rPr>
                <w:rFonts w:hint="default" w:ascii="Times New Roman" w:hAnsi="Times New Roman" w:cs="Times New Roman" w:eastAsiaTheme="minorEastAsia"/>
                <w:color w:val="auto"/>
                <w:highlight w:val="none"/>
                <w:vertAlign w:val="superscript"/>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8"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1238"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门卫</w:t>
            </w:r>
          </w:p>
        </w:tc>
        <w:tc>
          <w:tcPr>
            <w:tcW w:w="683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位于厂区内北部，1栋，单层，建筑面积50m</w:t>
            </w:r>
            <w:r>
              <w:rPr>
                <w:rFonts w:hint="default" w:ascii="Times New Roman" w:hAnsi="Times New Roman" w:cs="Times New Roman" w:eastAsiaTheme="minorEastAsia"/>
                <w:color w:val="auto"/>
                <w:highlight w:val="none"/>
                <w:vertAlign w:val="superscript"/>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648"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1238"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车库</w:t>
            </w:r>
          </w:p>
        </w:tc>
        <w:tc>
          <w:tcPr>
            <w:tcW w:w="6834"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位于厂区内北部，1栋，建筑面积1032m</w:t>
            </w:r>
            <w:r>
              <w:rPr>
                <w:rFonts w:hint="default" w:ascii="Times New Roman" w:hAnsi="Times New Roman" w:cs="Times New Roman" w:eastAsiaTheme="minorEastAsia"/>
                <w:color w:val="auto"/>
                <w:highlight w:val="none"/>
                <w:vertAlign w:val="superscript"/>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648"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1238"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机械库</w:t>
            </w:r>
          </w:p>
        </w:tc>
        <w:tc>
          <w:tcPr>
            <w:tcW w:w="6834"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位于厂区内北部，1栋，建筑面积186m</w:t>
            </w:r>
            <w:r>
              <w:rPr>
                <w:rFonts w:hint="default" w:ascii="Times New Roman" w:hAnsi="Times New Roman" w:cs="Times New Roman" w:eastAsiaTheme="minorEastAsia"/>
                <w:color w:val="auto"/>
                <w:highlight w:val="none"/>
                <w:vertAlign w:val="superscript"/>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648"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1238"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挤奶通道</w:t>
            </w:r>
          </w:p>
        </w:tc>
        <w:tc>
          <w:tcPr>
            <w:tcW w:w="683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挤奶厅南侧2条，建筑面积分别为270m</w:t>
            </w:r>
            <w:r>
              <w:rPr>
                <w:rFonts w:hint="default" w:ascii="Times New Roman" w:hAnsi="Times New Roman" w:cs="Times New Roman" w:eastAsiaTheme="minorEastAsia"/>
                <w:color w:val="auto"/>
                <w:highlight w:val="none"/>
                <w:vertAlign w:val="superscript"/>
              </w:rPr>
              <w:t>2</w:t>
            </w:r>
            <w:r>
              <w:rPr>
                <w:rFonts w:hint="default" w:ascii="Times New Roman" w:hAnsi="Times New Roman" w:cs="Times New Roman" w:eastAsiaTheme="minorEastAsia"/>
                <w:color w:val="auto"/>
                <w:highlight w:val="none"/>
              </w:rPr>
              <w:t>和255m</w:t>
            </w:r>
            <w:r>
              <w:rPr>
                <w:rFonts w:hint="default" w:ascii="Times New Roman" w:hAnsi="Times New Roman" w:cs="Times New Roman" w:eastAsiaTheme="minorEastAsia"/>
                <w:color w:val="auto"/>
                <w:highlight w:val="none"/>
                <w:vertAlign w:val="superscript"/>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648"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1238"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锅炉房</w:t>
            </w:r>
          </w:p>
        </w:tc>
        <w:tc>
          <w:tcPr>
            <w:tcW w:w="683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位于厂区内北部，1吨生物质锅炉，建筑面积192m</w:t>
            </w:r>
            <w:r>
              <w:rPr>
                <w:rFonts w:hint="default" w:ascii="Times New Roman" w:hAnsi="Times New Roman" w:cs="Times New Roman" w:eastAsiaTheme="minorEastAsia"/>
                <w:color w:val="auto"/>
                <w:highlight w:val="none"/>
                <w:vertAlign w:val="superscript"/>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648"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1238"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更衣室</w:t>
            </w:r>
          </w:p>
        </w:tc>
        <w:tc>
          <w:tcPr>
            <w:tcW w:w="683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位于厂区内北部，1栋，单层，建筑面积50m</w:t>
            </w:r>
            <w:r>
              <w:rPr>
                <w:rFonts w:hint="default" w:ascii="Times New Roman" w:hAnsi="Times New Roman" w:cs="Times New Roman" w:eastAsiaTheme="minorEastAsia"/>
                <w:color w:val="auto"/>
                <w:highlight w:val="none"/>
                <w:vertAlign w:val="superscript"/>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648"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1238"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场内道路</w:t>
            </w:r>
          </w:p>
        </w:tc>
        <w:tc>
          <w:tcPr>
            <w:tcW w:w="683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场区内铺设道路3000 m</w:t>
            </w:r>
            <w:r>
              <w:rPr>
                <w:rFonts w:hint="default" w:ascii="Times New Roman" w:hAnsi="Times New Roman" w:cs="Times New Roman" w:eastAsiaTheme="minorEastAsia"/>
                <w:color w:val="auto"/>
                <w:highlight w:val="none"/>
                <w:vertAlign w:val="superscript"/>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5" w:hRule="atLeast"/>
        </w:trPr>
        <w:tc>
          <w:tcPr>
            <w:tcW w:w="648" w:type="dxa"/>
            <w:vMerge w:val="restar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储运工程</w:t>
            </w:r>
          </w:p>
        </w:tc>
        <w:tc>
          <w:tcPr>
            <w:tcW w:w="1238"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储奶间</w:t>
            </w:r>
          </w:p>
        </w:tc>
        <w:tc>
          <w:tcPr>
            <w:tcW w:w="6834" w:type="dxa"/>
            <w:tcBorders>
              <w:bottom w:val="single" w:color="auto" w:sz="4" w:space="0"/>
            </w:tcBorders>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位于挤奶厅内，建筑面积500m</w:t>
            </w:r>
            <w:r>
              <w:rPr>
                <w:rFonts w:hint="default" w:ascii="Times New Roman" w:hAnsi="Times New Roman" w:cs="Times New Roman" w:eastAsiaTheme="minorEastAsia"/>
                <w:color w:val="auto"/>
                <w:highlight w:val="none"/>
                <w:vertAlign w:val="superscript"/>
              </w:rPr>
              <w:t>2</w:t>
            </w:r>
            <w:r>
              <w:rPr>
                <w:rFonts w:hint="default" w:ascii="Times New Roman" w:hAnsi="Times New Roman" w:cs="Times New Roman" w:eastAsiaTheme="minorEastAsia"/>
                <w:color w:val="auto"/>
                <w:highlight w:val="none"/>
              </w:rPr>
              <w:t>，设置制冷系统2套，采用R22制冷剂，配备不锈钢牛奶冷藏罐10个，单个冷藏罐容积10m</w:t>
            </w:r>
            <w:r>
              <w:rPr>
                <w:rFonts w:hint="default" w:ascii="Times New Roman" w:hAnsi="Times New Roman" w:cs="Times New Roman" w:eastAsiaTheme="minorEastAsia"/>
                <w:color w:val="auto"/>
                <w:highlight w:val="none"/>
                <w:vertAlign w:val="superscript"/>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0" w:hRule="atLeast"/>
        </w:trPr>
        <w:tc>
          <w:tcPr>
            <w:tcW w:w="648"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1238"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储藏间</w:t>
            </w:r>
          </w:p>
        </w:tc>
        <w:tc>
          <w:tcPr>
            <w:tcW w:w="6834" w:type="dxa"/>
            <w:tcBorders>
              <w:top w:val="single" w:color="auto" w:sz="4" w:space="0"/>
              <w:bottom w:val="single" w:color="auto" w:sz="4" w:space="0"/>
            </w:tcBorders>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位于综合楼内，面积10m</w:t>
            </w:r>
            <w:r>
              <w:rPr>
                <w:rFonts w:hint="default" w:ascii="Times New Roman" w:hAnsi="Times New Roman" w:cs="Times New Roman" w:eastAsiaTheme="minorEastAsia"/>
                <w:color w:val="auto"/>
                <w:highlight w:val="none"/>
                <w:vertAlign w:val="superscript"/>
              </w:rPr>
              <w:t>2</w:t>
            </w:r>
            <w:r>
              <w:rPr>
                <w:rFonts w:hint="default" w:ascii="Times New Roman" w:hAnsi="Times New Roman" w:cs="Times New Roman" w:eastAsiaTheme="minorEastAsia"/>
                <w:color w:val="auto"/>
                <w:highlight w:val="none"/>
              </w:rPr>
              <w:t>，储存除臭剂、消毒剂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5" w:hRule="atLeast"/>
        </w:trPr>
        <w:tc>
          <w:tcPr>
            <w:tcW w:w="648"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1238" w:type="dxa"/>
            <w:tcBorders>
              <w:top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精料库</w:t>
            </w:r>
          </w:p>
        </w:tc>
        <w:tc>
          <w:tcPr>
            <w:tcW w:w="6834" w:type="dxa"/>
            <w:tcBorders>
              <w:top w:val="single" w:color="auto" w:sz="4" w:space="0"/>
            </w:tcBorders>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位于厂区内中部，1栋，单层，建筑面积1071 m</w:t>
            </w:r>
            <w:r>
              <w:rPr>
                <w:rFonts w:hint="default" w:ascii="Times New Roman" w:hAnsi="Times New Roman" w:cs="Times New Roman" w:eastAsiaTheme="minorEastAsia"/>
                <w:color w:val="auto"/>
                <w:highlight w:val="none"/>
                <w:vertAlign w:val="superscript"/>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7" w:hRule="atLeast"/>
        </w:trPr>
        <w:tc>
          <w:tcPr>
            <w:tcW w:w="648"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1238"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kern w:val="2"/>
                <w:highlight w:val="none"/>
                <w:lang w:eastAsia="ja-JP"/>
              </w:rPr>
            </w:pPr>
            <w:r>
              <w:rPr>
                <w:rFonts w:hint="default" w:ascii="Times New Roman" w:hAnsi="Times New Roman" w:cs="Times New Roman" w:eastAsiaTheme="minorEastAsia"/>
                <w:color w:val="auto"/>
                <w:highlight w:val="none"/>
              </w:rPr>
              <w:t>青贮窖</w:t>
            </w:r>
          </w:p>
        </w:tc>
        <w:tc>
          <w:tcPr>
            <w:tcW w:w="6834" w:type="dxa"/>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位于厂区内中部，2栋，单栋建筑面积2080m</w:t>
            </w:r>
            <w:r>
              <w:rPr>
                <w:rFonts w:hint="default" w:ascii="Times New Roman" w:hAnsi="Times New Roman" w:cs="Times New Roman" w:eastAsiaTheme="minorEastAsia"/>
                <w:color w:val="auto"/>
                <w:highlight w:val="none"/>
                <w:vertAlign w:val="superscript"/>
              </w:rPr>
              <w:t>2</w:t>
            </w:r>
            <w:r>
              <w:rPr>
                <w:rFonts w:hint="default" w:ascii="Times New Roman" w:hAnsi="Times New Roman" w:cs="Times New Roman" w:eastAsiaTheme="minorEastAsia"/>
                <w:color w:val="auto"/>
                <w:highlight w:val="none"/>
              </w:rPr>
              <w:t>，总建筑面积4160m</w:t>
            </w:r>
            <w:r>
              <w:rPr>
                <w:rFonts w:hint="default" w:ascii="Times New Roman" w:hAnsi="Times New Roman" w:cs="Times New Roman" w:eastAsiaTheme="minorEastAsia"/>
                <w:color w:val="auto"/>
                <w:highlight w:val="none"/>
                <w:vertAlign w:val="superscript"/>
              </w:rPr>
              <w:t>2</w:t>
            </w:r>
            <w:r>
              <w:rPr>
                <w:rFonts w:hint="default" w:ascii="Times New Roman" w:hAnsi="Times New Roman" w:cs="Times New Roman" w:eastAsiaTheme="minorEastAsia"/>
                <w:color w:val="auto"/>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4" w:hRule="atLeast"/>
        </w:trPr>
        <w:tc>
          <w:tcPr>
            <w:tcW w:w="648"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1238" w:type="dxa"/>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kern w:val="2"/>
                <w:highlight w:val="none"/>
                <w:lang w:eastAsia="ja-JP"/>
              </w:rPr>
            </w:pPr>
            <w:r>
              <w:rPr>
                <w:rFonts w:hint="default" w:ascii="Times New Roman" w:hAnsi="Times New Roman" w:cs="Times New Roman" w:eastAsiaTheme="minorEastAsia"/>
                <w:color w:val="auto"/>
                <w:highlight w:val="none"/>
              </w:rPr>
              <w:t>饲草库</w:t>
            </w:r>
          </w:p>
        </w:tc>
        <w:tc>
          <w:tcPr>
            <w:tcW w:w="6834" w:type="dxa"/>
            <w:tcBorders>
              <w:bottom w:val="single" w:color="auto" w:sz="4" w:space="0"/>
            </w:tcBorders>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位于厂区内中部，1座，建筑面积4800m</w:t>
            </w:r>
            <w:r>
              <w:rPr>
                <w:rFonts w:hint="default" w:ascii="Times New Roman" w:hAnsi="Times New Roman" w:cs="Times New Roman" w:eastAsiaTheme="minorEastAsia"/>
                <w:color w:val="auto"/>
                <w:highlight w:val="none"/>
                <w:vertAlign w:val="superscript"/>
              </w:rPr>
              <w:t>2</w:t>
            </w:r>
            <w:r>
              <w:rPr>
                <w:rFonts w:hint="default" w:ascii="Times New Roman" w:hAnsi="Times New Roman" w:cs="Times New Roman" w:eastAsiaTheme="minorEastAsia"/>
                <w:color w:val="auto"/>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14" w:hRule="atLeast"/>
        </w:trPr>
        <w:tc>
          <w:tcPr>
            <w:tcW w:w="648"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1238"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kern w:val="2"/>
                <w:highlight w:val="none"/>
                <w:lang w:eastAsia="ja-JP"/>
              </w:rPr>
            </w:pPr>
            <w:r>
              <w:rPr>
                <w:rFonts w:hint="default" w:ascii="Times New Roman" w:hAnsi="Times New Roman" w:cs="Times New Roman" w:eastAsiaTheme="minorEastAsia"/>
                <w:color w:val="auto"/>
                <w:highlight w:val="none"/>
              </w:rPr>
              <w:t>固液分离间</w:t>
            </w:r>
          </w:p>
        </w:tc>
        <w:tc>
          <w:tcPr>
            <w:tcW w:w="683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位于厂区内西南部，1座，建筑面积1800m</w:t>
            </w:r>
            <w:r>
              <w:rPr>
                <w:rFonts w:hint="default" w:ascii="Times New Roman" w:hAnsi="Times New Roman" w:cs="Times New Roman" w:eastAsiaTheme="minorEastAsia"/>
                <w:color w:val="auto"/>
                <w:highlight w:val="none"/>
                <w:vertAlign w:val="superscript"/>
              </w:rPr>
              <w:t>2</w:t>
            </w:r>
            <w:r>
              <w:rPr>
                <w:rFonts w:hint="default" w:ascii="Times New Roman" w:hAnsi="Times New Roman" w:cs="Times New Roman" w:eastAsiaTheme="minorEastAsia"/>
                <w:color w:val="auto"/>
                <w:highlight w:val="none"/>
              </w:rPr>
              <w:t>。对牛舍产生的废水进行固液分离，内设集污池1座，容积80m</w:t>
            </w:r>
            <w:r>
              <w:rPr>
                <w:rFonts w:hint="default" w:ascii="Times New Roman" w:hAnsi="Times New Roman" w:cs="Times New Roman" w:eastAsiaTheme="minorEastAsia"/>
                <w:color w:val="auto"/>
                <w:highlight w:val="none"/>
                <w:vertAlign w:val="superscript"/>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648"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1238"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kern w:val="2"/>
                <w:highlight w:val="none"/>
              </w:rPr>
            </w:pPr>
            <w:r>
              <w:rPr>
                <w:rFonts w:hint="default" w:ascii="Times New Roman" w:hAnsi="Times New Roman" w:cs="Times New Roman" w:eastAsiaTheme="minorEastAsia"/>
                <w:color w:val="auto"/>
                <w:kern w:val="2"/>
                <w:highlight w:val="none"/>
              </w:rPr>
              <w:t>黑膜沼气池</w:t>
            </w:r>
          </w:p>
        </w:tc>
        <w:tc>
          <w:tcPr>
            <w:tcW w:w="683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位于厂区内南部，1座，建筑面积1800m</w:t>
            </w:r>
            <w:r>
              <w:rPr>
                <w:rFonts w:hint="default" w:ascii="Times New Roman" w:hAnsi="Times New Roman" w:cs="Times New Roman" w:eastAsiaTheme="minorEastAsia"/>
                <w:color w:val="auto"/>
                <w:highlight w:val="none"/>
                <w:vertAlign w:val="superscript"/>
              </w:rPr>
              <w:t>2</w:t>
            </w:r>
            <w:r>
              <w:rPr>
                <w:rFonts w:hint="default" w:ascii="Times New Roman" w:hAnsi="Times New Roman" w:cs="Times New Roman" w:eastAsiaTheme="minorEastAsia"/>
                <w:color w:val="auto"/>
                <w:highlight w:val="none"/>
              </w:rPr>
              <w:t>，容积5400m</w:t>
            </w:r>
            <w:r>
              <w:rPr>
                <w:rFonts w:hint="default" w:ascii="Times New Roman" w:hAnsi="Times New Roman" w:cs="Times New Roman" w:eastAsiaTheme="minorEastAsia"/>
                <w:color w:val="auto"/>
                <w:highlight w:val="none"/>
                <w:vertAlign w:val="superscript"/>
              </w:rPr>
              <w:t>3</w:t>
            </w:r>
            <w:r>
              <w:rPr>
                <w:rFonts w:hint="default" w:ascii="Times New Roman" w:hAnsi="Times New Roman" w:cs="Times New Roman" w:eastAsiaTheme="minorEastAsia"/>
                <w:color w:val="auto"/>
                <w:highlight w:val="none"/>
              </w:rPr>
              <w:t>，水力停留时间为25d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648"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1238"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kern w:val="2"/>
                <w:highlight w:val="none"/>
              </w:rPr>
            </w:pPr>
            <w:r>
              <w:rPr>
                <w:rFonts w:hint="default" w:ascii="Times New Roman" w:hAnsi="Times New Roman" w:cs="Times New Roman" w:eastAsiaTheme="minorEastAsia"/>
                <w:color w:val="auto"/>
                <w:kern w:val="2"/>
                <w:highlight w:val="none"/>
              </w:rPr>
              <w:t>沼液储池</w:t>
            </w:r>
          </w:p>
        </w:tc>
        <w:tc>
          <w:tcPr>
            <w:tcW w:w="6834" w:type="dxa"/>
            <w:tcBorders>
              <w:top w:val="single" w:color="auto" w:sz="4"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位于厂区内南部，1座，容积10800m</w:t>
            </w:r>
            <w:r>
              <w:rPr>
                <w:rFonts w:hint="default" w:ascii="Times New Roman" w:hAnsi="Times New Roman" w:cs="Times New Roman" w:eastAsiaTheme="minorEastAsia"/>
                <w:color w:val="auto"/>
                <w:highlight w:val="none"/>
                <w:vertAlign w:val="superscript"/>
              </w:rPr>
              <w:t>3</w:t>
            </w:r>
            <w:r>
              <w:rPr>
                <w:rFonts w:hint="default" w:ascii="Times New Roman" w:hAnsi="Times New Roman" w:cs="Times New Roman" w:eastAsiaTheme="minorEastAsia"/>
                <w:color w:val="auto"/>
                <w:highlight w:val="none"/>
              </w:rPr>
              <w:t>，对发酵后沼液进行储存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5" w:hRule="atLeast"/>
        </w:trPr>
        <w:tc>
          <w:tcPr>
            <w:tcW w:w="648"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1238" w:type="dxa"/>
            <w:tcBorders>
              <w:top w:val="single" w:color="auto" w:sz="2" w:space="0"/>
              <w:bottom w:val="single" w:color="auto" w:sz="2" w:space="0"/>
            </w:tcBorders>
            <w:vAlign w:val="center"/>
          </w:tcPr>
          <w:p>
            <w:pPr>
              <w:pStyle w:val="1252"/>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14:textFill>
                  <w14:solidFill>
                    <w14:schemeClr w14:val="tx1"/>
                  </w14:solidFill>
                </w14:textFill>
              </w:rPr>
              <w:t>沼气囊</w:t>
            </w:r>
          </w:p>
        </w:tc>
        <w:tc>
          <w:tcPr>
            <w:tcW w:w="6834" w:type="dxa"/>
            <w:tcBorders>
              <w:top w:val="single" w:color="auto" w:sz="2" w:space="0"/>
              <w:bottom w:val="single" w:color="auto" w:sz="2" w:space="0"/>
            </w:tcBorders>
            <w:vAlign w:val="center"/>
          </w:tcPr>
          <w:p>
            <w:pPr>
              <w:pStyle w:val="8"/>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eastAsiaTheme="minorEastAsia"/>
                <w:color w:val="000000" w:themeColor="text1"/>
                <w:spacing w:val="20"/>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lang w:eastAsia="zh-CN"/>
                <w14:textFill>
                  <w14:solidFill>
                    <w14:schemeClr w14:val="tx1"/>
                  </w14:solidFill>
                </w14:textFill>
              </w:rPr>
              <w:t>在</w:t>
            </w:r>
            <w:r>
              <w:rPr>
                <w:rFonts w:hint="default" w:ascii="Times New Roman" w:hAnsi="Times New Roman" w:cs="Times New Roman" w:eastAsiaTheme="minorEastAsia"/>
                <w:color w:val="000000" w:themeColor="text1"/>
                <w:kern w:val="2"/>
                <w:sz w:val="21"/>
                <w:szCs w:val="21"/>
                <w14:textFill>
                  <w14:solidFill>
                    <w14:schemeClr w14:val="tx1"/>
                  </w14:solidFill>
                </w14:textFill>
              </w:rPr>
              <w:t>沼气池上方设置</w:t>
            </w:r>
            <w:r>
              <w:rPr>
                <w:rFonts w:hint="default" w:ascii="Times New Roman" w:hAnsi="Times New Roman" w:cs="Times New Roman" w:eastAsiaTheme="minorEastAsia"/>
                <w:color w:val="000000" w:themeColor="text1"/>
                <w:kern w:val="2"/>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kern w:val="2"/>
                <w:sz w:val="21"/>
                <w:szCs w:val="21"/>
                <w14:textFill>
                  <w14:solidFill>
                    <w14:schemeClr w14:val="tx1"/>
                  </w14:solidFill>
                </w14:textFill>
              </w:rPr>
              <w:t>个沼气囊，容积为5000m</w:t>
            </w:r>
            <w:r>
              <w:rPr>
                <w:rFonts w:hint="default" w:ascii="Times New Roman" w:hAnsi="Times New Roman" w:cs="Times New Roman" w:eastAsiaTheme="minorEastAsia"/>
                <w:color w:val="000000" w:themeColor="text1"/>
                <w:kern w:val="2"/>
                <w:sz w:val="21"/>
                <w:szCs w:val="21"/>
                <w:vertAlign w:val="superscript"/>
                <w14:textFill>
                  <w14:solidFill>
                    <w14:schemeClr w14:val="tx1"/>
                  </w14:solidFill>
                </w14:textFill>
              </w:rPr>
              <w:t>3</w:t>
            </w:r>
            <w:r>
              <w:rPr>
                <w:rFonts w:hint="default" w:ascii="Times New Roman" w:hAnsi="Times New Roman" w:cs="Times New Roman" w:eastAsiaTheme="minorEastAsia"/>
                <w:color w:val="000000" w:themeColor="text1"/>
                <w:kern w:val="2"/>
                <w:sz w:val="21"/>
                <w:szCs w:val="21"/>
                <w14:textFill>
                  <w14:solidFill>
                    <w14:schemeClr w14:val="tx1"/>
                  </w14:solidFill>
                </w14:textFill>
              </w:rPr>
              <w:t>，用于沼气的贮存。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5" w:hRule="atLeast"/>
        </w:trPr>
        <w:tc>
          <w:tcPr>
            <w:tcW w:w="648"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1238" w:type="dxa"/>
            <w:tcBorders>
              <w:top w:val="single" w:color="auto" w:sz="2" w:space="0"/>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化粪池</w:t>
            </w:r>
          </w:p>
        </w:tc>
        <w:tc>
          <w:tcPr>
            <w:tcW w:w="6834" w:type="dxa"/>
            <w:tcBorders>
              <w:top w:val="single" w:color="auto" w:sz="2" w:space="0"/>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新建防渗化粪池，位于厂区内北部，1座，容积10m</w:t>
            </w:r>
            <w:r>
              <w:rPr>
                <w:rFonts w:hint="default" w:ascii="Times New Roman" w:hAnsi="Times New Roman" w:cs="Times New Roman" w:eastAsiaTheme="minorEastAsia"/>
                <w:color w:val="auto"/>
                <w:highlight w:val="none"/>
                <w:vertAlign w:val="superscript"/>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648"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1238" w:type="dxa"/>
            <w:tcBorders>
              <w:top w:val="single" w:color="auto" w:sz="2"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kern w:val="2"/>
                <w:highlight w:val="none"/>
              </w:rPr>
            </w:pPr>
            <w:r>
              <w:rPr>
                <w:rFonts w:hint="default" w:ascii="Times New Roman" w:hAnsi="Times New Roman" w:cs="Times New Roman" w:eastAsiaTheme="minorEastAsia"/>
                <w:color w:val="auto"/>
                <w:kern w:val="2"/>
                <w:highlight w:val="none"/>
              </w:rPr>
              <w:t>病死牛暂存间</w:t>
            </w:r>
          </w:p>
        </w:tc>
        <w:tc>
          <w:tcPr>
            <w:tcW w:w="6834" w:type="dxa"/>
            <w:tcBorders>
              <w:top w:val="single" w:color="auto" w:sz="2" w:space="0"/>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位于厂区内西部，占地面积20m</w:t>
            </w:r>
            <w:r>
              <w:rPr>
                <w:rFonts w:hint="default" w:ascii="Times New Roman" w:hAnsi="Times New Roman" w:cs="Times New Roman" w:eastAsiaTheme="minorEastAsia"/>
                <w:color w:val="auto"/>
                <w:highlight w:val="none"/>
                <w:vertAlign w:val="superscript"/>
              </w:rPr>
              <w:t>2</w:t>
            </w:r>
            <w:r>
              <w:rPr>
                <w:rFonts w:hint="default" w:ascii="Times New Roman" w:hAnsi="Times New Roman" w:cs="Times New Roman" w:eastAsiaTheme="minorEastAsia"/>
                <w:color w:val="auto"/>
                <w:highlight w:val="none"/>
              </w:rPr>
              <w:t>，暂存病死牛，配备冷冻系统，暂存时间不超过24h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0" w:hRule="atLeast"/>
        </w:trPr>
        <w:tc>
          <w:tcPr>
            <w:tcW w:w="648"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1238" w:type="dxa"/>
            <w:tcBorders>
              <w:top w:val="single" w:color="auto" w:sz="2" w:space="0"/>
              <w:bottom w:val="single" w:color="auto" w:sz="2"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危废暂存间</w:t>
            </w:r>
          </w:p>
        </w:tc>
        <w:tc>
          <w:tcPr>
            <w:tcW w:w="6834" w:type="dxa"/>
            <w:tcBorders>
              <w:top w:val="single" w:color="auto" w:sz="2" w:space="0"/>
              <w:bottom w:val="single" w:color="auto" w:sz="2" w:space="0"/>
            </w:tcBorders>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位于厂区内西部，占地面积20m</w:t>
            </w:r>
            <w:r>
              <w:rPr>
                <w:rFonts w:hint="default" w:ascii="Times New Roman" w:hAnsi="Times New Roman" w:cs="Times New Roman" w:eastAsiaTheme="minorEastAsia"/>
                <w:color w:val="auto"/>
                <w:highlight w:val="none"/>
                <w:vertAlign w:val="superscript"/>
              </w:rPr>
              <w:t>2</w:t>
            </w:r>
            <w:r>
              <w:rPr>
                <w:rFonts w:hint="default" w:ascii="Times New Roman" w:hAnsi="Times New Roman" w:cs="Times New Roman" w:eastAsiaTheme="minorEastAsia"/>
                <w:color w:val="auto"/>
                <w:highlight w:val="none"/>
              </w:rPr>
              <w:t>，位于厂区西侧，远离办公区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8" w:type="dxa"/>
            <w:vMerge w:val="restar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公用工程</w:t>
            </w:r>
          </w:p>
        </w:tc>
        <w:tc>
          <w:tcPr>
            <w:tcW w:w="1238"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给水</w:t>
            </w:r>
          </w:p>
        </w:tc>
        <w:tc>
          <w:tcPr>
            <w:tcW w:w="6834" w:type="dxa"/>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本项目自建水井1眼，作为厂区生产、生活用水水源，井深60m，出水量40m</w:t>
            </w:r>
            <w:r>
              <w:rPr>
                <w:rFonts w:hint="default" w:ascii="Times New Roman" w:hAnsi="Times New Roman" w:cs="Times New Roman" w:eastAsiaTheme="minorEastAsia"/>
                <w:color w:val="auto"/>
                <w:highlight w:val="none"/>
                <w:vertAlign w:val="superscript"/>
              </w:rPr>
              <w:t>3</w:t>
            </w:r>
            <w:r>
              <w:rPr>
                <w:rFonts w:hint="default" w:ascii="Times New Roman" w:hAnsi="Times New Roman" w:cs="Times New Roman" w:eastAsiaTheme="minorEastAsia"/>
                <w:color w:val="auto"/>
                <w:highlight w:val="none"/>
              </w:rPr>
              <w:t>/h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8"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1238"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排水</w:t>
            </w:r>
          </w:p>
        </w:tc>
        <w:tc>
          <w:tcPr>
            <w:tcW w:w="6834" w:type="dxa"/>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雨污分流，厂区内设置雨水雨水收集管沟，雨水汇流后排至厂区外边沟；牛尿、牛舍冲洗废水、牛舍喷淋水经牛舍粪沟统一收集，与挤奶厅清洗废水一同运至固液分离间进行固液分离，分离后液体排入黑膜沼气池发酵，生活污水进入化粪池后利用吸污车定期抽运至黑膜沼气池，发酵后定期还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8"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1238"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供热</w:t>
            </w:r>
          </w:p>
        </w:tc>
        <w:tc>
          <w:tcPr>
            <w:tcW w:w="683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办公楼生物质锅炉取暖，牛舍供热采用电采暖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8"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1238" w:type="dxa"/>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供电</w:t>
            </w:r>
          </w:p>
        </w:tc>
        <w:tc>
          <w:tcPr>
            <w:tcW w:w="6834"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当地供电线路引入</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8" w:type="dxa"/>
            <w:vMerge w:val="restar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环保工程</w:t>
            </w:r>
          </w:p>
        </w:tc>
        <w:tc>
          <w:tcPr>
            <w:tcW w:w="1238"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废水治理</w:t>
            </w:r>
          </w:p>
        </w:tc>
        <w:tc>
          <w:tcPr>
            <w:tcW w:w="6834" w:type="dxa"/>
          </w:tcPr>
          <w:p>
            <w:pPr>
              <w:pStyle w:val="666"/>
              <w:keepNext w:val="0"/>
              <w:keepLines w:val="0"/>
              <w:pageBreakBefore w:val="0"/>
              <w:widowControl/>
              <w:kinsoku/>
              <w:wordWrap/>
              <w:overflowPunct/>
              <w:topLinePunct w:val="0"/>
              <w:autoSpaceDE/>
              <w:autoSpaceDN/>
              <w:bidi w:val="0"/>
              <w:adjustRightInd w:val="0"/>
              <w:snapToGrid w:val="0"/>
              <w:spacing w:line="320" w:lineRule="exact"/>
              <w:jc w:val="lef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牛尿、牛舍冲洗废水、牛舍喷淋水经牛舍粪沟统一收集，与挤奶厅清洗废水一同运至固液分离间进行固液分离，分离后液体排入黑膜沼气池发酵，生活污水进入化粪池后利用吸污车定期抽运至黑膜沼气池，发酵后排入沼液储池，定期还田，本项目粪污配套消纳土地最小面积为1428亩，已签订粪污还田协议书，签订还田面积为1500亩，满足土地消纳要求；雨水汇流后排至厂区外边沟；本项目设置一座黑膜沼气池，位于厂区内南部，1座，容积5400m</w:t>
            </w:r>
            <w:r>
              <w:rPr>
                <w:rFonts w:hint="default" w:ascii="Times New Roman" w:hAnsi="Times New Roman" w:cs="Times New Roman" w:eastAsiaTheme="minorEastAsia"/>
                <w:color w:val="auto"/>
                <w:highlight w:val="none"/>
                <w:vertAlign w:val="superscript"/>
              </w:rPr>
              <w:t>3</w:t>
            </w:r>
            <w:r>
              <w:rPr>
                <w:rFonts w:hint="default" w:ascii="Times New Roman" w:hAnsi="Times New Roman" w:cs="Times New Roman" w:eastAsiaTheme="minorEastAsia"/>
                <w:color w:val="auto"/>
                <w:highlight w:val="none"/>
              </w:rPr>
              <w:t>，配套设置储液池1座，总容积10800m</w:t>
            </w:r>
            <w:r>
              <w:rPr>
                <w:rFonts w:hint="default" w:ascii="Times New Roman" w:hAnsi="Times New Roman" w:cs="Times New Roman" w:eastAsiaTheme="minorEastAsia"/>
                <w:color w:val="auto"/>
                <w:highlight w:val="none"/>
                <w:vertAlign w:val="superscript"/>
              </w:rPr>
              <w:t>3</w:t>
            </w:r>
            <w:r>
              <w:rPr>
                <w:rFonts w:hint="default" w:ascii="Times New Roman" w:hAnsi="Times New Roman" w:cs="Times New Roman" w:eastAsiaTheme="minorEastAsia"/>
                <w:color w:val="auto"/>
                <w:highlight w:val="none"/>
              </w:rPr>
              <w:t>，本项目废水产生量为21.74m</w:t>
            </w:r>
            <w:r>
              <w:rPr>
                <w:rFonts w:hint="default" w:ascii="Times New Roman" w:hAnsi="Times New Roman" w:cs="Times New Roman" w:eastAsiaTheme="minorEastAsia"/>
                <w:color w:val="auto"/>
                <w:highlight w:val="none"/>
                <w:vertAlign w:val="superscript"/>
              </w:rPr>
              <w:t>3</w:t>
            </w:r>
            <w:r>
              <w:rPr>
                <w:rFonts w:hint="default" w:ascii="Times New Roman" w:hAnsi="Times New Roman" w:cs="Times New Roman" w:eastAsiaTheme="minorEastAsia"/>
                <w:color w:val="auto"/>
                <w:highlight w:val="none"/>
              </w:rPr>
              <w:t>，黑膜沼气池及沼液储池共可以存储废水6个月以上，满足沼液冬储夏排还田需求。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8"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1238"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废气治理</w:t>
            </w:r>
          </w:p>
        </w:tc>
        <w:tc>
          <w:tcPr>
            <w:tcW w:w="6834" w:type="dxa"/>
          </w:tcPr>
          <w:p>
            <w:pPr>
              <w:pStyle w:val="666"/>
              <w:keepNext w:val="0"/>
              <w:keepLines w:val="0"/>
              <w:pageBreakBefore w:val="0"/>
              <w:widowControl/>
              <w:kinsoku/>
              <w:wordWrap/>
              <w:overflowPunct/>
              <w:topLinePunct w:val="0"/>
              <w:autoSpaceDE/>
              <w:autoSpaceDN/>
              <w:bidi w:val="0"/>
              <w:adjustRightInd w:val="0"/>
              <w:snapToGrid w:val="0"/>
              <w:spacing w:line="320" w:lineRule="exact"/>
              <w:jc w:val="both"/>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8"/>
                <w:kern w:val="21"/>
                <w:highlight w:val="none"/>
              </w:rPr>
              <w:t>（1）沼气脱硫后</w:t>
            </w:r>
            <w:r>
              <w:rPr>
                <w:rFonts w:hint="default" w:ascii="Times New Roman" w:hAnsi="Times New Roman" w:cs="Times New Roman" w:eastAsiaTheme="minorEastAsia"/>
                <w:color w:val="auto"/>
                <w:spacing w:val="-8"/>
                <w:kern w:val="21"/>
                <w:highlight w:val="none"/>
                <w:lang w:eastAsia="zh-CN"/>
              </w:rPr>
              <w:t>火炬</w:t>
            </w:r>
            <w:r>
              <w:rPr>
                <w:rFonts w:hint="default" w:ascii="Times New Roman" w:hAnsi="Times New Roman" w:cs="Times New Roman" w:eastAsiaTheme="minorEastAsia"/>
                <w:color w:val="auto"/>
                <w:spacing w:val="-8"/>
                <w:kern w:val="21"/>
                <w:highlight w:val="none"/>
              </w:rPr>
              <w:t>燃烧</w:t>
            </w:r>
            <w:r>
              <w:rPr>
                <w:rFonts w:hint="default" w:ascii="Times New Roman" w:hAnsi="Times New Roman" w:cs="Times New Roman" w:eastAsiaTheme="minorEastAsia"/>
                <w:color w:val="auto"/>
                <w:spacing w:val="-8"/>
                <w:kern w:val="21"/>
                <w:highlight w:val="none"/>
                <w:lang w:eastAsia="zh-CN"/>
              </w:rPr>
              <w:t>消耗掉</w:t>
            </w:r>
            <w:r>
              <w:rPr>
                <w:rFonts w:hint="default" w:ascii="Times New Roman" w:hAnsi="Times New Roman" w:cs="Times New Roman" w:eastAsiaTheme="minorEastAsia"/>
                <w:color w:val="auto"/>
                <w:spacing w:val="-8"/>
                <w:kern w:val="21"/>
                <w:highlight w:val="none"/>
              </w:rPr>
              <w:t>，</w:t>
            </w:r>
            <w:r>
              <w:rPr>
                <w:rFonts w:hint="default" w:ascii="Times New Roman" w:hAnsi="Times New Roman" w:cs="Times New Roman" w:eastAsiaTheme="minorEastAsia"/>
                <w:color w:val="auto"/>
                <w:highlight w:val="none"/>
              </w:rPr>
              <w:t>沼气燃烧废气中SO</w:t>
            </w:r>
            <w:r>
              <w:rPr>
                <w:rFonts w:hint="default" w:ascii="Times New Roman" w:hAnsi="Times New Roman" w:cs="Times New Roman" w:eastAsiaTheme="minorEastAsia"/>
                <w:color w:val="auto"/>
                <w:highlight w:val="none"/>
                <w:vertAlign w:val="subscript"/>
              </w:rPr>
              <w:t>2</w:t>
            </w:r>
            <w:r>
              <w:rPr>
                <w:rFonts w:hint="default" w:ascii="Times New Roman" w:hAnsi="Times New Roman" w:cs="Times New Roman" w:eastAsiaTheme="minorEastAsia"/>
                <w:color w:val="auto"/>
                <w:highlight w:val="none"/>
              </w:rPr>
              <w:t>排放速率为0.00026kg/h（0.001t/a），颗粒物排放速率为0.00037kg/h（0.002t/a），NO</w:t>
            </w:r>
            <w:r>
              <w:rPr>
                <w:rFonts w:hint="default" w:ascii="Times New Roman" w:hAnsi="Times New Roman" w:cs="Times New Roman" w:eastAsiaTheme="minorEastAsia"/>
                <w:color w:val="auto"/>
                <w:highlight w:val="none"/>
                <w:vertAlign w:val="subscript"/>
              </w:rPr>
              <w:t>x</w:t>
            </w:r>
            <w:r>
              <w:rPr>
                <w:rFonts w:hint="default" w:ascii="Times New Roman" w:hAnsi="Times New Roman" w:cs="Times New Roman" w:eastAsiaTheme="minorEastAsia"/>
                <w:color w:val="auto"/>
                <w:highlight w:val="none"/>
              </w:rPr>
              <w:t>排放速率为0.0024kg/h（0.011t/a）。基准烟气量为13.58Nm</w:t>
            </w:r>
            <w:r>
              <w:rPr>
                <w:rFonts w:hint="default" w:ascii="Times New Roman" w:hAnsi="Times New Roman" w:cs="Times New Roman" w:eastAsiaTheme="minorEastAsia"/>
                <w:color w:val="auto"/>
                <w:highlight w:val="none"/>
                <w:vertAlign w:val="superscript"/>
              </w:rPr>
              <w:t>3</w:t>
            </w:r>
            <w:r>
              <w:rPr>
                <w:rFonts w:hint="default" w:ascii="Times New Roman" w:hAnsi="Times New Roman" w:cs="Times New Roman" w:eastAsiaTheme="minorEastAsia"/>
                <w:color w:val="auto"/>
                <w:highlight w:val="none"/>
              </w:rPr>
              <w:t>/h。SO</w:t>
            </w:r>
            <w:r>
              <w:rPr>
                <w:rFonts w:hint="default" w:ascii="Times New Roman" w:hAnsi="Times New Roman" w:cs="Times New Roman" w:eastAsiaTheme="minorEastAsia"/>
                <w:color w:val="auto"/>
                <w:highlight w:val="none"/>
                <w:vertAlign w:val="subscript"/>
              </w:rPr>
              <w:t>2</w:t>
            </w:r>
            <w:r>
              <w:rPr>
                <w:rFonts w:hint="default" w:ascii="Times New Roman" w:hAnsi="Times New Roman" w:cs="Times New Roman" w:eastAsiaTheme="minorEastAsia"/>
                <w:color w:val="auto"/>
                <w:highlight w:val="none"/>
              </w:rPr>
              <w:t>排放浓度为19.14mg/m</w:t>
            </w:r>
            <w:r>
              <w:rPr>
                <w:rFonts w:hint="default" w:ascii="Times New Roman" w:hAnsi="Times New Roman" w:cs="Times New Roman" w:eastAsiaTheme="minorEastAsia"/>
                <w:color w:val="auto"/>
                <w:highlight w:val="none"/>
                <w:vertAlign w:val="superscript"/>
              </w:rPr>
              <w:t>3</w:t>
            </w:r>
            <w:r>
              <w:rPr>
                <w:rFonts w:hint="default" w:ascii="Times New Roman" w:hAnsi="Times New Roman" w:cs="Times New Roman" w:eastAsiaTheme="minorEastAsia"/>
                <w:color w:val="auto"/>
                <w:highlight w:val="none"/>
              </w:rPr>
              <w:t>，颗粒物排放浓度为24.24mg/m</w:t>
            </w:r>
            <w:r>
              <w:rPr>
                <w:rFonts w:hint="default" w:ascii="Times New Roman" w:hAnsi="Times New Roman" w:cs="Times New Roman" w:eastAsiaTheme="minorEastAsia"/>
                <w:color w:val="auto"/>
                <w:highlight w:val="none"/>
                <w:vertAlign w:val="superscript"/>
              </w:rPr>
              <w:t>3</w:t>
            </w:r>
            <w:r>
              <w:rPr>
                <w:rFonts w:hint="default" w:ascii="Times New Roman" w:hAnsi="Times New Roman" w:cs="Times New Roman" w:eastAsiaTheme="minorEastAsia"/>
                <w:color w:val="auto"/>
                <w:highlight w:val="none"/>
              </w:rPr>
              <w:t>，NO</w:t>
            </w:r>
            <w:r>
              <w:rPr>
                <w:rFonts w:hint="default" w:ascii="Times New Roman" w:hAnsi="Times New Roman" w:cs="Times New Roman" w:eastAsiaTheme="minorEastAsia"/>
                <w:color w:val="auto"/>
                <w:highlight w:val="none"/>
                <w:vertAlign w:val="subscript"/>
              </w:rPr>
              <w:t>x</w:t>
            </w:r>
            <w:r>
              <w:rPr>
                <w:rFonts w:hint="default" w:ascii="Times New Roman" w:hAnsi="Times New Roman" w:cs="Times New Roman" w:eastAsiaTheme="minorEastAsia"/>
                <w:color w:val="auto"/>
                <w:highlight w:val="none"/>
              </w:rPr>
              <w:t>排放浓度为176.73mg/m</w:t>
            </w:r>
            <w:r>
              <w:rPr>
                <w:rFonts w:hint="default" w:ascii="Times New Roman" w:hAnsi="Times New Roman" w:cs="Times New Roman" w:eastAsiaTheme="minorEastAsia"/>
                <w:color w:val="auto"/>
                <w:highlight w:val="none"/>
                <w:vertAlign w:val="superscript"/>
              </w:rPr>
              <w:t>3</w:t>
            </w:r>
            <w:r>
              <w:rPr>
                <w:rFonts w:hint="default" w:ascii="Times New Roman" w:hAnsi="Times New Roman" w:cs="Times New Roman" w:eastAsiaTheme="minorEastAsia"/>
                <w:color w:val="auto"/>
                <w:highlight w:val="none"/>
              </w:rPr>
              <w:t>。沼气燃烧废气满足《大气污染物综合排放标准》（GB16297-1996）中表2二级标准后经15m高排气筒排放。</w:t>
            </w:r>
          </w:p>
          <w:p>
            <w:pPr>
              <w:pStyle w:val="666"/>
              <w:keepNext w:val="0"/>
              <w:keepLines w:val="0"/>
              <w:pageBreakBefore w:val="0"/>
              <w:widowControl/>
              <w:kinsoku/>
              <w:wordWrap/>
              <w:overflowPunct/>
              <w:topLinePunct w:val="0"/>
              <w:autoSpaceDE/>
              <w:autoSpaceDN/>
              <w:bidi w:val="0"/>
              <w:adjustRightInd w:val="0"/>
              <w:snapToGrid w:val="0"/>
              <w:spacing w:line="320" w:lineRule="exact"/>
              <w:jc w:val="left"/>
              <w:textAlignment w:val="auto"/>
              <w:rPr>
                <w:rFonts w:hint="default" w:ascii="Times New Roman" w:hAnsi="Times New Roman" w:cs="Times New Roman" w:eastAsiaTheme="minorEastAsia"/>
                <w:color w:val="auto"/>
                <w:spacing w:val="-8"/>
                <w:kern w:val="21"/>
                <w:highlight w:val="none"/>
              </w:rPr>
            </w:pPr>
            <w:r>
              <w:rPr>
                <w:rFonts w:hint="default" w:ascii="Times New Roman" w:hAnsi="Times New Roman" w:cs="Times New Roman" w:eastAsiaTheme="minorEastAsia"/>
                <w:color w:val="auto"/>
                <w:spacing w:val="-8"/>
                <w:kern w:val="21"/>
                <w:highlight w:val="none"/>
              </w:rPr>
              <w:t>（2）牛舍保持清洁，及时清除粪便，喷洒生物除臭剂，牛舍无组织氨、硫化氢排放厂界处最大浓度分别为0.007mg/m</w:t>
            </w:r>
            <w:r>
              <w:rPr>
                <w:rFonts w:hint="default" w:ascii="Times New Roman" w:hAnsi="Times New Roman" w:cs="Times New Roman" w:eastAsiaTheme="minorEastAsia"/>
                <w:color w:val="auto"/>
                <w:spacing w:val="-8"/>
                <w:kern w:val="21"/>
                <w:highlight w:val="none"/>
                <w:vertAlign w:val="superscript"/>
              </w:rPr>
              <w:t>3</w:t>
            </w:r>
            <w:r>
              <w:rPr>
                <w:rFonts w:hint="default" w:ascii="Times New Roman" w:hAnsi="Times New Roman" w:cs="Times New Roman" w:eastAsiaTheme="minorEastAsia"/>
                <w:color w:val="auto"/>
                <w:spacing w:val="-8"/>
                <w:kern w:val="21"/>
                <w:highlight w:val="none"/>
              </w:rPr>
              <w:t>和0.0004 mg/m</w:t>
            </w:r>
            <w:r>
              <w:rPr>
                <w:rFonts w:hint="default" w:ascii="Times New Roman" w:hAnsi="Times New Roman" w:cs="Times New Roman" w:eastAsiaTheme="minorEastAsia"/>
                <w:color w:val="auto"/>
                <w:spacing w:val="-8"/>
                <w:kern w:val="21"/>
                <w:highlight w:val="none"/>
                <w:vertAlign w:val="superscript"/>
              </w:rPr>
              <w:t>3</w:t>
            </w:r>
            <w:r>
              <w:rPr>
                <w:rFonts w:hint="default" w:ascii="Times New Roman" w:hAnsi="Times New Roman" w:cs="Times New Roman" w:eastAsiaTheme="minorEastAsia"/>
                <w:color w:val="auto"/>
                <w:spacing w:val="-8"/>
                <w:kern w:val="21"/>
                <w:highlight w:val="none"/>
              </w:rPr>
              <w:t>，满足氨、硫化氢在厂界浓度满足《恶臭污染物排放标准》（GB14554-93）表1中二级新改扩建标准值，臭气浓度满足《畜禽养殖业污染物排放标准》（GB18596-2001）中表7标准限值。</w:t>
            </w:r>
          </w:p>
          <w:p>
            <w:pPr>
              <w:pStyle w:val="666"/>
              <w:keepNext w:val="0"/>
              <w:keepLines w:val="0"/>
              <w:pageBreakBefore w:val="0"/>
              <w:widowControl/>
              <w:kinsoku/>
              <w:wordWrap/>
              <w:overflowPunct/>
              <w:topLinePunct w:val="0"/>
              <w:autoSpaceDE/>
              <w:autoSpaceDN/>
              <w:bidi w:val="0"/>
              <w:adjustRightInd w:val="0"/>
              <w:snapToGrid w:val="0"/>
              <w:spacing w:line="320" w:lineRule="exact"/>
              <w:jc w:val="left"/>
              <w:textAlignment w:val="auto"/>
              <w:rPr>
                <w:rFonts w:hint="default" w:ascii="Times New Roman" w:hAnsi="Times New Roman" w:cs="Times New Roman" w:eastAsiaTheme="minorEastAsia"/>
                <w:color w:val="auto"/>
                <w:spacing w:val="-8"/>
                <w:kern w:val="21"/>
                <w:highlight w:val="none"/>
              </w:rPr>
            </w:pPr>
            <w:r>
              <w:rPr>
                <w:rFonts w:hint="default" w:ascii="Times New Roman" w:hAnsi="Times New Roman" w:cs="Times New Roman" w:eastAsiaTheme="minorEastAsia"/>
                <w:color w:val="auto"/>
                <w:spacing w:val="-8"/>
                <w:kern w:val="21"/>
                <w:highlight w:val="none"/>
              </w:rPr>
              <w:t>（3）固液分离间密闭，负压集气，恶臭经活性炭吸附处理后15米高排气筒排放，氨、硫化氢排放浓度分别为0.0008mg/m</w:t>
            </w:r>
            <w:r>
              <w:rPr>
                <w:rFonts w:hint="default" w:ascii="Times New Roman" w:hAnsi="Times New Roman" w:cs="Times New Roman" w:eastAsiaTheme="minorEastAsia"/>
                <w:color w:val="auto"/>
                <w:spacing w:val="-8"/>
                <w:kern w:val="21"/>
                <w:highlight w:val="none"/>
                <w:vertAlign w:val="superscript"/>
              </w:rPr>
              <w:t>3</w:t>
            </w:r>
            <w:r>
              <w:rPr>
                <w:rFonts w:hint="default" w:ascii="Times New Roman" w:hAnsi="Times New Roman" w:cs="Times New Roman" w:eastAsiaTheme="minorEastAsia"/>
                <w:color w:val="auto"/>
                <w:spacing w:val="-8"/>
                <w:kern w:val="21"/>
                <w:highlight w:val="none"/>
              </w:rPr>
              <w:t>和0.0005 mg/m</w:t>
            </w:r>
            <w:r>
              <w:rPr>
                <w:rFonts w:hint="default" w:ascii="Times New Roman" w:hAnsi="Times New Roman" w:cs="Times New Roman" w:eastAsiaTheme="minorEastAsia"/>
                <w:color w:val="auto"/>
                <w:spacing w:val="-8"/>
                <w:kern w:val="21"/>
                <w:highlight w:val="none"/>
                <w:vertAlign w:val="superscript"/>
              </w:rPr>
              <w:t>3</w:t>
            </w:r>
            <w:r>
              <w:rPr>
                <w:rFonts w:hint="default" w:ascii="Times New Roman" w:hAnsi="Times New Roman" w:cs="Times New Roman" w:eastAsiaTheme="minorEastAsia"/>
                <w:color w:val="auto"/>
                <w:spacing w:val="-8"/>
                <w:kern w:val="21"/>
                <w:highlight w:val="none"/>
              </w:rPr>
              <w:t>，</w:t>
            </w:r>
            <w:r>
              <w:rPr>
                <w:rFonts w:hint="default" w:ascii="Times New Roman" w:hAnsi="Times New Roman" w:cs="Times New Roman" w:eastAsiaTheme="minorEastAsia"/>
                <w:color w:val="auto"/>
                <w:highlight w:val="none"/>
              </w:rPr>
              <w:t>固液分离间</w:t>
            </w:r>
            <w:r>
              <w:rPr>
                <w:rFonts w:hint="default" w:ascii="Times New Roman" w:hAnsi="Times New Roman" w:cs="Times New Roman" w:eastAsiaTheme="minorEastAsia"/>
                <w:color w:val="auto"/>
                <w:szCs w:val="28"/>
                <w:highlight w:val="none"/>
              </w:rPr>
              <w:t>有组织排放的H</w:t>
            </w:r>
            <w:r>
              <w:rPr>
                <w:rFonts w:hint="default" w:ascii="Times New Roman" w:hAnsi="Times New Roman" w:cs="Times New Roman" w:eastAsiaTheme="minorEastAsia"/>
                <w:color w:val="auto"/>
                <w:szCs w:val="28"/>
                <w:highlight w:val="none"/>
                <w:vertAlign w:val="subscript"/>
              </w:rPr>
              <w:t>2</w:t>
            </w:r>
            <w:r>
              <w:rPr>
                <w:rFonts w:hint="default" w:ascii="Times New Roman" w:hAnsi="Times New Roman" w:cs="Times New Roman" w:eastAsiaTheme="minorEastAsia"/>
                <w:color w:val="auto"/>
                <w:szCs w:val="28"/>
                <w:highlight w:val="none"/>
              </w:rPr>
              <w:t>S、NH</w:t>
            </w:r>
            <w:r>
              <w:rPr>
                <w:rFonts w:hint="default" w:ascii="Times New Roman" w:hAnsi="Times New Roman" w:cs="Times New Roman" w:eastAsiaTheme="minorEastAsia"/>
                <w:color w:val="auto"/>
                <w:szCs w:val="28"/>
                <w:highlight w:val="none"/>
                <w:vertAlign w:val="subscript"/>
              </w:rPr>
              <w:t>3</w:t>
            </w:r>
            <w:r>
              <w:rPr>
                <w:rFonts w:hint="default" w:ascii="Times New Roman" w:hAnsi="Times New Roman" w:cs="Times New Roman" w:eastAsiaTheme="minorEastAsia"/>
                <w:color w:val="auto"/>
                <w:szCs w:val="28"/>
                <w:highlight w:val="none"/>
              </w:rPr>
              <w:t>、臭气浓度执行《恶臭污染物排放标准》（GB14554-93）中表2恶臭污染物排放标准值</w:t>
            </w:r>
            <w:r>
              <w:rPr>
                <w:rFonts w:hint="default" w:ascii="Times New Roman" w:hAnsi="Times New Roman" w:cs="Times New Roman" w:eastAsiaTheme="minorEastAsia"/>
                <w:color w:val="auto"/>
                <w:spacing w:val="-8"/>
                <w:kern w:val="21"/>
                <w:highlight w:val="none"/>
              </w:rPr>
              <w:t>。</w:t>
            </w:r>
          </w:p>
          <w:p>
            <w:pPr>
              <w:pStyle w:val="666"/>
              <w:keepNext w:val="0"/>
              <w:keepLines w:val="0"/>
              <w:pageBreakBefore w:val="0"/>
              <w:widowControl/>
              <w:kinsoku/>
              <w:wordWrap/>
              <w:overflowPunct/>
              <w:topLinePunct w:val="0"/>
              <w:autoSpaceDE/>
              <w:autoSpaceDN/>
              <w:bidi w:val="0"/>
              <w:adjustRightInd w:val="0"/>
              <w:snapToGrid w:val="0"/>
              <w:spacing w:line="320" w:lineRule="exact"/>
              <w:jc w:val="left"/>
              <w:textAlignment w:val="auto"/>
              <w:rPr>
                <w:rFonts w:hint="default" w:ascii="Times New Roman" w:hAnsi="Times New Roman" w:cs="Times New Roman" w:eastAsiaTheme="minorEastAsia"/>
                <w:color w:val="auto"/>
                <w:spacing w:val="-8"/>
                <w:kern w:val="21"/>
                <w:highlight w:val="none"/>
              </w:rPr>
            </w:pPr>
            <w:r>
              <w:rPr>
                <w:rFonts w:hint="default" w:ascii="Times New Roman" w:hAnsi="Times New Roman" w:cs="Times New Roman" w:eastAsiaTheme="minorEastAsia"/>
                <w:color w:val="auto"/>
                <w:spacing w:val="-8"/>
                <w:kern w:val="21"/>
                <w:highlight w:val="none"/>
              </w:rPr>
              <w:t>（4）粪污处理区采用EM生物菌进行除臭粪污处理区无组织氨、硫化氢排放厂界处最大浓度分别为0.0006mg/m</w:t>
            </w:r>
            <w:r>
              <w:rPr>
                <w:rFonts w:hint="default" w:ascii="Times New Roman" w:hAnsi="Times New Roman" w:cs="Times New Roman" w:eastAsiaTheme="minorEastAsia"/>
                <w:color w:val="auto"/>
                <w:spacing w:val="-8"/>
                <w:kern w:val="21"/>
                <w:highlight w:val="none"/>
                <w:vertAlign w:val="superscript"/>
              </w:rPr>
              <w:t>3</w:t>
            </w:r>
            <w:r>
              <w:rPr>
                <w:rFonts w:hint="default" w:ascii="Times New Roman" w:hAnsi="Times New Roman" w:cs="Times New Roman" w:eastAsiaTheme="minorEastAsia"/>
                <w:color w:val="auto"/>
                <w:spacing w:val="-8"/>
                <w:kern w:val="21"/>
                <w:highlight w:val="none"/>
              </w:rPr>
              <w:t>和0.00022mg/m</w:t>
            </w:r>
            <w:r>
              <w:rPr>
                <w:rFonts w:hint="default" w:ascii="Times New Roman" w:hAnsi="Times New Roman" w:cs="Times New Roman" w:eastAsiaTheme="minorEastAsia"/>
                <w:color w:val="auto"/>
                <w:spacing w:val="-8"/>
                <w:kern w:val="21"/>
                <w:highlight w:val="none"/>
                <w:vertAlign w:val="superscript"/>
              </w:rPr>
              <w:t>3</w:t>
            </w:r>
            <w:r>
              <w:rPr>
                <w:rFonts w:hint="default" w:ascii="Times New Roman" w:hAnsi="Times New Roman" w:cs="Times New Roman" w:eastAsiaTheme="minorEastAsia"/>
                <w:color w:val="auto"/>
                <w:spacing w:val="-8"/>
                <w:kern w:val="21"/>
                <w:highlight w:val="none"/>
              </w:rPr>
              <w:t>，满足硫化氢、氨在厂界浓度满足《恶臭污染物排放标准》（GB14554-93）表1中二级新改扩建标准值，臭气浓度满足《畜禽养殖业污染物排放标准》（GB18596-2001）中表7标准限值。</w:t>
            </w:r>
          </w:p>
          <w:p>
            <w:pPr>
              <w:pStyle w:val="666"/>
              <w:keepNext w:val="0"/>
              <w:keepLines w:val="0"/>
              <w:pageBreakBefore w:val="0"/>
              <w:widowControl/>
              <w:kinsoku/>
              <w:wordWrap/>
              <w:overflowPunct/>
              <w:topLinePunct w:val="0"/>
              <w:autoSpaceDE/>
              <w:autoSpaceDN/>
              <w:bidi w:val="0"/>
              <w:adjustRightInd w:val="0"/>
              <w:snapToGrid w:val="0"/>
              <w:spacing w:line="320" w:lineRule="exact"/>
              <w:jc w:val="left"/>
              <w:textAlignment w:val="auto"/>
              <w:rPr>
                <w:rFonts w:hint="default" w:ascii="Times New Roman" w:hAnsi="Times New Roman" w:cs="Times New Roman" w:eastAsiaTheme="minorEastAsia"/>
                <w:color w:val="auto"/>
                <w:spacing w:val="-8"/>
                <w:kern w:val="21"/>
                <w:highlight w:val="none"/>
              </w:rPr>
            </w:pPr>
            <w:r>
              <w:rPr>
                <w:rFonts w:hint="default" w:ascii="Times New Roman" w:hAnsi="Times New Roman" w:cs="Times New Roman" w:eastAsiaTheme="minorEastAsia"/>
                <w:color w:val="auto"/>
                <w:spacing w:val="-8"/>
                <w:kern w:val="21"/>
                <w:highlight w:val="none"/>
              </w:rPr>
              <w:t>（5）饲料加工无组织粉尘产生速率为0.014kg/h，厂界无组织颗粒物的排放浓度满足《大气污染物综合排放标准》（GB16297-1996）表2无组织排放监控浓度限值。</w:t>
            </w:r>
          </w:p>
          <w:p>
            <w:pPr>
              <w:pStyle w:val="666"/>
              <w:keepNext w:val="0"/>
              <w:keepLines w:val="0"/>
              <w:pageBreakBefore w:val="0"/>
              <w:widowControl/>
              <w:kinsoku/>
              <w:wordWrap/>
              <w:overflowPunct/>
              <w:topLinePunct w:val="0"/>
              <w:autoSpaceDE/>
              <w:autoSpaceDN/>
              <w:bidi w:val="0"/>
              <w:adjustRightInd w:val="0"/>
              <w:snapToGrid w:val="0"/>
              <w:spacing w:line="320" w:lineRule="exact"/>
              <w:jc w:val="left"/>
              <w:textAlignment w:val="auto"/>
              <w:rPr>
                <w:rFonts w:hint="default" w:ascii="Times New Roman" w:hAnsi="Times New Roman" w:cs="Times New Roman" w:eastAsiaTheme="minorEastAsia"/>
                <w:color w:val="auto"/>
                <w:spacing w:val="-8"/>
                <w:kern w:val="21"/>
                <w:highlight w:val="none"/>
              </w:rPr>
            </w:pPr>
            <w:r>
              <w:rPr>
                <w:rFonts w:hint="default" w:ascii="Times New Roman" w:hAnsi="Times New Roman" w:cs="Times New Roman" w:eastAsiaTheme="minorEastAsia"/>
                <w:color w:val="auto"/>
                <w:spacing w:val="-8"/>
                <w:kern w:val="21"/>
                <w:highlight w:val="none"/>
              </w:rPr>
              <w:t>(6)生物质锅炉采用布袋除尘器，经2</w:t>
            </w:r>
            <w:r>
              <w:rPr>
                <w:rFonts w:hint="default" w:ascii="Times New Roman" w:hAnsi="Times New Roman" w:cs="Times New Roman" w:eastAsiaTheme="minorEastAsia"/>
                <w:color w:val="auto"/>
                <w:spacing w:val="-8"/>
                <w:kern w:val="21"/>
                <w:highlight w:val="none"/>
                <w:lang w:val="en-US" w:eastAsia="zh-CN"/>
              </w:rPr>
              <w:t>5</w:t>
            </w:r>
            <w:r>
              <w:rPr>
                <w:rFonts w:hint="default" w:ascii="Times New Roman" w:hAnsi="Times New Roman" w:cs="Times New Roman" w:eastAsiaTheme="minorEastAsia"/>
                <w:color w:val="auto"/>
                <w:spacing w:val="-8"/>
                <w:kern w:val="21"/>
                <w:highlight w:val="none"/>
              </w:rPr>
              <w:t>m排气筒排放，</w:t>
            </w:r>
            <w:r>
              <w:rPr>
                <w:rFonts w:hint="default" w:ascii="Times New Roman" w:hAnsi="Times New Roman" w:cs="Times New Roman" w:eastAsiaTheme="minorEastAsia"/>
                <w:color w:val="auto"/>
                <w:highlight w:val="none"/>
              </w:rPr>
              <w:t>SO</w:t>
            </w:r>
            <w:r>
              <w:rPr>
                <w:rFonts w:hint="default" w:ascii="Times New Roman" w:hAnsi="Times New Roman" w:cs="Times New Roman" w:eastAsiaTheme="minorEastAsia"/>
                <w:color w:val="auto"/>
                <w:highlight w:val="none"/>
                <w:vertAlign w:val="subscript"/>
              </w:rPr>
              <w:t>2</w:t>
            </w:r>
            <w:r>
              <w:rPr>
                <w:rFonts w:hint="default" w:ascii="Times New Roman" w:hAnsi="Times New Roman" w:cs="Times New Roman" w:eastAsiaTheme="minorEastAsia"/>
                <w:color w:val="auto"/>
                <w:highlight w:val="none"/>
              </w:rPr>
              <w:t>排放速率为1.19kg/h（0.357t/a），颗粒物排放速率为0.04kg/h（0.12t/a），NO</w:t>
            </w:r>
            <w:r>
              <w:rPr>
                <w:rFonts w:hint="default" w:ascii="Times New Roman" w:hAnsi="Times New Roman" w:cs="Times New Roman" w:eastAsiaTheme="minorEastAsia"/>
                <w:color w:val="auto"/>
                <w:highlight w:val="none"/>
                <w:vertAlign w:val="subscript"/>
              </w:rPr>
              <w:t>x</w:t>
            </w:r>
            <w:r>
              <w:rPr>
                <w:rFonts w:hint="default" w:ascii="Times New Roman" w:hAnsi="Times New Roman" w:cs="Times New Roman" w:eastAsiaTheme="minorEastAsia"/>
                <w:color w:val="auto"/>
                <w:highlight w:val="none"/>
              </w:rPr>
              <w:t>排放速率为0.71kg/h（0.214t/a），SO</w:t>
            </w:r>
            <w:r>
              <w:rPr>
                <w:rFonts w:hint="default" w:ascii="Times New Roman" w:hAnsi="Times New Roman" w:cs="Times New Roman" w:eastAsiaTheme="minorEastAsia"/>
                <w:color w:val="auto"/>
                <w:highlight w:val="none"/>
                <w:vertAlign w:val="subscript"/>
              </w:rPr>
              <w:t>2</w:t>
            </w:r>
            <w:r>
              <w:rPr>
                <w:rFonts w:hint="default" w:ascii="Times New Roman" w:hAnsi="Times New Roman" w:cs="Times New Roman" w:eastAsiaTheme="minorEastAsia"/>
                <w:color w:val="auto"/>
                <w:highlight w:val="none"/>
              </w:rPr>
              <w:t>排放浓度为,258.69mg/m</w:t>
            </w:r>
            <w:r>
              <w:rPr>
                <w:rFonts w:hint="default" w:ascii="Times New Roman" w:hAnsi="Times New Roman" w:cs="Times New Roman" w:eastAsiaTheme="minorEastAsia"/>
                <w:color w:val="auto"/>
                <w:highlight w:val="none"/>
                <w:vertAlign w:val="superscript"/>
              </w:rPr>
              <w:t>3</w:t>
            </w:r>
            <w:r>
              <w:rPr>
                <w:rFonts w:hint="default" w:ascii="Times New Roman" w:hAnsi="Times New Roman" w:cs="Times New Roman" w:eastAsiaTheme="minorEastAsia"/>
                <w:color w:val="auto"/>
                <w:highlight w:val="none"/>
              </w:rPr>
              <w:t>，颗粒物排放浓度为8.7mg/m</w:t>
            </w:r>
            <w:r>
              <w:rPr>
                <w:rFonts w:hint="default" w:ascii="Times New Roman" w:hAnsi="Times New Roman" w:cs="Times New Roman" w:eastAsiaTheme="minorEastAsia"/>
                <w:color w:val="auto"/>
                <w:highlight w:val="none"/>
                <w:vertAlign w:val="superscript"/>
              </w:rPr>
              <w:t>3</w:t>
            </w:r>
            <w:r>
              <w:rPr>
                <w:rFonts w:hint="default" w:ascii="Times New Roman" w:hAnsi="Times New Roman" w:cs="Times New Roman" w:eastAsiaTheme="minorEastAsia"/>
                <w:color w:val="auto"/>
                <w:highlight w:val="none"/>
              </w:rPr>
              <w:t>，NO</w:t>
            </w:r>
            <w:r>
              <w:rPr>
                <w:rFonts w:hint="default" w:ascii="Times New Roman" w:hAnsi="Times New Roman" w:cs="Times New Roman" w:eastAsiaTheme="minorEastAsia"/>
                <w:color w:val="auto"/>
                <w:highlight w:val="none"/>
                <w:vertAlign w:val="subscript"/>
              </w:rPr>
              <w:t>x</w:t>
            </w:r>
            <w:r>
              <w:rPr>
                <w:rFonts w:hint="default" w:ascii="Times New Roman" w:hAnsi="Times New Roman" w:cs="Times New Roman" w:eastAsiaTheme="minorEastAsia"/>
                <w:color w:val="auto"/>
                <w:highlight w:val="none"/>
              </w:rPr>
              <w:t>排放浓度为155.07mg/m</w:t>
            </w:r>
            <w:r>
              <w:rPr>
                <w:rFonts w:hint="default" w:ascii="Times New Roman" w:hAnsi="Times New Roman" w:cs="Times New Roman" w:eastAsiaTheme="minorEastAsia"/>
                <w:color w:val="auto"/>
                <w:highlight w:val="none"/>
                <w:vertAlign w:val="superscript"/>
              </w:rPr>
              <w:t>3</w:t>
            </w:r>
            <w:r>
              <w:rPr>
                <w:rFonts w:hint="default" w:ascii="Times New Roman" w:hAnsi="Times New Roman" w:cs="Times New Roman" w:eastAsiaTheme="minorEastAsia"/>
                <w:color w:val="auto"/>
                <w:highlight w:val="none"/>
              </w:rPr>
              <w:t>，满足《锅炉大气污染物排放标准》（GB13271-2014）中表2燃煤锅炉排放浓度限值。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8"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1238"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地下水污染防治</w:t>
            </w:r>
          </w:p>
        </w:tc>
        <w:tc>
          <w:tcPr>
            <w:tcW w:w="6834" w:type="dxa"/>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（1）重点防渗区：危废暂存间采用2mm厚高密度聚乙烯膜（渗透系数≤10</w:t>
            </w:r>
            <w:r>
              <w:rPr>
                <w:rFonts w:hint="default" w:ascii="Times New Roman" w:hAnsi="Times New Roman" w:cs="Times New Roman" w:eastAsiaTheme="minorEastAsia"/>
                <w:color w:val="auto"/>
                <w:highlight w:val="none"/>
                <w:vertAlign w:val="superscript"/>
              </w:rPr>
              <w:t>-10</w:t>
            </w:r>
            <w:r>
              <w:rPr>
                <w:rFonts w:hint="default" w:ascii="Times New Roman" w:hAnsi="Times New Roman" w:cs="Times New Roman" w:eastAsiaTheme="minorEastAsia"/>
                <w:color w:val="auto"/>
                <w:highlight w:val="none"/>
              </w:rPr>
              <w:t>cm/s）+25cm防渗混凝土（防渗等级P6），满足《危险废物贮存污染控制标准》（GB18597-2001）及其修改单要求；同时也满足《环境影响评价技术导则 地下水环境》（HJ610-2016）中等效粘土防渗层Mb≥6.0m、K≤1.0×10</w:t>
            </w:r>
            <w:r>
              <w:rPr>
                <w:rFonts w:hint="default" w:ascii="Times New Roman" w:hAnsi="Times New Roman" w:cs="Times New Roman" w:eastAsiaTheme="minorEastAsia"/>
                <w:color w:val="auto"/>
                <w:highlight w:val="none"/>
                <w:vertAlign w:val="superscript"/>
              </w:rPr>
              <w:t>-7</w:t>
            </w:r>
            <w:r>
              <w:rPr>
                <w:rFonts w:hint="default" w:ascii="Times New Roman" w:hAnsi="Times New Roman" w:cs="Times New Roman" w:eastAsiaTheme="minorEastAsia"/>
                <w:color w:val="auto"/>
                <w:highlight w:val="none"/>
              </w:rPr>
              <w:t>cm/s的重点防渗要求。</w:t>
            </w:r>
          </w:p>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（2）一般防渗区：固液分离间、黑膜沼气池、沼液储存池采用25cm厚度的防渗混凝土（防渗等级P6），K≤10</w:t>
            </w:r>
            <w:r>
              <w:rPr>
                <w:rFonts w:hint="default" w:ascii="Times New Roman" w:hAnsi="Times New Roman" w:cs="Times New Roman" w:eastAsiaTheme="minorEastAsia"/>
                <w:color w:val="auto"/>
                <w:highlight w:val="none"/>
                <w:vertAlign w:val="superscript"/>
              </w:rPr>
              <w:t>-8</w:t>
            </w:r>
            <w:r>
              <w:rPr>
                <w:rFonts w:hint="default" w:ascii="Times New Roman" w:hAnsi="Times New Roman" w:cs="Times New Roman" w:eastAsiaTheme="minorEastAsia"/>
                <w:color w:val="auto"/>
                <w:highlight w:val="none"/>
              </w:rPr>
              <w:t>cm/s，防渗技术满足等效粘土防渗层Mb≥1.5m、K≤1.0×10</w:t>
            </w:r>
            <w:r>
              <w:rPr>
                <w:rFonts w:hint="default" w:ascii="Times New Roman" w:hAnsi="Times New Roman" w:cs="Times New Roman" w:eastAsiaTheme="minorEastAsia"/>
                <w:color w:val="auto"/>
                <w:highlight w:val="none"/>
                <w:vertAlign w:val="superscript"/>
              </w:rPr>
              <w:t>-7</w:t>
            </w:r>
            <w:r>
              <w:rPr>
                <w:rFonts w:hint="default" w:ascii="Times New Roman" w:hAnsi="Times New Roman" w:cs="Times New Roman" w:eastAsiaTheme="minorEastAsia"/>
                <w:color w:val="auto"/>
                <w:highlight w:val="none"/>
              </w:rPr>
              <w:t>cm/s要求，满足《环境影响评价技术导则 地下水环境》（HJ610-2016）一般防渗要求。</w:t>
            </w:r>
          </w:p>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（3）简单防渗区：除重点防渗区、一般防渗区、绿化用地外其他建筑物区域的地面，进行一般地面硬化，满足《环境影响评价技术导则 地下水环境》（HJ610-2016）简单防渗要求。</w:t>
            </w:r>
          </w:p>
          <w:p>
            <w:pPr>
              <w:pStyle w:val="666"/>
              <w:keepNext w:val="0"/>
              <w:keepLines w:val="0"/>
              <w:pageBreakBefore w:val="0"/>
              <w:widowControl/>
              <w:kinsoku/>
              <w:wordWrap/>
              <w:overflowPunct/>
              <w:topLinePunct w:val="0"/>
              <w:autoSpaceDE/>
              <w:autoSpaceDN/>
              <w:bidi w:val="0"/>
              <w:adjustRightInd w:val="0"/>
              <w:snapToGrid w:val="0"/>
              <w:spacing w:line="320" w:lineRule="exact"/>
              <w:jc w:val="lef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（4）踪监测井：</w:t>
            </w:r>
            <w:r>
              <w:rPr>
                <w:rFonts w:hint="default" w:ascii="Times New Roman" w:hAnsi="Times New Roman" w:cs="Times New Roman" w:eastAsiaTheme="minorEastAsia"/>
                <w:snapToGrid w:val="0"/>
                <w:color w:val="auto"/>
                <w:highlight w:val="none"/>
              </w:rPr>
              <w:t>厂址地下水径流下游新建1眼</w:t>
            </w:r>
            <w:r>
              <w:rPr>
                <w:rFonts w:hint="default" w:ascii="Times New Roman" w:hAnsi="Times New Roman" w:cs="Times New Roman" w:eastAsiaTheme="minorEastAsia"/>
                <w:color w:val="auto"/>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8"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1238" w:type="dxa"/>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噪声治理</w:t>
            </w:r>
          </w:p>
        </w:tc>
        <w:tc>
          <w:tcPr>
            <w:tcW w:w="6834" w:type="dxa"/>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项目噪声主要来自排气扇、风机、水泵等，噪声源强范围在85～92dB(A)，经采取基础减振、软管连接等措施处理后厂界噪声满足《工业企业厂界环境噪声排放标准》(GB12348-2008)中2类标准要求。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648"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1238" w:type="dxa"/>
            <w:vMerge w:val="restart"/>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固废</w:t>
            </w:r>
          </w:p>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治理</w:t>
            </w:r>
          </w:p>
        </w:tc>
        <w:tc>
          <w:tcPr>
            <w:tcW w:w="6834" w:type="dxa"/>
            <w:tcBorders>
              <w:bottom w:val="single" w:color="auto" w:sz="4" w:space="0"/>
            </w:tcBorders>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牛粪采用干清粪工艺，牛粪及固液分离后分离后干物质外委安达市瑞合玉米种植专业合作社堆肥处置。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2" w:hRule="atLeast"/>
        </w:trPr>
        <w:tc>
          <w:tcPr>
            <w:tcW w:w="648"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1238"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6834" w:type="dxa"/>
            <w:tcBorders>
              <w:top w:val="single" w:color="auto" w:sz="4" w:space="0"/>
              <w:bottom w:val="single" w:color="auto" w:sz="4" w:space="0"/>
            </w:tcBorders>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牛舍卧床垫料定期更换、补充，产生卧床垫料废物，定期还田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648"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1238"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6834" w:type="dxa"/>
            <w:tcBorders>
              <w:top w:val="single" w:color="auto" w:sz="4" w:space="0"/>
              <w:bottom w:val="single" w:color="auto" w:sz="4" w:space="0"/>
            </w:tcBorders>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病死牛、胎盘委托安达市题桥环保科技有限公司安全处置。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48"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1238" w:type="dxa"/>
            <w:vMerge w:val="continue"/>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6834" w:type="dxa"/>
            <w:tcBorders>
              <w:top w:val="single" w:color="auto" w:sz="4" w:space="0"/>
              <w:bottom w:val="single" w:color="auto" w:sz="4" w:space="0"/>
            </w:tcBorders>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生活垃圾集中收集，由建设单位负责拉运至先源乡垃圾收集点；废沼气脱硫剂由厂家负责回收定期更换</w:t>
            </w:r>
            <w:r>
              <w:rPr>
                <w:rFonts w:hint="default" w:ascii="Times New Roman" w:hAnsi="Times New Roman" w:cs="Times New Roman" w:eastAsiaTheme="minorEastAsia"/>
                <w:color w:val="auto"/>
                <w:highlight w:val="none"/>
                <w:lang w:eastAsia="zh-CN"/>
              </w:rPr>
              <w:t>；废活性炭厂家回收处置</w:t>
            </w:r>
            <w:r>
              <w:rPr>
                <w:rFonts w:hint="default" w:ascii="Times New Roman" w:hAnsi="Times New Roman" w:cs="Times New Roman" w:eastAsiaTheme="minorEastAsia"/>
                <w:color w:val="auto"/>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648"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1238" w:type="dxa"/>
            <w:vMerge w:val="continue"/>
            <w:tcBorders>
              <w:bottom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6834" w:type="dxa"/>
            <w:tcBorders>
              <w:top w:val="single" w:color="auto" w:sz="4" w:space="0"/>
              <w:bottom w:val="single" w:color="auto" w:sz="4" w:space="0"/>
            </w:tcBorders>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pacing w:val="-6"/>
                <w:highlight w:val="none"/>
              </w:rPr>
            </w:pPr>
            <w:r>
              <w:rPr>
                <w:rFonts w:hint="default" w:ascii="Times New Roman" w:hAnsi="Times New Roman" w:cs="Times New Roman" w:eastAsiaTheme="minorEastAsia"/>
                <w:color w:val="auto"/>
                <w:spacing w:val="-6"/>
                <w:highlight w:val="none"/>
              </w:rPr>
              <w:t>医疗废物暂存于危废暂存间，定期委托有资质单位进行安全处置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0" w:hRule="atLeast"/>
        </w:trPr>
        <w:tc>
          <w:tcPr>
            <w:tcW w:w="648" w:type="dxa"/>
            <w:vMerge w:val="continue"/>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p>
        </w:tc>
        <w:tc>
          <w:tcPr>
            <w:tcW w:w="1238" w:type="dxa"/>
            <w:tcBorders>
              <w:top w:val="single" w:color="auto" w:sz="4" w:space="0"/>
            </w:tcBorders>
            <w:vAlign w:val="center"/>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绿化工程</w:t>
            </w:r>
          </w:p>
        </w:tc>
        <w:tc>
          <w:tcPr>
            <w:tcW w:w="6834" w:type="dxa"/>
            <w:tcBorders>
              <w:top w:val="single" w:color="auto" w:sz="4" w:space="0"/>
            </w:tcBorders>
          </w:tcPr>
          <w:p>
            <w:pPr>
              <w:pStyle w:val="666"/>
              <w:keepNext w:val="0"/>
              <w:keepLines w:val="0"/>
              <w:pageBreakBefore w:val="0"/>
              <w:widowControl/>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eastAsiaTheme="minorEastAsia"/>
                <w:color w:val="auto"/>
                <w:spacing w:val="-6"/>
                <w:highlight w:val="none"/>
              </w:rPr>
            </w:pPr>
            <w:r>
              <w:rPr>
                <w:rFonts w:hint="default" w:ascii="Times New Roman" w:hAnsi="Times New Roman" w:cs="Times New Roman" w:eastAsiaTheme="minorEastAsia"/>
                <w:color w:val="auto"/>
                <w:spacing w:val="-6"/>
                <w:highlight w:val="none"/>
              </w:rPr>
              <w:t>厂区内不同区域种植草坪、花簇、混种乔木及灌木等，绿化率10%</w:t>
            </w:r>
          </w:p>
        </w:tc>
      </w:tr>
    </w:tbl>
    <w:p>
      <w:pPr>
        <w:pStyle w:val="1167"/>
        <w:rPr>
          <w:rFonts w:hint="default" w:ascii="Times New Roman" w:hAnsi="Times New Roman" w:cs="Times New Roman" w:eastAsiaTheme="minorEastAsia"/>
          <w:color w:val="auto"/>
          <w:highlight w:val="none"/>
          <w:lang w:val="en-GB"/>
        </w:rPr>
      </w:pPr>
      <w:r>
        <w:rPr>
          <w:rFonts w:hint="default" w:ascii="Times New Roman" w:hAnsi="Times New Roman" w:cs="Times New Roman" w:eastAsiaTheme="minorEastAsia"/>
          <w:color w:val="auto"/>
          <w:highlight w:val="none"/>
          <w:lang w:val="en-GB"/>
        </w:rPr>
        <w:t>3.1.3 平面布置</w:t>
      </w:r>
    </w:p>
    <w:p>
      <w:pPr>
        <w:spacing w:line="500" w:lineRule="exact"/>
        <w:ind w:firstLine="560"/>
        <w:rPr>
          <w:rFonts w:hint="default" w:ascii="Times New Roman" w:hAnsi="Times New Roman" w:cs="Times New Roman" w:eastAsiaTheme="minorEastAsia"/>
          <w:color w:val="000000" w:themeColor="text1"/>
          <w:sz w:val="24"/>
          <w:szCs w:val="22"/>
          <w:lang w:val="en-GB"/>
          <w14:textFill>
            <w14:solidFill>
              <w14:schemeClr w14:val="tx1"/>
            </w14:solidFill>
          </w14:textFill>
        </w:rPr>
      </w:pPr>
      <w:r>
        <w:rPr>
          <w:rFonts w:hint="default" w:ascii="Times New Roman" w:hAnsi="Times New Roman" w:cs="Times New Roman" w:eastAsiaTheme="minorEastAsia"/>
          <w:color w:val="000000" w:themeColor="text1"/>
          <w:sz w:val="24"/>
          <w:szCs w:val="22"/>
          <w:lang w:val="en-GB"/>
          <w14:textFill>
            <w14:solidFill>
              <w14:schemeClr w14:val="tx1"/>
            </w14:solidFill>
          </w14:textFill>
        </w:rPr>
        <w:t>本项目总平面布置各区组成及占地面积详见表3-1-2。</w:t>
      </w:r>
      <w:r>
        <w:rPr>
          <w:rFonts w:hint="default" w:ascii="Times New Roman" w:hAnsi="Times New Roman" w:cs="Times New Roman" w:eastAsiaTheme="minorEastAsia"/>
          <w:color w:val="000000" w:themeColor="text1"/>
          <w:sz w:val="24"/>
          <w:szCs w:val="22"/>
          <w:lang w:val="en-GB" w:eastAsia="zh-CN"/>
          <w14:textFill>
            <w14:solidFill>
              <w14:schemeClr w14:val="tx1"/>
            </w14:solidFill>
          </w14:textFill>
        </w:rPr>
        <w:t>项目</w:t>
      </w:r>
      <w:r>
        <w:rPr>
          <w:rFonts w:hint="default" w:ascii="Times New Roman" w:hAnsi="Times New Roman" w:cs="Times New Roman" w:eastAsiaTheme="minorEastAsia"/>
          <w:color w:val="000000" w:themeColor="text1"/>
          <w:sz w:val="24"/>
          <w:szCs w:val="22"/>
          <w:lang w:val="en-GB"/>
          <w14:textFill>
            <w14:solidFill>
              <w14:schemeClr w14:val="tx1"/>
            </w14:solidFill>
          </w14:textFill>
        </w:rPr>
        <w:t>平面布置图见图</w:t>
      </w: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2"/>
          <w:lang w:val="en-GB"/>
          <w14:textFill>
            <w14:solidFill>
              <w14:schemeClr w14:val="tx1"/>
            </w14:solidFill>
          </w14:textFill>
        </w:rPr>
        <w:t>1</w:t>
      </w: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2"/>
          <w:lang w:val="en-GB"/>
          <w14:textFill>
            <w14:solidFill>
              <w14:schemeClr w14:val="tx1"/>
            </w14:solidFill>
          </w14:textFill>
        </w:rPr>
        <w:t>。</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表3-1-2 本项目建筑物占地面积表</w:t>
      </w:r>
    </w:p>
    <w:tbl>
      <w:tblPr>
        <w:tblStyle w:val="9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843"/>
        <w:gridCol w:w="710"/>
        <w:gridCol w:w="851"/>
        <w:gridCol w:w="2268"/>
        <w:gridCol w:w="23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67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序号</w:t>
            </w:r>
          </w:p>
        </w:tc>
        <w:tc>
          <w:tcPr>
            <w:tcW w:w="184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建筑物名称</w:t>
            </w:r>
          </w:p>
        </w:tc>
        <w:tc>
          <w:tcPr>
            <w:tcW w:w="71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单位</w:t>
            </w:r>
          </w:p>
        </w:tc>
        <w:tc>
          <w:tcPr>
            <w:tcW w:w="8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数量</w:t>
            </w:r>
          </w:p>
        </w:tc>
        <w:tc>
          <w:tcPr>
            <w:tcW w:w="226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总占地面积（m</w:t>
            </w:r>
            <w:r>
              <w:rPr>
                <w:rFonts w:hint="default" w:ascii="Times New Roman" w:hAnsi="Times New Roman" w:cs="Times New Roman" w:eastAsiaTheme="minorEastAsia"/>
                <w:color w:val="000000" w:themeColor="text1"/>
                <w:vertAlign w:val="superscript"/>
                <w14:textFill>
                  <w14:solidFill>
                    <w14:schemeClr w14:val="tx1"/>
                  </w14:solidFill>
                </w14:textFill>
              </w:rPr>
              <w:t>2</w:t>
            </w:r>
            <w:r>
              <w:rPr>
                <w:rFonts w:hint="default" w:ascii="Times New Roman" w:hAnsi="Times New Roman" w:cs="Times New Roman" w:eastAsiaTheme="minorEastAsia"/>
                <w:color w:val="000000" w:themeColor="text1"/>
                <w14:textFill>
                  <w14:solidFill>
                    <w14:schemeClr w14:val="tx1"/>
                  </w14:solidFill>
                </w14:textFill>
              </w:rPr>
              <w:t>）</w:t>
            </w:r>
          </w:p>
        </w:tc>
        <w:tc>
          <w:tcPr>
            <w:tcW w:w="23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c>
          <w:tcPr>
            <w:tcW w:w="184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牛舍</w:t>
            </w:r>
          </w:p>
        </w:tc>
        <w:tc>
          <w:tcPr>
            <w:tcW w:w="71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w:t>
            </w:r>
            <w:r>
              <w:rPr>
                <w:rFonts w:hint="default" w:ascii="Times New Roman" w:hAnsi="Times New Roman" w:cs="Times New Roman" w:eastAsiaTheme="minorEastAsia"/>
                <w:color w:val="000000" w:themeColor="text1"/>
                <w:vertAlign w:val="superscript"/>
                <w14:textFill>
                  <w14:solidFill>
                    <w14:schemeClr w14:val="tx1"/>
                  </w14:solidFill>
                </w14:textFill>
              </w:rPr>
              <w:t>2</w:t>
            </w:r>
          </w:p>
        </w:tc>
        <w:tc>
          <w:tcPr>
            <w:tcW w:w="8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4栋</w:t>
            </w:r>
          </w:p>
        </w:tc>
        <w:tc>
          <w:tcPr>
            <w:tcW w:w="226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16260</w:t>
            </w:r>
          </w:p>
        </w:tc>
        <w:tc>
          <w:tcPr>
            <w:tcW w:w="23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7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c>
          <w:tcPr>
            <w:tcW w:w="184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挤奶厅</w:t>
            </w:r>
          </w:p>
        </w:tc>
        <w:tc>
          <w:tcPr>
            <w:tcW w:w="71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w:t>
            </w:r>
            <w:r>
              <w:rPr>
                <w:rFonts w:hint="default" w:ascii="Times New Roman" w:hAnsi="Times New Roman" w:cs="Times New Roman" w:eastAsiaTheme="minorEastAsia"/>
                <w:color w:val="000000" w:themeColor="text1"/>
                <w:vertAlign w:val="superscript"/>
                <w14:textFill>
                  <w14:solidFill>
                    <w14:schemeClr w14:val="tx1"/>
                  </w14:solidFill>
                </w14:textFill>
              </w:rPr>
              <w:t>2</w:t>
            </w:r>
          </w:p>
        </w:tc>
        <w:tc>
          <w:tcPr>
            <w:tcW w:w="8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1栋</w:t>
            </w:r>
          </w:p>
        </w:tc>
        <w:tc>
          <w:tcPr>
            <w:tcW w:w="226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1350</w:t>
            </w:r>
          </w:p>
        </w:tc>
        <w:tc>
          <w:tcPr>
            <w:tcW w:w="23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w:t>
            </w:r>
          </w:p>
        </w:tc>
        <w:tc>
          <w:tcPr>
            <w:tcW w:w="184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精料库</w:t>
            </w:r>
          </w:p>
        </w:tc>
        <w:tc>
          <w:tcPr>
            <w:tcW w:w="71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w:t>
            </w:r>
            <w:r>
              <w:rPr>
                <w:rFonts w:hint="default" w:ascii="Times New Roman" w:hAnsi="Times New Roman" w:cs="Times New Roman" w:eastAsiaTheme="minorEastAsia"/>
                <w:color w:val="000000" w:themeColor="text1"/>
                <w:vertAlign w:val="superscript"/>
                <w14:textFill>
                  <w14:solidFill>
                    <w14:schemeClr w14:val="tx1"/>
                  </w14:solidFill>
                </w14:textFill>
              </w:rPr>
              <w:t>2</w:t>
            </w:r>
          </w:p>
        </w:tc>
        <w:tc>
          <w:tcPr>
            <w:tcW w:w="8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1栋</w:t>
            </w:r>
          </w:p>
        </w:tc>
        <w:tc>
          <w:tcPr>
            <w:tcW w:w="226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1071</w:t>
            </w:r>
          </w:p>
        </w:tc>
        <w:tc>
          <w:tcPr>
            <w:tcW w:w="23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7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w:t>
            </w:r>
          </w:p>
        </w:tc>
        <w:tc>
          <w:tcPr>
            <w:tcW w:w="184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饲草库</w:t>
            </w:r>
          </w:p>
        </w:tc>
        <w:tc>
          <w:tcPr>
            <w:tcW w:w="71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w:t>
            </w:r>
            <w:r>
              <w:rPr>
                <w:rFonts w:hint="default" w:ascii="Times New Roman" w:hAnsi="Times New Roman" w:cs="Times New Roman" w:eastAsiaTheme="minorEastAsia"/>
                <w:color w:val="000000" w:themeColor="text1"/>
                <w:vertAlign w:val="superscript"/>
                <w14:textFill>
                  <w14:solidFill>
                    <w14:schemeClr w14:val="tx1"/>
                  </w14:solidFill>
                </w14:textFill>
              </w:rPr>
              <w:t>2</w:t>
            </w:r>
          </w:p>
        </w:tc>
        <w:tc>
          <w:tcPr>
            <w:tcW w:w="8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1栋</w:t>
            </w:r>
          </w:p>
        </w:tc>
        <w:tc>
          <w:tcPr>
            <w:tcW w:w="226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4800</w:t>
            </w:r>
          </w:p>
        </w:tc>
        <w:tc>
          <w:tcPr>
            <w:tcW w:w="23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w:t>
            </w:r>
          </w:p>
        </w:tc>
        <w:tc>
          <w:tcPr>
            <w:tcW w:w="184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料库</w:t>
            </w:r>
          </w:p>
        </w:tc>
        <w:tc>
          <w:tcPr>
            <w:tcW w:w="71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w:t>
            </w:r>
            <w:r>
              <w:rPr>
                <w:rFonts w:hint="default" w:ascii="Times New Roman" w:hAnsi="Times New Roman" w:cs="Times New Roman" w:eastAsiaTheme="minorEastAsia"/>
                <w:color w:val="000000" w:themeColor="text1"/>
                <w:vertAlign w:val="superscript"/>
                <w14:textFill>
                  <w14:solidFill>
                    <w14:schemeClr w14:val="tx1"/>
                  </w14:solidFill>
                </w14:textFill>
              </w:rPr>
              <w:t>2</w:t>
            </w:r>
          </w:p>
        </w:tc>
        <w:tc>
          <w:tcPr>
            <w:tcW w:w="8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1栋</w:t>
            </w:r>
          </w:p>
        </w:tc>
        <w:tc>
          <w:tcPr>
            <w:tcW w:w="226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1800</w:t>
            </w:r>
          </w:p>
        </w:tc>
        <w:tc>
          <w:tcPr>
            <w:tcW w:w="23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w:t>
            </w:r>
          </w:p>
        </w:tc>
        <w:tc>
          <w:tcPr>
            <w:tcW w:w="184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青贮窖</w:t>
            </w:r>
          </w:p>
        </w:tc>
        <w:tc>
          <w:tcPr>
            <w:tcW w:w="71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w:t>
            </w:r>
            <w:r>
              <w:rPr>
                <w:rFonts w:hint="default" w:ascii="Times New Roman" w:hAnsi="Times New Roman" w:cs="Times New Roman" w:eastAsiaTheme="minorEastAsia"/>
                <w:color w:val="000000" w:themeColor="text1"/>
                <w:vertAlign w:val="superscript"/>
                <w14:textFill>
                  <w14:solidFill>
                    <w14:schemeClr w14:val="tx1"/>
                  </w14:solidFill>
                </w14:textFill>
              </w:rPr>
              <w:t>2</w:t>
            </w:r>
          </w:p>
        </w:tc>
        <w:tc>
          <w:tcPr>
            <w:tcW w:w="8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2栋</w:t>
            </w:r>
          </w:p>
        </w:tc>
        <w:tc>
          <w:tcPr>
            <w:tcW w:w="226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4016</w:t>
            </w:r>
          </w:p>
        </w:tc>
        <w:tc>
          <w:tcPr>
            <w:tcW w:w="23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7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w:t>
            </w:r>
          </w:p>
        </w:tc>
        <w:tc>
          <w:tcPr>
            <w:tcW w:w="184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固液分离间</w:t>
            </w:r>
          </w:p>
        </w:tc>
        <w:tc>
          <w:tcPr>
            <w:tcW w:w="71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w:t>
            </w:r>
            <w:r>
              <w:rPr>
                <w:rFonts w:hint="default" w:ascii="Times New Roman" w:hAnsi="Times New Roman" w:cs="Times New Roman" w:eastAsiaTheme="minorEastAsia"/>
                <w:color w:val="000000" w:themeColor="text1"/>
                <w:vertAlign w:val="superscript"/>
                <w14:textFill>
                  <w14:solidFill>
                    <w14:schemeClr w14:val="tx1"/>
                  </w14:solidFill>
                </w14:textFill>
              </w:rPr>
              <w:t>2</w:t>
            </w:r>
          </w:p>
        </w:tc>
        <w:tc>
          <w:tcPr>
            <w:tcW w:w="8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1栋</w:t>
            </w:r>
          </w:p>
        </w:tc>
        <w:tc>
          <w:tcPr>
            <w:tcW w:w="226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1800</w:t>
            </w:r>
          </w:p>
        </w:tc>
        <w:tc>
          <w:tcPr>
            <w:tcW w:w="23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7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w:t>
            </w:r>
          </w:p>
        </w:tc>
        <w:tc>
          <w:tcPr>
            <w:tcW w:w="184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黑膜沼气池</w:t>
            </w:r>
          </w:p>
        </w:tc>
        <w:tc>
          <w:tcPr>
            <w:tcW w:w="71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w:t>
            </w:r>
            <w:r>
              <w:rPr>
                <w:rFonts w:hint="default" w:ascii="Times New Roman" w:hAnsi="Times New Roman" w:cs="Times New Roman" w:eastAsiaTheme="minorEastAsia"/>
                <w:color w:val="000000" w:themeColor="text1"/>
                <w:vertAlign w:val="superscript"/>
                <w14:textFill>
                  <w14:solidFill>
                    <w14:schemeClr w14:val="tx1"/>
                  </w14:solidFill>
                </w14:textFill>
              </w:rPr>
              <w:t>2</w:t>
            </w:r>
          </w:p>
        </w:tc>
        <w:tc>
          <w:tcPr>
            <w:tcW w:w="8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1个</w:t>
            </w:r>
          </w:p>
        </w:tc>
        <w:tc>
          <w:tcPr>
            <w:tcW w:w="226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1800</w:t>
            </w:r>
          </w:p>
        </w:tc>
        <w:tc>
          <w:tcPr>
            <w:tcW w:w="23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容积5400m</w:t>
            </w:r>
            <w:r>
              <w:rPr>
                <w:rFonts w:hint="default" w:ascii="Times New Roman" w:hAnsi="Times New Roman" w:cs="Times New Roman" w:eastAsiaTheme="minorEastAsia"/>
                <w:color w:val="000000" w:themeColor="text1"/>
                <w:vertAlign w:val="super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7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w:t>
            </w:r>
          </w:p>
        </w:tc>
        <w:tc>
          <w:tcPr>
            <w:tcW w:w="184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沼液储存池</w:t>
            </w:r>
          </w:p>
        </w:tc>
        <w:tc>
          <w:tcPr>
            <w:tcW w:w="71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w:t>
            </w:r>
            <w:r>
              <w:rPr>
                <w:rFonts w:hint="default" w:ascii="Times New Roman" w:hAnsi="Times New Roman" w:cs="Times New Roman" w:eastAsiaTheme="minorEastAsia"/>
                <w:color w:val="000000" w:themeColor="text1"/>
                <w:vertAlign w:val="superscript"/>
                <w14:textFill>
                  <w14:solidFill>
                    <w14:schemeClr w14:val="tx1"/>
                  </w14:solidFill>
                </w14:textFill>
              </w:rPr>
              <w:t>2</w:t>
            </w:r>
          </w:p>
        </w:tc>
        <w:tc>
          <w:tcPr>
            <w:tcW w:w="8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1个</w:t>
            </w:r>
          </w:p>
        </w:tc>
        <w:tc>
          <w:tcPr>
            <w:tcW w:w="226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2160</w:t>
            </w:r>
          </w:p>
        </w:tc>
        <w:tc>
          <w:tcPr>
            <w:tcW w:w="23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容积10800m</w:t>
            </w:r>
            <w:r>
              <w:rPr>
                <w:rFonts w:hint="default" w:ascii="Times New Roman" w:hAnsi="Times New Roman" w:cs="Times New Roman" w:eastAsiaTheme="minorEastAsia"/>
                <w:color w:val="000000" w:themeColor="text1"/>
                <w:vertAlign w:val="super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7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w:t>
            </w:r>
          </w:p>
        </w:tc>
        <w:tc>
          <w:tcPr>
            <w:tcW w:w="184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机械库</w:t>
            </w:r>
          </w:p>
        </w:tc>
        <w:tc>
          <w:tcPr>
            <w:tcW w:w="71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w:t>
            </w:r>
            <w:r>
              <w:rPr>
                <w:rFonts w:hint="default" w:ascii="Times New Roman" w:hAnsi="Times New Roman" w:cs="Times New Roman" w:eastAsiaTheme="minorEastAsia"/>
                <w:color w:val="000000" w:themeColor="text1"/>
                <w:vertAlign w:val="superscript"/>
                <w14:textFill>
                  <w14:solidFill>
                    <w14:schemeClr w14:val="tx1"/>
                  </w14:solidFill>
                </w14:textFill>
              </w:rPr>
              <w:t>2</w:t>
            </w:r>
          </w:p>
        </w:tc>
        <w:tc>
          <w:tcPr>
            <w:tcW w:w="8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1个</w:t>
            </w:r>
          </w:p>
        </w:tc>
        <w:tc>
          <w:tcPr>
            <w:tcW w:w="226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186</w:t>
            </w:r>
          </w:p>
        </w:tc>
        <w:tc>
          <w:tcPr>
            <w:tcW w:w="23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73"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11</w:t>
            </w:r>
          </w:p>
        </w:tc>
        <w:tc>
          <w:tcPr>
            <w:tcW w:w="1843"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挤奶通道</w:t>
            </w:r>
          </w:p>
        </w:tc>
        <w:tc>
          <w:tcPr>
            <w:tcW w:w="710"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w:t>
            </w:r>
            <w:r>
              <w:rPr>
                <w:rFonts w:hint="default" w:ascii="Times New Roman" w:hAnsi="Times New Roman" w:cs="Times New Roman" w:eastAsiaTheme="minorEastAsia"/>
                <w:color w:val="000000" w:themeColor="text1"/>
                <w:vertAlign w:val="superscript"/>
                <w14:textFill>
                  <w14:solidFill>
                    <w14:schemeClr w14:val="tx1"/>
                  </w14:solidFill>
                </w14:textFill>
              </w:rPr>
              <w:t>2</w:t>
            </w:r>
          </w:p>
        </w:tc>
        <w:tc>
          <w:tcPr>
            <w:tcW w:w="851"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2个</w:t>
            </w:r>
          </w:p>
        </w:tc>
        <w:tc>
          <w:tcPr>
            <w:tcW w:w="2268"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525</w:t>
            </w:r>
          </w:p>
        </w:tc>
        <w:tc>
          <w:tcPr>
            <w:tcW w:w="2375"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73"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12</w:t>
            </w:r>
          </w:p>
        </w:tc>
        <w:tc>
          <w:tcPr>
            <w:tcW w:w="1843"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办公楼</w:t>
            </w:r>
          </w:p>
        </w:tc>
        <w:tc>
          <w:tcPr>
            <w:tcW w:w="710"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w:t>
            </w:r>
            <w:r>
              <w:rPr>
                <w:rFonts w:hint="default" w:ascii="Times New Roman" w:hAnsi="Times New Roman" w:cs="Times New Roman" w:eastAsiaTheme="minorEastAsia"/>
                <w:color w:val="000000" w:themeColor="text1"/>
                <w:vertAlign w:val="superscript"/>
                <w14:textFill>
                  <w14:solidFill>
                    <w14:schemeClr w14:val="tx1"/>
                  </w14:solidFill>
                </w14:textFill>
              </w:rPr>
              <w:t>2</w:t>
            </w:r>
          </w:p>
        </w:tc>
        <w:tc>
          <w:tcPr>
            <w:tcW w:w="851"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1个</w:t>
            </w:r>
          </w:p>
        </w:tc>
        <w:tc>
          <w:tcPr>
            <w:tcW w:w="2268"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520</w:t>
            </w:r>
          </w:p>
        </w:tc>
        <w:tc>
          <w:tcPr>
            <w:tcW w:w="2375"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7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13</w:t>
            </w:r>
          </w:p>
        </w:tc>
        <w:tc>
          <w:tcPr>
            <w:tcW w:w="184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病死牛暂存间</w:t>
            </w:r>
          </w:p>
        </w:tc>
        <w:tc>
          <w:tcPr>
            <w:tcW w:w="71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w:t>
            </w:r>
            <w:r>
              <w:rPr>
                <w:rFonts w:hint="default" w:ascii="Times New Roman" w:hAnsi="Times New Roman" w:cs="Times New Roman" w:eastAsiaTheme="minorEastAsia"/>
                <w:color w:val="000000" w:themeColor="text1"/>
                <w:vertAlign w:val="superscript"/>
                <w14:textFill>
                  <w14:solidFill>
                    <w14:schemeClr w14:val="tx1"/>
                  </w14:solidFill>
                </w14:textFill>
              </w:rPr>
              <w:t>2</w:t>
            </w:r>
          </w:p>
        </w:tc>
        <w:tc>
          <w:tcPr>
            <w:tcW w:w="8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1个</w:t>
            </w:r>
          </w:p>
        </w:tc>
        <w:tc>
          <w:tcPr>
            <w:tcW w:w="226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w:t>
            </w:r>
          </w:p>
        </w:tc>
        <w:tc>
          <w:tcPr>
            <w:tcW w:w="23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7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14</w:t>
            </w:r>
          </w:p>
        </w:tc>
        <w:tc>
          <w:tcPr>
            <w:tcW w:w="184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危废暂存间</w:t>
            </w:r>
          </w:p>
        </w:tc>
        <w:tc>
          <w:tcPr>
            <w:tcW w:w="71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w:t>
            </w:r>
            <w:r>
              <w:rPr>
                <w:rFonts w:hint="default" w:ascii="Times New Roman" w:hAnsi="Times New Roman" w:cs="Times New Roman" w:eastAsiaTheme="minorEastAsia"/>
                <w:color w:val="000000" w:themeColor="text1"/>
                <w:vertAlign w:val="superscript"/>
                <w14:textFill>
                  <w14:solidFill>
                    <w14:schemeClr w14:val="tx1"/>
                  </w14:solidFill>
                </w14:textFill>
              </w:rPr>
              <w:t>2</w:t>
            </w:r>
          </w:p>
        </w:tc>
        <w:tc>
          <w:tcPr>
            <w:tcW w:w="8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1个</w:t>
            </w:r>
          </w:p>
        </w:tc>
        <w:tc>
          <w:tcPr>
            <w:tcW w:w="226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w:t>
            </w:r>
          </w:p>
        </w:tc>
        <w:tc>
          <w:tcPr>
            <w:tcW w:w="23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7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15</w:t>
            </w:r>
          </w:p>
        </w:tc>
        <w:tc>
          <w:tcPr>
            <w:tcW w:w="184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门卫</w:t>
            </w:r>
          </w:p>
        </w:tc>
        <w:tc>
          <w:tcPr>
            <w:tcW w:w="71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w:t>
            </w:r>
            <w:r>
              <w:rPr>
                <w:rFonts w:hint="default" w:ascii="Times New Roman" w:hAnsi="Times New Roman" w:cs="Times New Roman" w:eastAsiaTheme="minorEastAsia"/>
                <w:color w:val="000000" w:themeColor="text1"/>
                <w:vertAlign w:val="superscript"/>
                <w14:textFill>
                  <w14:solidFill>
                    <w14:schemeClr w14:val="tx1"/>
                  </w14:solidFill>
                </w14:textFill>
              </w:rPr>
              <w:t>2</w:t>
            </w:r>
          </w:p>
        </w:tc>
        <w:tc>
          <w:tcPr>
            <w:tcW w:w="8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1个</w:t>
            </w:r>
          </w:p>
        </w:tc>
        <w:tc>
          <w:tcPr>
            <w:tcW w:w="226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50</w:t>
            </w:r>
          </w:p>
        </w:tc>
        <w:tc>
          <w:tcPr>
            <w:tcW w:w="23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7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16</w:t>
            </w:r>
          </w:p>
        </w:tc>
        <w:tc>
          <w:tcPr>
            <w:tcW w:w="184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锅炉房</w:t>
            </w:r>
          </w:p>
        </w:tc>
        <w:tc>
          <w:tcPr>
            <w:tcW w:w="71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w:t>
            </w:r>
            <w:r>
              <w:rPr>
                <w:rFonts w:hint="default" w:ascii="Times New Roman" w:hAnsi="Times New Roman" w:cs="Times New Roman" w:eastAsiaTheme="minorEastAsia"/>
                <w:color w:val="000000" w:themeColor="text1"/>
                <w:vertAlign w:val="superscript"/>
                <w14:textFill>
                  <w14:solidFill>
                    <w14:schemeClr w14:val="tx1"/>
                  </w14:solidFill>
                </w14:textFill>
              </w:rPr>
              <w:t>2</w:t>
            </w:r>
          </w:p>
        </w:tc>
        <w:tc>
          <w:tcPr>
            <w:tcW w:w="8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1个</w:t>
            </w:r>
          </w:p>
        </w:tc>
        <w:tc>
          <w:tcPr>
            <w:tcW w:w="226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192</w:t>
            </w:r>
          </w:p>
        </w:tc>
        <w:tc>
          <w:tcPr>
            <w:tcW w:w="23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7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17</w:t>
            </w:r>
          </w:p>
        </w:tc>
        <w:tc>
          <w:tcPr>
            <w:tcW w:w="184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场区内道路</w:t>
            </w:r>
          </w:p>
        </w:tc>
        <w:tc>
          <w:tcPr>
            <w:tcW w:w="71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w:t>
            </w:r>
            <w:r>
              <w:rPr>
                <w:rFonts w:hint="default" w:ascii="Times New Roman" w:hAnsi="Times New Roman" w:cs="Times New Roman" w:eastAsiaTheme="minorEastAsia"/>
                <w:color w:val="000000" w:themeColor="text1"/>
                <w:vertAlign w:val="superscript"/>
                <w14:textFill>
                  <w14:solidFill>
                    <w14:schemeClr w14:val="tx1"/>
                  </w14:solidFill>
                </w14:textFill>
              </w:rPr>
              <w:t>2</w:t>
            </w:r>
          </w:p>
        </w:tc>
        <w:tc>
          <w:tcPr>
            <w:tcW w:w="8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226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3000</w:t>
            </w:r>
          </w:p>
        </w:tc>
        <w:tc>
          <w:tcPr>
            <w:tcW w:w="23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7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18</w:t>
            </w:r>
          </w:p>
        </w:tc>
        <w:tc>
          <w:tcPr>
            <w:tcW w:w="184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车库</w:t>
            </w:r>
          </w:p>
        </w:tc>
        <w:tc>
          <w:tcPr>
            <w:tcW w:w="71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w:t>
            </w:r>
            <w:r>
              <w:rPr>
                <w:rFonts w:hint="default" w:ascii="Times New Roman" w:hAnsi="Times New Roman" w:cs="Times New Roman" w:eastAsiaTheme="minorEastAsia"/>
                <w:color w:val="000000" w:themeColor="text1"/>
                <w:vertAlign w:val="superscript"/>
                <w14:textFill>
                  <w14:solidFill>
                    <w14:schemeClr w14:val="tx1"/>
                  </w14:solidFill>
                </w14:textFill>
              </w:rPr>
              <w:t>2</w:t>
            </w:r>
          </w:p>
        </w:tc>
        <w:tc>
          <w:tcPr>
            <w:tcW w:w="8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1栋</w:t>
            </w:r>
          </w:p>
        </w:tc>
        <w:tc>
          <w:tcPr>
            <w:tcW w:w="226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1032</w:t>
            </w:r>
          </w:p>
        </w:tc>
        <w:tc>
          <w:tcPr>
            <w:tcW w:w="23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7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84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更衣室</w:t>
            </w:r>
          </w:p>
        </w:tc>
        <w:tc>
          <w:tcPr>
            <w:tcW w:w="71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w:t>
            </w:r>
            <w:r>
              <w:rPr>
                <w:rFonts w:hint="default" w:ascii="Times New Roman" w:hAnsi="Times New Roman" w:cs="Times New Roman" w:eastAsiaTheme="minorEastAsia"/>
                <w:color w:val="000000" w:themeColor="text1"/>
                <w:vertAlign w:val="superscript"/>
                <w14:textFill>
                  <w14:solidFill>
                    <w14:schemeClr w14:val="tx1"/>
                  </w14:solidFill>
                </w14:textFill>
              </w:rPr>
              <w:t>2</w:t>
            </w:r>
          </w:p>
        </w:tc>
        <w:tc>
          <w:tcPr>
            <w:tcW w:w="8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1个</w:t>
            </w:r>
          </w:p>
        </w:tc>
        <w:tc>
          <w:tcPr>
            <w:tcW w:w="226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50</w:t>
            </w:r>
          </w:p>
        </w:tc>
        <w:tc>
          <w:tcPr>
            <w:tcW w:w="23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2516" w:type="dxa"/>
            <w:gridSpan w:val="2"/>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总计</w:t>
            </w:r>
          </w:p>
        </w:tc>
        <w:tc>
          <w:tcPr>
            <w:tcW w:w="71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w:t>
            </w:r>
            <w:r>
              <w:rPr>
                <w:rFonts w:hint="default" w:ascii="Times New Roman" w:hAnsi="Times New Roman" w:cs="Times New Roman" w:eastAsiaTheme="minorEastAsia"/>
                <w:color w:val="000000" w:themeColor="text1"/>
                <w:vertAlign w:val="superscript"/>
                <w14:textFill>
                  <w14:solidFill>
                    <w14:schemeClr w14:val="tx1"/>
                  </w14:solidFill>
                </w14:textFill>
              </w:rPr>
              <w:t>2</w:t>
            </w:r>
          </w:p>
        </w:tc>
        <w:tc>
          <w:tcPr>
            <w:tcW w:w="8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226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40652</w:t>
            </w:r>
          </w:p>
        </w:tc>
        <w:tc>
          <w:tcPr>
            <w:tcW w:w="23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bl>
    <w:p>
      <w:pPr>
        <w:pStyle w:val="1167"/>
        <w:outlineLvl w:val="9"/>
        <w:rPr>
          <w:rFonts w:hint="default" w:ascii="Times New Roman" w:hAnsi="Times New Roman" w:cs="Times New Roman" w:eastAsiaTheme="minorEastAsia"/>
          <w:color w:val="000000" w:themeColor="text1"/>
          <w14:textFill>
            <w14:solidFill>
              <w14:schemeClr w14:val="tx1"/>
            </w14:solidFill>
          </w14:textFill>
        </w:rPr>
      </w:pPr>
    </w:p>
    <w:p>
      <w:pPr>
        <w:pStyle w:val="1167"/>
        <w:keepNext w:val="0"/>
        <w:keepLines w:val="0"/>
        <w:pageBreakBefore w:val="0"/>
        <w:widowControl/>
        <w:kinsoku/>
        <w:wordWrap/>
        <w:overflowPunct/>
        <w:topLinePunct w:val="0"/>
        <w:autoSpaceDE/>
        <w:autoSpaceDN/>
        <w:bidi w:val="0"/>
        <w:adjustRightInd w:val="0"/>
        <w:snapToGrid w:val="0"/>
        <w:spacing w:line="480" w:lineRule="auto"/>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drawing>
          <wp:inline distT="0" distB="0" distL="0" distR="0">
            <wp:extent cx="5467350" cy="7924800"/>
            <wp:effectExtent l="0" t="0" r="0" b="0"/>
            <wp:docPr id="1152" name="图片 4" descr="C:\Users\ADMINI~1\AppData\Local\Temp\16357487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图片 4" descr="C:\Users\ADMINI~1\AppData\Local\Temp\1635748717(1).png"/>
                    <pic:cNvPicPr>
                      <a:picLocks noChangeAspect="1" noChangeArrowheads="1"/>
                    </pic:cNvPicPr>
                  </pic:nvPicPr>
                  <pic:blipFill>
                    <a:blip r:embed="rId51" cstate="print"/>
                    <a:srcRect/>
                    <a:stretch>
                      <a:fillRect/>
                    </a:stretch>
                  </pic:blipFill>
                  <pic:spPr>
                    <a:xfrm>
                      <a:off x="0" y="0"/>
                      <a:ext cx="5469121" cy="7927367"/>
                    </a:xfrm>
                    <a:prstGeom prst="rect">
                      <a:avLst/>
                    </a:prstGeom>
                    <a:noFill/>
                    <a:ln w="9525">
                      <a:noFill/>
                      <a:miter lim="800000"/>
                      <a:headEnd/>
                      <a:tailEnd/>
                    </a:ln>
                  </pic:spPr>
                </pic:pic>
              </a:graphicData>
            </a:graphic>
          </wp:inline>
        </w:drawing>
      </w:r>
    </w:p>
    <w:p>
      <w:pPr>
        <w:ind w:firstLine="1920" w:firstLineChars="800"/>
        <w:rPr>
          <w:rFonts w:hint="default" w:ascii="Times New Roman" w:hAnsi="Times New Roman" w:cs="Times New Roman" w:eastAsiaTheme="minorEastAsia"/>
          <w:sz w:val="24"/>
          <w:szCs w:val="24"/>
          <w:lang w:val="en-US"/>
        </w:rPr>
      </w:pPr>
      <w:r>
        <w:rPr>
          <w:rFonts w:hint="default" w:ascii="Times New Roman" w:hAnsi="Times New Roman" w:cs="Times New Roman" w:eastAsiaTheme="minorEastAsia"/>
          <w:color w:val="000000" w:themeColor="text1"/>
          <w:sz w:val="24"/>
          <w:szCs w:val="24"/>
          <w:lang w:val="en-GB"/>
          <w14:textFill>
            <w14:solidFill>
              <w14:schemeClr w14:val="tx1"/>
            </w14:solidFill>
          </w14:textFill>
        </w:rPr>
        <w:t>图</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GB"/>
          <w14:textFill>
            <w14:solidFill>
              <w14:schemeClr w14:val="tx1"/>
            </w14:solidFill>
          </w14:textFill>
        </w:rPr>
        <w:t>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     项目平面布置图</w:t>
      </w:r>
    </w:p>
    <w:p>
      <w:pPr>
        <w:pStyle w:val="1167"/>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3.1.4 主要原辅材料</w:t>
      </w:r>
    </w:p>
    <w:p>
      <w:pPr>
        <w:keepNext w:val="0"/>
        <w:keepLines w:val="0"/>
        <w:pageBreakBefore w:val="0"/>
        <w:widowControl/>
        <w:kinsoku/>
        <w:wordWrap/>
        <w:overflowPunct/>
        <w:topLinePunct w:val="0"/>
        <w:autoSpaceDE/>
        <w:autoSpaceDN/>
        <w:bidi w:val="0"/>
        <w:adjustRightInd w:val="0"/>
        <w:snapToGrid w:val="0"/>
        <w:spacing w:line="500" w:lineRule="exact"/>
        <w:ind w:firstLine="560"/>
        <w:textAlignment w:val="auto"/>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建设项目主要原辅材料消耗见表3-1-3。</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表3-1-3 原辅材料一览表</w:t>
      </w:r>
    </w:p>
    <w:tbl>
      <w:tblPr>
        <w:tblStyle w:val="91"/>
        <w:tblW w:w="0" w:type="auto"/>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856"/>
        <w:gridCol w:w="1120"/>
        <w:gridCol w:w="1622"/>
        <w:gridCol w:w="1317"/>
        <w:gridCol w:w="1395"/>
        <w:gridCol w:w="2410"/>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55" w:hRule="atLeast"/>
          <w:jc w:val="center"/>
        </w:trPr>
        <w:tc>
          <w:tcPr>
            <w:tcW w:w="856" w:type="dxa"/>
            <w:tcBorders>
              <w:top w:val="single" w:color="auto" w:sz="1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序号</w:t>
            </w:r>
          </w:p>
        </w:tc>
        <w:tc>
          <w:tcPr>
            <w:tcW w:w="2742" w:type="dxa"/>
            <w:gridSpan w:val="2"/>
            <w:tcBorders>
              <w:top w:val="single" w:color="auto" w:sz="1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名 称</w:t>
            </w:r>
          </w:p>
        </w:tc>
        <w:tc>
          <w:tcPr>
            <w:tcW w:w="1317" w:type="dxa"/>
            <w:tcBorders>
              <w:top w:val="single" w:color="auto" w:sz="1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单位</w:t>
            </w:r>
          </w:p>
        </w:tc>
        <w:tc>
          <w:tcPr>
            <w:tcW w:w="1395" w:type="dxa"/>
            <w:tcBorders>
              <w:top w:val="single" w:color="auto" w:sz="1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年消耗总量</w:t>
            </w:r>
          </w:p>
        </w:tc>
        <w:tc>
          <w:tcPr>
            <w:tcW w:w="2410" w:type="dxa"/>
            <w:tcBorders>
              <w:top w:val="single" w:color="auto" w:sz="1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备注</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4" w:hRule="atLeast"/>
          <w:jc w:val="center"/>
        </w:trPr>
        <w:tc>
          <w:tcPr>
            <w:tcW w:w="8720" w:type="dxa"/>
            <w:gridSpan w:val="6"/>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一、原材料消耗</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40" w:hRule="atLeast"/>
          <w:jc w:val="center"/>
        </w:trPr>
        <w:tc>
          <w:tcPr>
            <w:tcW w:w="856"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c>
          <w:tcPr>
            <w:tcW w:w="1120" w:type="dxa"/>
            <w:vMerge w:val="restart"/>
            <w:tcBorders>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牛饲料</w:t>
            </w:r>
          </w:p>
        </w:tc>
        <w:tc>
          <w:tcPr>
            <w:tcW w:w="1622" w:type="dxa"/>
            <w:tcBorders>
              <w:left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玉米秸秆、稻草</w:t>
            </w:r>
          </w:p>
        </w:tc>
        <w:tc>
          <w:tcPr>
            <w:tcW w:w="1317" w:type="dxa"/>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t/a</w:t>
            </w:r>
          </w:p>
        </w:tc>
        <w:tc>
          <w:tcPr>
            <w:tcW w:w="1395" w:type="dxa"/>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3200</w:t>
            </w:r>
          </w:p>
        </w:tc>
        <w:tc>
          <w:tcPr>
            <w:tcW w:w="2410" w:type="dxa"/>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lang w:val="en-GB"/>
                <w14:textFill>
                  <w14:solidFill>
                    <w14:schemeClr w14:val="tx1"/>
                  </w14:solidFill>
                </w14:textFill>
              </w:rPr>
              <w:t>外购</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185" w:hRule="atLeast"/>
          <w:jc w:val="center"/>
        </w:trPr>
        <w:tc>
          <w:tcPr>
            <w:tcW w:w="856"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120" w:type="dxa"/>
            <w:vMerge w:val="continue"/>
            <w:tcBorders>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622" w:type="dxa"/>
            <w:tcBorders>
              <w:top w:val="single" w:color="auto" w:sz="4" w:space="0"/>
              <w:lef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干草</w:t>
            </w:r>
          </w:p>
        </w:tc>
        <w:tc>
          <w:tcPr>
            <w:tcW w:w="1317" w:type="dxa"/>
            <w:tcBorders>
              <w:top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t/a</w:t>
            </w:r>
          </w:p>
        </w:tc>
        <w:tc>
          <w:tcPr>
            <w:tcW w:w="1395" w:type="dxa"/>
            <w:tcBorders>
              <w:top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4500</w:t>
            </w:r>
          </w:p>
        </w:tc>
        <w:tc>
          <w:tcPr>
            <w:tcW w:w="2410" w:type="dxa"/>
            <w:tcBorders>
              <w:top w:val="single" w:color="auto" w:sz="4" w:space="0"/>
            </w:tcBorders>
            <w:vAlign w:val="center"/>
          </w:tcPr>
          <w:p>
            <w:pPr>
              <w:pStyle w:val="666"/>
              <w:rPr>
                <w:rFonts w:hint="default" w:ascii="Times New Roman" w:hAnsi="Times New Roman" w:cs="Times New Roman" w:eastAsiaTheme="minorEastAsia"/>
                <w:color w:val="000000" w:themeColor="text1"/>
                <w:lang w:val="en-GB"/>
                <w14:textFill>
                  <w14:solidFill>
                    <w14:schemeClr w14:val="tx1"/>
                  </w14:solidFill>
                </w14:textFill>
              </w:rPr>
            </w:pPr>
            <w:r>
              <w:rPr>
                <w:rFonts w:hint="default" w:ascii="Times New Roman" w:hAnsi="Times New Roman" w:cs="Times New Roman" w:eastAsiaTheme="minorEastAsia"/>
                <w:color w:val="000000" w:themeColor="text1"/>
                <w:lang w:val="en-GB"/>
                <w14:textFill>
                  <w14:solidFill>
                    <w14:schemeClr w14:val="tx1"/>
                  </w14:solidFill>
                </w14:textFill>
              </w:rPr>
              <w:t>外购</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70" w:hRule="atLeast"/>
          <w:jc w:val="center"/>
        </w:trPr>
        <w:tc>
          <w:tcPr>
            <w:tcW w:w="856" w:type="dxa"/>
            <w:vMerge w:val="continue"/>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120" w:type="dxa"/>
            <w:vMerge w:val="continue"/>
            <w:tcBorders>
              <w:bottom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622" w:type="dxa"/>
            <w:tcBorders>
              <w:left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精饲料</w:t>
            </w:r>
          </w:p>
        </w:tc>
        <w:tc>
          <w:tcPr>
            <w:tcW w:w="1317" w:type="dxa"/>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t/a</w:t>
            </w:r>
          </w:p>
        </w:tc>
        <w:tc>
          <w:tcPr>
            <w:tcW w:w="1395" w:type="dxa"/>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2600</w:t>
            </w:r>
          </w:p>
        </w:tc>
        <w:tc>
          <w:tcPr>
            <w:tcW w:w="2410" w:type="dxa"/>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lang w:val="en-GB"/>
                <w14:textFill>
                  <w14:solidFill>
                    <w14:schemeClr w14:val="tx1"/>
                  </w14:solidFill>
                </w14:textFill>
              </w:rPr>
              <w:t>外购</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40" w:hRule="atLeast"/>
          <w:jc w:val="center"/>
        </w:trPr>
        <w:tc>
          <w:tcPr>
            <w:tcW w:w="856" w:type="dxa"/>
            <w:vMerge w:val="restart"/>
            <w:tcBorders>
              <w:top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c>
          <w:tcPr>
            <w:tcW w:w="1120" w:type="dxa"/>
            <w:vMerge w:val="restart"/>
            <w:tcBorders>
              <w:top w:val="single" w:color="auto" w:sz="4" w:space="0"/>
              <w:right w:val="single" w:color="auto" w:sz="4" w:space="0"/>
            </w:tcBorders>
            <w:vAlign w:val="center"/>
          </w:tcPr>
          <w:p>
            <w:pPr>
              <w:pStyle w:val="208"/>
              <w:spacing w:line="240" w:lineRule="auto"/>
              <w:ind w:firstLine="0" w:firstLineChars="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疫苗</w:t>
            </w:r>
          </w:p>
        </w:tc>
        <w:tc>
          <w:tcPr>
            <w:tcW w:w="1622" w:type="dxa"/>
            <w:tcBorders>
              <w:top w:val="single" w:color="auto" w:sz="4" w:space="0"/>
              <w:left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口蹄疫</w:t>
            </w:r>
          </w:p>
        </w:tc>
        <w:tc>
          <w:tcPr>
            <w:tcW w:w="1317"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瓶/a</w:t>
            </w:r>
          </w:p>
        </w:tc>
        <w:tc>
          <w:tcPr>
            <w:tcW w:w="1395"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40</w:t>
            </w:r>
          </w:p>
        </w:tc>
        <w:tc>
          <w:tcPr>
            <w:tcW w:w="2410"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lang w:val="en-GB"/>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55" w:hRule="atLeast"/>
          <w:jc w:val="center"/>
        </w:trPr>
        <w:tc>
          <w:tcPr>
            <w:tcW w:w="856"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120" w:type="dxa"/>
            <w:vMerge w:val="continue"/>
            <w:tcBorders>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622" w:type="dxa"/>
            <w:tcBorders>
              <w:top w:val="single" w:color="auto" w:sz="4" w:space="0"/>
              <w:left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牛多杀性巴氏杆菌病灭活疫苗</w:t>
            </w:r>
          </w:p>
        </w:tc>
        <w:tc>
          <w:tcPr>
            <w:tcW w:w="1317"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瓶/a</w:t>
            </w:r>
          </w:p>
        </w:tc>
        <w:tc>
          <w:tcPr>
            <w:tcW w:w="1395"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65</w:t>
            </w:r>
          </w:p>
        </w:tc>
        <w:tc>
          <w:tcPr>
            <w:tcW w:w="2410"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lang w:val="en-GB"/>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856"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120" w:type="dxa"/>
            <w:vMerge w:val="continue"/>
            <w:tcBorders>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622" w:type="dxa"/>
            <w:tcBorders>
              <w:top w:val="single" w:color="auto" w:sz="4" w:space="0"/>
              <w:left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牛流行热疫苗</w:t>
            </w:r>
          </w:p>
        </w:tc>
        <w:tc>
          <w:tcPr>
            <w:tcW w:w="1317"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瓶/a</w:t>
            </w:r>
          </w:p>
        </w:tc>
        <w:tc>
          <w:tcPr>
            <w:tcW w:w="1395"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62</w:t>
            </w:r>
          </w:p>
        </w:tc>
        <w:tc>
          <w:tcPr>
            <w:tcW w:w="2410"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lang w:val="en-GB"/>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1125" w:hRule="atLeast"/>
          <w:jc w:val="center"/>
        </w:trPr>
        <w:tc>
          <w:tcPr>
            <w:tcW w:w="856" w:type="dxa"/>
            <w:vMerge w:val="continue"/>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120" w:type="dxa"/>
            <w:vMerge w:val="continue"/>
            <w:tcBorders>
              <w:bottom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622" w:type="dxa"/>
            <w:tcBorders>
              <w:top w:val="single" w:color="auto" w:sz="4" w:space="0"/>
              <w:left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肉毒梭菌（C型）中毒症灭活疫苗</w:t>
            </w:r>
          </w:p>
        </w:tc>
        <w:tc>
          <w:tcPr>
            <w:tcW w:w="1317"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瓶/a</w:t>
            </w:r>
          </w:p>
        </w:tc>
        <w:tc>
          <w:tcPr>
            <w:tcW w:w="1395"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30</w:t>
            </w:r>
          </w:p>
        </w:tc>
        <w:tc>
          <w:tcPr>
            <w:tcW w:w="2410"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lang w:val="en-GB"/>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155" w:hRule="atLeast"/>
          <w:jc w:val="center"/>
        </w:trPr>
        <w:tc>
          <w:tcPr>
            <w:tcW w:w="856" w:type="dxa"/>
            <w:vMerge w:val="restart"/>
            <w:tcBorders>
              <w:top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w:t>
            </w:r>
          </w:p>
        </w:tc>
        <w:tc>
          <w:tcPr>
            <w:tcW w:w="1120" w:type="dxa"/>
            <w:vMerge w:val="restart"/>
            <w:tcBorders>
              <w:top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兽药</w:t>
            </w:r>
          </w:p>
        </w:tc>
        <w:tc>
          <w:tcPr>
            <w:tcW w:w="1622" w:type="dxa"/>
            <w:tcBorders>
              <w:top w:val="single" w:color="auto" w:sz="4" w:space="0"/>
              <w:left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美达佳</w:t>
            </w:r>
          </w:p>
        </w:tc>
        <w:tc>
          <w:tcPr>
            <w:tcW w:w="1317"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瓶/a</w:t>
            </w:r>
          </w:p>
        </w:tc>
        <w:tc>
          <w:tcPr>
            <w:tcW w:w="1395"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45</w:t>
            </w:r>
          </w:p>
        </w:tc>
        <w:tc>
          <w:tcPr>
            <w:tcW w:w="2410"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lang w:val="en-GB"/>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70" w:hRule="atLeast"/>
          <w:jc w:val="center"/>
        </w:trPr>
        <w:tc>
          <w:tcPr>
            <w:tcW w:w="856" w:type="dxa"/>
            <w:vMerge w:val="continue"/>
            <w:tcBorders>
              <w:top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120" w:type="dxa"/>
            <w:vMerge w:val="continue"/>
            <w:tcBorders>
              <w:top w:val="single" w:color="auto" w:sz="4" w:space="0"/>
              <w:right w:val="single" w:color="auto" w:sz="4" w:space="0"/>
            </w:tcBorders>
            <w:vAlign w:val="center"/>
          </w:tcPr>
          <w:p>
            <w:pPr>
              <w:pStyle w:val="208"/>
              <w:spacing w:line="240" w:lineRule="auto"/>
              <w:ind w:firstLine="400"/>
              <w:rPr>
                <w:rFonts w:hint="default" w:ascii="Times New Roman" w:hAnsi="Times New Roman" w:cs="Times New Roman" w:eastAsiaTheme="minorEastAsia"/>
                <w:color w:val="000000" w:themeColor="text1"/>
                <w14:textFill>
                  <w14:solidFill>
                    <w14:schemeClr w14:val="tx1"/>
                  </w14:solidFill>
                </w14:textFill>
              </w:rPr>
            </w:pPr>
          </w:p>
        </w:tc>
        <w:tc>
          <w:tcPr>
            <w:tcW w:w="1622" w:type="dxa"/>
            <w:tcBorders>
              <w:top w:val="single" w:color="auto" w:sz="4" w:space="0"/>
              <w:left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百福他</w:t>
            </w:r>
          </w:p>
        </w:tc>
        <w:tc>
          <w:tcPr>
            <w:tcW w:w="1317"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瓶/a</w:t>
            </w:r>
          </w:p>
        </w:tc>
        <w:tc>
          <w:tcPr>
            <w:tcW w:w="1395"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16</w:t>
            </w:r>
          </w:p>
        </w:tc>
        <w:tc>
          <w:tcPr>
            <w:tcW w:w="2410"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lang w:val="en-GB"/>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15" w:hRule="atLeast"/>
          <w:jc w:val="center"/>
        </w:trPr>
        <w:tc>
          <w:tcPr>
            <w:tcW w:w="856" w:type="dxa"/>
            <w:vMerge w:val="continue"/>
            <w:tcBorders>
              <w:top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120" w:type="dxa"/>
            <w:vMerge w:val="continue"/>
            <w:tcBorders>
              <w:top w:val="single" w:color="auto" w:sz="4" w:space="0"/>
              <w:right w:val="single" w:color="auto" w:sz="4" w:space="0"/>
            </w:tcBorders>
            <w:vAlign w:val="center"/>
          </w:tcPr>
          <w:p>
            <w:pPr>
              <w:pStyle w:val="208"/>
              <w:spacing w:line="240" w:lineRule="auto"/>
              <w:ind w:firstLine="400"/>
              <w:rPr>
                <w:rFonts w:hint="default" w:ascii="Times New Roman" w:hAnsi="Times New Roman" w:cs="Times New Roman" w:eastAsiaTheme="minorEastAsia"/>
                <w:color w:val="000000" w:themeColor="text1"/>
                <w14:textFill>
                  <w14:solidFill>
                    <w14:schemeClr w14:val="tx1"/>
                  </w14:solidFill>
                </w14:textFill>
              </w:rPr>
            </w:pPr>
          </w:p>
        </w:tc>
        <w:tc>
          <w:tcPr>
            <w:tcW w:w="1622" w:type="dxa"/>
            <w:tcBorders>
              <w:top w:val="single" w:color="auto" w:sz="4" w:space="0"/>
              <w:left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易速达</w:t>
            </w:r>
          </w:p>
        </w:tc>
        <w:tc>
          <w:tcPr>
            <w:tcW w:w="1317"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瓶/a</w:t>
            </w:r>
          </w:p>
        </w:tc>
        <w:tc>
          <w:tcPr>
            <w:tcW w:w="1395"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w:t>
            </w:r>
          </w:p>
        </w:tc>
        <w:tc>
          <w:tcPr>
            <w:tcW w:w="2410"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lang w:val="en-GB"/>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00" w:hRule="atLeast"/>
          <w:jc w:val="center"/>
        </w:trPr>
        <w:tc>
          <w:tcPr>
            <w:tcW w:w="856" w:type="dxa"/>
            <w:vMerge w:val="continue"/>
            <w:tcBorders>
              <w:top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120" w:type="dxa"/>
            <w:vMerge w:val="continue"/>
            <w:tcBorders>
              <w:top w:val="single" w:color="auto" w:sz="4" w:space="0"/>
              <w:right w:val="single" w:color="auto" w:sz="4" w:space="0"/>
            </w:tcBorders>
            <w:vAlign w:val="center"/>
          </w:tcPr>
          <w:p>
            <w:pPr>
              <w:pStyle w:val="208"/>
              <w:spacing w:line="240" w:lineRule="auto"/>
              <w:ind w:firstLine="400"/>
              <w:rPr>
                <w:rFonts w:hint="default" w:ascii="Times New Roman" w:hAnsi="Times New Roman" w:cs="Times New Roman" w:eastAsiaTheme="minorEastAsia"/>
                <w:color w:val="000000" w:themeColor="text1"/>
                <w14:textFill>
                  <w14:solidFill>
                    <w14:schemeClr w14:val="tx1"/>
                  </w14:solidFill>
                </w14:textFill>
              </w:rPr>
            </w:pPr>
          </w:p>
        </w:tc>
        <w:tc>
          <w:tcPr>
            <w:tcW w:w="1622" w:type="dxa"/>
            <w:tcBorders>
              <w:top w:val="single" w:color="auto" w:sz="4" w:space="0"/>
              <w:left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0.9%氯化钠</w:t>
            </w:r>
          </w:p>
        </w:tc>
        <w:tc>
          <w:tcPr>
            <w:tcW w:w="1317"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瓶/a</w:t>
            </w:r>
          </w:p>
        </w:tc>
        <w:tc>
          <w:tcPr>
            <w:tcW w:w="1395"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550</w:t>
            </w:r>
          </w:p>
        </w:tc>
        <w:tc>
          <w:tcPr>
            <w:tcW w:w="2410"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lang w:val="en-GB"/>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55" w:hRule="atLeast"/>
          <w:jc w:val="center"/>
        </w:trPr>
        <w:tc>
          <w:tcPr>
            <w:tcW w:w="856" w:type="dxa"/>
            <w:vMerge w:val="continue"/>
            <w:tcBorders>
              <w:top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120" w:type="dxa"/>
            <w:vMerge w:val="continue"/>
            <w:tcBorders>
              <w:top w:val="single" w:color="auto" w:sz="4" w:space="0"/>
              <w:right w:val="single" w:color="auto" w:sz="4" w:space="0"/>
            </w:tcBorders>
            <w:vAlign w:val="center"/>
          </w:tcPr>
          <w:p>
            <w:pPr>
              <w:pStyle w:val="208"/>
              <w:spacing w:line="240" w:lineRule="auto"/>
              <w:ind w:firstLine="400"/>
              <w:rPr>
                <w:rFonts w:hint="default" w:ascii="Times New Roman" w:hAnsi="Times New Roman" w:cs="Times New Roman" w:eastAsiaTheme="minorEastAsia"/>
                <w:color w:val="000000" w:themeColor="text1"/>
                <w14:textFill>
                  <w14:solidFill>
                    <w14:schemeClr w14:val="tx1"/>
                  </w14:solidFill>
                </w14:textFill>
              </w:rPr>
            </w:pPr>
          </w:p>
        </w:tc>
        <w:tc>
          <w:tcPr>
            <w:tcW w:w="1622" w:type="dxa"/>
            <w:tcBorders>
              <w:top w:val="single" w:color="auto" w:sz="4" w:space="0"/>
              <w:left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澳舒康</w:t>
            </w:r>
          </w:p>
        </w:tc>
        <w:tc>
          <w:tcPr>
            <w:tcW w:w="1317"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瓶/a</w:t>
            </w:r>
          </w:p>
        </w:tc>
        <w:tc>
          <w:tcPr>
            <w:tcW w:w="1395"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60</w:t>
            </w:r>
          </w:p>
        </w:tc>
        <w:tc>
          <w:tcPr>
            <w:tcW w:w="2410"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lang w:val="en-GB"/>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00" w:hRule="atLeast"/>
          <w:jc w:val="center"/>
        </w:trPr>
        <w:tc>
          <w:tcPr>
            <w:tcW w:w="856" w:type="dxa"/>
            <w:vMerge w:val="continue"/>
            <w:tcBorders>
              <w:top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120" w:type="dxa"/>
            <w:vMerge w:val="continue"/>
            <w:tcBorders>
              <w:top w:val="single" w:color="auto" w:sz="4" w:space="0"/>
              <w:right w:val="single" w:color="auto" w:sz="4" w:space="0"/>
            </w:tcBorders>
            <w:vAlign w:val="center"/>
          </w:tcPr>
          <w:p>
            <w:pPr>
              <w:pStyle w:val="208"/>
              <w:spacing w:line="240" w:lineRule="auto"/>
              <w:ind w:firstLine="400"/>
              <w:rPr>
                <w:rFonts w:hint="default" w:ascii="Times New Roman" w:hAnsi="Times New Roman" w:cs="Times New Roman" w:eastAsiaTheme="minorEastAsia"/>
                <w:color w:val="000000" w:themeColor="text1"/>
                <w14:textFill>
                  <w14:solidFill>
                    <w14:schemeClr w14:val="tx1"/>
                  </w14:solidFill>
                </w14:textFill>
              </w:rPr>
            </w:pPr>
          </w:p>
        </w:tc>
        <w:tc>
          <w:tcPr>
            <w:tcW w:w="1622" w:type="dxa"/>
            <w:tcBorders>
              <w:top w:val="single" w:color="auto" w:sz="4" w:space="0"/>
              <w:left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博威钙</w:t>
            </w:r>
          </w:p>
        </w:tc>
        <w:tc>
          <w:tcPr>
            <w:tcW w:w="1317"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袋/a</w:t>
            </w:r>
          </w:p>
        </w:tc>
        <w:tc>
          <w:tcPr>
            <w:tcW w:w="1395"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110</w:t>
            </w:r>
          </w:p>
        </w:tc>
        <w:tc>
          <w:tcPr>
            <w:tcW w:w="2410"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lang w:val="en-GB"/>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140" w:hRule="atLeast"/>
          <w:jc w:val="center"/>
        </w:trPr>
        <w:tc>
          <w:tcPr>
            <w:tcW w:w="856" w:type="dxa"/>
            <w:vMerge w:val="continue"/>
            <w:tcBorders>
              <w:top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120" w:type="dxa"/>
            <w:vMerge w:val="continue"/>
            <w:tcBorders>
              <w:top w:val="single" w:color="auto" w:sz="4" w:space="0"/>
              <w:right w:val="single" w:color="auto" w:sz="4" w:space="0"/>
            </w:tcBorders>
            <w:vAlign w:val="center"/>
          </w:tcPr>
          <w:p>
            <w:pPr>
              <w:pStyle w:val="208"/>
              <w:spacing w:line="240" w:lineRule="auto"/>
              <w:ind w:firstLine="400"/>
              <w:rPr>
                <w:rFonts w:hint="default" w:ascii="Times New Roman" w:hAnsi="Times New Roman" w:cs="Times New Roman" w:eastAsiaTheme="minorEastAsia"/>
                <w:color w:val="000000" w:themeColor="text1"/>
                <w14:textFill>
                  <w14:solidFill>
                    <w14:schemeClr w14:val="tx1"/>
                  </w14:solidFill>
                </w14:textFill>
              </w:rPr>
            </w:pPr>
          </w:p>
        </w:tc>
        <w:tc>
          <w:tcPr>
            <w:tcW w:w="1622" w:type="dxa"/>
            <w:tcBorders>
              <w:top w:val="single" w:color="auto" w:sz="4" w:space="0"/>
              <w:left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畜可健（5%）</w:t>
            </w:r>
          </w:p>
        </w:tc>
        <w:tc>
          <w:tcPr>
            <w:tcW w:w="1317"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瓶/a</w:t>
            </w:r>
          </w:p>
        </w:tc>
        <w:tc>
          <w:tcPr>
            <w:tcW w:w="1395"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70</w:t>
            </w:r>
          </w:p>
        </w:tc>
        <w:tc>
          <w:tcPr>
            <w:tcW w:w="2410"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lang w:val="en-GB"/>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25" w:hRule="atLeast"/>
          <w:jc w:val="center"/>
        </w:trPr>
        <w:tc>
          <w:tcPr>
            <w:tcW w:w="856"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120" w:type="dxa"/>
            <w:vMerge w:val="continue"/>
            <w:tcBorders>
              <w:right w:val="single" w:color="auto" w:sz="4" w:space="0"/>
            </w:tcBorders>
            <w:vAlign w:val="center"/>
          </w:tcPr>
          <w:p>
            <w:pPr>
              <w:pStyle w:val="208"/>
              <w:spacing w:line="240" w:lineRule="auto"/>
              <w:ind w:firstLine="400"/>
              <w:rPr>
                <w:rFonts w:hint="default" w:ascii="Times New Roman" w:hAnsi="Times New Roman" w:cs="Times New Roman" w:eastAsiaTheme="minorEastAsia"/>
                <w:color w:val="000000" w:themeColor="text1"/>
                <w14:textFill>
                  <w14:solidFill>
                    <w14:schemeClr w14:val="tx1"/>
                  </w14:solidFill>
                </w14:textFill>
              </w:rPr>
            </w:pPr>
          </w:p>
        </w:tc>
        <w:tc>
          <w:tcPr>
            <w:tcW w:w="1622" w:type="dxa"/>
            <w:tcBorders>
              <w:top w:val="single" w:color="auto" w:sz="4" w:space="0"/>
              <w:left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达可（复合预混合饲料)</w:t>
            </w:r>
          </w:p>
        </w:tc>
        <w:tc>
          <w:tcPr>
            <w:tcW w:w="1317"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袋/a</w:t>
            </w:r>
          </w:p>
        </w:tc>
        <w:tc>
          <w:tcPr>
            <w:tcW w:w="1395"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w:t>
            </w:r>
          </w:p>
        </w:tc>
        <w:tc>
          <w:tcPr>
            <w:tcW w:w="2410"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lang w:val="en-GB"/>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25" w:hRule="atLeast"/>
          <w:jc w:val="center"/>
        </w:trPr>
        <w:tc>
          <w:tcPr>
            <w:tcW w:w="856"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120" w:type="dxa"/>
            <w:vMerge w:val="continue"/>
            <w:tcBorders>
              <w:right w:val="single" w:color="auto" w:sz="4" w:space="0"/>
            </w:tcBorders>
            <w:vAlign w:val="center"/>
          </w:tcPr>
          <w:p>
            <w:pPr>
              <w:pStyle w:val="208"/>
              <w:spacing w:line="240" w:lineRule="auto"/>
              <w:ind w:firstLine="400"/>
              <w:rPr>
                <w:rFonts w:hint="default" w:ascii="Times New Roman" w:hAnsi="Times New Roman" w:cs="Times New Roman" w:eastAsiaTheme="minorEastAsia"/>
                <w:color w:val="000000" w:themeColor="text1"/>
                <w14:textFill>
                  <w14:solidFill>
                    <w14:schemeClr w14:val="tx1"/>
                  </w14:solidFill>
                </w14:textFill>
              </w:rPr>
            </w:pPr>
          </w:p>
        </w:tc>
        <w:tc>
          <w:tcPr>
            <w:tcW w:w="1622" w:type="dxa"/>
            <w:tcBorders>
              <w:top w:val="single" w:color="auto" w:sz="4" w:space="0"/>
              <w:left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福欣安</w:t>
            </w:r>
          </w:p>
        </w:tc>
        <w:tc>
          <w:tcPr>
            <w:tcW w:w="1317"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袋/a</w:t>
            </w:r>
          </w:p>
        </w:tc>
        <w:tc>
          <w:tcPr>
            <w:tcW w:w="1395"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130</w:t>
            </w:r>
          </w:p>
        </w:tc>
        <w:tc>
          <w:tcPr>
            <w:tcW w:w="2410"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lang w:val="en-GB"/>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70" w:hRule="atLeast"/>
          <w:jc w:val="center"/>
        </w:trPr>
        <w:tc>
          <w:tcPr>
            <w:tcW w:w="856"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120" w:type="dxa"/>
            <w:vMerge w:val="continue"/>
            <w:tcBorders>
              <w:right w:val="single" w:color="auto" w:sz="4" w:space="0"/>
            </w:tcBorders>
            <w:vAlign w:val="center"/>
          </w:tcPr>
          <w:p>
            <w:pPr>
              <w:pStyle w:val="208"/>
              <w:spacing w:line="240" w:lineRule="auto"/>
              <w:ind w:firstLine="400"/>
              <w:rPr>
                <w:rFonts w:hint="default" w:ascii="Times New Roman" w:hAnsi="Times New Roman" w:cs="Times New Roman" w:eastAsiaTheme="minorEastAsia"/>
                <w:color w:val="000000" w:themeColor="text1"/>
                <w14:textFill>
                  <w14:solidFill>
                    <w14:schemeClr w14:val="tx1"/>
                  </w14:solidFill>
                </w14:textFill>
              </w:rPr>
            </w:pPr>
          </w:p>
        </w:tc>
        <w:tc>
          <w:tcPr>
            <w:tcW w:w="1622" w:type="dxa"/>
            <w:tcBorders>
              <w:top w:val="single" w:color="auto" w:sz="4" w:space="0"/>
              <w:left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10%葡萄糖</w:t>
            </w:r>
          </w:p>
        </w:tc>
        <w:tc>
          <w:tcPr>
            <w:tcW w:w="1317"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瓶</w:t>
            </w:r>
          </w:p>
        </w:tc>
        <w:tc>
          <w:tcPr>
            <w:tcW w:w="1395"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300</w:t>
            </w:r>
          </w:p>
        </w:tc>
        <w:tc>
          <w:tcPr>
            <w:tcW w:w="2410"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lang w:val="en-GB"/>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13" w:hRule="atLeast"/>
          <w:jc w:val="center"/>
        </w:trPr>
        <w:tc>
          <w:tcPr>
            <w:tcW w:w="85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w:t>
            </w:r>
          </w:p>
        </w:tc>
        <w:tc>
          <w:tcPr>
            <w:tcW w:w="2742" w:type="dxa"/>
            <w:gridSpan w:val="2"/>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消毒液</w:t>
            </w:r>
          </w:p>
        </w:tc>
        <w:tc>
          <w:tcPr>
            <w:tcW w:w="131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瓶</w:t>
            </w:r>
          </w:p>
        </w:tc>
        <w:tc>
          <w:tcPr>
            <w:tcW w:w="139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80</w:t>
            </w:r>
          </w:p>
        </w:tc>
        <w:tc>
          <w:tcPr>
            <w:tcW w:w="241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外购</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8" w:hRule="atLeast"/>
          <w:jc w:val="center"/>
        </w:trPr>
        <w:tc>
          <w:tcPr>
            <w:tcW w:w="856" w:type="dxa"/>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w:t>
            </w:r>
          </w:p>
        </w:tc>
        <w:tc>
          <w:tcPr>
            <w:tcW w:w="2742" w:type="dxa"/>
            <w:gridSpan w:val="2"/>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生物除臭剂</w:t>
            </w:r>
          </w:p>
        </w:tc>
        <w:tc>
          <w:tcPr>
            <w:tcW w:w="1317" w:type="dxa"/>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t/a</w:t>
            </w:r>
          </w:p>
        </w:tc>
        <w:tc>
          <w:tcPr>
            <w:tcW w:w="1395" w:type="dxa"/>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c>
          <w:tcPr>
            <w:tcW w:w="2410" w:type="dxa"/>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外购</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150" w:hRule="atLeast"/>
          <w:jc w:val="center"/>
        </w:trPr>
        <w:tc>
          <w:tcPr>
            <w:tcW w:w="856"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w:t>
            </w:r>
          </w:p>
        </w:tc>
        <w:tc>
          <w:tcPr>
            <w:tcW w:w="2742" w:type="dxa"/>
            <w:gridSpan w:val="2"/>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脱硫剂（氧化铁）</w:t>
            </w:r>
          </w:p>
        </w:tc>
        <w:tc>
          <w:tcPr>
            <w:tcW w:w="1317"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t/a</w:t>
            </w:r>
          </w:p>
        </w:tc>
        <w:tc>
          <w:tcPr>
            <w:tcW w:w="1395"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0.5</w:t>
            </w:r>
          </w:p>
        </w:tc>
        <w:tc>
          <w:tcPr>
            <w:tcW w:w="2410"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外购</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150" w:hRule="atLeast"/>
          <w:jc w:val="center"/>
        </w:trPr>
        <w:tc>
          <w:tcPr>
            <w:tcW w:w="856"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7</w:t>
            </w:r>
          </w:p>
        </w:tc>
        <w:tc>
          <w:tcPr>
            <w:tcW w:w="2742" w:type="dxa"/>
            <w:gridSpan w:val="2"/>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lang w:eastAsia="zh-CN"/>
                <w14:textFill>
                  <w14:solidFill>
                    <w14:schemeClr w14:val="tx1"/>
                  </w14:solidFill>
                </w14:textFill>
              </w:rPr>
            </w:pPr>
            <w:r>
              <w:rPr>
                <w:rFonts w:hint="default" w:ascii="Times New Roman" w:hAnsi="Times New Roman" w:cs="Times New Roman" w:eastAsiaTheme="minorEastAsia"/>
                <w:color w:val="000000" w:themeColor="text1"/>
                <w:lang w:eastAsia="zh-CN"/>
                <w14:textFill>
                  <w14:solidFill>
                    <w14:schemeClr w14:val="tx1"/>
                  </w14:solidFill>
                </w14:textFill>
              </w:rPr>
              <w:t>活性炭</w:t>
            </w:r>
          </w:p>
        </w:tc>
        <w:tc>
          <w:tcPr>
            <w:tcW w:w="1317" w:type="dxa"/>
            <w:tcBorders>
              <w:top w:val="single" w:color="auto" w:sz="4" w:space="0"/>
              <w:bottom w:val="single" w:color="auto" w:sz="4" w:space="0"/>
            </w:tcBorders>
            <w:vAlign w:val="center"/>
          </w:tcPr>
          <w:p>
            <w:pPr>
              <w:pStyle w:val="666"/>
              <w:ind w:firstLine="0" w:firstLineChars="0"/>
              <w:rPr>
                <w:rFonts w:hint="default" w:ascii="Times New Roman" w:hAnsi="Times New Roman" w:cs="Times New Roman" w:eastAsiaTheme="minorEastAsia"/>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t/a</w:t>
            </w:r>
          </w:p>
        </w:tc>
        <w:tc>
          <w:tcPr>
            <w:tcW w:w="1395" w:type="dxa"/>
            <w:tcBorders>
              <w:top w:val="single" w:color="auto" w:sz="4" w:space="0"/>
              <w:bottom w:val="single" w:color="auto" w:sz="4" w:space="0"/>
            </w:tcBorders>
            <w:vAlign w:val="center"/>
          </w:tcPr>
          <w:p>
            <w:pPr>
              <w:pStyle w:val="666"/>
              <w:ind w:firstLine="0" w:firstLineChars="0"/>
              <w:rPr>
                <w:rFonts w:hint="default" w:ascii="Times New Roman" w:hAnsi="Times New Roman" w:cs="Times New Roman" w:eastAsiaTheme="minorEastAsia"/>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1</w:t>
            </w:r>
          </w:p>
        </w:tc>
        <w:tc>
          <w:tcPr>
            <w:tcW w:w="2410" w:type="dxa"/>
            <w:tcBorders>
              <w:top w:val="single" w:color="auto" w:sz="4" w:space="0"/>
              <w:bottom w:val="single" w:color="auto" w:sz="4" w:space="0"/>
            </w:tcBorders>
            <w:vAlign w:val="center"/>
          </w:tcPr>
          <w:p>
            <w:pPr>
              <w:pStyle w:val="666"/>
              <w:ind w:firstLine="0" w:firstLineChars="0"/>
              <w:rPr>
                <w:rFonts w:hint="default" w:ascii="Times New Roman" w:hAnsi="Times New Roman" w:cs="Times New Roman" w:eastAsiaTheme="minorEastAsia"/>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外购</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59" w:hRule="atLeast"/>
          <w:jc w:val="center"/>
        </w:trPr>
        <w:tc>
          <w:tcPr>
            <w:tcW w:w="8720" w:type="dxa"/>
            <w:gridSpan w:val="6"/>
            <w:tcBorders>
              <w:top w:val="single" w:color="auto" w:sz="4" w:space="0"/>
              <w:bottom w:val="single" w:color="auto" w:sz="4" w:space="0"/>
            </w:tcBorders>
            <w:vAlign w:val="center"/>
          </w:tcPr>
          <w:p>
            <w:pPr>
              <w:pStyle w:val="666"/>
              <w:rPr>
                <w:rFonts w:hint="default" w:ascii="Times New Roman" w:hAnsi="Times New Roman" w:cs="Times New Roman" w:eastAsiaTheme="minorEastAsia"/>
                <w:b/>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二、动力材料消耗</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55" w:hRule="atLeast"/>
          <w:jc w:val="center"/>
        </w:trPr>
        <w:tc>
          <w:tcPr>
            <w:tcW w:w="856" w:type="dxa"/>
            <w:tcBorders>
              <w:top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l</w:t>
            </w:r>
          </w:p>
        </w:tc>
        <w:tc>
          <w:tcPr>
            <w:tcW w:w="2742" w:type="dxa"/>
            <w:gridSpan w:val="2"/>
            <w:tcBorders>
              <w:top w:val="single" w:color="auto" w:sz="4" w:space="0"/>
            </w:tcBorders>
            <w:vAlign w:val="center"/>
          </w:tcPr>
          <w:p>
            <w:pPr>
              <w:pStyle w:val="666"/>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水</w:t>
            </w:r>
          </w:p>
        </w:tc>
        <w:tc>
          <w:tcPr>
            <w:tcW w:w="2712" w:type="dxa"/>
            <w:gridSpan w:val="2"/>
            <w:tcBorders>
              <w:top w:val="single" w:color="auto" w:sz="4" w:space="0"/>
            </w:tcBorders>
            <w:vAlign w:val="center"/>
          </w:tcPr>
          <w:p>
            <w:pPr>
              <w:pStyle w:val="666"/>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m</w:t>
            </w:r>
            <w:r>
              <w:rPr>
                <w:rFonts w:hint="default" w:ascii="Times New Roman" w:hAnsi="Times New Roman" w:cs="Times New Roman" w:eastAsiaTheme="minorEastAsia"/>
                <w:color w:val="auto"/>
                <w:vertAlign w:val="superscript"/>
              </w:rPr>
              <w:t>3</w:t>
            </w:r>
            <w:r>
              <w:rPr>
                <w:rFonts w:hint="default" w:ascii="Times New Roman" w:hAnsi="Times New Roman" w:cs="Times New Roman" w:eastAsiaTheme="minorEastAsia"/>
                <w:color w:val="auto"/>
              </w:rPr>
              <w:t>/a</w:t>
            </w:r>
          </w:p>
        </w:tc>
        <w:tc>
          <w:tcPr>
            <w:tcW w:w="2410" w:type="dxa"/>
            <w:tcBorders>
              <w:top w:val="single" w:color="auto" w:sz="4" w:space="0"/>
            </w:tcBorders>
            <w:vAlign w:val="center"/>
          </w:tcPr>
          <w:p>
            <w:pPr>
              <w:pStyle w:val="666"/>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32560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85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c>
          <w:tcPr>
            <w:tcW w:w="2742" w:type="dxa"/>
            <w:gridSpan w:val="2"/>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电</w:t>
            </w:r>
          </w:p>
        </w:tc>
        <w:tc>
          <w:tcPr>
            <w:tcW w:w="2712" w:type="dxa"/>
            <w:gridSpan w:val="2"/>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KW·h</w:t>
            </w:r>
          </w:p>
        </w:tc>
        <w:tc>
          <w:tcPr>
            <w:tcW w:w="2410"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6.5万</w:t>
            </w:r>
          </w:p>
        </w:tc>
      </w:tr>
    </w:tbl>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3.1.5 主要设备</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表3-1-4 主要设备一览表</w:t>
      </w:r>
    </w:p>
    <w:tbl>
      <w:tblPr>
        <w:tblStyle w:val="9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4071"/>
        <w:gridCol w:w="1807"/>
        <w:gridCol w:w="947"/>
        <w:gridCol w:w="9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序号</w:t>
            </w:r>
          </w:p>
        </w:tc>
        <w:tc>
          <w:tcPr>
            <w:tcW w:w="2334"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设备名称</w:t>
            </w:r>
          </w:p>
        </w:tc>
        <w:tc>
          <w:tcPr>
            <w:tcW w:w="1036"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规格型号</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单位</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一</w:t>
            </w:r>
          </w:p>
        </w:tc>
        <w:tc>
          <w:tcPr>
            <w:tcW w:w="2334"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挤奶设备</w:t>
            </w:r>
          </w:p>
        </w:tc>
        <w:tc>
          <w:tcPr>
            <w:tcW w:w="1036"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c>
          <w:tcPr>
            <w:tcW w:w="2334"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挤奶设备</w:t>
            </w:r>
          </w:p>
        </w:tc>
        <w:tc>
          <w:tcPr>
            <w:tcW w:w="1036"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80位转盘</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位</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c>
          <w:tcPr>
            <w:tcW w:w="2334"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奶罐</w:t>
            </w:r>
          </w:p>
        </w:tc>
        <w:tc>
          <w:tcPr>
            <w:tcW w:w="1036"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10吨</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套</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二</w:t>
            </w:r>
          </w:p>
        </w:tc>
        <w:tc>
          <w:tcPr>
            <w:tcW w:w="2334"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养殖设备</w:t>
            </w:r>
          </w:p>
        </w:tc>
        <w:tc>
          <w:tcPr>
            <w:tcW w:w="1036"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c>
          <w:tcPr>
            <w:tcW w:w="2334"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牛颈枷</w:t>
            </w:r>
          </w:p>
        </w:tc>
        <w:tc>
          <w:tcPr>
            <w:tcW w:w="1036"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c>
          <w:tcPr>
            <w:tcW w:w="2334"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牛卧栏</w:t>
            </w:r>
          </w:p>
        </w:tc>
        <w:tc>
          <w:tcPr>
            <w:tcW w:w="1036"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套</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1580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w:t>
            </w:r>
          </w:p>
        </w:tc>
        <w:tc>
          <w:tcPr>
            <w:tcW w:w="2334"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聚乙烯电加热浮球饮水槽</w:t>
            </w:r>
          </w:p>
        </w:tc>
        <w:tc>
          <w:tcPr>
            <w:tcW w:w="1036"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套</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w:t>
            </w:r>
          </w:p>
        </w:tc>
        <w:tc>
          <w:tcPr>
            <w:tcW w:w="2334"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牛舍喷淋系统</w:t>
            </w:r>
          </w:p>
        </w:tc>
        <w:tc>
          <w:tcPr>
            <w:tcW w:w="1036"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w:t>
            </w:r>
          </w:p>
        </w:tc>
        <w:tc>
          <w:tcPr>
            <w:tcW w:w="2334"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牛舍喷淋风机</w:t>
            </w:r>
          </w:p>
        </w:tc>
        <w:tc>
          <w:tcPr>
            <w:tcW w:w="1036"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套</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w:t>
            </w:r>
          </w:p>
        </w:tc>
        <w:tc>
          <w:tcPr>
            <w:tcW w:w="2334"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奶厅喷淋系统</w:t>
            </w:r>
          </w:p>
        </w:tc>
        <w:tc>
          <w:tcPr>
            <w:tcW w:w="1036"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套</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三</w:t>
            </w:r>
          </w:p>
        </w:tc>
        <w:tc>
          <w:tcPr>
            <w:tcW w:w="2334"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饲料加工设备</w:t>
            </w:r>
          </w:p>
        </w:tc>
        <w:tc>
          <w:tcPr>
            <w:tcW w:w="1036"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c>
          <w:tcPr>
            <w:tcW w:w="2334"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青贮取料机</w:t>
            </w:r>
          </w:p>
        </w:tc>
        <w:tc>
          <w:tcPr>
            <w:tcW w:w="1036"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c>
          <w:tcPr>
            <w:tcW w:w="2334"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干草铡草机</w:t>
            </w:r>
          </w:p>
        </w:tc>
        <w:tc>
          <w:tcPr>
            <w:tcW w:w="1036"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w:t>
            </w:r>
          </w:p>
        </w:tc>
        <w:tc>
          <w:tcPr>
            <w:tcW w:w="2334"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移动式TMR搅拌车</w:t>
            </w:r>
          </w:p>
        </w:tc>
        <w:tc>
          <w:tcPr>
            <w:tcW w:w="1036"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28m</w:t>
            </w:r>
            <w:r>
              <w:rPr>
                <w:rFonts w:hint="default" w:ascii="Times New Roman" w:hAnsi="Times New Roman" w:cs="Times New Roman" w:eastAsiaTheme="minorEastAsia"/>
                <w:color w:val="000000" w:themeColor="text1"/>
                <w:vertAlign w:val="superscript"/>
                <w14:textFill>
                  <w14:solidFill>
                    <w14:schemeClr w14:val="tx1"/>
                  </w14:solidFill>
                </w14:textFill>
              </w:rPr>
              <w:t>3</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w:t>
            </w:r>
          </w:p>
        </w:tc>
        <w:tc>
          <w:tcPr>
            <w:tcW w:w="2334"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牵引拖拉机</w:t>
            </w:r>
          </w:p>
        </w:tc>
        <w:tc>
          <w:tcPr>
            <w:tcW w:w="1036"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180匹以上</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套</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w:t>
            </w:r>
          </w:p>
        </w:tc>
        <w:tc>
          <w:tcPr>
            <w:tcW w:w="2334"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装载机</w:t>
            </w:r>
          </w:p>
        </w:tc>
        <w:tc>
          <w:tcPr>
            <w:tcW w:w="1036"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50型</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w:t>
            </w:r>
          </w:p>
        </w:tc>
        <w:tc>
          <w:tcPr>
            <w:tcW w:w="2334"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地 磅</w:t>
            </w:r>
          </w:p>
        </w:tc>
        <w:tc>
          <w:tcPr>
            <w:tcW w:w="1036"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100吨</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台</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四</w:t>
            </w:r>
          </w:p>
        </w:tc>
        <w:tc>
          <w:tcPr>
            <w:tcW w:w="2334"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粪污清理处理设备</w:t>
            </w:r>
          </w:p>
        </w:tc>
        <w:tc>
          <w:tcPr>
            <w:tcW w:w="1036"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c>
          <w:tcPr>
            <w:tcW w:w="2334"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刮粪板一拖二</w:t>
            </w:r>
          </w:p>
        </w:tc>
        <w:tc>
          <w:tcPr>
            <w:tcW w:w="1036"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222</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套</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c>
          <w:tcPr>
            <w:tcW w:w="2334"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卧床垫料抛撒车</w:t>
            </w:r>
          </w:p>
        </w:tc>
        <w:tc>
          <w:tcPr>
            <w:tcW w:w="1036"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台</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w:t>
            </w:r>
          </w:p>
        </w:tc>
        <w:tc>
          <w:tcPr>
            <w:tcW w:w="2334"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奶厅地面冲洗系统</w:t>
            </w:r>
          </w:p>
        </w:tc>
        <w:tc>
          <w:tcPr>
            <w:tcW w:w="1036"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套</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w:t>
            </w:r>
          </w:p>
        </w:tc>
        <w:tc>
          <w:tcPr>
            <w:tcW w:w="2334"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垫料再生系统</w:t>
            </w:r>
          </w:p>
        </w:tc>
        <w:tc>
          <w:tcPr>
            <w:tcW w:w="1036"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套</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w:t>
            </w:r>
          </w:p>
        </w:tc>
        <w:tc>
          <w:tcPr>
            <w:tcW w:w="2334"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固液二次分离机及配套设备</w:t>
            </w:r>
          </w:p>
        </w:tc>
        <w:tc>
          <w:tcPr>
            <w:tcW w:w="1036"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w:t>
            </w:r>
          </w:p>
        </w:tc>
        <w:tc>
          <w:tcPr>
            <w:tcW w:w="2334"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无害化处理设备</w:t>
            </w:r>
          </w:p>
        </w:tc>
        <w:tc>
          <w:tcPr>
            <w:tcW w:w="1036"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套</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五</w:t>
            </w:r>
          </w:p>
        </w:tc>
        <w:tc>
          <w:tcPr>
            <w:tcW w:w="2334"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其他设备</w:t>
            </w:r>
          </w:p>
        </w:tc>
        <w:tc>
          <w:tcPr>
            <w:tcW w:w="1036"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c>
          <w:tcPr>
            <w:tcW w:w="2334"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监控系统　</w:t>
            </w:r>
          </w:p>
        </w:tc>
        <w:tc>
          <w:tcPr>
            <w:tcW w:w="1036"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套</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c>
          <w:tcPr>
            <w:tcW w:w="2334"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修蹄车（进口）</w:t>
            </w:r>
          </w:p>
        </w:tc>
        <w:tc>
          <w:tcPr>
            <w:tcW w:w="1036"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台</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w:t>
            </w:r>
          </w:p>
        </w:tc>
        <w:tc>
          <w:tcPr>
            <w:tcW w:w="2334"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深水泵</w:t>
            </w:r>
          </w:p>
        </w:tc>
        <w:tc>
          <w:tcPr>
            <w:tcW w:w="1036"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台</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w:t>
            </w:r>
          </w:p>
        </w:tc>
        <w:tc>
          <w:tcPr>
            <w:tcW w:w="2334"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供水及水处理设备机组</w:t>
            </w:r>
          </w:p>
        </w:tc>
        <w:tc>
          <w:tcPr>
            <w:tcW w:w="1036"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套</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w:t>
            </w:r>
          </w:p>
        </w:tc>
        <w:tc>
          <w:tcPr>
            <w:tcW w:w="2334"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循环水泵</w:t>
            </w:r>
          </w:p>
        </w:tc>
        <w:tc>
          <w:tcPr>
            <w:tcW w:w="1036"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台</w:t>
            </w:r>
          </w:p>
        </w:tc>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w:t>
            </w:r>
          </w:p>
        </w:tc>
        <w:tc>
          <w:tcPr>
            <w:tcW w:w="2334" w:type="pct"/>
            <w:shd w:val="clear" w:color="auto" w:fill="auto"/>
            <w:noWrap/>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生物质锅炉</w:t>
            </w:r>
          </w:p>
        </w:tc>
        <w:tc>
          <w:tcPr>
            <w:tcW w:w="1036" w:type="pct"/>
            <w:shd w:val="clear" w:color="auto" w:fill="auto"/>
            <w:noWrap/>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1吨</w:t>
            </w:r>
          </w:p>
        </w:tc>
        <w:tc>
          <w:tcPr>
            <w:tcW w:w="543" w:type="pct"/>
            <w:shd w:val="clear" w:color="auto" w:fill="auto"/>
            <w:noWrap/>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台</w:t>
            </w:r>
          </w:p>
        </w:tc>
        <w:tc>
          <w:tcPr>
            <w:tcW w:w="543" w:type="pct"/>
            <w:shd w:val="clear" w:color="auto" w:fill="auto"/>
            <w:noWrap/>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3" w:type="pct"/>
            <w:shd w:val="clear" w:color="auto" w:fill="auto"/>
            <w:noWrap/>
            <w:vAlign w:val="center"/>
          </w:tcPr>
          <w:p>
            <w:pPr>
              <w:pStyle w:val="666"/>
              <w:rPr>
                <w:rFonts w:hint="default" w:ascii="Times New Roman" w:hAnsi="Times New Roman" w:cs="Times New Roman" w:eastAsiaTheme="minorEastAsia"/>
                <w:color w:val="000000" w:themeColor="text1"/>
                <w:lang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7</w:t>
            </w:r>
          </w:p>
        </w:tc>
        <w:tc>
          <w:tcPr>
            <w:tcW w:w="2334" w:type="pct"/>
            <w:shd w:val="clear" w:color="auto" w:fill="auto"/>
            <w:noWrap/>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电锅炉</w:t>
            </w:r>
          </w:p>
        </w:tc>
        <w:tc>
          <w:tcPr>
            <w:tcW w:w="1036" w:type="pct"/>
            <w:shd w:val="clear" w:color="auto" w:fill="auto"/>
            <w:noWrap/>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2t</w:t>
            </w:r>
          </w:p>
        </w:tc>
        <w:tc>
          <w:tcPr>
            <w:tcW w:w="543" w:type="pct"/>
            <w:shd w:val="clear" w:color="auto" w:fill="auto"/>
            <w:noWrap/>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台</w:t>
            </w:r>
          </w:p>
        </w:tc>
        <w:tc>
          <w:tcPr>
            <w:tcW w:w="543" w:type="pct"/>
            <w:shd w:val="clear" w:color="auto" w:fill="auto"/>
            <w:noWrap/>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w:t>
            </w:r>
          </w:p>
        </w:tc>
      </w:tr>
    </w:tbl>
    <w:p>
      <w:pPr>
        <w:pStyle w:val="1167"/>
        <w:rPr>
          <w:rFonts w:hint="default" w:ascii="Times New Roman" w:hAnsi="Times New Roman" w:cs="Times New Roman" w:eastAsiaTheme="minorEastAsia"/>
          <w:color w:val="000000" w:themeColor="text1"/>
          <w:sz w:val="24"/>
          <w:szCs w:val="21"/>
          <w14:textFill>
            <w14:solidFill>
              <w14:schemeClr w14:val="tx1"/>
            </w14:solidFill>
          </w14:textFill>
        </w:rPr>
      </w:pPr>
      <w:bookmarkStart w:id="90" w:name="_Toc271974374"/>
      <w:bookmarkEnd w:id="90"/>
      <w:bookmarkStart w:id="91" w:name="_Toc271974357"/>
      <w:bookmarkEnd w:id="91"/>
      <w:bookmarkStart w:id="92" w:name="_Toc271972403"/>
      <w:bookmarkEnd w:id="92"/>
      <w:bookmarkStart w:id="93" w:name="_Toc271972394"/>
      <w:bookmarkEnd w:id="93"/>
      <w:bookmarkStart w:id="94" w:name="_Toc271972411"/>
      <w:bookmarkEnd w:id="94"/>
      <w:bookmarkStart w:id="95" w:name="_Toc271974366"/>
      <w:bookmarkEnd w:id="95"/>
      <w:r>
        <w:rPr>
          <w:rFonts w:hint="default" w:ascii="Times New Roman" w:hAnsi="Times New Roman" w:cs="Times New Roman" w:eastAsiaTheme="minorEastAsia"/>
          <w:color w:val="000000" w:themeColor="text1"/>
          <w:sz w:val="24"/>
          <w:szCs w:val="24"/>
          <w14:textFill>
            <w14:solidFill>
              <w14:schemeClr w14:val="tx1"/>
            </w14:solidFill>
          </w14:textFill>
        </w:rPr>
        <w:t>3.1.6 公用工程及辅助工程</w:t>
      </w:r>
    </w:p>
    <w:p>
      <w:pPr>
        <w:pStyle w:val="1297"/>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3.1.6.1 给水</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（1）水源</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本项目自建水井1眼，作为厂区生产、生活用水水源，井深</w:t>
      </w:r>
      <w:r>
        <w:rPr>
          <w:rFonts w:hint="default" w:ascii="Times New Roman" w:hAnsi="Times New Roman" w:cs="Times New Roman" w:eastAsiaTheme="minorEastAsia"/>
          <w:color w:val="auto"/>
          <w:sz w:val="24"/>
          <w:szCs w:val="22"/>
          <w:highlight w:val="none"/>
          <w:lang w:val="en-US" w:eastAsia="zh-CN"/>
        </w:rPr>
        <w:t>8</w:t>
      </w:r>
      <w:r>
        <w:rPr>
          <w:rFonts w:hint="default" w:ascii="Times New Roman" w:hAnsi="Times New Roman" w:cs="Times New Roman" w:eastAsiaTheme="minorEastAsia"/>
          <w:color w:val="auto"/>
          <w:sz w:val="24"/>
          <w:szCs w:val="22"/>
          <w:highlight w:val="none"/>
        </w:rPr>
        <w:t>0m，出水量40m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/h，满足项目运营期用水要求。</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（2）用水量</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本项目用水主要包括牛饮用水、牛舍清洗水、挤奶厅清洗水、生活用水、消毒用水等。</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①牛饮用水</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根据《奶牛的饮水行为和饮水需要》（Lionel Visconi，罗宝京，中国乳业，2006），成年母牛饮用水量按60L/（头•d）计，后备牛饮用水量按30L/（头•d）计，本项目存栏规模为：泌乳母牛1200头，后备牛300头。则泌乳母牛饮用水量为26280m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/a（72m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/d），后备牛饮用水量为3285m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/a（9m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/d），合计29565m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/a（79m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/d）。</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②牛舍清洗水</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牛舍清洗用水2t/栋牛舍，共4栋牛舍，3天冲洗一次，因此牛舍清洗用水量平均为2.7t/d。</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③牛舍喷淋水</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夏季牛舍需要进行喷淋降温，每天进行喷淋，喷淋用水为0.5L/m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szCs w:val="22"/>
          <w14:textFill>
            <w14:solidFill>
              <w14:schemeClr w14:val="tx1"/>
            </w14:solidFill>
          </w14:textFill>
        </w:rPr>
        <w:t>，共4座牛舍，占地面积共16260m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szCs w:val="22"/>
          <w14:textFill>
            <w14:solidFill>
              <w14:schemeClr w14:val="tx1"/>
            </w14:solidFill>
          </w14:textFill>
        </w:rPr>
        <w:t>，夏季按185天计算，喷淋总用水量为1504.05m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/a，牛舍喷淋用水量平均为8.1m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/d。</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④挤奶厅清洗水</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挤奶厅每天进行清洗，清洗水量为1t/d，年用水量为365t/a。</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⑤生活用水</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参照黑龙江省《用水定额》（DB23/T727-2021）中表H.2 居民生活用水定额，农村居民生活用水量为80L/人•d，本项目劳动定员20人，因此生活用水量为1.6t/d。</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⑥消毒用水</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消毒用水为0.2t/栋牛舍•d，共4栋牛舍，因此消毒用水量平均为0.8t/d。</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表3-1-5  本项目用水情况一览表（夏季）</w:t>
      </w:r>
    </w:p>
    <w:tbl>
      <w:tblPr>
        <w:tblStyle w:val="9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731"/>
        <w:gridCol w:w="2126"/>
        <w:gridCol w:w="1188"/>
        <w:gridCol w:w="1470"/>
        <w:gridCol w:w="7"/>
        <w:gridCol w:w="14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87"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序号</w:t>
            </w:r>
          </w:p>
        </w:tc>
        <w:tc>
          <w:tcPr>
            <w:tcW w:w="1731"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类别</w:t>
            </w:r>
          </w:p>
        </w:tc>
        <w:tc>
          <w:tcPr>
            <w:tcW w:w="2126"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用水量</w:t>
            </w:r>
          </w:p>
        </w:tc>
        <w:tc>
          <w:tcPr>
            <w:tcW w:w="1188"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数量</w:t>
            </w:r>
          </w:p>
        </w:tc>
        <w:tc>
          <w:tcPr>
            <w:tcW w:w="1470" w:type="dxa"/>
            <w:tcBorders>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用量</w:t>
            </w:r>
          </w:p>
        </w:tc>
        <w:tc>
          <w:tcPr>
            <w:tcW w:w="1418" w:type="dxa"/>
            <w:gridSpan w:val="2"/>
            <w:tcBorders>
              <w:lef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787"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731"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2126"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188"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477" w:type="dxa"/>
            <w:gridSpan w:val="2"/>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（t/d）</w:t>
            </w:r>
          </w:p>
        </w:tc>
        <w:tc>
          <w:tcPr>
            <w:tcW w:w="1411"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185d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87"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c>
          <w:tcPr>
            <w:tcW w:w="1731"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牛饮用水</w:t>
            </w:r>
          </w:p>
        </w:tc>
        <w:tc>
          <w:tcPr>
            <w:tcW w:w="2126"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60L/头·d</w:t>
            </w:r>
          </w:p>
        </w:tc>
        <w:tc>
          <w:tcPr>
            <w:tcW w:w="1188"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1200头</w:t>
            </w:r>
          </w:p>
        </w:tc>
        <w:tc>
          <w:tcPr>
            <w:tcW w:w="1477" w:type="dxa"/>
            <w:gridSpan w:val="2"/>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79</w:t>
            </w:r>
          </w:p>
        </w:tc>
        <w:tc>
          <w:tcPr>
            <w:tcW w:w="1411"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787"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731"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2126"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30L/头•d</w:t>
            </w:r>
          </w:p>
        </w:tc>
        <w:tc>
          <w:tcPr>
            <w:tcW w:w="1188"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300头</w:t>
            </w:r>
          </w:p>
        </w:tc>
        <w:tc>
          <w:tcPr>
            <w:tcW w:w="1477" w:type="dxa"/>
            <w:gridSpan w:val="2"/>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411"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78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c>
          <w:tcPr>
            <w:tcW w:w="173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牛舍冲洗水</w:t>
            </w:r>
          </w:p>
        </w:tc>
        <w:tc>
          <w:tcPr>
            <w:tcW w:w="212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2.0t/·栋牛舍</w:t>
            </w:r>
          </w:p>
        </w:tc>
        <w:tc>
          <w:tcPr>
            <w:tcW w:w="118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8t/次</w:t>
            </w:r>
          </w:p>
        </w:tc>
        <w:tc>
          <w:tcPr>
            <w:tcW w:w="1477" w:type="dxa"/>
            <w:gridSpan w:val="2"/>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2.7（3天1次）</w:t>
            </w:r>
          </w:p>
        </w:tc>
        <w:tc>
          <w:tcPr>
            <w:tcW w:w="1411"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78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w:t>
            </w:r>
          </w:p>
        </w:tc>
        <w:tc>
          <w:tcPr>
            <w:tcW w:w="173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牛舍喷淋水</w:t>
            </w:r>
          </w:p>
        </w:tc>
        <w:tc>
          <w:tcPr>
            <w:tcW w:w="212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0.5L/m</w:t>
            </w:r>
            <w:r>
              <w:rPr>
                <w:rFonts w:hint="default" w:ascii="Times New Roman" w:hAnsi="Times New Roman" w:cs="Times New Roman" w:eastAsiaTheme="minorEastAsia"/>
                <w:color w:val="000000" w:themeColor="text1"/>
                <w:vertAlign w:val="superscript"/>
                <w14:textFill>
                  <w14:solidFill>
                    <w14:schemeClr w14:val="tx1"/>
                  </w14:solidFill>
                </w14:textFill>
              </w:rPr>
              <w:t>2</w:t>
            </w:r>
          </w:p>
        </w:tc>
        <w:tc>
          <w:tcPr>
            <w:tcW w:w="118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1504.05m</w:t>
            </w:r>
            <w:r>
              <w:rPr>
                <w:rFonts w:hint="default" w:ascii="Times New Roman" w:hAnsi="Times New Roman" w:cs="Times New Roman" w:eastAsiaTheme="minorEastAsia"/>
                <w:color w:val="000000" w:themeColor="text1"/>
                <w:vertAlign w:val="superscript"/>
                <w14:textFill>
                  <w14:solidFill>
                    <w14:schemeClr w14:val="tx1"/>
                  </w14:solidFill>
                </w14:textFill>
              </w:rPr>
              <w:t>2</w:t>
            </w:r>
          </w:p>
        </w:tc>
        <w:tc>
          <w:tcPr>
            <w:tcW w:w="1477" w:type="dxa"/>
            <w:gridSpan w:val="2"/>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8.1</w:t>
            </w:r>
          </w:p>
        </w:tc>
        <w:tc>
          <w:tcPr>
            <w:tcW w:w="1411"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87"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w:t>
            </w:r>
          </w:p>
        </w:tc>
        <w:tc>
          <w:tcPr>
            <w:tcW w:w="1731"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挤奶厅清洗水</w:t>
            </w:r>
          </w:p>
        </w:tc>
        <w:tc>
          <w:tcPr>
            <w:tcW w:w="2126"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1t/d</w:t>
            </w:r>
          </w:p>
        </w:tc>
        <w:tc>
          <w:tcPr>
            <w:tcW w:w="1188"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1座</w:t>
            </w:r>
          </w:p>
        </w:tc>
        <w:tc>
          <w:tcPr>
            <w:tcW w:w="1477" w:type="dxa"/>
            <w:gridSpan w:val="2"/>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c>
          <w:tcPr>
            <w:tcW w:w="1411"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787"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w:t>
            </w:r>
          </w:p>
        </w:tc>
        <w:tc>
          <w:tcPr>
            <w:tcW w:w="1731"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生活用水</w:t>
            </w:r>
          </w:p>
        </w:tc>
        <w:tc>
          <w:tcPr>
            <w:tcW w:w="2126"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80L/人•d</w:t>
            </w:r>
          </w:p>
        </w:tc>
        <w:tc>
          <w:tcPr>
            <w:tcW w:w="1188"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w:t>
            </w:r>
          </w:p>
        </w:tc>
        <w:tc>
          <w:tcPr>
            <w:tcW w:w="1477" w:type="dxa"/>
            <w:gridSpan w:val="2"/>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1.6</w:t>
            </w:r>
          </w:p>
        </w:tc>
        <w:tc>
          <w:tcPr>
            <w:tcW w:w="1411"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7"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w:t>
            </w:r>
          </w:p>
        </w:tc>
        <w:tc>
          <w:tcPr>
            <w:tcW w:w="1731"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消毒用水</w:t>
            </w:r>
          </w:p>
        </w:tc>
        <w:tc>
          <w:tcPr>
            <w:tcW w:w="2126"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0.2t/栋牛舍•d</w:t>
            </w:r>
          </w:p>
        </w:tc>
        <w:tc>
          <w:tcPr>
            <w:tcW w:w="1188"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4栋牛舍</w:t>
            </w:r>
          </w:p>
        </w:tc>
        <w:tc>
          <w:tcPr>
            <w:tcW w:w="1477" w:type="dxa"/>
            <w:gridSpan w:val="2"/>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0.8</w:t>
            </w:r>
          </w:p>
        </w:tc>
        <w:tc>
          <w:tcPr>
            <w:tcW w:w="1411"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832" w:type="dxa"/>
            <w:gridSpan w:val="4"/>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合计</w:t>
            </w:r>
          </w:p>
        </w:tc>
        <w:tc>
          <w:tcPr>
            <w:tcW w:w="1477" w:type="dxa"/>
            <w:gridSpan w:val="2"/>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93.2</w:t>
            </w:r>
          </w:p>
        </w:tc>
        <w:tc>
          <w:tcPr>
            <w:tcW w:w="1411"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bl>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表3-1-6  本项目用水情况一览表（冬季）</w:t>
      </w:r>
    </w:p>
    <w:tbl>
      <w:tblPr>
        <w:tblStyle w:val="9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7"/>
        <w:gridCol w:w="2265"/>
        <w:gridCol w:w="1592"/>
        <w:gridCol w:w="1188"/>
        <w:gridCol w:w="1470"/>
        <w:gridCol w:w="7"/>
        <w:gridCol w:w="14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87"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序号</w:t>
            </w:r>
          </w:p>
        </w:tc>
        <w:tc>
          <w:tcPr>
            <w:tcW w:w="2265"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类别</w:t>
            </w:r>
          </w:p>
        </w:tc>
        <w:tc>
          <w:tcPr>
            <w:tcW w:w="1592"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用水量</w:t>
            </w:r>
          </w:p>
        </w:tc>
        <w:tc>
          <w:tcPr>
            <w:tcW w:w="1188"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数量</w:t>
            </w:r>
          </w:p>
        </w:tc>
        <w:tc>
          <w:tcPr>
            <w:tcW w:w="1470" w:type="dxa"/>
            <w:tcBorders>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用量</w:t>
            </w:r>
          </w:p>
        </w:tc>
        <w:tc>
          <w:tcPr>
            <w:tcW w:w="1418" w:type="dxa"/>
            <w:gridSpan w:val="2"/>
            <w:tcBorders>
              <w:lef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787"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2265"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592"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188"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477" w:type="dxa"/>
            <w:gridSpan w:val="2"/>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（t/d）</w:t>
            </w:r>
          </w:p>
        </w:tc>
        <w:tc>
          <w:tcPr>
            <w:tcW w:w="1411"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180d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87"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c>
          <w:tcPr>
            <w:tcW w:w="2265"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牛饮用水</w:t>
            </w:r>
          </w:p>
        </w:tc>
        <w:tc>
          <w:tcPr>
            <w:tcW w:w="1592"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60L/头·d</w:t>
            </w:r>
          </w:p>
        </w:tc>
        <w:tc>
          <w:tcPr>
            <w:tcW w:w="1188"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1200头</w:t>
            </w:r>
          </w:p>
        </w:tc>
        <w:tc>
          <w:tcPr>
            <w:tcW w:w="1477" w:type="dxa"/>
            <w:gridSpan w:val="2"/>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79</w:t>
            </w:r>
          </w:p>
        </w:tc>
        <w:tc>
          <w:tcPr>
            <w:tcW w:w="1411"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787"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2265"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592"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30L/头•d</w:t>
            </w:r>
          </w:p>
        </w:tc>
        <w:tc>
          <w:tcPr>
            <w:tcW w:w="1188"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300头</w:t>
            </w:r>
          </w:p>
        </w:tc>
        <w:tc>
          <w:tcPr>
            <w:tcW w:w="1477" w:type="dxa"/>
            <w:gridSpan w:val="2"/>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411"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78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c>
          <w:tcPr>
            <w:tcW w:w="226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牛舍冲洗水</w:t>
            </w:r>
          </w:p>
        </w:tc>
        <w:tc>
          <w:tcPr>
            <w:tcW w:w="1592"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2.0t/·栋牛舍</w:t>
            </w:r>
          </w:p>
        </w:tc>
        <w:tc>
          <w:tcPr>
            <w:tcW w:w="118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8t/次</w:t>
            </w:r>
          </w:p>
        </w:tc>
        <w:tc>
          <w:tcPr>
            <w:tcW w:w="1477" w:type="dxa"/>
            <w:gridSpan w:val="2"/>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2.7（3天1次）</w:t>
            </w:r>
          </w:p>
        </w:tc>
        <w:tc>
          <w:tcPr>
            <w:tcW w:w="1411"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87"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w:t>
            </w:r>
          </w:p>
        </w:tc>
        <w:tc>
          <w:tcPr>
            <w:tcW w:w="2265"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挤奶厅清洗水</w:t>
            </w:r>
          </w:p>
        </w:tc>
        <w:tc>
          <w:tcPr>
            <w:tcW w:w="1592"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1t/d</w:t>
            </w:r>
          </w:p>
        </w:tc>
        <w:tc>
          <w:tcPr>
            <w:tcW w:w="1188"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1座</w:t>
            </w:r>
          </w:p>
        </w:tc>
        <w:tc>
          <w:tcPr>
            <w:tcW w:w="1477" w:type="dxa"/>
            <w:gridSpan w:val="2"/>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c>
          <w:tcPr>
            <w:tcW w:w="1411"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787"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w:t>
            </w:r>
          </w:p>
        </w:tc>
        <w:tc>
          <w:tcPr>
            <w:tcW w:w="2265"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生活用水</w:t>
            </w:r>
          </w:p>
        </w:tc>
        <w:tc>
          <w:tcPr>
            <w:tcW w:w="1592"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80L/人•d</w:t>
            </w:r>
          </w:p>
        </w:tc>
        <w:tc>
          <w:tcPr>
            <w:tcW w:w="1188"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w:t>
            </w:r>
          </w:p>
        </w:tc>
        <w:tc>
          <w:tcPr>
            <w:tcW w:w="1477" w:type="dxa"/>
            <w:gridSpan w:val="2"/>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1.6</w:t>
            </w:r>
          </w:p>
        </w:tc>
        <w:tc>
          <w:tcPr>
            <w:tcW w:w="1411"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7"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w:t>
            </w:r>
          </w:p>
        </w:tc>
        <w:tc>
          <w:tcPr>
            <w:tcW w:w="2265"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消毒用水</w:t>
            </w:r>
          </w:p>
        </w:tc>
        <w:tc>
          <w:tcPr>
            <w:tcW w:w="1592"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0.2t/栋牛舍•d</w:t>
            </w:r>
          </w:p>
        </w:tc>
        <w:tc>
          <w:tcPr>
            <w:tcW w:w="1188"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4栋牛舍</w:t>
            </w:r>
          </w:p>
        </w:tc>
        <w:tc>
          <w:tcPr>
            <w:tcW w:w="1477" w:type="dxa"/>
            <w:gridSpan w:val="2"/>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0.8</w:t>
            </w:r>
          </w:p>
        </w:tc>
        <w:tc>
          <w:tcPr>
            <w:tcW w:w="1411"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832" w:type="dxa"/>
            <w:gridSpan w:val="4"/>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合计</w:t>
            </w:r>
          </w:p>
        </w:tc>
        <w:tc>
          <w:tcPr>
            <w:tcW w:w="1477" w:type="dxa"/>
            <w:gridSpan w:val="2"/>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85.1</w:t>
            </w:r>
          </w:p>
        </w:tc>
        <w:tc>
          <w:tcPr>
            <w:tcW w:w="1411"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bl>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综上，本项目总用水量为32560m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/a。</w:t>
      </w:r>
    </w:p>
    <w:p>
      <w:pPr>
        <w:pStyle w:val="1297"/>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3.1.6.2 排水</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本项目所排废水主要为牛尿、牛舍冲洗废水、牛舍喷淋废水、挤奶厅清洗废水、生活污水。</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（1）牛尿</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成年泌乳牛牛尿排放量根据《畜禽养殖业污染治理工程技术规范》（HJ497-2009）附录A中表A.2牛的尿液产生量按照10kg/(只.d)计，后备牛的尿液产生量按成年泌乳牛的一半计算，后备牛尿液产生量按照5kg/(只.d)计，则成年泌乳牛尿液产生量为12t/d，后备牛尿液产生量为1.5t/d，因此本项目牛尿产生量为13.5t/d。</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（2）牛舍冲洗废水</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牛舍清洗用水量平均为2.7t/d，清洗废水产生量按用水量的80%计算，则牛舍冲洗废水产生量为2.16t/d。</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（3）牛舍喷淋废水</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夏季牛舍需要进行喷淋降温，牛舍喷淋用水量平均为8.1m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/d，蒸发、损失量按照5%计算，牛舍喷淋废水产生量为7.7m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/d。</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（4）挤奶厅清洗废水</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挤奶厅每天进行清洗，清洗水量为1t/d，废水产生量按照用水量的90%计算，则挤奶厅清洗废水为0.9t/d。</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（5）生活污水</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生活污水量按照生活用水量的80%计算，则生活污水产生量为1.28t/d。</w:t>
      </w:r>
    </w:p>
    <w:p>
      <w:pPr>
        <w:pStyle w:val="643"/>
        <w:rPr>
          <w:rFonts w:hint="default" w:ascii="Times New Roman" w:hAnsi="Times New Roman" w:cs="Times New Roman" w:eastAsiaTheme="minorEastAsia"/>
          <w:color w:val="000000" w:themeColor="text1"/>
          <w14:textFill>
            <w14:solidFill>
              <w14:schemeClr w14:val="tx1"/>
            </w14:solidFill>
          </w14:textFill>
        </w:rPr>
      </w:pP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表3-1-7 本项目废水量一览表（夏季）</w:t>
      </w:r>
    </w:p>
    <w:tbl>
      <w:tblPr>
        <w:tblStyle w:val="91"/>
        <w:tblW w:w="872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5"/>
        <w:gridCol w:w="2351"/>
        <w:gridCol w:w="1915"/>
        <w:gridCol w:w="970"/>
        <w:gridCol w:w="1533"/>
        <w:gridCol w:w="13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565"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序号</w:t>
            </w:r>
          </w:p>
        </w:tc>
        <w:tc>
          <w:tcPr>
            <w:tcW w:w="2351"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类别</w:t>
            </w:r>
          </w:p>
        </w:tc>
        <w:tc>
          <w:tcPr>
            <w:tcW w:w="1915"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用水量</w:t>
            </w:r>
          </w:p>
        </w:tc>
        <w:tc>
          <w:tcPr>
            <w:tcW w:w="970"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数量</w:t>
            </w:r>
          </w:p>
        </w:tc>
        <w:tc>
          <w:tcPr>
            <w:tcW w:w="1533" w:type="dxa"/>
            <w:tcBorders>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废水量</w:t>
            </w:r>
          </w:p>
        </w:tc>
        <w:tc>
          <w:tcPr>
            <w:tcW w:w="1389" w:type="dxa"/>
            <w:tcBorders>
              <w:lef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65"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2351"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915"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70"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53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（t/d）</w:t>
            </w:r>
          </w:p>
        </w:tc>
        <w:tc>
          <w:tcPr>
            <w:tcW w:w="1389"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185d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65"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c>
          <w:tcPr>
            <w:tcW w:w="2351"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牛尿</w:t>
            </w:r>
          </w:p>
        </w:tc>
        <w:tc>
          <w:tcPr>
            <w:tcW w:w="1915"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10L/头·d</w:t>
            </w:r>
          </w:p>
        </w:tc>
        <w:tc>
          <w:tcPr>
            <w:tcW w:w="970"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1200头</w:t>
            </w:r>
          </w:p>
        </w:tc>
        <w:tc>
          <w:tcPr>
            <w:tcW w:w="1533"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13.5</w:t>
            </w:r>
          </w:p>
        </w:tc>
        <w:tc>
          <w:tcPr>
            <w:tcW w:w="1389"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565"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2351"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915"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5L/头•d</w:t>
            </w:r>
          </w:p>
        </w:tc>
        <w:tc>
          <w:tcPr>
            <w:tcW w:w="970"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300头</w:t>
            </w:r>
          </w:p>
        </w:tc>
        <w:tc>
          <w:tcPr>
            <w:tcW w:w="1533"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389"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c>
          <w:tcPr>
            <w:tcW w:w="23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牛舍冲洗废水</w:t>
            </w:r>
          </w:p>
        </w:tc>
        <w:tc>
          <w:tcPr>
            <w:tcW w:w="191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用水量的80%</w:t>
            </w:r>
          </w:p>
        </w:tc>
        <w:tc>
          <w:tcPr>
            <w:tcW w:w="97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c>
          <w:tcPr>
            <w:tcW w:w="153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2.16</w:t>
            </w:r>
          </w:p>
        </w:tc>
        <w:tc>
          <w:tcPr>
            <w:tcW w:w="1389"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65"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w:t>
            </w:r>
          </w:p>
        </w:tc>
        <w:tc>
          <w:tcPr>
            <w:tcW w:w="2351"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牛舍喷淋废水</w:t>
            </w:r>
          </w:p>
        </w:tc>
        <w:tc>
          <w:tcPr>
            <w:tcW w:w="1915"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用水量的5%</w:t>
            </w:r>
          </w:p>
        </w:tc>
        <w:tc>
          <w:tcPr>
            <w:tcW w:w="970"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c>
          <w:tcPr>
            <w:tcW w:w="1533"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7.7</w:t>
            </w:r>
          </w:p>
        </w:tc>
        <w:tc>
          <w:tcPr>
            <w:tcW w:w="1389"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65"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w:t>
            </w:r>
          </w:p>
        </w:tc>
        <w:tc>
          <w:tcPr>
            <w:tcW w:w="2351"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挤奶厅清洗废水</w:t>
            </w:r>
          </w:p>
        </w:tc>
        <w:tc>
          <w:tcPr>
            <w:tcW w:w="1915"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用水量的90%</w:t>
            </w:r>
          </w:p>
        </w:tc>
        <w:tc>
          <w:tcPr>
            <w:tcW w:w="970"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c>
          <w:tcPr>
            <w:tcW w:w="1533"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0.9</w:t>
            </w:r>
          </w:p>
        </w:tc>
        <w:tc>
          <w:tcPr>
            <w:tcW w:w="1389"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565"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w:t>
            </w:r>
          </w:p>
        </w:tc>
        <w:tc>
          <w:tcPr>
            <w:tcW w:w="2351"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生活污水</w:t>
            </w:r>
          </w:p>
        </w:tc>
        <w:tc>
          <w:tcPr>
            <w:tcW w:w="1915"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用水量的80%</w:t>
            </w:r>
          </w:p>
        </w:tc>
        <w:tc>
          <w:tcPr>
            <w:tcW w:w="970"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20人</w:t>
            </w:r>
          </w:p>
        </w:tc>
        <w:tc>
          <w:tcPr>
            <w:tcW w:w="1533"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1.28</w:t>
            </w:r>
          </w:p>
        </w:tc>
        <w:tc>
          <w:tcPr>
            <w:tcW w:w="1389"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5801" w:type="dxa"/>
            <w:gridSpan w:val="4"/>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合计</w:t>
            </w:r>
          </w:p>
        </w:tc>
        <w:tc>
          <w:tcPr>
            <w:tcW w:w="153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25.54</w:t>
            </w:r>
          </w:p>
        </w:tc>
        <w:tc>
          <w:tcPr>
            <w:tcW w:w="1389"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bl>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表3-1-8 本项目废水量一览表（冬季）</w:t>
      </w:r>
    </w:p>
    <w:tbl>
      <w:tblPr>
        <w:tblStyle w:val="91"/>
        <w:tblW w:w="872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5"/>
        <w:gridCol w:w="2351"/>
        <w:gridCol w:w="1915"/>
        <w:gridCol w:w="970"/>
        <w:gridCol w:w="1533"/>
        <w:gridCol w:w="13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565"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序号</w:t>
            </w:r>
          </w:p>
        </w:tc>
        <w:tc>
          <w:tcPr>
            <w:tcW w:w="2351"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类别</w:t>
            </w:r>
          </w:p>
        </w:tc>
        <w:tc>
          <w:tcPr>
            <w:tcW w:w="1915"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用水量</w:t>
            </w:r>
          </w:p>
        </w:tc>
        <w:tc>
          <w:tcPr>
            <w:tcW w:w="970"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数量</w:t>
            </w:r>
          </w:p>
        </w:tc>
        <w:tc>
          <w:tcPr>
            <w:tcW w:w="1533" w:type="dxa"/>
            <w:tcBorders>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废水量</w:t>
            </w:r>
          </w:p>
        </w:tc>
        <w:tc>
          <w:tcPr>
            <w:tcW w:w="1389" w:type="dxa"/>
            <w:tcBorders>
              <w:lef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65"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2351"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915"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70"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53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（t/d）</w:t>
            </w:r>
          </w:p>
        </w:tc>
        <w:tc>
          <w:tcPr>
            <w:tcW w:w="1389"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180d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65"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c>
          <w:tcPr>
            <w:tcW w:w="2351"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牛尿</w:t>
            </w:r>
          </w:p>
        </w:tc>
        <w:tc>
          <w:tcPr>
            <w:tcW w:w="1915"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10L/头·d</w:t>
            </w:r>
          </w:p>
        </w:tc>
        <w:tc>
          <w:tcPr>
            <w:tcW w:w="970"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1200头</w:t>
            </w:r>
          </w:p>
        </w:tc>
        <w:tc>
          <w:tcPr>
            <w:tcW w:w="1533"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13.5</w:t>
            </w:r>
          </w:p>
        </w:tc>
        <w:tc>
          <w:tcPr>
            <w:tcW w:w="1389"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565"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2351"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915"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5L/头•d</w:t>
            </w:r>
          </w:p>
        </w:tc>
        <w:tc>
          <w:tcPr>
            <w:tcW w:w="970"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300头</w:t>
            </w:r>
          </w:p>
        </w:tc>
        <w:tc>
          <w:tcPr>
            <w:tcW w:w="1533"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389"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c>
          <w:tcPr>
            <w:tcW w:w="23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牛舍冲洗废水</w:t>
            </w:r>
          </w:p>
        </w:tc>
        <w:tc>
          <w:tcPr>
            <w:tcW w:w="191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用水量的80%</w:t>
            </w:r>
          </w:p>
        </w:tc>
        <w:tc>
          <w:tcPr>
            <w:tcW w:w="97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c>
          <w:tcPr>
            <w:tcW w:w="153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2.16</w:t>
            </w:r>
          </w:p>
        </w:tc>
        <w:tc>
          <w:tcPr>
            <w:tcW w:w="1389"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65"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w:t>
            </w:r>
          </w:p>
        </w:tc>
        <w:tc>
          <w:tcPr>
            <w:tcW w:w="2351"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挤奶厅清洗废水</w:t>
            </w:r>
          </w:p>
        </w:tc>
        <w:tc>
          <w:tcPr>
            <w:tcW w:w="1915"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用水量的90%</w:t>
            </w:r>
          </w:p>
        </w:tc>
        <w:tc>
          <w:tcPr>
            <w:tcW w:w="970"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c>
          <w:tcPr>
            <w:tcW w:w="1533"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0.9</w:t>
            </w:r>
          </w:p>
        </w:tc>
        <w:tc>
          <w:tcPr>
            <w:tcW w:w="1389"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565"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w:t>
            </w:r>
          </w:p>
        </w:tc>
        <w:tc>
          <w:tcPr>
            <w:tcW w:w="2351"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生活污水</w:t>
            </w:r>
          </w:p>
        </w:tc>
        <w:tc>
          <w:tcPr>
            <w:tcW w:w="1915"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用水量的80%</w:t>
            </w:r>
          </w:p>
        </w:tc>
        <w:tc>
          <w:tcPr>
            <w:tcW w:w="970"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20人</w:t>
            </w:r>
          </w:p>
        </w:tc>
        <w:tc>
          <w:tcPr>
            <w:tcW w:w="1533"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1.28</w:t>
            </w:r>
          </w:p>
        </w:tc>
        <w:tc>
          <w:tcPr>
            <w:tcW w:w="1389"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5801" w:type="dxa"/>
            <w:gridSpan w:val="4"/>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合计</w:t>
            </w:r>
          </w:p>
        </w:tc>
        <w:tc>
          <w:tcPr>
            <w:tcW w:w="153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17.84</w:t>
            </w:r>
          </w:p>
        </w:tc>
        <w:tc>
          <w:tcPr>
            <w:tcW w:w="1389"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bl>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综上，本项目废水产生量为7936.1m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/a。</w:t>
      </w:r>
    </w:p>
    <w:p>
      <w:pPr>
        <w:spacing w:line="480" w:lineRule="auto"/>
        <w:ind w:firstLine="560"/>
        <w:rPr>
          <w:rFonts w:hint="default" w:ascii="Times New Roman" w:hAnsi="Times New Roman" w:cs="Times New Roman" w:eastAsiaTheme="minorEastAsia"/>
          <w:color w:val="auto"/>
          <w:sz w:val="24"/>
          <w:szCs w:val="22"/>
        </w:rPr>
      </w:pPr>
      <w:r>
        <w:rPr>
          <w:rFonts w:hint="default" w:ascii="Times New Roman" w:hAnsi="Times New Roman" w:cs="Times New Roman" w:eastAsiaTheme="minorEastAsia"/>
          <w:color w:val="auto"/>
          <w:sz w:val="24"/>
          <w:szCs w:val="22"/>
        </w:rPr>
        <w:t>本项目水量平衡见图3</w:t>
      </w:r>
      <w:r>
        <w:rPr>
          <w:rFonts w:hint="default" w:ascii="Times New Roman" w:hAnsi="Times New Roman" w:cs="Times New Roman" w:eastAsiaTheme="minorEastAsia"/>
          <w:color w:val="auto"/>
          <w:sz w:val="24"/>
          <w:szCs w:val="22"/>
          <w:lang w:val="en-US" w:eastAsia="zh-CN"/>
        </w:rPr>
        <w:t>-</w:t>
      </w:r>
      <w:r>
        <w:rPr>
          <w:rFonts w:hint="default" w:ascii="Times New Roman" w:hAnsi="Times New Roman" w:cs="Times New Roman" w:eastAsiaTheme="minorEastAsia"/>
          <w:color w:val="auto"/>
          <w:sz w:val="24"/>
          <w:szCs w:val="22"/>
        </w:rPr>
        <w:t>1-</w:t>
      </w:r>
      <w:r>
        <w:rPr>
          <w:rFonts w:hint="default" w:ascii="Times New Roman" w:hAnsi="Times New Roman" w:cs="Times New Roman" w:eastAsiaTheme="minorEastAsia"/>
          <w:color w:val="auto"/>
          <w:sz w:val="24"/>
          <w:szCs w:val="22"/>
          <w:lang w:val="en-US" w:eastAsia="zh-CN"/>
        </w:rPr>
        <w:t>2、图3-1-3</w:t>
      </w:r>
      <w:r>
        <w:rPr>
          <w:rFonts w:hint="default" w:ascii="Times New Roman" w:hAnsi="Times New Roman" w:cs="Times New Roman" w:eastAsiaTheme="minorEastAsia"/>
          <w:color w:val="auto"/>
          <w:sz w:val="24"/>
          <w:szCs w:val="22"/>
        </w:rPr>
        <w:t>。</w:t>
      </w:r>
    </w:p>
    <w:p>
      <w:pPr>
        <w:spacing w:line="480" w:lineRule="auto"/>
        <w:ind w:firstLine="560"/>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drawing>
          <wp:inline distT="0" distB="0" distL="114300" distR="114300">
            <wp:extent cx="5398770" cy="3321685"/>
            <wp:effectExtent l="0" t="0" r="11430" b="12065"/>
            <wp:docPr id="6" name="图片 6" descr="1635247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35247073(1)"/>
                    <pic:cNvPicPr>
                      <a:picLocks noChangeAspect="1"/>
                    </pic:cNvPicPr>
                  </pic:nvPicPr>
                  <pic:blipFill>
                    <a:blip r:embed="rId52" cstate="print"/>
                    <a:stretch>
                      <a:fillRect/>
                    </a:stretch>
                  </pic:blipFill>
                  <pic:spPr>
                    <a:xfrm>
                      <a:off x="0" y="0"/>
                      <a:ext cx="5398770" cy="3321685"/>
                    </a:xfrm>
                    <a:prstGeom prst="rect">
                      <a:avLst/>
                    </a:prstGeom>
                  </pic:spPr>
                </pic:pic>
              </a:graphicData>
            </a:graphic>
          </wp:inline>
        </w:drawing>
      </w:r>
    </w:p>
    <w:p>
      <w:pPr>
        <w:pStyle w:val="643"/>
        <w:spacing w:line="480" w:lineRule="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图3-1-</w:t>
      </w:r>
      <w:r>
        <w:rPr>
          <w:rFonts w:hint="default" w:ascii="Times New Roman" w:hAnsi="Times New Roman" w:cs="Times New Roman" w:eastAsiaTheme="minorEastAsia"/>
          <w:color w:val="000000" w:themeColor="text1"/>
          <w:lang w:val="en-US" w:eastAsia="zh-CN"/>
          <w14:textFill>
            <w14:solidFill>
              <w14:schemeClr w14:val="tx1"/>
            </w14:solidFill>
          </w14:textFill>
        </w:rPr>
        <w:t>2</w:t>
      </w:r>
      <w:r>
        <w:rPr>
          <w:rFonts w:hint="default" w:ascii="Times New Roman" w:hAnsi="Times New Roman" w:cs="Times New Roman" w:eastAsiaTheme="minorEastAsia"/>
          <w:color w:val="000000" w:themeColor="text1"/>
          <w14:textFill>
            <w14:solidFill>
              <w14:schemeClr w14:val="tx1"/>
            </w14:solidFill>
          </w14:textFill>
        </w:rPr>
        <w:t xml:space="preserve"> 本项目水量平衡图-夏季（m</w:t>
      </w:r>
      <w:r>
        <w:rPr>
          <w:rFonts w:hint="default" w:ascii="Times New Roman" w:hAnsi="Times New Roman" w:cs="Times New Roman" w:eastAsiaTheme="minorEastAsia"/>
          <w:color w:val="000000" w:themeColor="text1"/>
          <w:vertAlign w:val="superscript"/>
          <w14:textFill>
            <w14:solidFill>
              <w14:schemeClr w14:val="tx1"/>
            </w14:solidFill>
          </w14:textFill>
        </w:rPr>
        <w:t>3</w:t>
      </w:r>
      <w:r>
        <w:rPr>
          <w:rFonts w:hint="default" w:ascii="Times New Roman" w:hAnsi="Times New Roman" w:cs="Times New Roman" w:eastAsiaTheme="minorEastAsia"/>
          <w:color w:val="000000" w:themeColor="text1"/>
          <w14:textFill>
            <w14:solidFill>
              <w14:schemeClr w14:val="tx1"/>
            </w14:solidFill>
          </w14:textFill>
        </w:rPr>
        <w:t>/d）</w:t>
      </w:r>
    </w:p>
    <w:p>
      <w:pPr>
        <w:pStyle w:val="643"/>
        <w:spacing w:line="240" w:lineRule="auto"/>
        <w:jc w:val="both"/>
        <w:rPr>
          <w:rFonts w:hint="default" w:ascii="Times New Roman" w:hAnsi="Times New Roman" w:cs="Times New Roman" w:eastAsiaTheme="minorEastAsia"/>
          <w:color w:val="000000" w:themeColor="text1"/>
          <w14:textFill>
            <w14:solidFill>
              <w14:schemeClr w14:val="tx1"/>
            </w14:solidFill>
          </w14:textFill>
        </w:rPr>
      </w:pPr>
    </w:p>
    <w:p>
      <w:pPr>
        <w:pStyle w:val="643"/>
        <w:spacing w:line="240" w:lineRule="auto"/>
        <w:jc w:val="both"/>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drawing>
          <wp:inline distT="0" distB="0" distL="114300" distR="114300">
            <wp:extent cx="5394960" cy="3294380"/>
            <wp:effectExtent l="0" t="0" r="15240" b="1270"/>
            <wp:docPr id="4" name="图片 4" descr="1635245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35245385(1)"/>
                    <pic:cNvPicPr>
                      <a:picLocks noChangeAspect="1"/>
                    </pic:cNvPicPr>
                  </pic:nvPicPr>
                  <pic:blipFill>
                    <a:blip r:embed="rId53" cstate="print"/>
                    <a:stretch>
                      <a:fillRect/>
                    </a:stretch>
                  </pic:blipFill>
                  <pic:spPr>
                    <a:xfrm>
                      <a:off x="0" y="0"/>
                      <a:ext cx="5394960" cy="3294380"/>
                    </a:xfrm>
                    <a:prstGeom prst="rect">
                      <a:avLst/>
                    </a:prstGeom>
                  </pic:spPr>
                </pic:pic>
              </a:graphicData>
            </a:graphic>
          </wp:inline>
        </w:drawing>
      </w:r>
    </w:p>
    <w:p>
      <w:pPr>
        <w:pStyle w:val="643"/>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图3-1-</w:t>
      </w:r>
      <w:r>
        <w:rPr>
          <w:rFonts w:hint="default" w:ascii="Times New Roman" w:hAnsi="Times New Roman" w:cs="Times New Roman" w:eastAsiaTheme="minorEastAsia"/>
          <w:color w:val="auto"/>
          <w:highlight w:val="none"/>
          <w:lang w:val="en-US" w:eastAsia="zh-CN"/>
        </w:rPr>
        <w:t>3</w:t>
      </w:r>
      <w:r>
        <w:rPr>
          <w:rFonts w:hint="default" w:ascii="Times New Roman" w:hAnsi="Times New Roman" w:cs="Times New Roman" w:eastAsiaTheme="minorEastAsia"/>
          <w:color w:val="auto"/>
          <w:highlight w:val="none"/>
        </w:rPr>
        <w:t xml:space="preserve"> 本项目水量平衡图-冬季（m</w:t>
      </w:r>
      <w:r>
        <w:rPr>
          <w:rFonts w:hint="default" w:ascii="Times New Roman" w:hAnsi="Times New Roman" w:cs="Times New Roman" w:eastAsiaTheme="minorEastAsia"/>
          <w:color w:val="auto"/>
          <w:highlight w:val="none"/>
          <w:vertAlign w:val="superscript"/>
        </w:rPr>
        <w:t>3</w:t>
      </w:r>
      <w:r>
        <w:rPr>
          <w:rFonts w:hint="default" w:ascii="Times New Roman" w:hAnsi="Times New Roman" w:cs="Times New Roman" w:eastAsiaTheme="minorEastAsia"/>
          <w:color w:val="auto"/>
          <w:highlight w:val="none"/>
        </w:rPr>
        <w:t>/d）</w:t>
      </w:r>
    </w:p>
    <w:p>
      <w:pPr>
        <w:pStyle w:val="1297"/>
        <w:outlineLvl w:val="9"/>
        <w:rPr>
          <w:rFonts w:hint="default" w:ascii="Times New Roman" w:hAnsi="Times New Roman" w:cs="Times New Roman" w:eastAsiaTheme="minorEastAsia"/>
          <w:color w:val="000000" w:themeColor="text1"/>
          <w14:textFill>
            <w14:solidFill>
              <w14:schemeClr w14:val="tx1"/>
            </w14:solidFill>
          </w14:textFill>
        </w:rPr>
      </w:pPr>
    </w:p>
    <w:p>
      <w:pPr>
        <w:pStyle w:val="1297"/>
        <w:outlineLvl w:val="9"/>
        <w:rPr>
          <w:rFonts w:hint="default" w:ascii="Times New Roman" w:hAnsi="Times New Roman" w:cs="Times New Roman" w:eastAsiaTheme="minorEastAsia"/>
          <w:color w:val="000000" w:themeColor="text1"/>
          <w14:textFill>
            <w14:solidFill>
              <w14:schemeClr w14:val="tx1"/>
            </w14:solidFill>
          </w14:textFill>
        </w:rPr>
      </w:pPr>
    </w:p>
    <w:p>
      <w:pPr>
        <w:pStyle w:val="1297"/>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3.1.6.3 供热</w:t>
      </w:r>
    </w:p>
    <w:p>
      <w:pPr>
        <w:pStyle w:val="8"/>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本项目办公楼为生物质锅炉供热，牛舍采用电采暖。</w:t>
      </w:r>
      <w:r>
        <w:rPr>
          <w:rFonts w:hint="default" w:ascii="Times New Roman" w:hAnsi="Times New Roman" w:cs="Times New Roman" w:eastAsiaTheme="minorEastAsia"/>
          <w:sz w:val="24"/>
          <w:szCs w:val="24"/>
          <w:lang w:eastAsia="zh-CN"/>
        </w:rPr>
        <w:t>沼气池</w:t>
      </w:r>
      <w:r>
        <w:rPr>
          <w:rFonts w:hint="default" w:ascii="Times New Roman" w:hAnsi="Times New Roman" w:cs="Times New Roman" w:eastAsiaTheme="minorEastAsia"/>
          <w:sz w:val="24"/>
          <w:szCs w:val="24"/>
        </w:rPr>
        <w:t>设置</w:t>
      </w:r>
      <w:r>
        <w:rPr>
          <w:rFonts w:hint="default" w:ascii="Times New Roman" w:hAnsi="Times New Roman" w:cs="Times New Roman" w:eastAsiaTheme="minorEastAsia"/>
          <w:sz w:val="24"/>
          <w:szCs w:val="24"/>
          <w:lang w:val="en-US" w:eastAsia="zh-CN"/>
        </w:rPr>
        <w:t>1</w:t>
      </w:r>
      <w:r>
        <w:rPr>
          <w:rFonts w:hint="default" w:ascii="Times New Roman" w:hAnsi="Times New Roman" w:cs="Times New Roman" w:eastAsiaTheme="minorEastAsia"/>
          <w:sz w:val="24"/>
          <w:szCs w:val="24"/>
        </w:rPr>
        <w:t>个5000m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的沼气囊，用于存储厌氧发酵产生的沼气，后期以火炬的形式燃烧掉。</w:t>
      </w:r>
    </w:p>
    <w:p>
      <w:pPr>
        <w:pStyle w:val="1297"/>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3.1.6.4 供电</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当地供电线路引入，满足本项目需求。</w:t>
      </w:r>
    </w:p>
    <w:p>
      <w:pPr>
        <w:pStyle w:val="1297"/>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3.1.6.5 消防</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建设项目区内的道路及牛舍等各类建筑物的间距设计，均按照国家消防规定要求建设。各牛舍设置灭火器，以备防火之用。</w:t>
      </w:r>
    </w:p>
    <w:p>
      <w:pPr>
        <w:pStyle w:val="639"/>
        <w:rPr>
          <w:rFonts w:hint="default" w:ascii="Times New Roman" w:hAnsi="Times New Roman" w:cs="Times New Roman" w:eastAsiaTheme="minorEastAsia"/>
          <w:b/>
          <w:bCs w:val="0"/>
          <w:color w:val="000000" w:themeColor="text1"/>
          <w:sz w:val="32"/>
          <w:szCs w:val="32"/>
          <w14:textFill>
            <w14:solidFill>
              <w14:schemeClr w14:val="tx1"/>
            </w14:solidFill>
          </w14:textFill>
        </w:rPr>
      </w:pPr>
      <w:bookmarkStart w:id="96" w:name="_Toc18729"/>
      <w:r>
        <w:rPr>
          <w:rFonts w:hint="default" w:ascii="Times New Roman" w:hAnsi="Times New Roman" w:cs="Times New Roman" w:eastAsiaTheme="minorEastAsia"/>
          <w:b/>
          <w:bCs w:val="0"/>
          <w:color w:val="000000" w:themeColor="text1"/>
          <w:sz w:val="32"/>
          <w:szCs w:val="32"/>
          <w14:textFill>
            <w14:solidFill>
              <w14:schemeClr w14:val="tx1"/>
            </w14:solidFill>
          </w14:textFill>
        </w:rPr>
        <w:t>3.2 工程分析</w:t>
      </w:r>
      <w:bookmarkEnd w:id="96"/>
    </w:p>
    <w:bookmarkEnd w:id="88"/>
    <w:bookmarkEnd w:id="89"/>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bookmarkStart w:id="97" w:name="_Toc251689791"/>
      <w:r>
        <w:rPr>
          <w:rFonts w:hint="default" w:ascii="Times New Roman" w:hAnsi="Times New Roman" w:cs="Times New Roman" w:eastAsiaTheme="minorEastAsia"/>
          <w:color w:val="000000" w:themeColor="text1"/>
          <w:sz w:val="24"/>
          <w:szCs w:val="24"/>
          <w14:textFill>
            <w14:solidFill>
              <w14:schemeClr w14:val="tx1"/>
            </w14:solidFill>
          </w14:textFill>
        </w:rPr>
        <w:t>3.2.1 工艺流程</w:t>
      </w:r>
      <w:bookmarkEnd w:id="97"/>
    </w:p>
    <w:p>
      <w:pPr>
        <w:pStyle w:val="1297"/>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3.2.1.1 养殖工程</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项目采用科学饲养工艺，即采用精饲料和粗饲料相结合的方式进行饲养，精料来源于外购，粗料一般是草料、秸秆等。饲养区门口设有消毒设施，进场人员先进入消毒间内消毒再进入饲养区，饲养区有围墙，隔绝与外界往来。</w:t>
      </w:r>
    </w:p>
    <w:p>
      <w:pPr>
        <w:spacing w:line="480" w:lineRule="auto"/>
        <w:ind w:firstLine="0" w:firstLineChars="0"/>
        <w:rPr>
          <w:rFonts w:hint="default" w:ascii="Times New Roman" w:hAnsi="Times New Roman" w:cs="Times New Roman" w:eastAsiaTheme="minorEastAsia"/>
          <w:color w:val="FF0000"/>
          <w:highlight w:val="yellow"/>
        </w:rPr>
      </w:pPr>
      <w:r>
        <w:rPr>
          <w:rFonts w:hint="default" w:ascii="Times New Roman" w:hAnsi="Times New Roman" w:cs="Times New Roman" w:eastAsiaTheme="minorEastAsia"/>
          <w:color w:val="FF0000"/>
        </w:rPr>
        <w:drawing>
          <wp:inline distT="0" distB="0" distL="0" distR="0">
            <wp:extent cx="5400040" cy="3136265"/>
            <wp:effectExtent l="19050" t="0" r="0" b="0"/>
            <wp:docPr id="24" name="图片 5" descr="C:\Users\ADMINI~1\AppData\Local\Temp\16357315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C:\Users\ADMINI~1\AppData\Local\Temp\1635731507(1).png"/>
                    <pic:cNvPicPr>
                      <a:picLocks noChangeAspect="1" noChangeArrowheads="1"/>
                    </pic:cNvPicPr>
                  </pic:nvPicPr>
                  <pic:blipFill>
                    <a:blip r:embed="rId54" cstate="print"/>
                    <a:srcRect/>
                    <a:stretch>
                      <a:fillRect/>
                    </a:stretch>
                  </pic:blipFill>
                  <pic:spPr>
                    <a:xfrm>
                      <a:off x="0" y="0"/>
                      <a:ext cx="5400040" cy="3136657"/>
                    </a:xfrm>
                    <a:prstGeom prst="rect">
                      <a:avLst/>
                    </a:prstGeom>
                    <a:noFill/>
                    <a:ln w="9525">
                      <a:noFill/>
                      <a:miter lim="800000"/>
                      <a:headEnd/>
                      <a:tailEnd/>
                    </a:ln>
                  </pic:spPr>
                </pic:pic>
              </a:graphicData>
            </a:graphic>
          </wp:inline>
        </w:drawing>
      </w:r>
    </w:p>
    <w:p>
      <w:pPr>
        <w:ind w:firstLine="1680" w:firstLineChars="7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图3-2-1      奶牛养殖种群均衡生产工艺流程</w:t>
      </w:r>
    </w:p>
    <w:p>
      <w:pPr>
        <w:ind w:firstLine="560"/>
        <w:rPr>
          <w:rFonts w:hint="default" w:ascii="Times New Roman" w:hAnsi="Times New Roman" w:cs="Times New Roman" w:eastAsiaTheme="minorEastAsia"/>
          <w:color w:val="FF0000"/>
          <w:highlight w:val="yellow"/>
        </w:rPr>
      </w:pPr>
    </w:p>
    <w:p>
      <w:pPr>
        <w:ind w:firstLine="560"/>
        <w:rPr>
          <w:rFonts w:hint="default" w:ascii="Times New Roman" w:hAnsi="Times New Roman" w:cs="Times New Roman" w:eastAsiaTheme="minorEastAsia"/>
          <w:color w:val="FF0000"/>
          <w:highlight w:val="yellow"/>
        </w:rPr>
      </w:pPr>
    </w:p>
    <w:p>
      <w:pPr>
        <w:ind w:firstLine="560"/>
        <w:rPr>
          <w:rFonts w:hint="default" w:ascii="Times New Roman" w:hAnsi="Times New Roman" w:cs="Times New Roman" w:eastAsiaTheme="minorEastAsia"/>
          <w:color w:val="FF0000"/>
          <w:highlight w:val="yellow"/>
        </w:rPr>
      </w:pPr>
    </w:p>
    <w:p>
      <w:pPr>
        <w:spacing w:line="480" w:lineRule="auto"/>
        <w:ind w:firstLine="0" w:firstLineChars="0"/>
        <w:rPr>
          <w:rFonts w:hint="default" w:ascii="Times New Roman" w:hAnsi="Times New Roman" w:cs="Times New Roman" w:eastAsiaTheme="minorEastAsia"/>
          <w:color w:val="FF0000"/>
          <w:highlight w:val="yellow"/>
        </w:rPr>
      </w:pPr>
      <w:r>
        <w:rPr>
          <w:rFonts w:hint="default" w:ascii="Times New Roman" w:hAnsi="Times New Roman" w:cs="Times New Roman" w:eastAsiaTheme="minorEastAsia"/>
          <w:color w:val="FF0000"/>
        </w:rPr>
        <w:drawing>
          <wp:inline distT="0" distB="0" distL="0" distR="0">
            <wp:extent cx="5400040" cy="4102100"/>
            <wp:effectExtent l="19050" t="0" r="0" b="0"/>
            <wp:docPr id="26" name="图片 6" descr="C:\Users\ADMINI~1\AppData\Local\Temp\16357316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descr="C:\Users\ADMINI~1\AppData\Local\Temp\1635731695(1).png"/>
                    <pic:cNvPicPr>
                      <a:picLocks noChangeAspect="1" noChangeArrowheads="1"/>
                    </pic:cNvPicPr>
                  </pic:nvPicPr>
                  <pic:blipFill>
                    <a:blip r:embed="rId55" cstate="print"/>
                    <a:srcRect/>
                    <a:stretch>
                      <a:fillRect/>
                    </a:stretch>
                  </pic:blipFill>
                  <pic:spPr>
                    <a:xfrm>
                      <a:off x="0" y="0"/>
                      <a:ext cx="5400040" cy="4102733"/>
                    </a:xfrm>
                    <a:prstGeom prst="rect">
                      <a:avLst/>
                    </a:prstGeom>
                    <a:noFill/>
                    <a:ln w="9525">
                      <a:noFill/>
                      <a:miter lim="800000"/>
                      <a:headEnd/>
                      <a:tailEnd/>
                    </a:ln>
                  </pic:spPr>
                </pic:pic>
              </a:graphicData>
            </a:graphic>
          </wp:inline>
        </w:drawing>
      </w:r>
    </w:p>
    <w:p>
      <w:pPr>
        <w:ind w:firstLine="1440" w:firstLineChars="6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图3-2-2        奶牛场饲养工艺流程图</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（1）饲喂方式</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①公犊牛出生后全部出售，母犊牛出生7天后放入犊牛栏单栏饲养，哺乳期为60天。断奶后犊牛转入犊牛舍小群饲养，满6月龄后进入育成牛群牛舍进行饲养。</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②育成母牛满15月龄后进行配种，妊娠后转入青年母牛舍群饲。</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③预产期前7-15天转入产房，产犊后7-15天转入成母牛舍群饲。</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④泌乳牛预产期前60天干奶，产前7-15天进产房，产后7-15天转回泌乳牛舍。</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⑤用于牛群更新之外的犊母牛在育成期出售。</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（2）饮水方式</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哺乳犊牛采用人工饮水方式，即水桶饮水方式；产房采用牛自动饮水碗饮水；其他牛群采用饮水槽自由饮水方式饮水。</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（3）配种方式</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繁殖母牛采用冷冻精液人工授精配种。</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（4）挤奶方式</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泌乳牛采用并列式挤奶厅集中挤奶，每日3次。围产期母牛（在产房的30天）采用管道式挤奶设备挤奶。</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挤奶时间：每次挤奶时间为4.5小时。</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挤奶厅建在养殖场中部，有专用的运输通道，不与污道交叉。</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挤奶厅包括挤奶大厅、待挤区、设备室、储奶间等。</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奶牛通道从待挤区进入挤奶厅的通道，奶牛排着队，然后按照序列，走上挤奶台。工作人员先对乳头进行3次消毒，随后自动套上挤奶器。</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挤奶前先对设备进行消毒，每次挤奶前先用清水进行冲洗，清洗时间一般为10分钟。挤奶完毕后，应马上进行冲洗，不加任何清洗剂，只用清洁的温水（35~40℃）进行冲洗。预冲洗不循环，冲洗到水变清为止。</w:t>
      </w:r>
    </w:p>
    <w:p>
      <w:pPr>
        <w:pStyle w:val="1297"/>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3.2.1.2 日常管理</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1、青贮饲料</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（1）装填：外购合格青贮饲料，在装填前先在窑底铺上30cm厚的垫草，然后将铡短的青贮原料迅速装入窖内。装时要边装边压实，尽量排除空气。</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2）封窖：青贮窖为地面式青贮窖，地面为水泥抹面，方便青贮饲料的储用。当青贮饲料高出窖沿60cm时进行封窑，采用防老化的双层塑料布（长度和宽度依窖的大小而定），从一端铺至另一端，塑料布的宽度要余出窑体30-40厘米，在窖口薄膜上加一定量的土，以保证其密封性，最后在薄膜上放置废旧轮胎进行压覆，以保证薄膜不会被风吹起或刮烂。</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（3）青贮饲料取用：饲料青贮后30～50d便可开窑取喂。取料从窖口开始取用，并逐步向窖内推进，取料后随即盖严取料口。</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（4）精料工艺：干草库内将干草铡短，与青贮料、精料混合，按照牛的不同阶段进行配制，配制为成品饲料。</w:t>
      </w:r>
    </w:p>
    <w:p>
      <w:pPr>
        <w:pStyle w:val="1297"/>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3.2.1.3 牛粪处理工艺</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牛粪采用干清粪工艺，牛尿、牛舍冲洗废水、牛舍喷淋废水、挤奶厅清洗废水进入固液分离间进行固液分离，</w:t>
      </w:r>
      <w:r>
        <w:rPr>
          <w:rFonts w:hint="default" w:ascii="Times New Roman" w:hAnsi="Times New Roman" w:cs="Times New Roman" w:eastAsiaTheme="minorEastAsia"/>
          <w:color w:val="auto"/>
          <w:sz w:val="24"/>
          <w:szCs w:val="24"/>
          <w:highlight w:val="none"/>
        </w:rPr>
        <w:t>将固态物质分离出来。</w:t>
      </w:r>
      <w:r>
        <w:rPr>
          <w:rFonts w:hint="default" w:ascii="Times New Roman" w:hAnsi="Times New Roman" w:cs="Times New Roman" w:eastAsiaTheme="minorEastAsia"/>
          <w:color w:val="auto"/>
          <w:kern w:val="24"/>
          <w:sz w:val="24"/>
          <w:szCs w:val="24"/>
          <w:highlight w:val="none"/>
        </w:rPr>
        <w:t>固液分离是利用离心力分离液体中固体颗粒物和絮状物的机械。</w:t>
      </w:r>
      <w:r>
        <w:rPr>
          <w:rFonts w:hint="default" w:ascii="Times New Roman" w:hAnsi="Times New Roman" w:cs="Times New Roman" w:eastAsiaTheme="minorEastAsia"/>
          <w:color w:val="auto"/>
          <w:sz w:val="24"/>
          <w:szCs w:val="22"/>
          <w:highlight w:val="none"/>
        </w:rPr>
        <w:t>牛粪及固液分离后干物质含水率约为70%，暂存在固液分离间内集污池内，定期外运粪污处置中心进行处置。</w:t>
      </w:r>
    </w:p>
    <w:p>
      <w:pPr>
        <w:pStyle w:val="1297"/>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3.2.1.4 牛尿处理</w:t>
      </w:r>
    </w:p>
    <w:p>
      <w:pPr>
        <w:spacing w:line="480" w:lineRule="exact"/>
        <w:ind w:firstLine="560"/>
        <w:rPr>
          <w:rFonts w:hint="default" w:ascii="Times New Roman" w:hAnsi="Times New Roman" w:cs="Times New Roman" w:eastAsiaTheme="minorEastAsia"/>
          <w:color w:val="auto"/>
          <w:kern w:val="24"/>
          <w:sz w:val="24"/>
          <w:szCs w:val="24"/>
          <w:highlight w:val="none"/>
        </w:rPr>
      </w:pPr>
      <w:r>
        <w:rPr>
          <w:rFonts w:hint="default" w:ascii="Times New Roman" w:hAnsi="Times New Roman" w:cs="Times New Roman" w:eastAsiaTheme="minorEastAsia"/>
          <w:color w:val="auto"/>
          <w:sz w:val="24"/>
          <w:szCs w:val="22"/>
          <w:highlight w:val="none"/>
        </w:rPr>
        <w:t>本项目牛尿与牛舍冲洗废水、牛舍喷淋废水、挤奶厅清洗废水、生活污水等，统一进入黑膜沼气池发酵处理后，</w:t>
      </w:r>
      <w:r>
        <w:rPr>
          <w:rFonts w:hint="default" w:ascii="Times New Roman" w:hAnsi="Times New Roman" w:cs="Times New Roman" w:eastAsiaTheme="minorEastAsia"/>
          <w:color w:val="auto"/>
          <w:sz w:val="24"/>
          <w:szCs w:val="24"/>
          <w:highlight w:val="none"/>
        </w:rPr>
        <w:t>发酵后进入沼液储池，满足《畜禽粪便还田技术规范》（GB/T 25246-2010）表2卫生要求，在施肥季节用于配套消纳地进行施肥，在非施肥季节于沼液储存池储存；</w:t>
      </w:r>
      <w:r>
        <w:rPr>
          <w:rFonts w:hint="default" w:ascii="Times New Roman" w:hAnsi="Times New Roman" w:cs="Times New Roman" w:eastAsiaTheme="minorEastAsia"/>
          <w:color w:val="auto"/>
          <w:kern w:val="24"/>
          <w:sz w:val="24"/>
          <w:szCs w:val="24"/>
          <w:highlight w:val="none"/>
        </w:rPr>
        <w:t>沼渣外运安达市瑞和玉米种植专业合作社进行发酵生产有机肥料。</w:t>
      </w:r>
    </w:p>
    <w:p>
      <w:pPr>
        <w:keepNext/>
        <w:keepLines/>
        <w:spacing w:line="500" w:lineRule="exact"/>
        <w:ind w:firstLine="0" w:firstLineChars="0"/>
        <w:outlineLvl w:val="4"/>
        <w:rPr>
          <w:rFonts w:hint="default" w:ascii="Times New Roman" w:hAnsi="Times New Roman" w:cs="Times New Roman" w:eastAsiaTheme="minorEastAsia"/>
          <w:bCs/>
          <w:color w:val="auto"/>
          <w:sz w:val="24"/>
          <w:szCs w:val="24"/>
          <w:highlight w:val="none"/>
        </w:rPr>
      </w:pPr>
      <w:r>
        <w:rPr>
          <w:rFonts w:hint="default" w:ascii="Times New Roman" w:hAnsi="Times New Roman" w:cs="Times New Roman" w:eastAsiaTheme="minorEastAsia"/>
          <w:bCs/>
          <w:color w:val="auto"/>
          <w:sz w:val="24"/>
          <w:szCs w:val="24"/>
          <w:highlight w:val="none"/>
        </w:rPr>
        <w:t>3.2.1.5沼气净化及利用</w:t>
      </w:r>
    </w:p>
    <w:p>
      <w:pPr>
        <w:spacing w:line="480" w:lineRule="exact"/>
        <w:ind w:firstLine="560"/>
        <w:rPr>
          <w:rFonts w:hint="default" w:ascii="Times New Roman" w:hAnsi="Times New Roman" w:cs="Times New Roman" w:eastAsiaTheme="minorEastAsia"/>
          <w:color w:val="auto"/>
          <w:kern w:val="24"/>
          <w:sz w:val="24"/>
          <w:szCs w:val="24"/>
          <w:highlight w:val="none"/>
        </w:rPr>
      </w:pPr>
      <w:r>
        <w:rPr>
          <w:rFonts w:hint="default" w:ascii="Times New Roman" w:hAnsi="Times New Roman" w:cs="Times New Roman" w:eastAsiaTheme="minorEastAsia"/>
          <w:color w:val="auto"/>
          <w:kern w:val="24"/>
          <w:sz w:val="24"/>
          <w:szCs w:val="24"/>
          <w:highlight w:val="none"/>
        </w:rPr>
        <w:t>根据《畜禽养殖业污染防治技术政策》（环发[2010]151号）中有关内容，厌氧发酵产生的沼气应进行收集，并根据利用途径进行脱水、脱硫等净化处理。沼气宜作为燃料直接利用。</w:t>
      </w:r>
    </w:p>
    <w:p>
      <w:pPr>
        <w:spacing w:line="480" w:lineRule="exact"/>
        <w:ind w:firstLine="560"/>
        <w:rPr>
          <w:rFonts w:hint="default" w:ascii="Times New Roman" w:hAnsi="Times New Roman" w:cs="Times New Roman" w:eastAsiaTheme="minorEastAsia"/>
          <w:color w:val="auto"/>
          <w:kern w:val="24"/>
          <w:sz w:val="24"/>
          <w:szCs w:val="24"/>
          <w:highlight w:val="none"/>
        </w:rPr>
      </w:pPr>
      <w:r>
        <w:rPr>
          <w:rFonts w:hint="default" w:ascii="Times New Roman" w:hAnsi="Times New Roman" w:cs="Times New Roman" w:eastAsiaTheme="minorEastAsia"/>
          <w:color w:val="auto"/>
          <w:kern w:val="24"/>
          <w:sz w:val="24"/>
          <w:szCs w:val="24"/>
          <w:highlight w:val="none"/>
        </w:rPr>
        <w:t>沼气经过脱硫装置脱硫，其目的是净化沼气。</w:t>
      </w:r>
    </w:p>
    <w:p>
      <w:pPr>
        <w:spacing w:line="480" w:lineRule="exact"/>
        <w:ind w:firstLine="560"/>
        <w:rPr>
          <w:rFonts w:hint="default" w:ascii="Times New Roman" w:hAnsi="Times New Roman" w:cs="Times New Roman" w:eastAsiaTheme="minorEastAsia"/>
          <w:kern w:val="24"/>
          <w:sz w:val="24"/>
          <w:szCs w:val="24"/>
        </w:rPr>
      </w:pPr>
      <w:r>
        <w:rPr>
          <w:rFonts w:hint="default" w:ascii="Times New Roman" w:hAnsi="Times New Roman" w:cs="Times New Roman" w:eastAsiaTheme="minorEastAsia"/>
          <w:kern w:val="24"/>
          <w:sz w:val="24"/>
          <w:szCs w:val="24"/>
        </w:rPr>
        <w:t>沼气是高湿度气体，H</w:t>
      </w:r>
      <w:r>
        <w:rPr>
          <w:rFonts w:hint="default" w:ascii="Times New Roman" w:hAnsi="Times New Roman" w:cs="Times New Roman" w:eastAsiaTheme="minorEastAsia"/>
          <w:kern w:val="24"/>
          <w:sz w:val="24"/>
          <w:szCs w:val="24"/>
          <w:vertAlign w:val="subscript"/>
        </w:rPr>
        <w:t>2</w:t>
      </w:r>
      <w:r>
        <w:rPr>
          <w:rFonts w:hint="default" w:ascii="Times New Roman" w:hAnsi="Times New Roman" w:cs="Times New Roman" w:eastAsiaTheme="minorEastAsia"/>
          <w:kern w:val="24"/>
          <w:sz w:val="24"/>
          <w:szCs w:val="24"/>
        </w:rPr>
        <w:t>S平均含量为0.025%，需要进行脱水脱硫处理，以防止对沼气输送管道的腐蚀影响。采用专用沼气脱硫剂脱硫后，硫去除率可达到95%以上，经核算沼气净化后H</w:t>
      </w:r>
      <w:r>
        <w:rPr>
          <w:rFonts w:hint="default" w:ascii="Times New Roman" w:hAnsi="Times New Roman" w:cs="Times New Roman" w:eastAsiaTheme="minorEastAsia"/>
          <w:kern w:val="24"/>
          <w:sz w:val="24"/>
          <w:szCs w:val="24"/>
          <w:vertAlign w:val="subscript"/>
        </w:rPr>
        <w:t>2</w:t>
      </w:r>
      <w:r>
        <w:rPr>
          <w:rFonts w:hint="default" w:ascii="Times New Roman" w:hAnsi="Times New Roman" w:cs="Times New Roman" w:eastAsiaTheme="minorEastAsia"/>
          <w:kern w:val="24"/>
          <w:sz w:val="24"/>
          <w:szCs w:val="24"/>
        </w:rPr>
        <w:t>S含量不高于20 mg/m</w:t>
      </w:r>
      <w:r>
        <w:rPr>
          <w:rFonts w:hint="default" w:ascii="Times New Roman" w:hAnsi="Times New Roman" w:cs="Times New Roman" w:eastAsiaTheme="minorEastAsia"/>
          <w:kern w:val="24"/>
          <w:sz w:val="24"/>
          <w:szCs w:val="24"/>
          <w:vertAlign w:val="superscript"/>
        </w:rPr>
        <w:t>3</w:t>
      </w:r>
      <w:r>
        <w:rPr>
          <w:rFonts w:hint="default" w:ascii="Times New Roman" w:hAnsi="Times New Roman" w:cs="Times New Roman" w:eastAsiaTheme="minorEastAsia"/>
          <w:kern w:val="24"/>
          <w:sz w:val="24"/>
          <w:szCs w:val="24"/>
        </w:rPr>
        <w:t>。</w:t>
      </w:r>
    </w:p>
    <w:p>
      <w:pPr>
        <w:spacing w:line="480" w:lineRule="exact"/>
        <w:ind w:firstLine="560"/>
        <w:rPr>
          <w:rFonts w:hint="default" w:ascii="Times New Roman" w:hAnsi="Times New Roman" w:cs="Times New Roman" w:eastAsiaTheme="minorEastAsia"/>
          <w:color w:val="auto"/>
          <w:kern w:val="24"/>
          <w:sz w:val="24"/>
          <w:szCs w:val="24"/>
          <w:highlight w:val="none"/>
        </w:rPr>
      </w:pPr>
      <w:r>
        <w:rPr>
          <w:rFonts w:hint="default" w:ascii="Times New Roman" w:hAnsi="Times New Roman" w:cs="Times New Roman" w:eastAsiaTheme="minorEastAsia"/>
          <w:color w:val="auto"/>
          <w:kern w:val="24"/>
          <w:sz w:val="24"/>
          <w:szCs w:val="24"/>
          <w:highlight w:val="none"/>
        </w:rPr>
        <w:t>项目采用常压氧化铁干法脱硫，在常温常压下沼气通过脱硫剂床层，沼气中硫化氢与活性氧化铁接触，生成硫化铁和硫化亚铁。再生时，含有硫化物的脱硫剂与空气中的氧接触，当有水存在时，铁的硫化物又转化为氧化铁和单质硫。这种脱硫、再生过程可重复多次，直至氧化铁脱硫剂表面的大部分空隙被硫或其他杂质覆盖而失去活性为止。一旦脱硫剂失去活性，需将脱硫剂从塔内卸出摊晒在空地上，利用空气中的氧进行自然再生。</w:t>
      </w:r>
    </w:p>
    <w:p>
      <w:pPr>
        <w:spacing w:line="480" w:lineRule="exact"/>
        <w:ind w:firstLine="560"/>
        <w:rPr>
          <w:rFonts w:hint="default" w:ascii="Times New Roman" w:hAnsi="Times New Roman" w:cs="Times New Roman" w:eastAsiaTheme="minorEastAsia"/>
          <w:color w:val="auto"/>
          <w:kern w:val="24"/>
          <w:sz w:val="24"/>
          <w:szCs w:val="24"/>
          <w:highlight w:val="none"/>
        </w:rPr>
      </w:pPr>
      <w:r>
        <w:rPr>
          <w:rFonts w:hint="default" w:ascii="Times New Roman" w:hAnsi="Times New Roman" w:cs="Times New Roman" w:eastAsiaTheme="minorEastAsia"/>
          <w:color w:val="auto"/>
          <w:kern w:val="24"/>
          <w:sz w:val="24"/>
          <w:szCs w:val="24"/>
          <w:highlight w:val="none"/>
        </w:rPr>
        <w:t>脱硫反应如下：</w:t>
      </w:r>
    </w:p>
    <w:p>
      <w:pPr>
        <w:spacing w:line="480" w:lineRule="exact"/>
        <w:ind w:firstLine="560"/>
        <w:rPr>
          <w:rFonts w:hint="default" w:ascii="Times New Roman" w:hAnsi="Times New Roman" w:cs="Times New Roman" w:eastAsiaTheme="minorEastAsia"/>
          <w:color w:val="auto"/>
          <w:kern w:val="24"/>
          <w:sz w:val="24"/>
          <w:szCs w:val="24"/>
          <w:highlight w:val="none"/>
        </w:rPr>
      </w:pPr>
      <w:r>
        <w:rPr>
          <w:rFonts w:hint="default" w:ascii="Times New Roman" w:hAnsi="Times New Roman" w:cs="Times New Roman" w:eastAsiaTheme="minorEastAsia"/>
          <w:color w:val="auto"/>
          <w:sz w:val="24"/>
          <w:szCs w:val="24"/>
          <w:highlight w:val="none"/>
        </w:rPr>
        <mc:AlternateContent>
          <mc:Choice Requires="wps">
            <w:drawing>
              <wp:anchor distT="0" distB="0" distL="114300" distR="114300" simplePos="0" relativeHeight="251667456" behindDoc="0" locked="0" layoutInCell="1" allowOverlap="1">
                <wp:simplePos x="0" y="0"/>
                <wp:positionH relativeFrom="column">
                  <wp:posOffset>1627505</wp:posOffset>
                </wp:positionH>
                <wp:positionV relativeFrom="paragraph">
                  <wp:posOffset>191135</wp:posOffset>
                </wp:positionV>
                <wp:extent cx="292100" cy="1905"/>
                <wp:effectExtent l="0" t="24765" r="12700" b="30480"/>
                <wp:wrapNone/>
                <wp:docPr id="32" name="直线 82"/>
                <wp:cNvGraphicFramePr/>
                <a:graphic xmlns:a="http://schemas.openxmlformats.org/drawingml/2006/main">
                  <a:graphicData uri="http://schemas.microsoft.com/office/word/2010/wordprocessingShape">
                    <wps:wsp>
                      <wps:cNvCnPr/>
                      <wps:spPr>
                        <a:xfrm flipV="1">
                          <a:off x="0" y="0"/>
                          <a:ext cx="292100" cy="1905"/>
                        </a:xfrm>
                        <a:prstGeom prst="line">
                          <a:avLst/>
                        </a:prstGeom>
                        <a:ln w="9525" cap="flat" cmpd="sng">
                          <a:solidFill>
                            <a:srgbClr val="000000"/>
                          </a:solidFill>
                          <a:prstDash val="solid"/>
                          <a:headEnd type="none" w="med" len="med"/>
                          <a:tailEnd type="triangle" w="sm" len="med"/>
                        </a:ln>
                      </wps:spPr>
                      <wps:bodyPr upright="1"/>
                    </wps:wsp>
                  </a:graphicData>
                </a:graphic>
              </wp:anchor>
            </w:drawing>
          </mc:Choice>
          <mc:Fallback>
            <w:pict>
              <v:line id="直线 82" o:spid="_x0000_s1026" o:spt="20" style="position:absolute;left:0pt;flip:y;margin-left:128.15pt;margin-top:15.05pt;height:0.15pt;width:23pt;z-index:251667456;mso-width-relative:page;mso-height-relative:page;" filled="f" stroked="t" coordsize="21600,21600" o:gfxdata="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ucxh7WAAAACQEAAA8AAAAAAAAAAQAgAAAAIgAAAGRycy9kb3ducmV2Lnht&#10;bFBLAQIUABQAAAAIAIdO4kDpH6ai+wEAAOwDAAAOAAAAAAAAAAEAIAAAACUBAABkcnMvZTJvRG9j&#10;LnhtbFBLBQYAAAAABgAGAFkBAACSBQAAAAA=&#10;">
                <v:fill on="f" focussize="0,0"/>
                <v:stroke color="#000000" joinstyle="round" endarrow="block" endarrowwidth="narrow"/>
                <v:imagedata o:title=""/>
                <o:lock v:ext="edit" aspectratio="f"/>
              </v:line>
            </w:pict>
          </mc:Fallback>
        </mc:AlternateContent>
      </w:r>
      <w:r>
        <w:rPr>
          <w:rFonts w:hint="default" w:ascii="Times New Roman" w:hAnsi="Times New Roman" w:cs="Times New Roman" w:eastAsiaTheme="minorEastAsia"/>
          <w:color w:val="auto"/>
          <w:kern w:val="24"/>
          <w:sz w:val="24"/>
          <w:szCs w:val="24"/>
          <w:highlight w:val="none"/>
        </w:rPr>
        <w:t>Fe</w:t>
      </w:r>
      <w:r>
        <w:rPr>
          <w:rFonts w:hint="default" w:ascii="Times New Roman" w:hAnsi="Times New Roman" w:cs="Times New Roman" w:eastAsiaTheme="minorEastAsia"/>
          <w:color w:val="auto"/>
          <w:kern w:val="24"/>
          <w:sz w:val="24"/>
          <w:szCs w:val="24"/>
          <w:highlight w:val="none"/>
          <w:vertAlign w:val="subscript"/>
        </w:rPr>
        <w:t>2</w:t>
      </w:r>
      <w:r>
        <w:rPr>
          <w:rFonts w:hint="default" w:ascii="Times New Roman" w:hAnsi="Times New Roman" w:cs="Times New Roman" w:eastAsiaTheme="minorEastAsia"/>
          <w:color w:val="auto"/>
          <w:kern w:val="24"/>
          <w:sz w:val="24"/>
          <w:szCs w:val="24"/>
          <w:highlight w:val="none"/>
        </w:rPr>
        <w:t>O</w:t>
      </w:r>
      <w:r>
        <w:rPr>
          <w:rFonts w:hint="default" w:ascii="Times New Roman" w:hAnsi="Times New Roman" w:cs="Times New Roman" w:eastAsiaTheme="minorEastAsia"/>
          <w:color w:val="auto"/>
          <w:kern w:val="24"/>
          <w:sz w:val="24"/>
          <w:szCs w:val="24"/>
          <w:highlight w:val="none"/>
          <w:vertAlign w:val="subscript"/>
        </w:rPr>
        <w:t>3</w:t>
      </w:r>
      <w:r>
        <w:rPr>
          <w:rFonts w:hint="default" w:ascii="Times New Roman" w:hAnsi="Times New Roman" w:cs="Times New Roman" w:eastAsiaTheme="minorEastAsia"/>
          <w:color w:val="auto"/>
          <w:kern w:val="24"/>
          <w:sz w:val="24"/>
          <w:szCs w:val="24"/>
          <w:highlight w:val="none"/>
        </w:rPr>
        <w:t>·3H</w:t>
      </w:r>
      <w:r>
        <w:rPr>
          <w:rFonts w:hint="default" w:ascii="Times New Roman" w:hAnsi="Times New Roman" w:cs="Times New Roman" w:eastAsiaTheme="minorEastAsia"/>
          <w:color w:val="auto"/>
          <w:kern w:val="24"/>
          <w:sz w:val="24"/>
          <w:szCs w:val="24"/>
          <w:highlight w:val="none"/>
          <w:vertAlign w:val="subscript"/>
        </w:rPr>
        <w:t>2</w:t>
      </w:r>
      <w:r>
        <w:rPr>
          <w:rFonts w:hint="default" w:ascii="Times New Roman" w:hAnsi="Times New Roman" w:cs="Times New Roman" w:eastAsiaTheme="minorEastAsia"/>
          <w:color w:val="auto"/>
          <w:kern w:val="24"/>
          <w:sz w:val="24"/>
          <w:szCs w:val="24"/>
          <w:highlight w:val="none"/>
        </w:rPr>
        <w:t>O + 3H</w:t>
      </w:r>
      <w:r>
        <w:rPr>
          <w:rFonts w:hint="default" w:ascii="Times New Roman" w:hAnsi="Times New Roman" w:cs="Times New Roman" w:eastAsiaTheme="minorEastAsia"/>
          <w:color w:val="auto"/>
          <w:kern w:val="24"/>
          <w:sz w:val="24"/>
          <w:szCs w:val="24"/>
          <w:highlight w:val="none"/>
          <w:vertAlign w:val="subscript"/>
        </w:rPr>
        <w:t>2</w:t>
      </w:r>
      <w:r>
        <w:rPr>
          <w:rFonts w:hint="default" w:ascii="Times New Roman" w:hAnsi="Times New Roman" w:cs="Times New Roman" w:eastAsiaTheme="minorEastAsia"/>
          <w:color w:val="auto"/>
          <w:kern w:val="24"/>
          <w:sz w:val="24"/>
          <w:szCs w:val="24"/>
          <w:highlight w:val="none"/>
        </w:rPr>
        <w:t>S        Fe</w:t>
      </w:r>
      <w:r>
        <w:rPr>
          <w:rFonts w:hint="default" w:ascii="Times New Roman" w:hAnsi="Times New Roman" w:cs="Times New Roman" w:eastAsiaTheme="minorEastAsia"/>
          <w:color w:val="auto"/>
          <w:kern w:val="24"/>
          <w:sz w:val="24"/>
          <w:szCs w:val="24"/>
          <w:highlight w:val="none"/>
          <w:vertAlign w:val="subscript"/>
        </w:rPr>
        <w:t>2</w:t>
      </w:r>
      <w:r>
        <w:rPr>
          <w:rFonts w:hint="default" w:ascii="Times New Roman" w:hAnsi="Times New Roman" w:cs="Times New Roman" w:eastAsiaTheme="minorEastAsia"/>
          <w:color w:val="auto"/>
          <w:kern w:val="24"/>
          <w:sz w:val="24"/>
          <w:szCs w:val="24"/>
          <w:highlight w:val="none"/>
        </w:rPr>
        <w:t>S</w:t>
      </w:r>
      <w:r>
        <w:rPr>
          <w:rFonts w:hint="default" w:ascii="Times New Roman" w:hAnsi="Times New Roman" w:cs="Times New Roman" w:eastAsiaTheme="minorEastAsia"/>
          <w:color w:val="auto"/>
          <w:kern w:val="24"/>
          <w:sz w:val="24"/>
          <w:szCs w:val="24"/>
          <w:highlight w:val="none"/>
          <w:vertAlign w:val="subscript"/>
        </w:rPr>
        <w:t>3</w:t>
      </w:r>
      <w:r>
        <w:rPr>
          <w:rFonts w:hint="default" w:ascii="Times New Roman" w:hAnsi="Times New Roman" w:cs="Times New Roman" w:eastAsiaTheme="minorEastAsia"/>
          <w:color w:val="auto"/>
          <w:kern w:val="24"/>
          <w:sz w:val="24"/>
          <w:szCs w:val="24"/>
          <w:highlight w:val="none"/>
        </w:rPr>
        <w:t xml:space="preserve"> + 6H</w:t>
      </w:r>
      <w:r>
        <w:rPr>
          <w:rFonts w:hint="default" w:ascii="Times New Roman" w:hAnsi="Times New Roman" w:cs="Times New Roman" w:eastAsiaTheme="minorEastAsia"/>
          <w:color w:val="auto"/>
          <w:kern w:val="24"/>
          <w:sz w:val="24"/>
          <w:szCs w:val="24"/>
          <w:highlight w:val="none"/>
          <w:vertAlign w:val="subscript"/>
        </w:rPr>
        <w:t>2</w:t>
      </w:r>
      <w:r>
        <w:rPr>
          <w:rFonts w:hint="default" w:ascii="Times New Roman" w:hAnsi="Times New Roman" w:cs="Times New Roman" w:eastAsiaTheme="minorEastAsia"/>
          <w:color w:val="auto"/>
          <w:kern w:val="24"/>
          <w:sz w:val="24"/>
          <w:szCs w:val="24"/>
          <w:highlight w:val="none"/>
        </w:rPr>
        <w:t>O</w:t>
      </w:r>
    </w:p>
    <w:p>
      <w:pPr>
        <w:spacing w:line="480" w:lineRule="exact"/>
        <w:ind w:firstLine="560"/>
        <w:rPr>
          <w:rFonts w:hint="default" w:ascii="Times New Roman" w:hAnsi="Times New Roman" w:cs="Times New Roman" w:eastAsiaTheme="minorEastAsia"/>
          <w:color w:val="auto"/>
          <w:kern w:val="24"/>
          <w:sz w:val="24"/>
          <w:szCs w:val="24"/>
          <w:highlight w:val="none"/>
        </w:rPr>
      </w:pPr>
      <w:r>
        <w:rPr>
          <w:rFonts w:hint="default" w:ascii="Times New Roman" w:hAnsi="Times New Roman" w:cs="Times New Roman" w:eastAsiaTheme="minorEastAsia"/>
          <w:color w:val="auto"/>
          <w:sz w:val="24"/>
          <w:szCs w:val="24"/>
          <w:highlight w:val="none"/>
        </w:rPr>
        <mc:AlternateContent>
          <mc:Choice Requires="wps">
            <w:drawing>
              <wp:anchor distT="0" distB="0" distL="114300" distR="114300" simplePos="0" relativeHeight="251668480" behindDoc="0" locked="0" layoutInCell="1" allowOverlap="1">
                <wp:simplePos x="0" y="0"/>
                <wp:positionH relativeFrom="column">
                  <wp:posOffset>1604010</wp:posOffset>
                </wp:positionH>
                <wp:positionV relativeFrom="paragraph">
                  <wp:posOffset>170180</wp:posOffset>
                </wp:positionV>
                <wp:extent cx="292100" cy="1905"/>
                <wp:effectExtent l="0" t="24765" r="12700" b="30480"/>
                <wp:wrapNone/>
                <wp:docPr id="33" name="直线 83"/>
                <wp:cNvGraphicFramePr/>
                <a:graphic xmlns:a="http://schemas.openxmlformats.org/drawingml/2006/main">
                  <a:graphicData uri="http://schemas.microsoft.com/office/word/2010/wordprocessingShape">
                    <wps:wsp>
                      <wps:cNvCnPr/>
                      <wps:spPr>
                        <a:xfrm flipV="1">
                          <a:off x="0" y="0"/>
                          <a:ext cx="292100" cy="1905"/>
                        </a:xfrm>
                        <a:prstGeom prst="line">
                          <a:avLst/>
                        </a:prstGeom>
                        <a:ln w="9525" cap="flat" cmpd="sng">
                          <a:solidFill>
                            <a:srgbClr val="000000"/>
                          </a:solidFill>
                          <a:prstDash val="solid"/>
                          <a:headEnd type="none" w="med" len="med"/>
                          <a:tailEnd type="triangle" w="sm" len="med"/>
                        </a:ln>
                      </wps:spPr>
                      <wps:bodyPr upright="1"/>
                    </wps:wsp>
                  </a:graphicData>
                </a:graphic>
              </wp:anchor>
            </w:drawing>
          </mc:Choice>
          <mc:Fallback>
            <w:pict>
              <v:line id="直线 83" o:spid="_x0000_s1026" o:spt="20" style="position:absolute;left:0pt;flip:y;margin-left:126.3pt;margin-top:13.4pt;height:0.15pt;width:23pt;z-index:251668480;mso-width-relative:page;mso-height-relative:page;" filled="f" stroked="t" coordsize="21600,21600" o:gfxdata="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6wonNUAAAAJAQAADwAAAAAAAAABACAAAAAiAAAAZHJzL2Rvd25yZXYueG1s&#10;UEsBAhQAFAAAAAgAh07iQNhxEff7AQAA7AMAAA4AAAAAAAAAAQAgAAAAJAEAAGRycy9lMm9Eb2Mu&#10;eG1sUEsFBgAAAAAGAAYAWQEAAJEFAAAAAA==&#10;">
                <v:fill on="f" focussize="0,0"/>
                <v:stroke color="#000000" joinstyle="round" endarrow="block" endarrowwidth="narrow"/>
                <v:imagedata o:title=""/>
                <o:lock v:ext="edit" aspectratio="f"/>
              </v:line>
            </w:pict>
          </mc:Fallback>
        </mc:AlternateContent>
      </w:r>
      <w:r>
        <w:rPr>
          <w:rFonts w:hint="default" w:ascii="Times New Roman" w:hAnsi="Times New Roman" w:cs="Times New Roman" w:eastAsiaTheme="minorEastAsia"/>
          <w:color w:val="auto"/>
          <w:kern w:val="24"/>
          <w:sz w:val="24"/>
          <w:szCs w:val="24"/>
          <w:highlight w:val="none"/>
        </w:rPr>
        <w:t>Fe</w:t>
      </w:r>
      <w:r>
        <w:rPr>
          <w:rFonts w:hint="default" w:ascii="Times New Roman" w:hAnsi="Times New Roman" w:cs="Times New Roman" w:eastAsiaTheme="minorEastAsia"/>
          <w:color w:val="auto"/>
          <w:kern w:val="24"/>
          <w:sz w:val="24"/>
          <w:szCs w:val="24"/>
          <w:highlight w:val="none"/>
          <w:vertAlign w:val="subscript"/>
        </w:rPr>
        <w:t>2</w:t>
      </w:r>
      <w:r>
        <w:rPr>
          <w:rFonts w:hint="default" w:ascii="Times New Roman" w:hAnsi="Times New Roman" w:cs="Times New Roman" w:eastAsiaTheme="minorEastAsia"/>
          <w:color w:val="auto"/>
          <w:kern w:val="24"/>
          <w:sz w:val="24"/>
          <w:szCs w:val="24"/>
          <w:highlight w:val="none"/>
        </w:rPr>
        <w:t>O</w:t>
      </w:r>
      <w:r>
        <w:rPr>
          <w:rFonts w:hint="default" w:ascii="Times New Roman" w:hAnsi="Times New Roman" w:cs="Times New Roman" w:eastAsiaTheme="minorEastAsia"/>
          <w:color w:val="auto"/>
          <w:kern w:val="24"/>
          <w:sz w:val="24"/>
          <w:szCs w:val="24"/>
          <w:highlight w:val="none"/>
          <w:vertAlign w:val="subscript"/>
        </w:rPr>
        <w:t>3</w:t>
      </w:r>
      <w:r>
        <w:rPr>
          <w:rFonts w:hint="default" w:ascii="Times New Roman" w:hAnsi="Times New Roman" w:cs="Times New Roman" w:eastAsiaTheme="minorEastAsia"/>
          <w:color w:val="auto"/>
          <w:kern w:val="24"/>
          <w:sz w:val="24"/>
          <w:szCs w:val="24"/>
          <w:highlight w:val="none"/>
        </w:rPr>
        <w:t>·3H</w:t>
      </w:r>
      <w:r>
        <w:rPr>
          <w:rFonts w:hint="default" w:ascii="Times New Roman" w:hAnsi="Times New Roman" w:cs="Times New Roman" w:eastAsiaTheme="minorEastAsia"/>
          <w:color w:val="auto"/>
          <w:kern w:val="24"/>
          <w:sz w:val="24"/>
          <w:szCs w:val="24"/>
          <w:highlight w:val="none"/>
          <w:vertAlign w:val="subscript"/>
        </w:rPr>
        <w:t>2</w:t>
      </w:r>
      <w:r>
        <w:rPr>
          <w:rFonts w:hint="default" w:ascii="Times New Roman" w:hAnsi="Times New Roman" w:cs="Times New Roman" w:eastAsiaTheme="minorEastAsia"/>
          <w:color w:val="auto"/>
          <w:kern w:val="24"/>
          <w:sz w:val="24"/>
          <w:szCs w:val="24"/>
          <w:highlight w:val="none"/>
        </w:rPr>
        <w:t>O + 3H</w:t>
      </w:r>
      <w:r>
        <w:rPr>
          <w:rFonts w:hint="default" w:ascii="Times New Roman" w:hAnsi="Times New Roman" w:cs="Times New Roman" w:eastAsiaTheme="minorEastAsia"/>
          <w:color w:val="auto"/>
          <w:kern w:val="24"/>
          <w:sz w:val="24"/>
          <w:szCs w:val="24"/>
          <w:highlight w:val="none"/>
          <w:vertAlign w:val="subscript"/>
        </w:rPr>
        <w:t>2</w:t>
      </w:r>
      <w:r>
        <w:rPr>
          <w:rFonts w:hint="default" w:ascii="Times New Roman" w:hAnsi="Times New Roman" w:cs="Times New Roman" w:eastAsiaTheme="minorEastAsia"/>
          <w:color w:val="auto"/>
          <w:kern w:val="24"/>
          <w:sz w:val="24"/>
          <w:szCs w:val="24"/>
          <w:highlight w:val="none"/>
        </w:rPr>
        <w:t>S        2FeS + S + 6H</w:t>
      </w:r>
      <w:r>
        <w:rPr>
          <w:rFonts w:hint="default" w:ascii="Times New Roman" w:hAnsi="Times New Roman" w:cs="Times New Roman" w:eastAsiaTheme="minorEastAsia"/>
          <w:color w:val="auto"/>
          <w:kern w:val="24"/>
          <w:sz w:val="24"/>
          <w:szCs w:val="24"/>
          <w:highlight w:val="none"/>
          <w:vertAlign w:val="subscript"/>
        </w:rPr>
        <w:t>2</w:t>
      </w:r>
      <w:r>
        <w:rPr>
          <w:rFonts w:hint="default" w:ascii="Times New Roman" w:hAnsi="Times New Roman" w:cs="Times New Roman" w:eastAsiaTheme="minorEastAsia"/>
          <w:color w:val="auto"/>
          <w:kern w:val="24"/>
          <w:sz w:val="24"/>
          <w:szCs w:val="24"/>
          <w:highlight w:val="none"/>
        </w:rPr>
        <w:t>O</w:t>
      </w:r>
    </w:p>
    <w:p>
      <w:pPr>
        <w:spacing w:line="480" w:lineRule="exact"/>
        <w:ind w:firstLine="560"/>
        <w:rPr>
          <w:rFonts w:hint="default" w:ascii="Times New Roman" w:hAnsi="Times New Roman" w:cs="Times New Roman" w:eastAsiaTheme="minorEastAsia"/>
          <w:color w:val="auto"/>
          <w:kern w:val="24"/>
          <w:sz w:val="24"/>
          <w:szCs w:val="24"/>
          <w:highlight w:val="none"/>
        </w:rPr>
      </w:pPr>
      <w:r>
        <w:rPr>
          <w:rFonts w:hint="default" w:ascii="Times New Roman" w:hAnsi="Times New Roman" w:cs="Times New Roman" w:eastAsiaTheme="minorEastAsia"/>
          <w:color w:val="auto"/>
          <w:kern w:val="24"/>
          <w:sz w:val="24"/>
          <w:szCs w:val="24"/>
          <w:highlight w:val="none"/>
        </w:rPr>
        <w:t>再生反应如下：</w:t>
      </w:r>
    </w:p>
    <w:p>
      <w:pPr>
        <w:spacing w:line="480" w:lineRule="exact"/>
        <w:ind w:firstLine="560"/>
        <w:rPr>
          <w:rFonts w:hint="default" w:ascii="Times New Roman" w:hAnsi="Times New Roman" w:cs="Times New Roman" w:eastAsiaTheme="minorEastAsia"/>
          <w:color w:val="auto"/>
          <w:kern w:val="24"/>
          <w:sz w:val="24"/>
          <w:szCs w:val="24"/>
          <w:highlight w:val="none"/>
        </w:rPr>
      </w:pPr>
      <w:r>
        <w:rPr>
          <w:rFonts w:hint="default" w:ascii="Times New Roman" w:hAnsi="Times New Roman" w:cs="Times New Roman" w:eastAsiaTheme="minorEastAsia"/>
          <w:color w:val="auto"/>
          <w:sz w:val="24"/>
          <w:szCs w:val="24"/>
          <w:highlight w:val="none"/>
        </w:rPr>
        <mc:AlternateContent>
          <mc:Choice Requires="wps">
            <w:drawing>
              <wp:anchor distT="0" distB="0" distL="114300" distR="114300" simplePos="0" relativeHeight="251670528" behindDoc="0" locked="0" layoutInCell="1" allowOverlap="1">
                <wp:simplePos x="0" y="0"/>
                <wp:positionH relativeFrom="column">
                  <wp:posOffset>1699895</wp:posOffset>
                </wp:positionH>
                <wp:positionV relativeFrom="paragraph">
                  <wp:posOffset>187960</wp:posOffset>
                </wp:positionV>
                <wp:extent cx="292100" cy="1905"/>
                <wp:effectExtent l="0" t="24765" r="12700" b="30480"/>
                <wp:wrapNone/>
                <wp:docPr id="35" name="直线 85"/>
                <wp:cNvGraphicFramePr/>
                <a:graphic xmlns:a="http://schemas.openxmlformats.org/drawingml/2006/main">
                  <a:graphicData uri="http://schemas.microsoft.com/office/word/2010/wordprocessingShape">
                    <wps:wsp>
                      <wps:cNvCnPr/>
                      <wps:spPr>
                        <a:xfrm flipV="1">
                          <a:off x="0" y="0"/>
                          <a:ext cx="292100" cy="1905"/>
                        </a:xfrm>
                        <a:prstGeom prst="line">
                          <a:avLst/>
                        </a:prstGeom>
                        <a:ln w="9525" cap="flat" cmpd="sng">
                          <a:solidFill>
                            <a:srgbClr val="000000"/>
                          </a:solidFill>
                          <a:prstDash val="solid"/>
                          <a:headEnd type="none" w="med" len="med"/>
                          <a:tailEnd type="triangle" w="sm" len="med"/>
                        </a:ln>
                      </wps:spPr>
                      <wps:bodyPr upright="1"/>
                    </wps:wsp>
                  </a:graphicData>
                </a:graphic>
              </wp:anchor>
            </w:drawing>
          </mc:Choice>
          <mc:Fallback>
            <w:pict>
              <v:line id="直线 85" o:spid="_x0000_s1026" o:spt="20" style="position:absolute;left:0pt;flip:y;margin-left:133.85pt;margin-top:14.8pt;height:0.15pt;width:23pt;z-index:251670528;mso-width-relative:page;mso-height-relative:page;" filled="f" stroked="t" coordsize="21600,21600" o:gfxdata="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LUqNYAAAAJAQAADwAAAAAAAAABACAAAAAiAAAAZHJzL2Rvd25yZXYu&#10;eG1sUEsBAhQAFAAAAAgAh07iQD8T09H9AQAA7AMAAA4AAAAAAAAAAQAgAAAAJQEAAGRycy9lMm9E&#10;b2MueG1sUEsFBgAAAAAGAAYAWQEAAJQFAAAAAA==&#10;">
                <v:fill on="f" focussize="0,0"/>
                <v:stroke color="#000000" joinstyle="round" endarrow="block" endarrowwidth="narrow"/>
                <v:imagedata o:title=""/>
                <o:lock v:ext="edit" aspectratio="f"/>
              </v:line>
            </w:pict>
          </mc:Fallback>
        </mc:AlternateContent>
      </w:r>
      <w:r>
        <w:rPr>
          <w:rFonts w:hint="default" w:ascii="Times New Roman" w:hAnsi="Times New Roman" w:cs="Times New Roman" w:eastAsiaTheme="minorEastAsia"/>
          <w:color w:val="auto"/>
          <w:kern w:val="24"/>
          <w:sz w:val="24"/>
          <w:szCs w:val="24"/>
          <w:highlight w:val="none"/>
        </w:rPr>
        <w:t>Fe</w:t>
      </w:r>
      <w:r>
        <w:rPr>
          <w:rFonts w:hint="default" w:ascii="Times New Roman" w:hAnsi="Times New Roman" w:cs="Times New Roman" w:eastAsiaTheme="minorEastAsia"/>
          <w:color w:val="auto"/>
          <w:kern w:val="24"/>
          <w:sz w:val="24"/>
          <w:szCs w:val="24"/>
          <w:highlight w:val="none"/>
          <w:vertAlign w:val="subscript"/>
        </w:rPr>
        <w:t>2</w:t>
      </w:r>
      <w:r>
        <w:rPr>
          <w:rFonts w:hint="default" w:ascii="Times New Roman" w:hAnsi="Times New Roman" w:cs="Times New Roman" w:eastAsiaTheme="minorEastAsia"/>
          <w:color w:val="auto"/>
          <w:kern w:val="24"/>
          <w:sz w:val="24"/>
          <w:szCs w:val="24"/>
          <w:highlight w:val="none"/>
        </w:rPr>
        <w:t>S</w:t>
      </w:r>
      <w:r>
        <w:rPr>
          <w:rFonts w:hint="default" w:ascii="Times New Roman" w:hAnsi="Times New Roman" w:cs="Times New Roman" w:eastAsiaTheme="minorEastAsia"/>
          <w:color w:val="auto"/>
          <w:kern w:val="24"/>
          <w:sz w:val="24"/>
          <w:szCs w:val="24"/>
          <w:highlight w:val="none"/>
          <w:vertAlign w:val="subscript"/>
        </w:rPr>
        <w:t>3</w:t>
      </w:r>
      <w:r>
        <w:rPr>
          <w:rFonts w:hint="default" w:ascii="Times New Roman" w:hAnsi="Times New Roman" w:cs="Times New Roman" w:eastAsiaTheme="minorEastAsia"/>
          <w:color w:val="auto"/>
          <w:kern w:val="24"/>
          <w:sz w:val="24"/>
          <w:szCs w:val="24"/>
          <w:highlight w:val="none"/>
        </w:rPr>
        <w:t xml:space="preserve"> + 3/2O</w:t>
      </w:r>
      <w:r>
        <w:rPr>
          <w:rFonts w:hint="default" w:ascii="Times New Roman" w:hAnsi="Times New Roman" w:cs="Times New Roman" w:eastAsiaTheme="minorEastAsia"/>
          <w:color w:val="auto"/>
          <w:kern w:val="24"/>
          <w:sz w:val="24"/>
          <w:szCs w:val="24"/>
          <w:highlight w:val="none"/>
          <w:vertAlign w:val="subscript"/>
        </w:rPr>
        <w:t>2</w:t>
      </w:r>
      <w:r>
        <w:rPr>
          <w:rFonts w:hint="default" w:ascii="Times New Roman" w:hAnsi="Times New Roman" w:cs="Times New Roman" w:eastAsiaTheme="minorEastAsia"/>
          <w:color w:val="auto"/>
          <w:kern w:val="24"/>
          <w:sz w:val="24"/>
          <w:szCs w:val="24"/>
          <w:highlight w:val="none"/>
        </w:rPr>
        <w:t xml:space="preserve"> + 3H</w:t>
      </w:r>
      <w:r>
        <w:rPr>
          <w:rFonts w:hint="default" w:ascii="Times New Roman" w:hAnsi="Times New Roman" w:cs="Times New Roman" w:eastAsiaTheme="minorEastAsia"/>
          <w:color w:val="auto"/>
          <w:kern w:val="24"/>
          <w:sz w:val="24"/>
          <w:szCs w:val="24"/>
          <w:highlight w:val="none"/>
          <w:vertAlign w:val="subscript"/>
        </w:rPr>
        <w:t>2</w:t>
      </w:r>
      <w:r>
        <w:rPr>
          <w:rFonts w:hint="default" w:ascii="Times New Roman" w:hAnsi="Times New Roman" w:cs="Times New Roman" w:eastAsiaTheme="minorEastAsia"/>
          <w:color w:val="auto"/>
          <w:kern w:val="24"/>
          <w:sz w:val="24"/>
          <w:szCs w:val="24"/>
          <w:highlight w:val="none"/>
        </w:rPr>
        <w:t>O       Fe</w:t>
      </w:r>
      <w:r>
        <w:rPr>
          <w:rFonts w:hint="default" w:ascii="Times New Roman" w:hAnsi="Times New Roman" w:cs="Times New Roman" w:eastAsiaTheme="minorEastAsia"/>
          <w:color w:val="auto"/>
          <w:kern w:val="24"/>
          <w:sz w:val="24"/>
          <w:szCs w:val="24"/>
          <w:highlight w:val="none"/>
          <w:vertAlign w:val="subscript"/>
        </w:rPr>
        <w:t>2</w:t>
      </w:r>
      <w:r>
        <w:rPr>
          <w:rFonts w:hint="default" w:ascii="Times New Roman" w:hAnsi="Times New Roman" w:cs="Times New Roman" w:eastAsiaTheme="minorEastAsia"/>
          <w:color w:val="auto"/>
          <w:kern w:val="24"/>
          <w:sz w:val="24"/>
          <w:szCs w:val="24"/>
          <w:highlight w:val="none"/>
        </w:rPr>
        <w:t>O</w:t>
      </w:r>
      <w:r>
        <w:rPr>
          <w:rFonts w:hint="default" w:ascii="Times New Roman" w:hAnsi="Times New Roman" w:cs="Times New Roman" w:eastAsiaTheme="minorEastAsia"/>
          <w:color w:val="auto"/>
          <w:kern w:val="24"/>
          <w:sz w:val="24"/>
          <w:szCs w:val="24"/>
          <w:highlight w:val="none"/>
          <w:vertAlign w:val="subscript"/>
        </w:rPr>
        <w:t>3</w:t>
      </w:r>
      <w:r>
        <w:rPr>
          <w:rFonts w:hint="default" w:ascii="Times New Roman" w:hAnsi="Times New Roman" w:cs="Times New Roman" w:eastAsiaTheme="minorEastAsia"/>
          <w:color w:val="auto"/>
          <w:kern w:val="24"/>
          <w:sz w:val="24"/>
          <w:szCs w:val="24"/>
          <w:highlight w:val="none"/>
        </w:rPr>
        <w:t>·3H</w:t>
      </w:r>
      <w:r>
        <w:rPr>
          <w:rFonts w:hint="default" w:ascii="Times New Roman" w:hAnsi="Times New Roman" w:cs="Times New Roman" w:eastAsiaTheme="minorEastAsia"/>
          <w:color w:val="auto"/>
          <w:kern w:val="24"/>
          <w:sz w:val="24"/>
          <w:szCs w:val="24"/>
          <w:highlight w:val="none"/>
          <w:vertAlign w:val="subscript"/>
        </w:rPr>
        <w:t>2</w:t>
      </w:r>
      <w:r>
        <w:rPr>
          <w:rFonts w:hint="default" w:ascii="Times New Roman" w:hAnsi="Times New Roman" w:cs="Times New Roman" w:eastAsiaTheme="minorEastAsia"/>
          <w:color w:val="auto"/>
          <w:kern w:val="24"/>
          <w:sz w:val="24"/>
          <w:szCs w:val="24"/>
          <w:highlight w:val="none"/>
        </w:rPr>
        <w:t>O + 3S</w:t>
      </w:r>
    </w:p>
    <w:p>
      <w:pPr>
        <w:spacing w:line="480" w:lineRule="exact"/>
        <w:ind w:firstLine="560"/>
        <w:rPr>
          <w:rFonts w:hint="default" w:ascii="Times New Roman" w:hAnsi="Times New Roman" w:cs="Times New Roman" w:eastAsiaTheme="minorEastAsia"/>
          <w:color w:val="auto"/>
          <w:kern w:val="24"/>
          <w:sz w:val="24"/>
          <w:szCs w:val="24"/>
          <w:highlight w:val="none"/>
        </w:rPr>
      </w:pPr>
      <w:r>
        <w:rPr>
          <w:rFonts w:hint="default" w:ascii="Times New Roman" w:hAnsi="Times New Roman" w:cs="Times New Roman" w:eastAsiaTheme="minorEastAsia"/>
          <w:color w:val="auto"/>
          <w:sz w:val="24"/>
          <w:szCs w:val="24"/>
          <w:highlight w:val="none"/>
        </w:rPr>
        <mc:AlternateContent>
          <mc:Choice Requires="wps">
            <w:drawing>
              <wp:anchor distT="0" distB="0" distL="114300" distR="114300" simplePos="0" relativeHeight="251669504" behindDoc="0" locked="0" layoutInCell="1" allowOverlap="1">
                <wp:simplePos x="0" y="0"/>
                <wp:positionH relativeFrom="column">
                  <wp:posOffset>1736090</wp:posOffset>
                </wp:positionH>
                <wp:positionV relativeFrom="paragraph">
                  <wp:posOffset>174625</wp:posOffset>
                </wp:positionV>
                <wp:extent cx="292100" cy="1905"/>
                <wp:effectExtent l="0" t="24765" r="12700" b="30480"/>
                <wp:wrapNone/>
                <wp:docPr id="34" name="直线 84"/>
                <wp:cNvGraphicFramePr/>
                <a:graphic xmlns:a="http://schemas.openxmlformats.org/drawingml/2006/main">
                  <a:graphicData uri="http://schemas.microsoft.com/office/word/2010/wordprocessingShape">
                    <wps:wsp>
                      <wps:cNvCnPr/>
                      <wps:spPr>
                        <a:xfrm flipV="1">
                          <a:off x="0" y="0"/>
                          <a:ext cx="292100" cy="1905"/>
                        </a:xfrm>
                        <a:prstGeom prst="line">
                          <a:avLst/>
                        </a:prstGeom>
                        <a:ln w="9525" cap="flat" cmpd="sng">
                          <a:solidFill>
                            <a:srgbClr val="000000"/>
                          </a:solidFill>
                          <a:prstDash val="solid"/>
                          <a:headEnd type="none" w="med" len="med"/>
                          <a:tailEnd type="triangle" w="sm" len="med"/>
                        </a:ln>
                      </wps:spPr>
                      <wps:bodyPr upright="1"/>
                    </wps:wsp>
                  </a:graphicData>
                </a:graphic>
              </wp:anchor>
            </w:drawing>
          </mc:Choice>
          <mc:Fallback>
            <w:pict>
              <v:line id="直线 84" o:spid="_x0000_s1026" o:spt="20" style="position:absolute;left:0pt;flip:y;margin-left:136.7pt;margin-top:13.75pt;height:0.15pt;width:23pt;z-index:251669504;mso-width-relative:page;mso-height-relative:page;" filled="f" stroked="t" coordsize="21600,21600" o:gfxdata="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ppqB1gAAAAkBAAAPAAAAAAAAAAEAIAAAACIAAABkcnMvZG93bnJldi54&#10;bWxQSwECFAAUAAAACACHTuJADn1khPwBAADsAwAADgAAAAAAAAABACAAAAAlAQAAZHJzL2Uyb0Rv&#10;Yy54bWxQSwUGAAAAAAYABgBZAQAAkwUAAAAA&#10;">
                <v:fill on="f" focussize="0,0"/>
                <v:stroke color="#000000" joinstyle="round" endarrow="block" endarrowwidth="narrow"/>
                <v:imagedata o:title=""/>
                <o:lock v:ext="edit" aspectratio="f"/>
              </v:line>
            </w:pict>
          </mc:Fallback>
        </mc:AlternateContent>
      </w:r>
      <w:r>
        <w:rPr>
          <w:rFonts w:hint="default" w:ascii="Times New Roman" w:hAnsi="Times New Roman" w:cs="Times New Roman" w:eastAsiaTheme="minorEastAsia"/>
          <w:color w:val="auto"/>
          <w:kern w:val="24"/>
          <w:sz w:val="24"/>
          <w:szCs w:val="24"/>
          <w:highlight w:val="none"/>
        </w:rPr>
        <w:t>2FeS + 3/2O</w:t>
      </w:r>
      <w:r>
        <w:rPr>
          <w:rFonts w:hint="default" w:ascii="Times New Roman" w:hAnsi="Times New Roman" w:cs="Times New Roman" w:eastAsiaTheme="minorEastAsia"/>
          <w:color w:val="auto"/>
          <w:kern w:val="24"/>
          <w:sz w:val="24"/>
          <w:szCs w:val="24"/>
          <w:highlight w:val="none"/>
          <w:vertAlign w:val="subscript"/>
        </w:rPr>
        <w:t>2</w:t>
      </w:r>
      <w:r>
        <w:rPr>
          <w:rFonts w:hint="default" w:ascii="Times New Roman" w:hAnsi="Times New Roman" w:cs="Times New Roman" w:eastAsiaTheme="minorEastAsia"/>
          <w:color w:val="auto"/>
          <w:kern w:val="24"/>
          <w:sz w:val="24"/>
          <w:szCs w:val="24"/>
          <w:highlight w:val="none"/>
        </w:rPr>
        <w:t xml:space="preserve"> + 3H</w:t>
      </w:r>
      <w:r>
        <w:rPr>
          <w:rFonts w:hint="default" w:ascii="Times New Roman" w:hAnsi="Times New Roman" w:cs="Times New Roman" w:eastAsiaTheme="minorEastAsia"/>
          <w:color w:val="auto"/>
          <w:kern w:val="24"/>
          <w:sz w:val="24"/>
          <w:szCs w:val="24"/>
          <w:highlight w:val="none"/>
          <w:vertAlign w:val="subscript"/>
        </w:rPr>
        <w:t>2</w:t>
      </w:r>
      <w:r>
        <w:rPr>
          <w:rFonts w:hint="default" w:ascii="Times New Roman" w:hAnsi="Times New Roman" w:cs="Times New Roman" w:eastAsiaTheme="minorEastAsia"/>
          <w:color w:val="auto"/>
          <w:kern w:val="24"/>
          <w:sz w:val="24"/>
          <w:szCs w:val="24"/>
          <w:highlight w:val="none"/>
        </w:rPr>
        <w:t>O       Fe</w:t>
      </w:r>
      <w:r>
        <w:rPr>
          <w:rFonts w:hint="default" w:ascii="Times New Roman" w:hAnsi="Times New Roman" w:cs="Times New Roman" w:eastAsiaTheme="minorEastAsia"/>
          <w:color w:val="auto"/>
          <w:kern w:val="24"/>
          <w:sz w:val="24"/>
          <w:szCs w:val="24"/>
          <w:highlight w:val="none"/>
          <w:vertAlign w:val="subscript"/>
        </w:rPr>
        <w:t>2</w:t>
      </w:r>
      <w:r>
        <w:rPr>
          <w:rFonts w:hint="default" w:ascii="Times New Roman" w:hAnsi="Times New Roman" w:cs="Times New Roman" w:eastAsiaTheme="minorEastAsia"/>
          <w:color w:val="auto"/>
          <w:kern w:val="24"/>
          <w:sz w:val="24"/>
          <w:szCs w:val="24"/>
          <w:highlight w:val="none"/>
        </w:rPr>
        <w:t>O</w:t>
      </w:r>
      <w:r>
        <w:rPr>
          <w:rFonts w:hint="default" w:ascii="Times New Roman" w:hAnsi="Times New Roman" w:cs="Times New Roman" w:eastAsiaTheme="minorEastAsia"/>
          <w:color w:val="auto"/>
          <w:kern w:val="24"/>
          <w:sz w:val="24"/>
          <w:szCs w:val="24"/>
          <w:highlight w:val="none"/>
          <w:vertAlign w:val="subscript"/>
        </w:rPr>
        <w:t>3</w:t>
      </w:r>
      <w:r>
        <w:rPr>
          <w:rFonts w:hint="default" w:ascii="Times New Roman" w:hAnsi="Times New Roman" w:cs="Times New Roman" w:eastAsiaTheme="minorEastAsia"/>
          <w:color w:val="auto"/>
          <w:kern w:val="24"/>
          <w:sz w:val="24"/>
          <w:szCs w:val="24"/>
          <w:highlight w:val="none"/>
        </w:rPr>
        <w:t>·3H</w:t>
      </w:r>
      <w:r>
        <w:rPr>
          <w:rFonts w:hint="default" w:ascii="Times New Roman" w:hAnsi="Times New Roman" w:cs="Times New Roman" w:eastAsiaTheme="minorEastAsia"/>
          <w:color w:val="auto"/>
          <w:kern w:val="24"/>
          <w:sz w:val="24"/>
          <w:szCs w:val="24"/>
          <w:highlight w:val="none"/>
          <w:vertAlign w:val="subscript"/>
        </w:rPr>
        <w:t>2</w:t>
      </w:r>
      <w:r>
        <w:rPr>
          <w:rFonts w:hint="default" w:ascii="Times New Roman" w:hAnsi="Times New Roman" w:cs="Times New Roman" w:eastAsiaTheme="minorEastAsia"/>
          <w:color w:val="auto"/>
          <w:kern w:val="24"/>
          <w:sz w:val="24"/>
          <w:szCs w:val="24"/>
          <w:highlight w:val="none"/>
        </w:rPr>
        <w:t>O + 2S</w:t>
      </w:r>
    </w:p>
    <w:p>
      <w:pPr>
        <w:spacing w:line="480" w:lineRule="exact"/>
        <w:ind w:firstLine="560"/>
        <w:rPr>
          <w:rFonts w:hint="default" w:ascii="Times New Roman" w:hAnsi="Times New Roman" w:cs="Times New Roman" w:eastAsiaTheme="minorEastAsia"/>
          <w:color w:val="auto"/>
          <w:kern w:val="24"/>
          <w:sz w:val="24"/>
          <w:szCs w:val="24"/>
          <w:highlight w:val="none"/>
        </w:rPr>
      </w:pPr>
      <w:r>
        <w:rPr>
          <w:rFonts w:hint="default" w:ascii="Times New Roman" w:hAnsi="Times New Roman" w:cs="Times New Roman" w:eastAsiaTheme="minorEastAsia"/>
          <w:color w:val="auto"/>
          <w:kern w:val="24"/>
          <w:sz w:val="24"/>
          <w:szCs w:val="24"/>
          <w:highlight w:val="none"/>
        </w:rPr>
        <w:t>脱硫剂一次装入后，平时不需维护，当出口沼气硫含量超标时，应更换脱硫剂。脱硫剂再生的次数与脱硫剂的品质有关，一般可以再生2~3次。</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4"/>
          <w:highlight w:val="none"/>
        </w:rPr>
        <w:t>根据《规模化畜禽养殖场沼气工程设计规范》中的数据，理论上每去除1 kg COD可产生0.35 m</w:t>
      </w:r>
      <w:r>
        <w:rPr>
          <w:rFonts w:hint="default" w:ascii="Times New Roman" w:hAnsi="Times New Roman" w:cs="Times New Roman" w:eastAsiaTheme="minorEastAsia"/>
          <w:color w:val="auto"/>
          <w:sz w:val="24"/>
          <w:szCs w:val="24"/>
          <w:highlight w:val="none"/>
          <w:vertAlign w:val="superscript"/>
        </w:rPr>
        <w:t>3</w:t>
      </w:r>
      <w:r>
        <w:rPr>
          <w:rFonts w:hint="default" w:ascii="Times New Roman" w:hAnsi="Times New Roman" w:cs="Times New Roman" w:eastAsiaTheme="minorEastAsia"/>
          <w:color w:val="auto"/>
          <w:sz w:val="24"/>
          <w:szCs w:val="24"/>
          <w:highlight w:val="none"/>
        </w:rPr>
        <w:t>沼气进行计算，本项目共计去除COD约</w:t>
      </w:r>
      <w:r>
        <w:rPr>
          <w:rFonts w:hint="default" w:ascii="Times New Roman" w:hAnsi="Times New Roman" w:cs="Times New Roman" w:eastAsiaTheme="minorEastAsia"/>
          <w:color w:val="auto"/>
          <w:sz w:val="24"/>
          <w:szCs w:val="22"/>
          <w:highlight w:val="none"/>
        </w:rPr>
        <w:t>3.7273kg/h，沼气产生量为1.30m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/h，即31.3m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/d，11424.5 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/a，沼气经脱硫后送至</w:t>
      </w:r>
      <w:r>
        <w:rPr>
          <w:rFonts w:hint="default" w:ascii="Times New Roman" w:hAnsi="Times New Roman" w:cs="Times New Roman" w:eastAsiaTheme="minorEastAsia"/>
          <w:color w:val="auto"/>
          <w:sz w:val="24"/>
          <w:szCs w:val="22"/>
          <w:highlight w:val="none"/>
          <w:lang w:eastAsia="zh-CN"/>
        </w:rPr>
        <w:t>火炬</w:t>
      </w:r>
      <w:r>
        <w:rPr>
          <w:rFonts w:hint="default" w:ascii="Times New Roman" w:hAnsi="Times New Roman" w:cs="Times New Roman" w:eastAsiaTheme="minorEastAsia"/>
          <w:color w:val="auto"/>
          <w:sz w:val="24"/>
          <w:szCs w:val="22"/>
          <w:highlight w:val="none"/>
        </w:rPr>
        <w:t>，燃烧废气经15m排气筒排放。</w:t>
      </w:r>
    </w:p>
    <w:p>
      <w:pPr>
        <w:pStyle w:val="1297"/>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3.2.1.6 卫生防疫</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严格按照国家的兽医卫生防疫标准执行。坚持“防重于治”方针，有效控制外疫传入和内疫的发生。对外进奶牛必须坚持场外检疫、抗体检测、隔离，确定无疫后方可引入。结合当地实际情况，做好疫病监测工作。奶牛场常规监测疾病应包括：口蹄疫、结核病、布鲁氏菌病。对监测合格的奶牛，由当地兽医防疫部门加戴健康耳标，发给奶牛健康证。除上述疫病外，还应根据当地实际情况，选择其他一些必要的疫病进行防治。定期做好环境消毒、人员消毒、牛舍消毒、用具消毒等，保证奶牛养殖的环境卫生质量应符合本标准奶牛场的环境要求。如奶牛场发生疫病或怀疑发生疫病时，根据《中华人民共和国动物防疫法》有关规定，及时采取相应措施，防止疫情蔓延。</w:t>
      </w:r>
    </w:p>
    <w:p>
      <w:pPr>
        <w:pStyle w:val="1167"/>
        <w:rPr>
          <w:rFonts w:hint="default" w:ascii="Times New Roman" w:hAnsi="Times New Roman" w:cs="Times New Roman" w:eastAsiaTheme="minorEastAsia"/>
          <w:color w:val="auto"/>
          <w:sz w:val="24"/>
          <w:szCs w:val="24"/>
          <w:highlight w:val="none"/>
        </w:rPr>
      </w:pPr>
      <w:bookmarkStart w:id="98" w:name="_Toc155235100"/>
      <w:r>
        <w:rPr>
          <w:rFonts w:hint="default" w:ascii="Times New Roman" w:hAnsi="Times New Roman" w:cs="Times New Roman" w:eastAsiaTheme="minorEastAsia"/>
          <w:color w:val="auto"/>
          <w:sz w:val="24"/>
          <w:szCs w:val="24"/>
          <w:highlight w:val="none"/>
        </w:rPr>
        <w:t>3.2.</w:t>
      </w:r>
      <w:bookmarkEnd w:id="98"/>
      <w:r>
        <w:rPr>
          <w:rFonts w:hint="default" w:ascii="Times New Roman" w:hAnsi="Times New Roman" w:cs="Times New Roman" w:eastAsiaTheme="minorEastAsia"/>
          <w:color w:val="auto"/>
          <w:sz w:val="24"/>
          <w:szCs w:val="24"/>
          <w:highlight w:val="none"/>
        </w:rPr>
        <w:t>2 工程污染分析</w:t>
      </w:r>
    </w:p>
    <w:p>
      <w:pPr>
        <w:pStyle w:val="1297"/>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3.2.2.1 施工期工程污染分析</w:t>
      </w:r>
    </w:p>
    <w:p>
      <w:pPr>
        <w:spacing w:line="48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（1）噪声</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auto"/>
          <w:sz w:val="24"/>
          <w:szCs w:val="22"/>
          <w:highlight w:val="none"/>
        </w:rPr>
        <w:t>各种施工机械，如汽车、推土机、挖掘机、混</w:t>
      </w:r>
      <w:r>
        <w:rPr>
          <w:rFonts w:hint="default" w:ascii="Times New Roman" w:hAnsi="Times New Roman" w:cs="Times New Roman" w:eastAsiaTheme="minorEastAsia"/>
          <w:color w:val="000000" w:themeColor="text1"/>
          <w:sz w:val="24"/>
          <w:szCs w:val="22"/>
          <w14:textFill>
            <w14:solidFill>
              <w14:schemeClr w14:val="tx1"/>
            </w14:solidFill>
          </w14:textFill>
        </w:rPr>
        <w:t>凝土搅拌机、工程钻机、振捣棒、电锯等均可产生较强烈的噪声。施工机械噪声属非连续性间歇排放，噪声源相对集中。</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运输汽车是个流动声源，流动范围较大，除施工场地外，对外环境也将造成污染。本项目建设期间将使运输所经道路两侧的噪声污染加重，同时引起扬尘。</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挖掘机、空压机、砼拌和机、振捣器、吊车等设备属固定声源，其影响范围在施工场所200m范围之内。但夜间由于本底噪声低，其影响是不可忽视的，其对周边环境是有影响的。因此，高噪声设备夜间应限制使用。</w:t>
      </w:r>
    </w:p>
    <w:p>
      <w:pPr>
        <w:spacing w:line="480" w:lineRule="exact"/>
        <w:ind w:firstLine="360" w:firstLineChars="15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（2）废气</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土石方施工过程中产生的扬尘、施工动力机械，如汽车、推土机、翻斗车排放的尾气、混凝土搅拌过程中产生的粉尘等均会对施工现场及附近大气环境产生不利影响。</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建设期间大气的主要污染因子为粉尘，由于建筑粉尘比重较大，沉降较快，影响范围较小，一般仅在本项目的周边地块。为尽可能减少建筑粉尘对建设项目周边地区的污染程度，应加强施工管理，工地配置滞尘防护网，地面硬化处理；其次是对粉尘发生量较大的部位采用喷水雾法降尘，对运输交通道路及时清扫、洒水。此外，在运输、装卸建筑材料时，尤其是泥沙运输车辆，需采用封闭车辆。</w:t>
      </w:r>
    </w:p>
    <w:p>
      <w:pPr>
        <w:spacing w:line="48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（3）废水</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施工期的废水排放主要来自建筑施工人员的生活污水和施工废水。施工期生活污水排至临时防渗旱厕，施工废水主要为泥浆废水，来自浇水泥工段，主要污染因子为SS。</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（4）固体废物</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施工期间需要运输各种建筑材料（如砂石、水泥、砖、木材等），完工后残留废建筑材料。建设单位应要求施工单位实行标准施工、规划运输，</w:t>
      </w:r>
      <w:r>
        <w:rPr>
          <w:rFonts w:hint="default" w:ascii="Times New Roman" w:hAnsi="Times New Roman" w:cs="Times New Roman" w:eastAsiaTheme="minorEastAsia"/>
          <w:color w:val="auto"/>
          <w:kern w:val="0"/>
          <w:sz w:val="24"/>
          <w:szCs w:val="24"/>
          <w:highlight w:val="none"/>
        </w:rPr>
        <w:t>由施工单位</w:t>
      </w:r>
      <w:r>
        <w:rPr>
          <w:rFonts w:hint="default" w:ascii="Times New Roman" w:hAnsi="Times New Roman" w:cs="Times New Roman" w:eastAsiaTheme="minorEastAsia"/>
          <w:color w:val="auto"/>
          <w:sz w:val="24"/>
          <w:szCs w:val="22"/>
          <w:highlight w:val="none"/>
        </w:rPr>
        <w:t>送至附近垃圾处理厂处理，不得随意倾倒建筑垃圾。其次，施工人员的生活垃圾也要收集到指定的垃圾箱（桶）内，由施工单位负责拉运至先源乡垃圾收集点，</w:t>
      </w:r>
      <w:r>
        <w:rPr>
          <w:rFonts w:hint="default" w:ascii="Times New Roman" w:hAnsi="Times New Roman" w:cs="Times New Roman" w:eastAsiaTheme="minorEastAsia"/>
          <w:color w:val="auto"/>
          <w:sz w:val="24"/>
          <w:szCs w:val="22"/>
          <w:highlight w:val="none"/>
          <w:lang w:val="en-GB"/>
        </w:rPr>
        <w:t>挖方弃土用于回填，少量弃土用于厂区道路平整，对外环境影响很小。</w:t>
      </w:r>
    </w:p>
    <w:p>
      <w:pPr>
        <w:pStyle w:val="1297"/>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3.2.2.2 运营期工程污染分析</w:t>
      </w:r>
    </w:p>
    <w:p>
      <w:pPr>
        <w:spacing w:line="480" w:lineRule="exact"/>
        <w:ind w:firstLine="560"/>
        <w:rPr>
          <w:rFonts w:hint="default" w:ascii="Times New Roman" w:hAnsi="Times New Roman" w:cs="Times New Roman" w:eastAsiaTheme="minorEastAsia"/>
          <w:color w:val="auto"/>
          <w:highlight w:val="none"/>
        </w:rPr>
        <w:sectPr>
          <w:footerReference r:id="rId24" w:type="default"/>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eastAsiaTheme="minorEastAsia"/>
          <w:color w:val="auto"/>
          <w:sz w:val="24"/>
          <w:szCs w:val="22"/>
          <w:highlight w:val="none"/>
        </w:rPr>
        <w:t>本项目运营期污染物主要包括牛养殖及粪污处理过程中产生的恶臭气体、生物质锅炉排放废气、沼气</w:t>
      </w:r>
      <w:r>
        <w:rPr>
          <w:rFonts w:hint="default" w:ascii="Times New Roman" w:hAnsi="Times New Roman" w:cs="Times New Roman" w:eastAsiaTheme="minorEastAsia"/>
          <w:color w:val="auto"/>
          <w:sz w:val="24"/>
          <w:szCs w:val="22"/>
          <w:highlight w:val="none"/>
          <w:lang w:eastAsia="zh-CN"/>
        </w:rPr>
        <w:t>火炬</w:t>
      </w:r>
      <w:r>
        <w:rPr>
          <w:rFonts w:hint="default" w:ascii="Times New Roman" w:hAnsi="Times New Roman" w:cs="Times New Roman" w:eastAsiaTheme="minorEastAsia"/>
          <w:color w:val="auto"/>
          <w:sz w:val="24"/>
          <w:szCs w:val="22"/>
          <w:highlight w:val="none"/>
        </w:rPr>
        <w:t>燃烧废气、牛粪污，饲料加工产生的粉尘，牛尿、牛舍冲洗废水、牛舍喷淋水、挤奶厅清洗废水、生活污水，牛粪、病死牛、医疗废物、沼渣、废沼气脱硫剂、</w:t>
      </w:r>
      <w:r>
        <w:rPr>
          <w:rFonts w:hint="default" w:ascii="Times New Roman" w:hAnsi="Times New Roman" w:cs="Times New Roman" w:eastAsiaTheme="minorEastAsia"/>
          <w:color w:val="auto"/>
          <w:sz w:val="24"/>
          <w:szCs w:val="22"/>
          <w:highlight w:val="none"/>
          <w:lang w:eastAsia="zh-CN"/>
        </w:rPr>
        <w:t>废活性炭、</w:t>
      </w:r>
      <w:r>
        <w:rPr>
          <w:rFonts w:hint="default" w:ascii="Times New Roman" w:hAnsi="Times New Roman" w:cs="Times New Roman" w:eastAsiaTheme="minorEastAsia"/>
          <w:color w:val="auto"/>
          <w:sz w:val="24"/>
          <w:szCs w:val="22"/>
          <w:highlight w:val="none"/>
        </w:rPr>
        <w:t>卧床垫料废物、生活垃圾，风机、水泵噪声等。工艺流程及排污节点见图3-2-3</w:t>
      </w:r>
      <w:r>
        <w:rPr>
          <w:rFonts w:hint="default" w:ascii="Times New Roman" w:hAnsi="Times New Roman" w:cs="Times New Roman" w:eastAsiaTheme="minorEastAsia"/>
          <w:color w:val="auto"/>
          <w:highlight w:val="none"/>
        </w:rPr>
        <w:t>。</w:t>
      </w:r>
    </w:p>
    <w:p>
      <w:pPr>
        <w:pStyle w:val="643"/>
        <w:spacing w:line="240" w:lineRule="auto"/>
        <w:jc w:val="both"/>
        <w:rPr>
          <w:rFonts w:hint="default" w:ascii="Times New Roman" w:hAnsi="Times New Roman" w:cs="Times New Roman" w:eastAsiaTheme="minorEastAsia"/>
          <w:color w:val="000000" w:themeColor="text1"/>
          <w:lang w:eastAsia="zh-CN"/>
          <w14:textFill>
            <w14:solidFill>
              <w14:schemeClr w14:val="tx1"/>
            </w14:solidFill>
          </w14:textFill>
        </w:rPr>
      </w:pPr>
      <w:r>
        <w:rPr>
          <w:rFonts w:hint="default" w:ascii="Times New Roman" w:hAnsi="Times New Roman" w:cs="Times New Roman" w:eastAsiaTheme="minorEastAsia"/>
          <w:color w:val="000000" w:themeColor="text1"/>
          <w:lang w:eastAsia="zh-CN"/>
          <w14:textFill>
            <w14:solidFill>
              <w14:schemeClr w14:val="tx1"/>
            </w14:solidFill>
          </w14:textFill>
        </w:rPr>
        <w:drawing>
          <wp:inline distT="0" distB="0" distL="114300" distR="114300">
            <wp:extent cx="8667750" cy="4446905"/>
            <wp:effectExtent l="0" t="0" r="0" b="10795"/>
            <wp:docPr id="5" name="图片 5" descr="1637065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7065585(1)"/>
                    <pic:cNvPicPr>
                      <a:picLocks noChangeAspect="1"/>
                    </pic:cNvPicPr>
                  </pic:nvPicPr>
                  <pic:blipFill>
                    <a:blip r:embed="rId56"/>
                    <a:stretch>
                      <a:fillRect/>
                    </a:stretch>
                  </pic:blipFill>
                  <pic:spPr>
                    <a:xfrm>
                      <a:off x="0" y="0"/>
                      <a:ext cx="8667750" cy="4446905"/>
                    </a:xfrm>
                    <a:prstGeom prst="rect">
                      <a:avLst/>
                    </a:prstGeom>
                  </pic:spPr>
                </pic:pic>
              </a:graphicData>
            </a:graphic>
          </wp:inline>
        </w:drawing>
      </w:r>
    </w:p>
    <w:p>
      <w:pPr>
        <w:pStyle w:val="643"/>
        <w:spacing w:line="240" w:lineRule="auto"/>
        <w:jc w:val="both"/>
        <w:rPr>
          <w:rFonts w:hint="default" w:ascii="Times New Roman" w:hAnsi="Times New Roman" w:cs="Times New Roman" w:eastAsiaTheme="minorEastAsia"/>
          <w:color w:val="000000" w:themeColor="text1"/>
          <w14:textFill>
            <w14:solidFill>
              <w14:schemeClr w14:val="tx1"/>
            </w14:solidFill>
          </w14:textFill>
        </w:rPr>
      </w:pPr>
    </w:p>
    <w:p>
      <w:pPr>
        <w:pStyle w:val="643"/>
        <w:spacing w:line="240" w:lineRule="auto"/>
        <w:rPr>
          <w:rFonts w:hint="default" w:ascii="Times New Roman" w:hAnsi="Times New Roman" w:cs="Times New Roman" w:eastAsiaTheme="minorEastAsia"/>
          <w:color w:val="000000" w:themeColor="text1"/>
          <w14:textFill>
            <w14:solidFill>
              <w14:schemeClr w14:val="tx1"/>
            </w14:solidFill>
          </w14:textFill>
        </w:rPr>
        <w:sectPr>
          <w:pgSz w:w="16838" w:h="11906" w:orient="landscape"/>
          <w:pgMar w:top="1701" w:right="1701" w:bottom="1701" w:left="1474" w:header="1134" w:footer="1134" w:gutter="0"/>
          <w:pgBorders>
            <w:top w:val="none" w:sz="0" w:space="0"/>
            <w:left w:val="none" w:sz="0" w:space="0"/>
            <w:bottom w:val="none" w:sz="0" w:space="0"/>
            <w:right w:val="none" w:sz="0" w:space="0"/>
          </w:pgBorders>
          <w:cols w:space="720" w:num="1"/>
          <w:docGrid w:linePitch="381" w:charSpace="0"/>
        </w:sectPr>
      </w:pPr>
      <w:r>
        <w:rPr>
          <w:rFonts w:hint="default" w:ascii="Times New Roman" w:hAnsi="Times New Roman" w:cs="Times New Roman" w:eastAsiaTheme="minorEastAsia"/>
          <w:color w:val="000000" w:themeColor="text1"/>
          <w14:textFill>
            <w14:solidFill>
              <w14:schemeClr w14:val="tx1"/>
            </w14:solidFill>
          </w14:textFill>
        </w:rPr>
        <w:t>图3-2-3 本项目工艺流程及产排污节点图</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（1）废水</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废水污染源及污染物见表3-2-1。</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表3-2-1  水污染源及污染物</w:t>
      </w:r>
    </w:p>
    <w:tbl>
      <w:tblPr>
        <w:tblStyle w:val="91"/>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43"/>
        <w:gridCol w:w="1986"/>
        <w:gridCol w:w="2949"/>
        <w:gridCol w:w="294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843" w:type="dxa"/>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序号</w:t>
            </w:r>
          </w:p>
        </w:tc>
        <w:tc>
          <w:tcPr>
            <w:tcW w:w="1986" w:type="dxa"/>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单元名称</w:t>
            </w:r>
          </w:p>
        </w:tc>
        <w:tc>
          <w:tcPr>
            <w:tcW w:w="2949" w:type="dxa"/>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污染源名称</w:t>
            </w:r>
          </w:p>
        </w:tc>
        <w:tc>
          <w:tcPr>
            <w:tcW w:w="2942" w:type="dxa"/>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主要污染物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10" w:hRule="atLeast"/>
        </w:trPr>
        <w:tc>
          <w:tcPr>
            <w:tcW w:w="843" w:type="dxa"/>
            <w:tcBorders>
              <w:top w:val="single" w:color="auto" w:sz="4"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W1</w:t>
            </w:r>
          </w:p>
        </w:tc>
        <w:tc>
          <w:tcPr>
            <w:tcW w:w="1986" w:type="dxa"/>
            <w:tcBorders>
              <w:top w:val="single" w:color="auto" w:sz="4"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牛舍</w:t>
            </w:r>
          </w:p>
        </w:tc>
        <w:tc>
          <w:tcPr>
            <w:tcW w:w="2949" w:type="dxa"/>
            <w:tcBorders>
              <w:top w:val="single" w:color="auto" w:sz="4"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牛尿</w:t>
            </w:r>
          </w:p>
        </w:tc>
        <w:tc>
          <w:tcPr>
            <w:tcW w:w="2942" w:type="dxa"/>
            <w:tcBorders>
              <w:top w:val="single" w:color="auto" w:sz="4"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COD、氨氮、SS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5" w:hRule="atLeast"/>
        </w:trPr>
        <w:tc>
          <w:tcPr>
            <w:tcW w:w="843"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W2</w:t>
            </w:r>
          </w:p>
        </w:tc>
        <w:tc>
          <w:tcPr>
            <w:tcW w:w="1986"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牛舍</w:t>
            </w:r>
          </w:p>
        </w:tc>
        <w:tc>
          <w:tcPr>
            <w:tcW w:w="2949"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冲洗废水</w:t>
            </w:r>
          </w:p>
        </w:tc>
        <w:tc>
          <w:tcPr>
            <w:tcW w:w="2942"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spacing w:val="-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C</w:t>
            </w:r>
            <w:r>
              <w:rPr>
                <w:rFonts w:hint="default" w:ascii="Times New Roman" w:hAnsi="Times New Roman" w:cs="Times New Roman" w:eastAsiaTheme="minorEastAsia"/>
                <w:color w:val="000000" w:themeColor="text1"/>
                <w:spacing w:val="-1"/>
                <w14:textFill>
                  <w14:solidFill>
                    <w14:schemeClr w14:val="tx1"/>
                  </w14:solidFill>
                </w14:textFill>
              </w:rPr>
              <w:t>OD、氨氮、SS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843"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W3</w:t>
            </w:r>
          </w:p>
        </w:tc>
        <w:tc>
          <w:tcPr>
            <w:tcW w:w="1986"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牛舍</w:t>
            </w:r>
          </w:p>
        </w:tc>
        <w:tc>
          <w:tcPr>
            <w:tcW w:w="2949"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喷淋废水</w:t>
            </w:r>
          </w:p>
        </w:tc>
        <w:tc>
          <w:tcPr>
            <w:tcW w:w="2942"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spacing w:val="-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C</w:t>
            </w:r>
            <w:r>
              <w:rPr>
                <w:rFonts w:hint="default" w:ascii="Times New Roman" w:hAnsi="Times New Roman" w:cs="Times New Roman" w:eastAsiaTheme="minorEastAsia"/>
                <w:color w:val="000000" w:themeColor="text1"/>
                <w:spacing w:val="-1"/>
                <w14:textFill>
                  <w14:solidFill>
                    <w14:schemeClr w14:val="tx1"/>
                  </w14:solidFill>
                </w14:textFill>
              </w:rPr>
              <w:t>OD、氨氮、SS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0" w:hRule="atLeast"/>
        </w:trPr>
        <w:tc>
          <w:tcPr>
            <w:tcW w:w="843"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W4</w:t>
            </w:r>
          </w:p>
        </w:tc>
        <w:tc>
          <w:tcPr>
            <w:tcW w:w="1986"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挤奶厅</w:t>
            </w:r>
          </w:p>
        </w:tc>
        <w:tc>
          <w:tcPr>
            <w:tcW w:w="2949"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清洗废水</w:t>
            </w:r>
          </w:p>
        </w:tc>
        <w:tc>
          <w:tcPr>
            <w:tcW w:w="2942"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COD、氨氮、SS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0" w:hRule="atLeast"/>
        </w:trPr>
        <w:tc>
          <w:tcPr>
            <w:tcW w:w="843"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W5</w:t>
            </w:r>
          </w:p>
        </w:tc>
        <w:tc>
          <w:tcPr>
            <w:tcW w:w="1986"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办公生活</w:t>
            </w:r>
          </w:p>
        </w:tc>
        <w:tc>
          <w:tcPr>
            <w:tcW w:w="2949"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生活污水</w:t>
            </w:r>
          </w:p>
        </w:tc>
        <w:tc>
          <w:tcPr>
            <w:tcW w:w="2942"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COD、氨氮、SS</w:t>
            </w:r>
          </w:p>
        </w:tc>
      </w:tr>
    </w:tbl>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（2）废气</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大气污染源及主要污染物见表3-2-2。</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表3-2-2  大气污染源及主要污染物一览表</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79"/>
        <w:gridCol w:w="2694"/>
        <w:gridCol w:w="2010"/>
        <w:gridCol w:w="303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87" w:hRule="atLeast"/>
        </w:trPr>
        <w:tc>
          <w:tcPr>
            <w:tcW w:w="979" w:type="dxa"/>
            <w:tcBorders>
              <w:top w:val="single" w:color="auto" w:sz="1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序号</w:t>
            </w:r>
          </w:p>
        </w:tc>
        <w:tc>
          <w:tcPr>
            <w:tcW w:w="2694" w:type="dxa"/>
            <w:tcBorders>
              <w:top w:val="single" w:color="auto" w:sz="1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单元名称</w:t>
            </w:r>
          </w:p>
        </w:tc>
        <w:tc>
          <w:tcPr>
            <w:tcW w:w="2010" w:type="dxa"/>
            <w:tcBorders>
              <w:top w:val="single" w:color="auto" w:sz="1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排放源</w:t>
            </w:r>
          </w:p>
        </w:tc>
        <w:tc>
          <w:tcPr>
            <w:tcW w:w="3037" w:type="dxa"/>
            <w:tcBorders>
              <w:top w:val="single" w:color="auto" w:sz="1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污染物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10" w:hRule="atLeast"/>
        </w:trPr>
        <w:tc>
          <w:tcPr>
            <w:tcW w:w="979" w:type="dxa"/>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G1</w:t>
            </w:r>
          </w:p>
        </w:tc>
        <w:tc>
          <w:tcPr>
            <w:tcW w:w="2694" w:type="dxa"/>
            <w:tcBorders>
              <w:bottom w:val="single" w:color="auto" w:sz="4" w:space="0"/>
            </w:tcBorders>
            <w:vAlign w:val="center"/>
          </w:tcPr>
          <w:p>
            <w:pPr>
              <w:pStyle w:val="666"/>
              <w:rPr>
                <w:rFonts w:hint="default" w:ascii="Times New Roman" w:hAnsi="Times New Roman" w:cs="Times New Roman" w:eastAsiaTheme="minorEastAsia"/>
                <w:color w:val="000000" w:themeColor="text1"/>
                <w:lang w:eastAsia="zh-CN"/>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沼气</w:t>
            </w:r>
            <w:r>
              <w:rPr>
                <w:rFonts w:hint="default" w:ascii="Times New Roman" w:hAnsi="Times New Roman" w:cs="Times New Roman" w:eastAsiaTheme="minorEastAsia"/>
                <w:color w:val="000000" w:themeColor="text1"/>
                <w:lang w:eastAsia="zh-CN"/>
                <w14:textFill>
                  <w14:solidFill>
                    <w14:schemeClr w14:val="tx1"/>
                  </w14:solidFill>
                </w14:textFill>
              </w:rPr>
              <w:t>火炬</w:t>
            </w:r>
          </w:p>
        </w:tc>
        <w:tc>
          <w:tcPr>
            <w:tcW w:w="2010" w:type="dxa"/>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沼气燃烧废气</w:t>
            </w:r>
          </w:p>
        </w:tc>
        <w:tc>
          <w:tcPr>
            <w:tcW w:w="3037" w:type="dxa"/>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颗粒物、SO</w:t>
            </w:r>
            <w:r>
              <w:rPr>
                <w:rFonts w:hint="default" w:ascii="Times New Roman" w:hAnsi="Times New Roman" w:cs="Times New Roman" w:eastAsiaTheme="minorEastAsia"/>
                <w:color w:val="000000" w:themeColor="text1"/>
                <w:vertAlign w:val="subscript"/>
                <w14:textFill>
                  <w14:solidFill>
                    <w14:schemeClr w14:val="tx1"/>
                  </w14:solidFill>
                </w14:textFill>
              </w:rPr>
              <w:t>2</w:t>
            </w:r>
            <w:r>
              <w:rPr>
                <w:rFonts w:hint="default" w:ascii="Times New Roman" w:hAnsi="Times New Roman" w:cs="Times New Roman" w:eastAsiaTheme="minorEastAsia"/>
                <w:color w:val="000000" w:themeColor="text1"/>
                <w14:textFill>
                  <w14:solidFill>
                    <w14:schemeClr w14:val="tx1"/>
                  </w14:solidFill>
                </w14:textFill>
              </w:rPr>
              <w:t>、NO</w:t>
            </w:r>
            <w:r>
              <w:rPr>
                <w:rFonts w:hint="default" w:ascii="Times New Roman" w:hAnsi="Times New Roman" w:cs="Times New Roman" w:eastAsiaTheme="minorEastAsia"/>
                <w:color w:val="000000" w:themeColor="text1"/>
                <w:vertAlign w:val="subscript"/>
                <w14:textFill>
                  <w14:solidFill>
                    <w14:schemeClr w14:val="tx1"/>
                  </w14:solidFill>
                </w14:textFill>
              </w:rPr>
              <w:t>X</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00" w:hRule="atLeast"/>
        </w:trPr>
        <w:tc>
          <w:tcPr>
            <w:tcW w:w="979" w:type="dxa"/>
            <w:tcBorders>
              <w:top w:val="single" w:color="auto" w:sz="4"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G2</w:t>
            </w:r>
          </w:p>
        </w:tc>
        <w:tc>
          <w:tcPr>
            <w:tcW w:w="2694" w:type="dxa"/>
            <w:tcBorders>
              <w:top w:val="single" w:color="auto" w:sz="4"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干草库</w:t>
            </w:r>
          </w:p>
        </w:tc>
        <w:tc>
          <w:tcPr>
            <w:tcW w:w="2010" w:type="dxa"/>
            <w:tcBorders>
              <w:top w:val="single" w:color="auto" w:sz="4"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加工粉尘</w:t>
            </w:r>
          </w:p>
        </w:tc>
        <w:tc>
          <w:tcPr>
            <w:tcW w:w="3037" w:type="dxa"/>
            <w:tcBorders>
              <w:top w:val="single" w:color="auto" w:sz="4"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颗粒物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85" w:hRule="atLeast"/>
        </w:trPr>
        <w:tc>
          <w:tcPr>
            <w:tcW w:w="979"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G3</w:t>
            </w:r>
          </w:p>
        </w:tc>
        <w:tc>
          <w:tcPr>
            <w:tcW w:w="2694"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牛舍</w:t>
            </w:r>
          </w:p>
        </w:tc>
        <w:tc>
          <w:tcPr>
            <w:tcW w:w="2010"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无组织恶臭</w:t>
            </w:r>
          </w:p>
        </w:tc>
        <w:tc>
          <w:tcPr>
            <w:tcW w:w="3037" w:type="dxa"/>
            <w:tcBorders>
              <w:top w:val="single" w:color="auto" w:sz="2" w:space="0"/>
            </w:tcBorders>
            <w:vAlign w:val="center"/>
          </w:tcPr>
          <w:p>
            <w:pPr>
              <w:pStyle w:val="666"/>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氨、硫化氢</w:t>
            </w:r>
            <w:r>
              <w:rPr>
                <w:rFonts w:hint="default" w:ascii="Times New Roman" w:hAnsi="Times New Roman" w:cs="Times New Roman" w:eastAsiaTheme="minorEastAsia"/>
                <w:color w:val="000000" w:themeColor="text1"/>
                <w:lang w:eastAsia="zh-CN"/>
                <w14:textFill>
                  <w14:solidFill>
                    <w14:schemeClr w14:val="tx1"/>
                  </w14:solidFill>
                </w14:textFill>
              </w:rPr>
              <w:t>、臭气浓度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92" w:hRule="atLeast"/>
        </w:trPr>
        <w:tc>
          <w:tcPr>
            <w:tcW w:w="97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G4</w:t>
            </w:r>
          </w:p>
        </w:tc>
        <w:tc>
          <w:tcPr>
            <w:tcW w:w="2694"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固液分离间</w:t>
            </w:r>
          </w:p>
        </w:tc>
        <w:tc>
          <w:tcPr>
            <w:tcW w:w="2010"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有组织恶臭</w:t>
            </w:r>
          </w:p>
        </w:tc>
        <w:tc>
          <w:tcPr>
            <w:tcW w:w="3037"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氨、硫化氢</w:t>
            </w:r>
            <w:r>
              <w:rPr>
                <w:rFonts w:hint="default" w:ascii="Times New Roman" w:hAnsi="Times New Roman" w:cs="Times New Roman" w:eastAsiaTheme="minorEastAsia"/>
                <w:color w:val="auto"/>
                <w:highlight w:val="none"/>
                <w:lang w:eastAsia="zh-CN"/>
              </w:rPr>
              <w:t>、臭气浓度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92" w:hRule="atLeast"/>
        </w:trPr>
        <w:tc>
          <w:tcPr>
            <w:tcW w:w="97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G5</w:t>
            </w:r>
          </w:p>
        </w:tc>
        <w:tc>
          <w:tcPr>
            <w:tcW w:w="2694"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粪污处理区</w:t>
            </w:r>
          </w:p>
        </w:tc>
        <w:tc>
          <w:tcPr>
            <w:tcW w:w="201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无组织恶臭</w:t>
            </w:r>
          </w:p>
        </w:tc>
        <w:tc>
          <w:tcPr>
            <w:tcW w:w="3037" w:type="dxa"/>
            <w:vAlign w:val="center"/>
          </w:tcPr>
          <w:p>
            <w:pPr>
              <w:pStyle w:val="666"/>
              <w:rPr>
                <w:rFonts w:hint="default" w:ascii="Times New Roman" w:hAnsi="Times New Roman" w:cs="Times New Roman" w:eastAsiaTheme="minorEastAsia"/>
                <w:color w:val="000000" w:themeColor="text1"/>
                <w:lang w:eastAsia="zh-CN"/>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氨、硫化氢</w:t>
            </w:r>
            <w:r>
              <w:rPr>
                <w:rFonts w:hint="default" w:ascii="Times New Roman" w:hAnsi="Times New Roman" w:cs="Times New Roman" w:eastAsiaTheme="minorEastAsia"/>
                <w:color w:val="000000" w:themeColor="text1"/>
                <w:lang w:eastAsia="zh-CN"/>
                <w14:textFill>
                  <w14:solidFill>
                    <w14:schemeClr w14:val="tx1"/>
                  </w14:solidFill>
                </w14:textFill>
              </w:rPr>
              <w:t>、臭气浓度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92" w:hRule="atLeast"/>
        </w:trPr>
        <w:tc>
          <w:tcPr>
            <w:tcW w:w="979" w:type="dxa"/>
            <w:tcBorders>
              <w:bottom w:val="single" w:color="auto" w:sz="1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G6</w:t>
            </w:r>
          </w:p>
        </w:tc>
        <w:tc>
          <w:tcPr>
            <w:tcW w:w="2694" w:type="dxa"/>
            <w:tcBorders>
              <w:bottom w:val="single" w:color="auto" w:sz="1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生物质锅炉</w:t>
            </w:r>
          </w:p>
        </w:tc>
        <w:tc>
          <w:tcPr>
            <w:tcW w:w="2010" w:type="dxa"/>
            <w:tcBorders>
              <w:bottom w:val="single" w:color="auto" w:sz="1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排放废气</w:t>
            </w:r>
          </w:p>
        </w:tc>
        <w:tc>
          <w:tcPr>
            <w:tcW w:w="3037" w:type="dxa"/>
            <w:tcBorders>
              <w:bottom w:val="single" w:color="auto" w:sz="1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颗粒物、SO</w:t>
            </w:r>
            <w:r>
              <w:rPr>
                <w:rFonts w:hint="default" w:ascii="Times New Roman" w:hAnsi="Times New Roman" w:cs="Times New Roman" w:eastAsiaTheme="minorEastAsia"/>
                <w:color w:val="000000" w:themeColor="text1"/>
                <w:vertAlign w:val="subscript"/>
                <w14:textFill>
                  <w14:solidFill>
                    <w14:schemeClr w14:val="tx1"/>
                  </w14:solidFill>
                </w14:textFill>
              </w:rPr>
              <w:t>2</w:t>
            </w:r>
            <w:r>
              <w:rPr>
                <w:rFonts w:hint="default" w:ascii="Times New Roman" w:hAnsi="Times New Roman" w:cs="Times New Roman" w:eastAsiaTheme="minorEastAsia"/>
                <w:color w:val="000000" w:themeColor="text1"/>
                <w14:textFill>
                  <w14:solidFill>
                    <w14:schemeClr w14:val="tx1"/>
                  </w14:solidFill>
                </w14:textFill>
              </w:rPr>
              <w:t>、NO</w:t>
            </w:r>
            <w:r>
              <w:rPr>
                <w:rFonts w:hint="default" w:ascii="Times New Roman" w:hAnsi="Times New Roman" w:cs="Times New Roman" w:eastAsiaTheme="minorEastAsia"/>
                <w:color w:val="000000" w:themeColor="text1"/>
                <w:vertAlign w:val="subscript"/>
                <w14:textFill>
                  <w14:solidFill>
                    <w14:schemeClr w14:val="tx1"/>
                  </w14:solidFill>
                </w14:textFill>
              </w:rPr>
              <w:t>X</w:t>
            </w:r>
          </w:p>
        </w:tc>
      </w:tr>
    </w:tbl>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（3）固废</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本项目主要固体废物种类见表3-2-3。</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表3-2-3  项目主要固体废物种类</w:t>
      </w:r>
    </w:p>
    <w:tbl>
      <w:tblPr>
        <w:tblStyle w:val="9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43"/>
        <w:gridCol w:w="3675"/>
        <w:gridCol w:w="420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8" w:hRule="atLeast"/>
          <w:jc w:val="center"/>
        </w:trPr>
        <w:tc>
          <w:tcPr>
            <w:tcW w:w="843" w:type="dxa"/>
            <w:tcBorders>
              <w:top w:val="single" w:color="auto" w:sz="1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序号</w:t>
            </w:r>
          </w:p>
        </w:tc>
        <w:tc>
          <w:tcPr>
            <w:tcW w:w="3675" w:type="dxa"/>
            <w:tcBorders>
              <w:top w:val="single" w:color="auto" w:sz="1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生产单元名称</w:t>
            </w:r>
          </w:p>
        </w:tc>
        <w:tc>
          <w:tcPr>
            <w:tcW w:w="4202" w:type="dxa"/>
            <w:tcBorders>
              <w:top w:val="single" w:color="auto" w:sz="1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固体废物名称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84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S1</w:t>
            </w:r>
          </w:p>
        </w:tc>
        <w:tc>
          <w:tcPr>
            <w:tcW w:w="36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牛舍</w:t>
            </w:r>
          </w:p>
        </w:tc>
        <w:tc>
          <w:tcPr>
            <w:tcW w:w="4202"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牛粪污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4" w:hRule="atLeast"/>
          <w:jc w:val="center"/>
        </w:trPr>
        <w:tc>
          <w:tcPr>
            <w:tcW w:w="84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S2</w:t>
            </w:r>
          </w:p>
        </w:tc>
        <w:tc>
          <w:tcPr>
            <w:tcW w:w="36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牛舍</w:t>
            </w:r>
          </w:p>
        </w:tc>
        <w:tc>
          <w:tcPr>
            <w:tcW w:w="4202"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病死牛、胎盘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84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S3</w:t>
            </w:r>
          </w:p>
        </w:tc>
        <w:tc>
          <w:tcPr>
            <w:tcW w:w="36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脱硫</w:t>
            </w:r>
          </w:p>
        </w:tc>
        <w:tc>
          <w:tcPr>
            <w:tcW w:w="4202"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废沼气脱硫剂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84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S4</w:t>
            </w:r>
          </w:p>
        </w:tc>
        <w:tc>
          <w:tcPr>
            <w:tcW w:w="36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黑膜沼气池</w:t>
            </w:r>
          </w:p>
        </w:tc>
        <w:tc>
          <w:tcPr>
            <w:tcW w:w="4202"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沼渣</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843" w:type="dxa"/>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S5</w:t>
            </w:r>
          </w:p>
        </w:tc>
        <w:tc>
          <w:tcPr>
            <w:tcW w:w="3675" w:type="dxa"/>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办公</w:t>
            </w:r>
          </w:p>
        </w:tc>
        <w:tc>
          <w:tcPr>
            <w:tcW w:w="4202" w:type="dxa"/>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生活垃圾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7" w:hRule="atLeast"/>
          <w:jc w:val="center"/>
        </w:trPr>
        <w:tc>
          <w:tcPr>
            <w:tcW w:w="843"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S6</w:t>
            </w:r>
          </w:p>
        </w:tc>
        <w:tc>
          <w:tcPr>
            <w:tcW w:w="3675"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牛舍</w:t>
            </w:r>
          </w:p>
        </w:tc>
        <w:tc>
          <w:tcPr>
            <w:tcW w:w="4202" w:type="dxa"/>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医疗废物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843" w:type="dxa"/>
            <w:tcBorders>
              <w:top w:val="single" w:color="auto" w:sz="4" w:space="0"/>
              <w:bottom w:val="single" w:color="auto" w:sz="1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S7</w:t>
            </w:r>
          </w:p>
        </w:tc>
        <w:tc>
          <w:tcPr>
            <w:tcW w:w="3675" w:type="dxa"/>
            <w:tcBorders>
              <w:top w:val="single" w:color="auto" w:sz="4" w:space="0"/>
              <w:bottom w:val="single" w:color="auto" w:sz="1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牛舍</w:t>
            </w:r>
          </w:p>
        </w:tc>
        <w:tc>
          <w:tcPr>
            <w:tcW w:w="4202" w:type="dxa"/>
            <w:tcBorders>
              <w:top w:val="single" w:color="auto" w:sz="4" w:space="0"/>
              <w:bottom w:val="single" w:color="auto" w:sz="1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卧床垫料废物</w:t>
            </w:r>
          </w:p>
        </w:tc>
      </w:tr>
    </w:tbl>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（4）噪声</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本项目主要噪声污染源见表3-2-4。</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表3-2-4  项目主要噪声污染源</w:t>
      </w:r>
    </w:p>
    <w:tbl>
      <w:tblPr>
        <w:tblStyle w:val="9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551"/>
        <w:gridCol w:w="3738"/>
        <w:gridCol w:w="14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序号</w:t>
            </w:r>
          </w:p>
        </w:tc>
        <w:tc>
          <w:tcPr>
            <w:tcW w:w="25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生产单元名称</w:t>
            </w:r>
          </w:p>
        </w:tc>
        <w:tc>
          <w:tcPr>
            <w:tcW w:w="373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主要声源名称</w:t>
            </w:r>
          </w:p>
        </w:tc>
        <w:tc>
          <w:tcPr>
            <w:tcW w:w="1472" w:type="dxa"/>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发生特性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N1</w:t>
            </w:r>
          </w:p>
        </w:tc>
        <w:tc>
          <w:tcPr>
            <w:tcW w:w="25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牛舍</w:t>
            </w:r>
          </w:p>
        </w:tc>
        <w:tc>
          <w:tcPr>
            <w:tcW w:w="373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排气扇</w:t>
            </w:r>
          </w:p>
        </w:tc>
        <w:tc>
          <w:tcPr>
            <w:tcW w:w="1472" w:type="dxa"/>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59"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N2</w:t>
            </w:r>
          </w:p>
        </w:tc>
        <w:tc>
          <w:tcPr>
            <w:tcW w:w="2551"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固液分离间</w:t>
            </w:r>
          </w:p>
        </w:tc>
        <w:tc>
          <w:tcPr>
            <w:tcW w:w="3738"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水泵</w:t>
            </w:r>
          </w:p>
        </w:tc>
        <w:tc>
          <w:tcPr>
            <w:tcW w:w="1472" w:type="dxa"/>
            <w:tcBorders>
              <w:bottom w:val="single" w:color="auto" w:sz="2" w:space="0"/>
            </w:tcBorders>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0" w:hRule="atLeast"/>
          <w:jc w:val="center"/>
        </w:trPr>
        <w:tc>
          <w:tcPr>
            <w:tcW w:w="959"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N3</w:t>
            </w:r>
          </w:p>
        </w:tc>
        <w:tc>
          <w:tcPr>
            <w:tcW w:w="2551" w:type="dxa"/>
            <w:tcBorders>
              <w:top w:val="single" w:color="auto" w:sz="2" w:space="0"/>
            </w:tcBorders>
            <w:vAlign w:val="center"/>
          </w:tcPr>
          <w:p>
            <w:pPr>
              <w:pStyle w:val="666"/>
              <w:rPr>
                <w:rFonts w:hint="default" w:ascii="Times New Roman" w:hAnsi="Times New Roman" w:cs="Times New Roman" w:eastAsiaTheme="minorEastAsia"/>
                <w:color w:val="000000" w:themeColor="text1"/>
                <w:lang w:eastAsia="zh-CN"/>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沼气</w:t>
            </w:r>
            <w:r>
              <w:rPr>
                <w:rFonts w:hint="default" w:ascii="Times New Roman" w:hAnsi="Times New Roman" w:cs="Times New Roman" w:eastAsiaTheme="minorEastAsia"/>
                <w:color w:val="000000" w:themeColor="text1"/>
                <w:lang w:eastAsia="zh-CN"/>
                <w14:textFill>
                  <w14:solidFill>
                    <w14:schemeClr w14:val="tx1"/>
                  </w14:solidFill>
                </w14:textFill>
              </w:rPr>
              <w:t>火炬</w:t>
            </w:r>
          </w:p>
        </w:tc>
        <w:tc>
          <w:tcPr>
            <w:tcW w:w="3738"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风机</w:t>
            </w:r>
          </w:p>
        </w:tc>
        <w:tc>
          <w:tcPr>
            <w:tcW w:w="1472" w:type="dxa"/>
            <w:tcBorders>
              <w:top w:val="single" w:color="auto" w:sz="2" w:space="0"/>
            </w:tcBorders>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间断</w:t>
            </w:r>
          </w:p>
        </w:tc>
      </w:tr>
    </w:tbl>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bookmarkStart w:id="99" w:name="_Toc129682647"/>
      <w:r>
        <w:rPr>
          <w:rFonts w:hint="default" w:ascii="Times New Roman" w:hAnsi="Times New Roman" w:cs="Times New Roman" w:eastAsiaTheme="minorEastAsia"/>
          <w:color w:val="000000" w:themeColor="text1"/>
          <w:sz w:val="24"/>
          <w:szCs w:val="24"/>
          <w14:textFill>
            <w14:solidFill>
              <w14:schemeClr w14:val="tx1"/>
            </w14:solidFill>
          </w14:textFill>
        </w:rPr>
        <w:t>3.2.3 污染源源强核算</w:t>
      </w:r>
    </w:p>
    <w:p>
      <w:pPr>
        <w:pStyle w:val="1297"/>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3.2.3.1 废水</w:t>
      </w:r>
    </w:p>
    <w:bookmarkEnd w:id="99"/>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本项目运营期废水污染源主要为牛尿、牛舍冲洗废水、牛舍喷淋废水、挤奶厅冲洗废水、生活污水等。</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（1）牛尿</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成年泌乳牛牛尿排放量根据《畜禽养殖业污染治理工程技术规范》（HJ497-2009）附录A中表A.2牛的尿液产生量按照10kg/(只.d)计，后备牛的尿液产生量按成年泌乳牛的一半计算，后备牛尿液产生量按照5kg/(只.d)计，则成年泌乳牛尿液产生量为12t/d，后备牛尿液产生量为1.5t/d，因此本项目牛尿产生量为13.5t/d。</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（2）牛舍冲洗废水</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牛舍清洗用水量平均为2.7t/d，清洗废水产生量按用水量的80%计算，则牛舍冲洗废水产生量为2.16t/d。</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（3）牛舍喷淋废水</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夏季牛舍需要进行喷淋降温，牛舍喷淋用水量平均为8.1m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/d，蒸发、损失量按照5%计算，牛舍喷淋废水产生量为7.7m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/d。</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（4）挤奶厅清洗废水</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挤奶厅每天进行清洗，清洗水量为1t/d，废水产生量按照用水量的90%计算，则挤奶厅清洗废水为0.9t/d。</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（5）生活污水</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生活污水量按照生活用水量的80%计算，则生活污水产生量为1.28t/d。</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牛尿中污染物源强参照《规模化奶牛场产排污系数、污水存贮及土地消纳量相关技术参数研究》（李国林，山东农业大学硕士论文，2014年6月）中牛尿污染源强；牛舍冲洗废水、牛舍喷淋水、挤奶厅清洗废水中污染物源强参照《畜禽养殖业污染治理工程技术规范》（HJ497-2009）中附录A畜禽养殖废水中的污染物质量浓度平均值，废水污染源及治理情况一览见表3-2-5。</w:t>
      </w:r>
    </w:p>
    <w:p>
      <w:pPr>
        <w:spacing w:line="48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sectPr>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12" w:charSpace="0"/>
        </w:sectPr>
      </w:pPr>
    </w:p>
    <w:p>
      <w:pPr>
        <w:pStyle w:val="643"/>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表3-2-5  废水污染源源强核算结果及相关参数一览表</w:t>
      </w:r>
    </w:p>
    <w:tbl>
      <w:tblPr>
        <w:tblStyle w:val="9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26"/>
        <w:gridCol w:w="661"/>
        <w:gridCol w:w="805"/>
        <w:gridCol w:w="852"/>
        <w:gridCol w:w="708"/>
        <w:gridCol w:w="708"/>
        <w:gridCol w:w="991"/>
        <w:gridCol w:w="994"/>
        <w:gridCol w:w="852"/>
        <w:gridCol w:w="1133"/>
        <w:gridCol w:w="708"/>
        <w:gridCol w:w="991"/>
        <w:gridCol w:w="994"/>
        <w:gridCol w:w="852"/>
        <w:gridCol w:w="708"/>
        <w:gridCol w:w="129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06" w:hRule="atLeast"/>
          <w:jc w:val="center"/>
        </w:trPr>
        <w:tc>
          <w:tcPr>
            <w:tcW w:w="626" w:type="dxa"/>
            <w:vMerge w:val="restart"/>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序号</w:t>
            </w:r>
          </w:p>
        </w:tc>
        <w:tc>
          <w:tcPr>
            <w:tcW w:w="661" w:type="dxa"/>
            <w:vMerge w:val="restart"/>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工序</w:t>
            </w:r>
          </w:p>
        </w:tc>
        <w:tc>
          <w:tcPr>
            <w:tcW w:w="805" w:type="dxa"/>
            <w:vMerge w:val="restart"/>
            <w:tcBorders>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污染源</w:t>
            </w:r>
          </w:p>
        </w:tc>
        <w:tc>
          <w:tcPr>
            <w:tcW w:w="852" w:type="dxa"/>
            <w:vMerge w:val="restart"/>
            <w:tcBorders>
              <w:lef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污染物</w:t>
            </w:r>
          </w:p>
        </w:tc>
        <w:tc>
          <w:tcPr>
            <w:tcW w:w="708" w:type="dxa"/>
            <w:vMerge w:val="restart"/>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排放规律</w:t>
            </w:r>
          </w:p>
        </w:tc>
        <w:tc>
          <w:tcPr>
            <w:tcW w:w="3545" w:type="dxa"/>
            <w:gridSpan w:val="4"/>
            <w:tcBorders>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污染物产生</w:t>
            </w:r>
          </w:p>
        </w:tc>
        <w:tc>
          <w:tcPr>
            <w:tcW w:w="1133" w:type="dxa"/>
            <w:vMerge w:val="restart"/>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治理措施及去除率（</w:t>
            </w:r>
            <w:r>
              <w:rPr>
                <w:rFonts w:hint="default" w:ascii="Times New Roman" w:hAnsi="Times New Roman" w:cs="Times New Roman" w:eastAsiaTheme="minorEastAsia"/>
                <w:color w:val="auto"/>
                <w:highlight w:val="none"/>
              </w:rPr>
              <w:t>％</w:t>
            </w:r>
            <w:r>
              <w:rPr>
                <w:rFonts w:hint="default" w:ascii="Times New Roman" w:hAnsi="Times New Roman" w:cs="Times New Roman" w:eastAsiaTheme="minorEastAsia"/>
                <w:color w:val="auto"/>
                <w:spacing w:val="-10"/>
                <w:highlight w:val="none"/>
              </w:rPr>
              <w:t>）</w:t>
            </w:r>
          </w:p>
        </w:tc>
        <w:tc>
          <w:tcPr>
            <w:tcW w:w="3545" w:type="dxa"/>
            <w:gridSpan w:val="4"/>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污染物排放（mg/L）</w:t>
            </w:r>
          </w:p>
        </w:tc>
        <w:tc>
          <w:tcPr>
            <w:tcW w:w="708" w:type="dxa"/>
            <w:vMerge w:val="restart"/>
            <w:tcBorders>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排放时间</w:t>
            </w:r>
          </w:p>
        </w:tc>
        <w:tc>
          <w:tcPr>
            <w:tcW w:w="1296" w:type="dxa"/>
            <w:vMerge w:val="restart"/>
            <w:tcBorders>
              <w:left w:val="single" w:color="auto" w:sz="4" w:space="0"/>
            </w:tcBorders>
            <w:vAlign w:val="center"/>
          </w:tcPr>
          <w:p>
            <w:pPr>
              <w:pStyle w:val="666"/>
              <w:spacing w:line="320" w:lineRule="exact"/>
              <w:jc w:val="both"/>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排放去向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215" w:hRule="atLeast"/>
          <w:jc w:val="center"/>
        </w:trPr>
        <w:tc>
          <w:tcPr>
            <w:tcW w:w="626" w:type="dxa"/>
            <w:vMerge w:val="continue"/>
            <w:tcBorders>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661" w:type="dxa"/>
            <w:vMerge w:val="continue"/>
            <w:tcBorders>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805" w:type="dxa"/>
            <w:vMerge w:val="continue"/>
            <w:tcBorders>
              <w:bottom w:val="single" w:color="auto" w:sz="4" w:space="0"/>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852" w:type="dxa"/>
            <w:vMerge w:val="continue"/>
            <w:tcBorders>
              <w:left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708" w:type="dxa"/>
            <w:vMerge w:val="continue"/>
            <w:tcBorders>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708"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核算方法</w:t>
            </w:r>
          </w:p>
        </w:tc>
        <w:tc>
          <w:tcPr>
            <w:tcW w:w="991" w:type="dxa"/>
            <w:tcBorders>
              <w:bottom w:val="single" w:color="auto" w:sz="4" w:space="0"/>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产生废水量/（m</w:t>
            </w:r>
            <w:r>
              <w:rPr>
                <w:rFonts w:hint="default" w:ascii="Times New Roman" w:hAnsi="Times New Roman" w:cs="Times New Roman" w:eastAsiaTheme="minorEastAsia"/>
                <w:color w:val="auto"/>
                <w:spacing w:val="-10"/>
                <w:highlight w:val="none"/>
                <w:vertAlign w:val="superscript"/>
              </w:rPr>
              <w:t>3</w:t>
            </w:r>
            <w:r>
              <w:rPr>
                <w:rFonts w:hint="default" w:ascii="Times New Roman" w:hAnsi="Times New Roman" w:cs="Times New Roman" w:eastAsiaTheme="minorEastAsia"/>
                <w:color w:val="auto"/>
                <w:spacing w:val="-10"/>
                <w:highlight w:val="none"/>
              </w:rPr>
              <w:t>/d）</w:t>
            </w:r>
          </w:p>
        </w:tc>
        <w:tc>
          <w:tcPr>
            <w:tcW w:w="994" w:type="dxa"/>
            <w:tcBorders>
              <w:left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产生浓度/（mg/L）</w:t>
            </w:r>
          </w:p>
        </w:tc>
        <w:tc>
          <w:tcPr>
            <w:tcW w:w="852" w:type="dxa"/>
            <w:tcBorders>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产生量/（kg/h）</w:t>
            </w:r>
          </w:p>
        </w:tc>
        <w:tc>
          <w:tcPr>
            <w:tcW w:w="1133" w:type="dxa"/>
            <w:vMerge w:val="continue"/>
            <w:tcBorders>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708" w:type="dxa"/>
            <w:tcBorders>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核算方法</w:t>
            </w:r>
          </w:p>
        </w:tc>
        <w:tc>
          <w:tcPr>
            <w:tcW w:w="991" w:type="dxa"/>
            <w:tcBorders>
              <w:bottom w:val="single" w:color="auto" w:sz="4" w:space="0"/>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排放废水量/（m</w:t>
            </w:r>
            <w:r>
              <w:rPr>
                <w:rFonts w:hint="default" w:ascii="Times New Roman" w:hAnsi="Times New Roman" w:cs="Times New Roman" w:eastAsiaTheme="minorEastAsia"/>
                <w:color w:val="auto"/>
                <w:spacing w:val="-10"/>
                <w:highlight w:val="none"/>
                <w:vertAlign w:val="superscript"/>
              </w:rPr>
              <w:t>3</w:t>
            </w:r>
            <w:r>
              <w:rPr>
                <w:rFonts w:hint="default" w:ascii="Times New Roman" w:hAnsi="Times New Roman" w:cs="Times New Roman" w:eastAsiaTheme="minorEastAsia"/>
                <w:color w:val="auto"/>
                <w:spacing w:val="-10"/>
                <w:highlight w:val="none"/>
              </w:rPr>
              <w:t>/d）</w:t>
            </w:r>
          </w:p>
        </w:tc>
        <w:tc>
          <w:tcPr>
            <w:tcW w:w="994" w:type="dxa"/>
            <w:tcBorders>
              <w:left w:val="single" w:color="auto" w:sz="4" w:space="0"/>
              <w:bottom w:val="single" w:color="auto" w:sz="4" w:space="0"/>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排放浓度（mg/L）</w:t>
            </w:r>
          </w:p>
        </w:tc>
        <w:tc>
          <w:tcPr>
            <w:tcW w:w="852" w:type="dxa"/>
            <w:tcBorders>
              <w:left w:val="single" w:color="auto" w:sz="4" w:space="0"/>
              <w:bottom w:val="single" w:color="auto" w:sz="4" w:space="0"/>
            </w:tcBorders>
            <w:vAlign w:val="center"/>
          </w:tcPr>
          <w:p>
            <w:pPr>
              <w:pStyle w:val="666"/>
              <w:spacing w:line="320" w:lineRule="exact"/>
              <w:jc w:val="both"/>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排放量/（kg/h）</w:t>
            </w:r>
          </w:p>
        </w:tc>
        <w:tc>
          <w:tcPr>
            <w:tcW w:w="708" w:type="dxa"/>
            <w:vMerge w:val="continue"/>
            <w:tcBorders>
              <w:bottom w:val="single" w:color="auto" w:sz="4" w:space="0"/>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c>
          <w:tcPr>
            <w:tcW w:w="1296" w:type="dxa"/>
            <w:vMerge w:val="continue"/>
            <w:tcBorders>
              <w:left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25" w:hRule="atLeast"/>
          <w:jc w:val="center"/>
        </w:trPr>
        <w:tc>
          <w:tcPr>
            <w:tcW w:w="626" w:type="dxa"/>
            <w:vMerge w:val="restart"/>
            <w:tcBorders>
              <w:top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W1</w:t>
            </w:r>
          </w:p>
        </w:tc>
        <w:tc>
          <w:tcPr>
            <w:tcW w:w="661" w:type="dxa"/>
            <w:vMerge w:val="restart"/>
            <w:tcBorders>
              <w:top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养殖</w:t>
            </w:r>
          </w:p>
        </w:tc>
        <w:tc>
          <w:tcPr>
            <w:tcW w:w="805" w:type="dxa"/>
            <w:vMerge w:val="restart"/>
            <w:tcBorders>
              <w:top w:val="single" w:color="auto" w:sz="4" w:space="0"/>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牛尿</w:t>
            </w:r>
          </w:p>
        </w:tc>
        <w:tc>
          <w:tcPr>
            <w:tcW w:w="852" w:type="dxa"/>
            <w:tcBorders>
              <w:top w:val="single" w:color="auto" w:sz="4" w:space="0"/>
              <w:left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COD</w:t>
            </w:r>
          </w:p>
        </w:tc>
        <w:tc>
          <w:tcPr>
            <w:tcW w:w="708" w:type="dxa"/>
            <w:vMerge w:val="restart"/>
            <w:tcBorders>
              <w:top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间断</w:t>
            </w:r>
          </w:p>
        </w:tc>
        <w:tc>
          <w:tcPr>
            <w:tcW w:w="708" w:type="dxa"/>
            <w:vMerge w:val="restart"/>
            <w:tcBorders>
              <w:top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产污系数</w:t>
            </w:r>
          </w:p>
        </w:tc>
        <w:tc>
          <w:tcPr>
            <w:tcW w:w="991" w:type="dxa"/>
            <w:vMerge w:val="restart"/>
            <w:tcBorders>
              <w:top w:val="single" w:color="auto" w:sz="4" w:space="0"/>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13.5</w:t>
            </w:r>
          </w:p>
        </w:tc>
        <w:tc>
          <w:tcPr>
            <w:tcW w:w="994" w:type="dxa"/>
            <w:tcBorders>
              <w:top w:val="single" w:color="auto" w:sz="4" w:space="0"/>
              <w:left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6000</w:t>
            </w:r>
          </w:p>
        </w:tc>
        <w:tc>
          <w:tcPr>
            <w:tcW w:w="852"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3.38</w:t>
            </w:r>
          </w:p>
        </w:tc>
        <w:tc>
          <w:tcPr>
            <w:tcW w:w="1133" w:type="dxa"/>
            <w:vMerge w:val="restart"/>
            <w:tcBorders>
              <w:top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黑膜沼气池90%</w:t>
            </w:r>
          </w:p>
        </w:tc>
        <w:tc>
          <w:tcPr>
            <w:tcW w:w="708" w:type="dxa"/>
            <w:vMerge w:val="restart"/>
            <w:tcBorders>
              <w:top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产污系数</w:t>
            </w:r>
          </w:p>
        </w:tc>
        <w:tc>
          <w:tcPr>
            <w:tcW w:w="991" w:type="dxa"/>
            <w:vMerge w:val="restart"/>
            <w:tcBorders>
              <w:top w:val="single" w:color="auto" w:sz="4" w:space="0"/>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13.5</w:t>
            </w:r>
          </w:p>
        </w:tc>
        <w:tc>
          <w:tcPr>
            <w:tcW w:w="994" w:type="dxa"/>
            <w:tcBorders>
              <w:top w:val="single" w:color="auto" w:sz="4" w:space="0"/>
              <w:left w:val="single" w:color="auto" w:sz="4" w:space="0"/>
              <w:bottom w:val="single" w:color="auto" w:sz="4" w:space="0"/>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600</w:t>
            </w:r>
          </w:p>
        </w:tc>
        <w:tc>
          <w:tcPr>
            <w:tcW w:w="852" w:type="dxa"/>
            <w:tcBorders>
              <w:top w:val="single" w:color="auto" w:sz="4" w:space="0"/>
              <w:left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0.338</w:t>
            </w:r>
          </w:p>
        </w:tc>
        <w:tc>
          <w:tcPr>
            <w:tcW w:w="708" w:type="dxa"/>
            <w:vMerge w:val="restart"/>
            <w:tcBorders>
              <w:top w:val="single" w:color="auto" w:sz="4" w:space="0"/>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365d/a</w:t>
            </w:r>
          </w:p>
        </w:tc>
        <w:tc>
          <w:tcPr>
            <w:tcW w:w="1296" w:type="dxa"/>
            <w:vMerge w:val="restart"/>
            <w:tcBorders>
              <w:top w:val="single" w:color="auto" w:sz="4" w:space="0"/>
              <w:lef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黑膜沼气池发酵后定期还田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25" w:hRule="atLeast"/>
          <w:jc w:val="center"/>
        </w:trPr>
        <w:tc>
          <w:tcPr>
            <w:tcW w:w="626" w:type="dxa"/>
            <w:vMerge w:val="continue"/>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661" w:type="dxa"/>
            <w:vMerge w:val="continue"/>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805" w:type="dxa"/>
            <w:vMerge w:val="continue"/>
            <w:tcBorders>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852" w:type="dxa"/>
            <w:tcBorders>
              <w:top w:val="single" w:color="auto" w:sz="4" w:space="0"/>
              <w:left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NH</w:t>
            </w:r>
            <w:r>
              <w:rPr>
                <w:rFonts w:hint="default" w:ascii="Times New Roman" w:hAnsi="Times New Roman" w:cs="Times New Roman" w:eastAsiaTheme="minorEastAsia"/>
                <w:color w:val="auto"/>
                <w:highlight w:val="none"/>
                <w:vertAlign w:val="subscript"/>
              </w:rPr>
              <w:t>3</w:t>
            </w:r>
            <w:r>
              <w:rPr>
                <w:rFonts w:hint="default" w:ascii="Times New Roman" w:hAnsi="Times New Roman" w:cs="Times New Roman" w:eastAsiaTheme="minorEastAsia"/>
                <w:color w:val="auto"/>
                <w:highlight w:val="none"/>
              </w:rPr>
              <w:t>-N</w:t>
            </w:r>
          </w:p>
        </w:tc>
        <w:tc>
          <w:tcPr>
            <w:tcW w:w="708" w:type="dxa"/>
            <w:vMerge w:val="continue"/>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708" w:type="dxa"/>
            <w:vMerge w:val="continue"/>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991" w:type="dxa"/>
            <w:vMerge w:val="continue"/>
            <w:tcBorders>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994" w:type="dxa"/>
            <w:tcBorders>
              <w:top w:val="single" w:color="auto" w:sz="4" w:space="0"/>
              <w:left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3470</w:t>
            </w:r>
          </w:p>
        </w:tc>
        <w:tc>
          <w:tcPr>
            <w:tcW w:w="852"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1.95</w:t>
            </w:r>
          </w:p>
        </w:tc>
        <w:tc>
          <w:tcPr>
            <w:tcW w:w="1133" w:type="dxa"/>
            <w:vMerge w:val="continue"/>
            <w:vAlign w:val="center"/>
          </w:tcPr>
          <w:p>
            <w:pPr>
              <w:pStyle w:val="666"/>
              <w:spacing w:line="320" w:lineRule="exact"/>
              <w:rPr>
                <w:rFonts w:hint="default" w:ascii="Times New Roman" w:hAnsi="Times New Roman" w:cs="Times New Roman" w:eastAsiaTheme="minorEastAsia"/>
                <w:color w:val="auto"/>
                <w:highlight w:val="none"/>
              </w:rPr>
            </w:pPr>
          </w:p>
        </w:tc>
        <w:tc>
          <w:tcPr>
            <w:tcW w:w="708" w:type="dxa"/>
            <w:vMerge w:val="continue"/>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991" w:type="dxa"/>
            <w:vMerge w:val="continue"/>
            <w:tcBorders>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994" w:type="dxa"/>
            <w:tcBorders>
              <w:top w:val="single" w:color="auto" w:sz="4" w:space="0"/>
              <w:left w:val="single" w:color="auto" w:sz="4" w:space="0"/>
              <w:bottom w:val="single" w:color="auto" w:sz="4" w:space="0"/>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347</w:t>
            </w:r>
          </w:p>
        </w:tc>
        <w:tc>
          <w:tcPr>
            <w:tcW w:w="852" w:type="dxa"/>
            <w:tcBorders>
              <w:top w:val="single" w:color="auto" w:sz="4" w:space="0"/>
              <w:left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0.195</w:t>
            </w:r>
          </w:p>
        </w:tc>
        <w:tc>
          <w:tcPr>
            <w:tcW w:w="708" w:type="dxa"/>
            <w:vMerge w:val="continue"/>
            <w:tcBorders>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c>
          <w:tcPr>
            <w:tcW w:w="1296" w:type="dxa"/>
            <w:vMerge w:val="continue"/>
            <w:tcBorders>
              <w:lef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00" w:hRule="atLeast"/>
          <w:jc w:val="center"/>
        </w:trPr>
        <w:tc>
          <w:tcPr>
            <w:tcW w:w="626" w:type="dxa"/>
            <w:vMerge w:val="continue"/>
            <w:tcBorders>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661" w:type="dxa"/>
            <w:vMerge w:val="continue"/>
            <w:tcBorders>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805" w:type="dxa"/>
            <w:vMerge w:val="continue"/>
            <w:tcBorders>
              <w:bottom w:val="single" w:color="auto" w:sz="4" w:space="0"/>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852" w:type="dxa"/>
            <w:tcBorders>
              <w:top w:val="single" w:color="auto" w:sz="4" w:space="0"/>
              <w:left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TP</w:t>
            </w:r>
          </w:p>
        </w:tc>
        <w:tc>
          <w:tcPr>
            <w:tcW w:w="708" w:type="dxa"/>
            <w:vMerge w:val="continue"/>
            <w:tcBorders>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708" w:type="dxa"/>
            <w:vMerge w:val="continue"/>
            <w:tcBorders>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991" w:type="dxa"/>
            <w:vMerge w:val="continue"/>
            <w:tcBorders>
              <w:bottom w:val="single" w:color="auto" w:sz="4" w:space="0"/>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994" w:type="dxa"/>
            <w:tcBorders>
              <w:top w:val="single" w:color="auto" w:sz="4" w:space="0"/>
              <w:left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400</w:t>
            </w:r>
          </w:p>
        </w:tc>
        <w:tc>
          <w:tcPr>
            <w:tcW w:w="852"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0.22</w:t>
            </w:r>
          </w:p>
        </w:tc>
        <w:tc>
          <w:tcPr>
            <w:tcW w:w="1133" w:type="dxa"/>
            <w:vMerge w:val="continue"/>
            <w:tcBorders>
              <w:bottom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c>
          <w:tcPr>
            <w:tcW w:w="708" w:type="dxa"/>
            <w:vMerge w:val="continue"/>
            <w:tcBorders>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991" w:type="dxa"/>
            <w:vMerge w:val="continue"/>
            <w:tcBorders>
              <w:bottom w:val="single" w:color="auto" w:sz="4" w:space="0"/>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994" w:type="dxa"/>
            <w:tcBorders>
              <w:top w:val="single" w:color="auto" w:sz="4" w:space="0"/>
              <w:left w:val="single" w:color="auto" w:sz="4" w:space="0"/>
              <w:bottom w:val="single" w:color="auto" w:sz="4" w:space="0"/>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40</w:t>
            </w:r>
          </w:p>
        </w:tc>
        <w:tc>
          <w:tcPr>
            <w:tcW w:w="852" w:type="dxa"/>
            <w:tcBorders>
              <w:top w:val="single" w:color="auto" w:sz="4" w:space="0"/>
              <w:left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0.022</w:t>
            </w:r>
          </w:p>
        </w:tc>
        <w:tc>
          <w:tcPr>
            <w:tcW w:w="708" w:type="dxa"/>
            <w:vMerge w:val="continue"/>
            <w:tcBorders>
              <w:bottom w:val="single" w:color="auto" w:sz="4" w:space="0"/>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c>
          <w:tcPr>
            <w:tcW w:w="1296" w:type="dxa"/>
            <w:vMerge w:val="continue"/>
            <w:tcBorders>
              <w:lef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30" w:hRule="atLeast"/>
          <w:jc w:val="center"/>
        </w:trPr>
        <w:tc>
          <w:tcPr>
            <w:tcW w:w="626" w:type="dxa"/>
            <w:vMerge w:val="restart"/>
            <w:tcBorders>
              <w:top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W2</w:t>
            </w:r>
          </w:p>
        </w:tc>
        <w:tc>
          <w:tcPr>
            <w:tcW w:w="661" w:type="dxa"/>
            <w:vMerge w:val="restart"/>
            <w:tcBorders>
              <w:top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养殖</w:t>
            </w:r>
          </w:p>
        </w:tc>
        <w:tc>
          <w:tcPr>
            <w:tcW w:w="805" w:type="dxa"/>
            <w:vMerge w:val="restart"/>
            <w:tcBorders>
              <w:top w:val="single" w:color="auto" w:sz="4" w:space="0"/>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牛舍冲洗废水</w:t>
            </w:r>
          </w:p>
        </w:tc>
        <w:tc>
          <w:tcPr>
            <w:tcW w:w="852" w:type="dxa"/>
            <w:tcBorders>
              <w:top w:val="single" w:color="auto" w:sz="4" w:space="0"/>
              <w:left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COD</w:t>
            </w:r>
          </w:p>
        </w:tc>
        <w:tc>
          <w:tcPr>
            <w:tcW w:w="708" w:type="dxa"/>
            <w:vMerge w:val="restart"/>
            <w:tcBorders>
              <w:top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间断</w:t>
            </w:r>
          </w:p>
        </w:tc>
        <w:tc>
          <w:tcPr>
            <w:tcW w:w="708" w:type="dxa"/>
            <w:vMerge w:val="restart"/>
            <w:tcBorders>
              <w:top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产污系数</w:t>
            </w:r>
          </w:p>
        </w:tc>
        <w:tc>
          <w:tcPr>
            <w:tcW w:w="991" w:type="dxa"/>
            <w:vMerge w:val="restart"/>
            <w:tcBorders>
              <w:top w:val="single" w:color="auto" w:sz="4" w:space="0"/>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2.16</w:t>
            </w:r>
          </w:p>
        </w:tc>
        <w:tc>
          <w:tcPr>
            <w:tcW w:w="994" w:type="dxa"/>
            <w:tcBorders>
              <w:top w:val="single" w:color="auto" w:sz="4" w:space="0"/>
              <w:left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983</w:t>
            </w:r>
          </w:p>
        </w:tc>
        <w:tc>
          <w:tcPr>
            <w:tcW w:w="852"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0.08</w:t>
            </w:r>
          </w:p>
        </w:tc>
        <w:tc>
          <w:tcPr>
            <w:tcW w:w="1133" w:type="dxa"/>
            <w:vMerge w:val="restart"/>
            <w:tcBorders>
              <w:top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黑膜沼气池90%</w:t>
            </w:r>
          </w:p>
        </w:tc>
        <w:tc>
          <w:tcPr>
            <w:tcW w:w="708" w:type="dxa"/>
            <w:vMerge w:val="restart"/>
            <w:tcBorders>
              <w:top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产污系数</w:t>
            </w:r>
          </w:p>
        </w:tc>
        <w:tc>
          <w:tcPr>
            <w:tcW w:w="991" w:type="dxa"/>
            <w:vMerge w:val="restart"/>
            <w:tcBorders>
              <w:top w:val="single" w:color="auto" w:sz="4" w:space="0"/>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2.16</w:t>
            </w:r>
          </w:p>
        </w:tc>
        <w:tc>
          <w:tcPr>
            <w:tcW w:w="994" w:type="dxa"/>
            <w:tcBorders>
              <w:top w:val="single" w:color="auto" w:sz="4" w:space="0"/>
              <w:left w:val="single" w:color="auto" w:sz="4" w:space="0"/>
              <w:bottom w:val="single" w:color="auto" w:sz="4" w:space="0"/>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98.3</w:t>
            </w:r>
          </w:p>
        </w:tc>
        <w:tc>
          <w:tcPr>
            <w:tcW w:w="852" w:type="dxa"/>
            <w:tcBorders>
              <w:top w:val="single" w:color="auto" w:sz="4" w:space="0"/>
              <w:left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0.009</w:t>
            </w:r>
          </w:p>
        </w:tc>
        <w:tc>
          <w:tcPr>
            <w:tcW w:w="708" w:type="dxa"/>
            <w:vMerge w:val="restart"/>
            <w:tcBorders>
              <w:top w:val="single" w:color="auto" w:sz="4" w:space="0"/>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365d/a</w:t>
            </w:r>
          </w:p>
        </w:tc>
        <w:tc>
          <w:tcPr>
            <w:tcW w:w="1296" w:type="dxa"/>
            <w:vMerge w:val="continue"/>
            <w:tcBorders>
              <w:lef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626" w:type="dxa"/>
            <w:vMerge w:val="continue"/>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661" w:type="dxa"/>
            <w:vMerge w:val="continue"/>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805" w:type="dxa"/>
            <w:vMerge w:val="continue"/>
            <w:tcBorders>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852" w:type="dxa"/>
            <w:tcBorders>
              <w:top w:val="single" w:color="auto" w:sz="4" w:space="0"/>
              <w:left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NH</w:t>
            </w:r>
            <w:r>
              <w:rPr>
                <w:rFonts w:hint="default" w:ascii="Times New Roman" w:hAnsi="Times New Roman" w:cs="Times New Roman" w:eastAsiaTheme="minorEastAsia"/>
                <w:color w:val="auto"/>
                <w:highlight w:val="none"/>
                <w:vertAlign w:val="subscript"/>
              </w:rPr>
              <w:t>3</w:t>
            </w:r>
            <w:r>
              <w:rPr>
                <w:rFonts w:hint="default" w:ascii="Times New Roman" w:hAnsi="Times New Roman" w:cs="Times New Roman" w:eastAsiaTheme="minorEastAsia"/>
                <w:color w:val="auto"/>
                <w:highlight w:val="none"/>
              </w:rPr>
              <w:t>-N</w:t>
            </w:r>
          </w:p>
        </w:tc>
        <w:tc>
          <w:tcPr>
            <w:tcW w:w="708" w:type="dxa"/>
            <w:vMerge w:val="continue"/>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708" w:type="dxa"/>
            <w:vMerge w:val="continue"/>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991" w:type="dxa"/>
            <w:vMerge w:val="continue"/>
            <w:tcBorders>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994" w:type="dxa"/>
            <w:tcBorders>
              <w:top w:val="single" w:color="auto" w:sz="4" w:space="0"/>
              <w:left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51</w:t>
            </w:r>
          </w:p>
        </w:tc>
        <w:tc>
          <w:tcPr>
            <w:tcW w:w="852"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0.004</w:t>
            </w:r>
          </w:p>
        </w:tc>
        <w:tc>
          <w:tcPr>
            <w:tcW w:w="1133" w:type="dxa"/>
            <w:vMerge w:val="continue"/>
            <w:vAlign w:val="center"/>
          </w:tcPr>
          <w:p>
            <w:pPr>
              <w:pStyle w:val="666"/>
              <w:spacing w:line="320" w:lineRule="exact"/>
              <w:rPr>
                <w:rFonts w:hint="default" w:ascii="Times New Roman" w:hAnsi="Times New Roman" w:cs="Times New Roman" w:eastAsiaTheme="minorEastAsia"/>
                <w:color w:val="auto"/>
                <w:highlight w:val="none"/>
              </w:rPr>
            </w:pPr>
          </w:p>
        </w:tc>
        <w:tc>
          <w:tcPr>
            <w:tcW w:w="708" w:type="dxa"/>
            <w:vMerge w:val="continue"/>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991" w:type="dxa"/>
            <w:vMerge w:val="continue"/>
            <w:tcBorders>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994" w:type="dxa"/>
            <w:tcBorders>
              <w:top w:val="single" w:color="auto" w:sz="4" w:space="0"/>
              <w:left w:val="single" w:color="auto" w:sz="4" w:space="0"/>
              <w:bottom w:val="single" w:color="auto" w:sz="4" w:space="0"/>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5.1</w:t>
            </w:r>
          </w:p>
        </w:tc>
        <w:tc>
          <w:tcPr>
            <w:tcW w:w="852" w:type="dxa"/>
            <w:tcBorders>
              <w:top w:val="single" w:color="auto" w:sz="4" w:space="0"/>
              <w:left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0.0004</w:t>
            </w:r>
          </w:p>
        </w:tc>
        <w:tc>
          <w:tcPr>
            <w:tcW w:w="708" w:type="dxa"/>
            <w:vMerge w:val="continue"/>
            <w:tcBorders>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c>
          <w:tcPr>
            <w:tcW w:w="1296" w:type="dxa"/>
            <w:vMerge w:val="continue"/>
            <w:tcBorders>
              <w:lef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70" w:hRule="atLeast"/>
          <w:jc w:val="center"/>
        </w:trPr>
        <w:tc>
          <w:tcPr>
            <w:tcW w:w="626" w:type="dxa"/>
            <w:vMerge w:val="continue"/>
            <w:tcBorders>
              <w:bottom w:val="single" w:color="auto" w:sz="2"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661" w:type="dxa"/>
            <w:vMerge w:val="continue"/>
            <w:tcBorders>
              <w:bottom w:val="single" w:color="auto" w:sz="2"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805" w:type="dxa"/>
            <w:vMerge w:val="continue"/>
            <w:tcBorders>
              <w:bottom w:val="single" w:color="auto" w:sz="2" w:space="0"/>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852" w:type="dxa"/>
            <w:tcBorders>
              <w:top w:val="single" w:color="auto" w:sz="4" w:space="0"/>
              <w:left w:val="single" w:color="auto" w:sz="4" w:space="0"/>
              <w:bottom w:val="single" w:color="auto" w:sz="2"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TP</w:t>
            </w:r>
          </w:p>
        </w:tc>
        <w:tc>
          <w:tcPr>
            <w:tcW w:w="708" w:type="dxa"/>
            <w:vMerge w:val="continue"/>
            <w:tcBorders>
              <w:bottom w:val="single" w:color="auto" w:sz="2"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708" w:type="dxa"/>
            <w:vMerge w:val="continue"/>
            <w:tcBorders>
              <w:bottom w:val="single" w:color="auto" w:sz="2"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991" w:type="dxa"/>
            <w:vMerge w:val="continue"/>
            <w:tcBorders>
              <w:bottom w:val="single" w:color="auto" w:sz="2" w:space="0"/>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994" w:type="dxa"/>
            <w:tcBorders>
              <w:top w:val="single" w:color="auto" w:sz="4" w:space="0"/>
              <w:left w:val="single" w:color="auto" w:sz="4" w:space="0"/>
              <w:bottom w:val="single" w:color="auto" w:sz="2"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18.6</w:t>
            </w:r>
          </w:p>
        </w:tc>
        <w:tc>
          <w:tcPr>
            <w:tcW w:w="852" w:type="dxa"/>
            <w:tcBorders>
              <w:top w:val="single" w:color="auto" w:sz="4" w:space="0"/>
              <w:bottom w:val="single" w:color="auto" w:sz="2"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0.001</w:t>
            </w:r>
          </w:p>
        </w:tc>
        <w:tc>
          <w:tcPr>
            <w:tcW w:w="1133" w:type="dxa"/>
            <w:vMerge w:val="continue"/>
            <w:tcBorders>
              <w:bottom w:val="single" w:color="auto" w:sz="2" w:space="0"/>
            </w:tcBorders>
            <w:vAlign w:val="center"/>
          </w:tcPr>
          <w:p>
            <w:pPr>
              <w:pStyle w:val="666"/>
              <w:spacing w:line="320" w:lineRule="exact"/>
              <w:rPr>
                <w:rFonts w:hint="default" w:ascii="Times New Roman" w:hAnsi="Times New Roman" w:cs="Times New Roman" w:eastAsiaTheme="minorEastAsia"/>
                <w:color w:val="auto"/>
                <w:highlight w:val="none"/>
              </w:rPr>
            </w:pPr>
          </w:p>
        </w:tc>
        <w:tc>
          <w:tcPr>
            <w:tcW w:w="708" w:type="dxa"/>
            <w:vMerge w:val="continue"/>
            <w:tcBorders>
              <w:bottom w:val="single" w:color="auto" w:sz="2"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991" w:type="dxa"/>
            <w:vMerge w:val="continue"/>
            <w:tcBorders>
              <w:bottom w:val="single" w:color="auto" w:sz="2" w:space="0"/>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994" w:type="dxa"/>
            <w:tcBorders>
              <w:top w:val="single" w:color="auto" w:sz="4" w:space="0"/>
              <w:left w:val="single" w:color="auto" w:sz="4" w:space="0"/>
              <w:bottom w:val="single" w:color="auto" w:sz="2" w:space="0"/>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1.86</w:t>
            </w:r>
          </w:p>
        </w:tc>
        <w:tc>
          <w:tcPr>
            <w:tcW w:w="852" w:type="dxa"/>
            <w:tcBorders>
              <w:top w:val="single" w:color="auto" w:sz="4" w:space="0"/>
              <w:left w:val="single" w:color="auto" w:sz="4" w:space="0"/>
              <w:bottom w:val="single" w:color="auto" w:sz="2"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0.0002</w:t>
            </w:r>
          </w:p>
        </w:tc>
        <w:tc>
          <w:tcPr>
            <w:tcW w:w="708" w:type="dxa"/>
            <w:vMerge w:val="continue"/>
            <w:tcBorders>
              <w:bottom w:val="single" w:color="auto" w:sz="2" w:space="0"/>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c>
          <w:tcPr>
            <w:tcW w:w="1296" w:type="dxa"/>
            <w:vMerge w:val="continue"/>
            <w:tcBorders>
              <w:lef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26" w:type="dxa"/>
            <w:vMerge w:val="restart"/>
            <w:tcBorders>
              <w:top w:val="single" w:color="auto" w:sz="2"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W3</w:t>
            </w:r>
          </w:p>
        </w:tc>
        <w:tc>
          <w:tcPr>
            <w:tcW w:w="661" w:type="dxa"/>
            <w:vMerge w:val="restart"/>
            <w:tcBorders>
              <w:top w:val="single" w:color="auto" w:sz="2"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牛舍</w:t>
            </w:r>
          </w:p>
        </w:tc>
        <w:tc>
          <w:tcPr>
            <w:tcW w:w="805" w:type="dxa"/>
            <w:vMerge w:val="restart"/>
            <w:tcBorders>
              <w:top w:val="single" w:color="auto" w:sz="2" w:space="0"/>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牛舍喷淋水</w:t>
            </w:r>
          </w:p>
        </w:tc>
        <w:tc>
          <w:tcPr>
            <w:tcW w:w="852" w:type="dxa"/>
            <w:tcBorders>
              <w:top w:val="single" w:color="auto" w:sz="2" w:space="0"/>
              <w:left w:val="single" w:color="auto" w:sz="4" w:space="0"/>
              <w:bottom w:val="single" w:color="auto" w:sz="2"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COD</w:t>
            </w:r>
          </w:p>
        </w:tc>
        <w:tc>
          <w:tcPr>
            <w:tcW w:w="708" w:type="dxa"/>
            <w:vMerge w:val="restart"/>
            <w:tcBorders>
              <w:top w:val="single" w:color="auto" w:sz="2"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间断</w:t>
            </w:r>
          </w:p>
        </w:tc>
        <w:tc>
          <w:tcPr>
            <w:tcW w:w="708" w:type="dxa"/>
            <w:vMerge w:val="restart"/>
            <w:tcBorders>
              <w:top w:val="single" w:color="auto" w:sz="2"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产污系数</w:t>
            </w:r>
          </w:p>
        </w:tc>
        <w:tc>
          <w:tcPr>
            <w:tcW w:w="991" w:type="dxa"/>
            <w:vMerge w:val="restart"/>
            <w:tcBorders>
              <w:top w:val="single" w:color="auto" w:sz="2" w:space="0"/>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7.7</w:t>
            </w:r>
          </w:p>
        </w:tc>
        <w:tc>
          <w:tcPr>
            <w:tcW w:w="994" w:type="dxa"/>
            <w:tcBorders>
              <w:top w:val="single" w:color="auto" w:sz="2" w:space="0"/>
              <w:left w:val="single" w:color="auto" w:sz="4" w:space="0"/>
              <w:bottom w:val="single" w:color="auto" w:sz="2"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983</w:t>
            </w:r>
          </w:p>
        </w:tc>
        <w:tc>
          <w:tcPr>
            <w:tcW w:w="852" w:type="dxa"/>
            <w:tcBorders>
              <w:top w:val="single" w:color="auto" w:sz="2" w:space="0"/>
              <w:bottom w:val="single" w:color="auto" w:sz="2"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0.32</w:t>
            </w:r>
          </w:p>
        </w:tc>
        <w:tc>
          <w:tcPr>
            <w:tcW w:w="1133" w:type="dxa"/>
            <w:vMerge w:val="restart"/>
            <w:tcBorders>
              <w:top w:val="single" w:color="auto" w:sz="2"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黑膜沼气池 90%</w:t>
            </w:r>
          </w:p>
        </w:tc>
        <w:tc>
          <w:tcPr>
            <w:tcW w:w="708" w:type="dxa"/>
            <w:vMerge w:val="restart"/>
            <w:tcBorders>
              <w:top w:val="single" w:color="auto" w:sz="2"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产污系数</w:t>
            </w:r>
          </w:p>
        </w:tc>
        <w:tc>
          <w:tcPr>
            <w:tcW w:w="991" w:type="dxa"/>
            <w:vMerge w:val="restart"/>
            <w:tcBorders>
              <w:top w:val="single" w:color="auto" w:sz="2" w:space="0"/>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7.7</w:t>
            </w:r>
          </w:p>
        </w:tc>
        <w:tc>
          <w:tcPr>
            <w:tcW w:w="994" w:type="dxa"/>
            <w:tcBorders>
              <w:top w:val="single" w:color="auto" w:sz="2" w:space="0"/>
              <w:left w:val="single" w:color="auto" w:sz="4" w:space="0"/>
              <w:bottom w:val="single" w:color="auto" w:sz="2" w:space="0"/>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98.3</w:t>
            </w:r>
          </w:p>
        </w:tc>
        <w:tc>
          <w:tcPr>
            <w:tcW w:w="852" w:type="dxa"/>
            <w:tcBorders>
              <w:top w:val="single" w:color="auto" w:sz="2" w:space="0"/>
              <w:left w:val="single" w:color="auto" w:sz="4" w:space="0"/>
              <w:bottom w:val="single" w:color="auto" w:sz="2"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0.032</w:t>
            </w:r>
          </w:p>
        </w:tc>
        <w:tc>
          <w:tcPr>
            <w:tcW w:w="708" w:type="dxa"/>
            <w:vMerge w:val="restart"/>
            <w:tcBorders>
              <w:top w:val="single" w:color="auto" w:sz="2" w:space="0"/>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185d/a</w:t>
            </w:r>
          </w:p>
        </w:tc>
        <w:tc>
          <w:tcPr>
            <w:tcW w:w="1296" w:type="dxa"/>
            <w:vMerge w:val="continue"/>
            <w:tcBorders>
              <w:lef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40" w:hRule="atLeast"/>
          <w:jc w:val="center"/>
        </w:trPr>
        <w:tc>
          <w:tcPr>
            <w:tcW w:w="626" w:type="dxa"/>
            <w:vMerge w:val="continue"/>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661" w:type="dxa"/>
            <w:vMerge w:val="continue"/>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805" w:type="dxa"/>
            <w:vMerge w:val="continue"/>
            <w:tcBorders>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852" w:type="dxa"/>
            <w:tcBorders>
              <w:top w:val="single" w:color="auto" w:sz="2" w:space="0"/>
              <w:left w:val="single" w:color="auto" w:sz="4" w:space="0"/>
              <w:bottom w:val="single" w:color="auto" w:sz="2"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NH</w:t>
            </w:r>
            <w:r>
              <w:rPr>
                <w:rFonts w:hint="default" w:ascii="Times New Roman" w:hAnsi="Times New Roman" w:cs="Times New Roman" w:eastAsiaTheme="minorEastAsia"/>
                <w:color w:val="auto"/>
                <w:highlight w:val="none"/>
                <w:vertAlign w:val="subscript"/>
              </w:rPr>
              <w:t>3</w:t>
            </w:r>
            <w:r>
              <w:rPr>
                <w:rFonts w:hint="default" w:ascii="Times New Roman" w:hAnsi="Times New Roman" w:cs="Times New Roman" w:eastAsiaTheme="minorEastAsia"/>
                <w:color w:val="auto"/>
                <w:highlight w:val="none"/>
              </w:rPr>
              <w:t>-N</w:t>
            </w:r>
          </w:p>
        </w:tc>
        <w:tc>
          <w:tcPr>
            <w:tcW w:w="708" w:type="dxa"/>
            <w:vMerge w:val="continue"/>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708" w:type="dxa"/>
            <w:vMerge w:val="continue"/>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991" w:type="dxa"/>
            <w:vMerge w:val="continue"/>
            <w:tcBorders>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994" w:type="dxa"/>
            <w:tcBorders>
              <w:top w:val="single" w:color="auto" w:sz="2" w:space="0"/>
              <w:left w:val="single" w:color="auto" w:sz="4" w:space="0"/>
              <w:bottom w:val="single" w:color="auto" w:sz="2"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51</w:t>
            </w:r>
          </w:p>
        </w:tc>
        <w:tc>
          <w:tcPr>
            <w:tcW w:w="852" w:type="dxa"/>
            <w:tcBorders>
              <w:top w:val="single" w:color="auto" w:sz="2" w:space="0"/>
              <w:bottom w:val="single" w:color="auto" w:sz="2"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0.016</w:t>
            </w:r>
          </w:p>
        </w:tc>
        <w:tc>
          <w:tcPr>
            <w:tcW w:w="1133" w:type="dxa"/>
            <w:vMerge w:val="continue"/>
            <w:vAlign w:val="center"/>
          </w:tcPr>
          <w:p>
            <w:pPr>
              <w:pStyle w:val="666"/>
              <w:spacing w:line="320" w:lineRule="exact"/>
              <w:rPr>
                <w:rFonts w:hint="default" w:ascii="Times New Roman" w:hAnsi="Times New Roman" w:cs="Times New Roman" w:eastAsiaTheme="minorEastAsia"/>
                <w:color w:val="auto"/>
                <w:highlight w:val="none"/>
              </w:rPr>
            </w:pPr>
          </w:p>
        </w:tc>
        <w:tc>
          <w:tcPr>
            <w:tcW w:w="708" w:type="dxa"/>
            <w:vMerge w:val="continue"/>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991" w:type="dxa"/>
            <w:vMerge w:val="continue"/>
            <w:tcBorders>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994" w:type="dxa"/>
            <w:tcBorders>
              <w:top w:val="single" w:color="auto" w:sz="2" w:space="0"/>
              <w:left w:val="single" w:color="auto" w:sz="4" w:space="0"/>
              <w:bottom w:val="single" w:color="auto" w:sz="2" w:space="0"/>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5.1</w:t>
            </w:r>
          </w:p>
        </w:tc>
        <w:tc>
          <w:tcPr>
            <w:tcW w:w="852" w:type="dxa"/>
            <w:tcBorders>
              <w:top w:val="single" w:color="auto" w:sz="2" w:space="0"/>
              <w:left w:val="single" w:color="auto" w:sz="4" w:space="0"/>
              <w:bottom w:val="single" w:color="auto" w:sz="2"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0.002</w:t>
            </w:r>
          </w:p>
        </w:tc>
        <w:tc>
          <w:tcPr>
            <w:tcW w:w="708" w:type="dxa"/>
            <w:vMerge w:val="continue"/>
            <w:tcBorders>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c>
          <w:tcPr>
            <w:tcW w:w="1296" w:type="dxa"/>
            <w:vMerge w:val="continue"/>
            <w:tcBorders>
              <w:lef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95" w:hRule="atLeast"/>
          <w:jc w:val="center"/>
        </w:trPr>
        <w:tc>
          <w:tcPr>
            <w:tcW w:w="626" w:type="dxa"/>
            <w:vMerge w:val="continue"/>
            <w:tcBorders>
              <w:bottom w:val="single" w:color="auto" w:sz="2"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661" w:type="dxa"/>
            <w:vMerge w:val="continue"/>
            <w:tcBorders>
              <w:bottom w:val="single" w:color="auto" w:sz="2"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805" w:type="dxa"/>
            <w:vMerge w:val="continue"/>
            <w:tcBorders>
              <w:bottom w:val="single" w:color="auto" w:sz="2" w:space="0"/>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852" w:type="dxa"/>
            <w:tcBorders>
              <w:top w:val="single" w:color="auto" w:sz="2" w:space="0"/>
              <w:left w:val="single" w:color="auto" w:sz="4" w:space="0"/>
              <w:bottom w:val="single" w:color="auto" w:sz="2"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TP</w:t>
            </w:r>
          </w:p>
        </w:tc>
        <w:tc>
          <w:tcPr>
            <w:tcW w:w="708" w:type="dxa"/>
            <w:vMerge w:val="continue"/>
            <w:tcBorders>
              <w:bottom w:val="single" w:color="auto" w:sz="2"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708" w:type="dxa"/>
            <w:vMerge w:val="continue"/>
            <w:tcBorders>
              <w:bottom w:val="single" w:color="auto" w:sz="2"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991" w:type="dxa"/>
            <w:vMerge w:val="continue"/>
            <w:tcBorders>
              <w:bottom w:val="single" w:color="auto" w:sz="2" w:space="0"/>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994" w:type="dxa"/>
            <w:tcBorders>
              <w:top w:val="single" w:color="auto" w:sz="2" w:space="0"/>
              <w:left w:val="single" w:color="auto" w:sz="4" w:space="0"/>
              <w:bottom w:val="single" w:color="auto" w:sz="2"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18.6</w:t>
            </w:r>
          </w:p>
        </w:tc>
        <w:tc>
          <w:tcPr>
            <w:tcW w:w="852" w:type="dxa"/>
            <w:tcBorders>
              <w:top w:val="single" w:color="auto" w:sz="2" w:space="0"/>
              <w:bottom w:val="single" w:color="auto" w:sz="2"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0.006</w:t>
            </w:r>
          </w:p>
        </w:tc>
        <w:tc>
          <w:tcPr>
            <w:tcW w:w="1133" w:type="dxa"/>
            <w:vMerge w:val="continue"/>
            <w:tcBorders>
              <w:bottom w:val="single" w:color="auto" w:sz="2" w:space="0"/>
            </w:tcBorders>
            <w:vAlign w:val="center"/>
          </w:tcPr>
          <w:p>
            <w:pPr>
              <w:pStyle w:val="666"/>
              <w:spacing w:line="320" w:lineRule="exact"/>
              <w:rPr>
                <w:rFonts w:hint="default" w:ascii="Times New Roman" w:hAnsi="Times New Roman" w:cs="Times New Roman" w:eastAsiaTheme="minorEastAsia"/>
                <w:color w:val="auto"/>
                <w:highlight w:val="none"/>
              </w:rPr>
            </w:pPr>
          </w:p>
        </w:tc>
        <w:tc>
          <w:tcPr>
            <w:tcW w:w="708" w:type="dxa"/>
            <w:vMerge w:val="continue"/>
            <w:tcBorders>
              <w:bottom w:val="single" w:color="auto" w:sz="2" w:space="0"/>
            </w:tcBorders>
            <w:vAlign w:val="center"/>
          </w:tcPr>
          <w:p>
            <w:pPr>
              <w:pStyle w:val="666"/>
              <w:spacing w:line="320" w:lineRule="exact"/>
              <w:rPr>
                <w:rFonts w:hint="default" w:ascii="Times New Roman" w:hAnsi="Times New Roman" w:cs="Times New Roman" w:eastAsiaTheme="minorEastAsia"/>
                <w:color w:val="auto"/>
                <w:highlight w:val="none"/>
              </w:rPr>
            </w:pPr>
          </w:p>
        </w:tc>
        <w:tc>
          <w:tcPr>
            <w:tcW w:w="991" w:type="dxa"/>
            <w:vMerge w:val="continue"/>
            <w:tcBorders>
              <w:bottom w:val="single" w:color="auto" w:sz="2" w:space="0"/>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c>
          <w:tcPr>
            <w:tcW w:w="994" w:type="dxa"/>
            <w:tcBorders>
              <w:top w:val="single" w:color="auto" w:sz="2" w:space="0"/>
              <w:left w:val="single" w:color="auto" w:sz="4" w:space="0"/>
              <w:bottom w:val="single" w:color="auto" w:sz="2" w:space="0"/>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1.86</w:t>
            </w:r>
          </w:p>
        </w:tc>
        <w:tc>
          <w:tcPr>
            <w:tcW w:w="852" w:type="dxa"/>
            <w:tcBorders>
              <w:top w:val="single" w:color="auto" w:sz="2" w:space="0"/>
              <w:left w:val="single" w:color="auto" w:sz="4" w:space="0"/>
              <w:bottom w:val="single" w:color="auto" w:sz="2"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0.0006</w:t>
            </w:r>
          </w:p>
        </w:tc>
        <w:tc>
          <w:tcPr>
            <w:tcW w:w="708" w:type="dxa"/>
            <w:vMerge w:val="continue"/>
            <w:tcBorders>
              <w:bottom w:val="single" w:color="auto" w:sz="2" w:space="0"/>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c>
          <w:tcPr>
            <w:tcW w:w="1296" w:type="dxa"/>
            <w:vMerge w:val="continue"/>
            <w:tcBorders>
              <w:lef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19" w:hRule="atLeast"/>
          <w:jc w:val="center"/>
        </w:trPr>
        <w:tc>
          <w:tcPr>
            <w:tcW w:w="626" w:type="dxa"/>
            <w:vMerge w:val="restart"/>
            <w:tcBorders>
              <w:top w:val="single" w:color="auto" w:sz="2" w:space="0"/>
              <w:bottom w:val="single" w:color="auto" w:sz="6"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W4</w:t>
            </w:r>
          </w:p>
        </w:tc>
        <w:tc>
          <w:tcPr>
            <w:tcW w:w="661" w:type="dxa"/>
            <w:vMerge w:val="restart"/>
            <w:tcBorders>
              <w:top w:val="single" w:color="auto" w:sz="2" w:space="0"/>
              <w:bottom w:val="single" w:color="auto" w:sz="6"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挤奶厅</w:t>
            </w:r>
          </w:p>
        </w:tc>
        <w:tc>
          <w:tcPr>
            <w:tcW w:w="805" w:type="dxa"/>
            <w:vMerge w:val="restart"/>
            <w:tcBorders>
              <w:top w:val="single" w:color="auto" w:sz="2" w:space="0"/>
              <w:bottom w:val="single" w:color="auto" w:sz="6" w:space="0"/>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挤奶厅清洗废水</w:t>
            </w:r>
          </w:p>
        </w:tc>
        <w:tc>
          <w:tcPr>
            <w:tcW w:w="852" w:type="dxa"/>
            <w:tcBorders>
              <w:top w:val="single" w:color="auto" w:sz="2" w:space="0"/>
              <w:left w:val="single" w:color="auto" w:sz="4" w:space="0"/>
              <w:bottom w:val="single" w:color="auto" w:sz="6"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COD</w:t>
            </w:r>
          </w:p>
        </w:tc>
        <w:tc>
          <w:tcPr>
            <w:tcW w:w="708" w:type="dxa"/>
            <w:vMerge w:val="restart"/>
            <w:tcBorders>
              <w:top w:val="single" w:color="auto" w:sz="2" w:space="0"/>
              <w:bottom w:val="single" w:color="auto" w:sz="6"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间断</w:t>
            </w:r>
          </w:p>
        </w:tc>
        <w:tc>
          <w:tcPr>
            <w:tcW w:w="708" w:type="dxa"/>
            <w:vMerge w:val="restart"/>
            <w:tcBorders>
              <w:top w:val="single" w:color="auto" w:sz="2" w:space="0"/>
              <w:bottom w:val="single" w:color="auto" w:sz="6"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产污系数</w:t>
            </w:r>
          </w:p>
        </w:tc>
        <w:tc>
          <w:tcPr>
            <w:tcW w:w="991" w:type="dxa"/>
            <w:vMerge w:val="restart"/>
            <w:tcBorders>
              <w:top w:val="single" w:color="auto" w:sz="2" w:space="0"/>
              <w:bottom w:val="single" w:color="auto" w:sz="6" w:space="0"/>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0.9</w:t>
            </w:r>
          </w:p>
        </w:tc>
        <w:tc>
          <w:tcPr>
            <w:tcW w:w="994" w:type="dxa"/>
            <w:tcBorders>
              <w:top w:val="single" w:color="auto" w:sz="2" w:space="0"/>
              <w:left w:val="single" w:color="auto" w:sz="4" w:space="0"/>
              <w:bottom w:val="single" w:color="auto" w:sz="6"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983</w:t>
            </w:r>
          </w:p>
        </w:tc>
        <w:tc>
          <w:tcPr>
            <w:tcW w:w="852" w:type="dxa"/>
            <w:tcBorders>
              <w:top w:val="single" w:color="auto" w:sz="2" w:space="0"/>
              <w:bottom w:val="single" w:color="auto" w:sz="6"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0.037</w:t>
            </w:r>
          </w:p>
        </w:tc>
        <w:tc>
          <w:tcPr>
            <w:tcW w:w="1133" w:type="dxa"/>
            <w:vMerge w:val="restart"/>
            <w:tcBorders>
              <w:top w:val="single" w:color="auto" w:sz="2" w:space="0"/>
              <w:bottom w:val="single" w:color="auto" w:sz="6"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黑膜沼气池90%</w:t>
            </w:r>
          </w:p>
        </w:tc>
        <w:tc>
          <w:tcPr>
            <w:tcW w:w="708" w:type="dxa"/>
            <w:vMerge w:val="restart"/>
            <w:tcBorders>
              <w:top w:val="single" w:color="auto" w:sz="2" w:space="0"/>
              <w:bottom w:val="single" w:color="auto" w:sz="6"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产污系数</w:t>
            </w:r>
          </w:p>
        </w:tc>
        <w:tc>
          <w:tcPr>
            <w:tcW w:w="991" w:type="dxa"/>
            <w:vMerge w:val="restart"/>
            <w:tcBorders>
              <w:top w:val="single" w:color="auto" w:sz="2" w:space="0"/>
              <w:bottom w:val="single" w:color="auto" w:sz="6" w:space="0"/>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0.9</w:t>
            </w:r>
          </w:p>
        </w:tc>
        <w:tc>
          <w:tcPr>
            <w:tcW w:w="994" w:type="dxa"/>
            <w:tcBorders>
              <w:top w:val="single" w:color="auto" w:sz="2" w:space="0"/>
              <w:left w:val="single" w:color="auto" w:sz="4" w:space="0"/>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98.3</w:t>
            </w:r>
          </w:p>
        </w:tc>
        <w:tc>
          <w:tcPr>
            <w:tcW w:w="852" w:type="dxa"/>
            <w:tcBorders>
              <w:top w:val="single" w:color="auto" w:sz="2" w:space="0"/>
              <w:lef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0.004</w:t>
            </w:r>
          </w:p>
        </w:tc>
        <w:tc>
          <w:tcPr>
            <w:tcW w:w="708" w:type="dxa"/>
            <w:vMerge w:val="restart"/>
            <w:tcBorders>
              <w:top w:val="single" w:color="auto" w:sz="2" w:space="0"/>
              <w:bottom w:val="single" w:color="auto" w:sz="6" w:space="0"/>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365d/a</w:t>
            </w:r>
          </w:p>
        </w:tc>
        <w:tc>
          <w:tcPr>
            <w:tcW w:w="1296" w:type="dxa"/>
            <w:vMerge w:val="continue"/>
            <w:tcBorders>
              <w:left w:val="single" w:color="auto" w:sz="4" w:space="0"/>
              <w:bottom w:val="single" w:color="auto" w:sz="6" w:space="0"/>
            </w:tcBorders>
            <w:vAlign w:val="center"/>
          </w:tcPr>
          <w:p>
            <w:pPr>
              <w:pStyle w:val="666"/>
              <w:spacing w:line="320" w:lineRule="exact"/>
              <w:rPr>
                <w:rFonts w:hint="default" w:ascii="Times New Roman" w:hAnsi="Times New Roman" w:cs="Times New Roman"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2" w:hRule="atLeast"/>
          <w:jc w:val="center"/>
        </w:trPr>
        <w:tc>
          <w:tcPr>
            <w:tcW w:w="626" w:type="dxa"/>
            <w:vMerge w:val="continue"/>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661" w:type="dxa"/>
            <w:vMerge w:val="continue"/>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805" w:type="dxa"/>
            <w:vMerge w:val="continue"/>
            <w:tcBorders>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852" w:type="dxa"/>
            <w:tcBorders>
              <w:top w:val="single" w:color="auto" w:sz="2" w:space="0"/>
              <w:left w:val="single" w:color="auto" w:sz="4" w:space="0"/>
              <w:bottom w:val="single" w:color="auto" w:sz="2"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NH</w:t>
            </w:r>
            <w:r>
              <w:rPr>
                <w:rFonts w:hint="default" w:ascii="Times New Roman" w:hAnsi="Times New Roman" w:cs="Times New Roman" w:eastAsiaTheme="minorEastAsia"/>
                <w:color w:val="auto"/>
                <w:highlight w:val="none"/>
                <w:vertAlign w:val="subscript"/>
              </w:rPr>
              <w:t>3</w:t>
            </w:r>
            <w:r>
              <w:rPr>
                <w:rFonts w:hint="default" w:ascii="Times New Roman" w:hAnsi="Times New Roman" w:cs="Times New Roman" w:eastAsiaTheme="minorEastAsia"/>
                <w:color w:val="auto"/>
                <w:highlight w:val="none"/>
              </w:rPr>
              <w:t>-N</w:t>
            </w:r>
          </w:p>
        </w:tc>
        <w:tc>
          <w:tcPr>
            <w:tcW w:w="708" w:type="dxa"/>
            <w:vMerge w:val="continue"/>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708" w:type="dxa"/>
            <w:vMerge w:val="continue"/>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991" w:type="dxa"/>
            <w:vMerge w:val="continue"/>
            <w:tcBorders>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994" w:type="dxa"/>
            <w:tcBorders>
              <w:top w:val="single" w:color="auto" w:sz="2" w:space="0"/>
              <w:left w:val="single" w:color="auto" w:sz="4" w:space="0"/>
              <w:bottom w:val="single" w:color="auto" w:sz="2"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51</w:t>
            </w:r>
          </w:p>
        </w:tc>
        <w:tc>
          <w:tcPr>
            <w:tcW w:w="852" w:type="dxa"/>
            <w:tcBorders>
              <w:top w:val="single" w:color="auto" w:sz="2" w:space="0"/>
              <w:bottom w:val="single" w:color="auto" w:sz="2"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0.002</w:t>
            </w:r>
          </w:p>
        </w:tc>
        <w:tc>
          <w:tcPr>
            <w:tcW w:w="1133" w:type="dxa"/>
            <w:vMerge w:val="continue"/>
            <w:vAlign w:val="center"/>
          </w:tcPr>
          <w:p>
            <w:pPr>
              <w:pStyle w:val="666"/>
              <w:spacing w:line="320" w:lineRule="exact"/>
              <w:rPr>
                <w:rFonts w:hint="default" w:ascii="Times New Roman" w:hAnsi="Times New Roman" w:cs="Times New Roman" w:eastAsiaTheme="minorEastAsia"/>
                <w:color w:val="auto"/>
                <w:highlight w:val="none"/>
              </w:rPr>
            </w:pPr>
          </w:p>
        </w:tc>
        <w:tc>
          <w:tcPr>
            <w:tcW w:w="708" w:type="dxa"/>
            <w:vMerge w:val="continue"/>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991" w:type="dxa"/>
            <w:vMerge w:val="continue"/>
            <w:tcBorders>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994" w:type="dxa"/>
            <w:tcBorders>
              <w:top w:val="single" w:color="auto" w:sz="2" w:space="0"/>
              <w:left w:val="single" w:color="auto" w:sz="4" w:space="0"/>
              <w:bottom w:val="single" w:color="auto" w:sz="2" w:space="0"/>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5.1</w:t>
            </w:r>
          </w:p>
        </w:tc>
        <w:tc>
          <w:tcPr>
            <w:tcW w:w="852" w:type="dxa"/>
            <w:tcBorders>
              <w:top w:val="single" w:color="auto" w:sz="2" w:space="0"/>
              <w:left w:val="single" w:color="auto" w:sz="4" w:space="0"/>
              <w:bottom w:val="single" w:color="auto" w:sz="2"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0.0001</w:t>
            </w:r>
          </w:p>
        </w:tc>
        <w:tc>
          <w:tcPr>
            <w:tcW w:w="708" w:type="dxa"/>
            <w:vMerge w:val="continue"/>
            <w:tcBorders>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c>
          <w:tcPr>
            <w:tcW w:w="1296" w:type="dxa"/>
            <w:vMerge w:val="continue"/>
            <w:tcBorders>
              <w:lef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04" w:hRule="atLeast"/>
          <w:jc w:val="center"/>
        </w:trPr>
        <w:tc>
          <w:tcPr>
            <w:tcW w:w="626" w:type="dxa"/>
            <w:vMerge w:val="continue"/>
            <w:tcBorders>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661" w:type="dxa"/>
            <w:vMerge w:val="continue"/>
            <w:tcBorders>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805" w:type="dxa"/>
            <w:vMerge w:val="continue"/>
            <w:tcBorders>
              <w:bottom w:val="single" w:color="auto" w:sz="4" w:space="0"/>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852" w:type="dxa"/>
            <w:tcBorders>
              <w:top w:val="single" w:color="auto" w:sz="2" w:space="0"/>
              <w:left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TP</w:t>
            </w:r>
          </w:p>
        </w:tc>
        <w:tc>
          <w:tcPr>
            <w:tcW w:w="708" w:type="dxa"/>
            <w:vMerge w:val="continue"/>
            <w:tcBorders>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708" w:type="dxa"/>
            <w:vMerge w:val="continue"/>
            <w:tcBorders>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991" w:type="dxa"/>
            <w:vMerge w:val="continue"/>
            <w:tcBorders>
              <w:bottom w:val="single" w:color="auto" w:sz="4" w:space="0"/>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994" w:type="dxa"/>
            <w:tcBorders>
              <w:top w:val="single" w:color="auto" w:sz="2" w:space="0"/>
              <w:left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18.6</w:t>
            </w:r>
          </w:p>
        </w:tc>
        <w:tc>
          <w:tcPr>
            <w:tcW w:w="852" w:type="dxa"/>
            <w:tcBorders>
              <w:top w:val="single" w:color="auto" w:sz="2"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0.0001</w:t>
            </w:r>
          </w:p>
        </w:tc>
        <w:tc>
          <w:tcPr>
            <w:tcW w:w="1133" w:type="dxa"/>
            <w:vMerge w:val="continue"/>
            <w:tcBorders>
              <w:bottom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c>
          <w:tcPr>
            <w:tcW w:w="708" w:type="dxa"/>
            <w:vMerge w:val="continue"/>
            <w:tcBorders>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991" w:type="dxa"/>
            <w:vMerge w:val="continue"/>
            <w:tcBorders>
              <w:bottom w:val="single" w:color="auto" w:sz="4" w:space="0"/>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p>
        </w:tc>
        <w:tc>
          <w:tcPr>
            <w:tcW w:w="994" w:type="dxa"/>
            <w:tcBorders>
              <w:top w:val="single" w:color="auto" w:sz="2" w:space="0"/>
              <w:left w:val="single" w:color="auto" w:sz="4" w:space="0"/>
              <w:bottom w:val="single" w:color="auto" w:sz="4" w:space="0"/>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1.86</w:t>
            </w:r>
          </w:p>
        </w:tc>
        <w:tc>
          <w:tcPr>
            <w:tcW w:w="852" w:type="dxa"/>
            <w:tcBorders>
              <w:top w:val="single" w:color="auto" w:sz="2" w:space="0"/>
              <w:left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10"/>
                <w:highlight w:val="none"/>
              </w:rPr>
            </w:pPr>
            <w:r>
              <w:rPr>
                <w:rFonts w:hint="default" w:ascii="Times New Roman" w:hAnsi="Times New Roman" w:cs="Times New Roman" w:eastAsiaTheme="minorEastAsia"/>
                <w:color w:val="auto"/>
                <w:spacing w:val="-10"/>
                <w:highlight w:val="none"/>
              </w:rPr>
              <w:t>0.0001</w:t>
            </w:r>
          </w:p>
        </w:tc>
        <w:tc>
          <w:tcPr>
            <w:tcW w:w="708" w:type="dxa"/>
            <w:vMerge w:val="continue"/>
            <w:tcBorders>
              <w:bottom w:val="single" w:color="auto" w:sz="4" w:space="0"/>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c>
          <w:tcPr>
            <w:tcW w:w="1296" w:type="dxa"/>
            <w:vMerge w:val="continue"/>
            <w:tcBorders>
              <w:lef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26" w:type="dxa"/>
            <w:vMerge w:val="restart"/>
            <w:tcBorders>
              <w:bottom w:val="single" w:color="auto" w:sz="6"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W5</w:t>
            </w:r>
          </w:p>
        </w:tc>
        <w:tc>
          <w:tcPr>
            <w:tcW w:w="661" w:type="dxa"/>
            <w:vMerge w:val="restart"/>
            <w:tcBorders>
              <w:bottom w:val="single" w:color="auto" w:sz="6"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办公</w:t>
            </w:r>
          </w:p>
        </w:tc>
        <w:tc>
          <w:tcPr>
            <w:tcW w:w="805" w:type="dxa"/>
            <w:vMerge w:val="restart"/>
            <w:tcBorders>
              <w:bottom w:val="single" w:color="auto" w:sz="6" w:space="0"/>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生活污水</w:t>
            </w:r>
          </w:p>
        </w:tc>
        <w:tc>
          <w:tcPr>
            <w:tcW w:w="852" w:type="dxa"/>
            <w:tcBorders>
              <w:left w:val="single" w:color="auto" w:sz="4" w:space="0"/>
              <w:bottom w:val="single" w:color="auto" w:sz="6" w:space="0"/>
            </w:tcBorders>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COD</w:t>
            </w:r>
          </w:p>
        </w:tc>
        <w:tc>
          <w:tcPr>
            <w:tcW w:w="708" w:type="dxa"/>
            <w:vMerge w:val="restart"/>
            <w:tcBorders>
              <w:bottom w:val="single" w:color="auto" w:sz="6"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间断</w:t>
            </w:r>
          </w:p>
        </w:tc>
        <w:tc>
          <w:tcPr>
            <w:tcW w:w="708" w:type="dxa"/>
            <w:vMerge w:val="restart"/>
            <w:tcBorders>
              <w:bottom w:val="single" w:color="auto" w:sz="6"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产污系数</w:t>
            </w:r>
          </w:p>
        </w:tc>
        <w:tc>
          <w:tcPr>
            <w:tcW w:w="991" w:type="dxa"/>
            <w:vMerge w:val="restart"/>
            <w:tcBorders>
              <w:bottom w:val="single" w:color="auto" w:sz="6" w:space="0"/>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
                <w:highlight w:val="none"/>
              </w:rPr>
            </w:pPr>
            <w:r>
              <w:rPr>
                <w:rFonts w:hint="default" w:ascii="Times New Roman" w:hAnsi="Times New Roman" w:cs="Times New Roman" w:eastAsiaTheme="minorEastAsia"/>
                <w:color w:val="auto"/>
                <w:highlight w:val="none"/>
              </w:rPr>
              <w:t>1.28</w:t>
            </w:r>
          </w:p>
        </w:tc>
        <w:tc>
          <w:tcPr>
            <w:tcW w:w="994" w:type="dxa"/>
            <w:tcBorders>
              <w:left w:val="single" w:color="auto" w:sz="4" w:space="0"/>
            </w:tcBorders>
            <w:vAlign w:val="center"/>
          </w:tcPr>
          <w:p>
            <w:pPr>
              <w:pStyle w:val="666"/>
              <w:spacing w:line="320" w:lineRule="exact"/>
              <w:rPr>
                <w:rFonts w:hint="default" w:ascii="Times New Roman" w:hAnsi="Times New Roman" w:cs="Times New Roman" w:eastAsiaTheme="minorEastAsia"/>
                <w:color w:val="auto"/>
                <w:spacing w:val="-1"/>
                <w:highlight w:val="none"/>
              </w:rPr>
            </w:pPr>
            <w:r>
              <w:rPr>
                <w:rFonts w:hint="default" w:ascii="Times New Roman" w:hAnsi="Times New Roman" w:cs="Times New Roman" w:eastAsiaTheme="minorEastAsia"/>
                <w:color w:val="auto"/>
                <w:spacing w:val="-1"/>
                <w:highlight w:val="none"/>
              </w:rPr>
              <w:t>300</w:t>
            </w:r>
          </w:p>
        </w:tc>
        <w:tc>
          <w:tcPr>
            <w:tcW w:w="852" w:type="dxa"/>
            <w:tcBorders>
              <w:bottom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0.016</w:t>
            </w:r>
          </w:p>
        </w:tc>
        <w:tc>
          <w:tcPr>
            <w:tcW w:w="1133" w:type="dxa"/>
            <w:vMerge w:val="restart"/>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黑膜沼气池90%</w:t>
            </w:r>
          </w:p>
        </w:tc>
        <w:tc>
          <w:tcPr>
            <w:tcW w:w="708" w:type="dxa"/>
            <w:vMerge w:val="restart"/>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产污系数</w:t>
            </w:r>
          </w:p>
        </w:tc>
        <w:tc>
          <w:tcPr>
            <w:tcW w:w="991" w:type="dxa"/>
            <w:vMerge w:val="restart"/>
            <w:tcBorders>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
                <w:highlight w:val="none"/>
              </w:rPr>
            </w:pPr>
            <w:r>
              <w:rPr>
                <w:rFonts w:hint="default" w:ascii="Times New Roman" w:hAnsi="Times New Roman" w:cs="Times New Roman" w:eastAsiaTheme="minorEastAsia"/>
                <w:color w:val="auto"/>
                <w:highlight w:val="none"/>
              </w:rPr>
              <w:t>1.28</w:t>
            </w:r>
          </w:p>
        </w:tc>
        <w:tc>
          <w:tcPr>
            <w:tcW w:w="994" w:type="dxa"/>
            <w:tcBorders>
              <w:left w:val="single" w:color="auto" w:sz="4" w:space="0"/>
              <w:bottom w:val="single" w:color="auto" w:sz="4" w:space="0"/>
              <w:right w:val="single" w:color="auto" w:sz="4" w:space="0"/>
            </w:tcBorders>
            <w:vAlign w:val="center"/>
          </w:tcPr>
          <w:p>
            <w:pPr>
              <w:pStyle w:val="666"/>
              <w:spacing w:line="320" w:lineRule="exact"/>
              <w:rPr>
                <w:rFonts w:hint="default" w:ascii="Times New Roman" w:hAnsi="Times New Roman" w:cs="Times New Roman" w:eastAsiaTheme="minorEastAsia"/>
                <w:color w:val="auto"/>
                <w:spacing w:val="-1"/>
                <w:highlight w:val="none"/>
              </w:rPr>
            </w:pPr>
            <w:r>
              <w:rPr>
                <w:rFonts w:hint="default" w:ascii="Times New Roman" w:hAnsi="Times New Roman" w:cs="Times New Roman" w:eastAsiaTheme="minorEastAsia"/>
                <w:color w:val="auto"/>
                <w:spacing w:val="-1"/>
                <w:highlight w:val="none"/>
              </w:rPr>
              <w:t>30</w:t>
            </w:r>
          </w:p>
        </w:tc>
        <w:tc>
          <w:tcPr>
            <w:tcW w:w="852" w:type="dxa"/>
            <w:tcBorders>
              <w:left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0.002</w:t>
            </w:r>
          </w:p>
        </w:tc>
        <w:tc>
          <w:tcPr>
            <w:tcW w:w="708" w:type="dxa"/>
            <w:vMerge w:val="restart"/>
            <w:tcBorders>
              <w:bottom w:val="single" w:color="auto" w:sz="6" w:space="0"/>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365d/a</w:t>
            </w:r>
          </w:p>
        </w:tc>
        <w:tc>
          <w:tcPr>
            <w:tcW w:w="1296" w:type="dxa"/>
            <w:vMerge w:val="continue"/>
            <w:tcBorders>
              <w:lef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24" w:hRule="atLeast"/>
          <w:jc w:val="center"/>
        </w:trPr>
        <w:tc>
          <w:tcPr>
            <w:tcW w:w="626" w:type="dxa"/>
            <w:vMerge w:val="continue"/>
            <w:vAlign w:val="center"/>
          </w:tcPr>
          <w:p>
            <w:pPr>
              <w:pStyle w:val="666"/>
              <w:spacing w:line="320" w:lineRule="exact"/>
              <w:rPr>
                <w:rFonts w:hint="default" w:ascii="Times New Roman" w:hAnsi="Times New Roman" w:cs="Times New Roman" w:eastAsiaTheme="minorEastAsia"/>
                <w:color w:val="auto"/>
                <w:highlight w:val="none"/>
              </w:rPr>
            </w:pPr>
          </w:p>
        </w:tc>
        <w:tc>
          <w:tcPr>
            <w:tcW w:w="661" w:type="dxa"/>
            <w:vMerge w:val="continue"/>
            <w:vAlign w:val="center"/>
          </w:tcPr>
          <w:p>
            <w:pPr>
              <w:pStyle w:val="666"/>
              <w:spacing w:line="320" w:lineRule="exact"/>
              <w:rPr>
                <w:rFonts w:hint="default" w:ascii="Times New Roman" w:hAnsi="Times New Roman" w:cs="Times New Roman" w:eastAsiaTheme="minorEastAsia"/>
                <w:color w:val="auto"/>
                <w:highlight w:val="none"/>
              </w:rPr>
            </w:pPr>
          </w:p>
        </w:tc>
        <w:tc>
          <w:tcPr>
            <w:tcW w:w="805" w:type="dxa"/>
            <w:vMerge w:val="continue"/>
            <w:tcBorders>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c>
          <w:tcPr>
            <w:tcW w:w="852" w:type="dxa"/>
            <w:tcBorders>
              <w:top w:val="single" w:color="auto" w:sz="4" w:space="0"/>
              <w:left w:val="single" w:color="auto" w:sz="4" w:space="0"/>
              <w:bottom w:val="single" w:color="auto" w:sz="4" w:space="0"/>
            </w:tcBorders>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BOD</w:t>
            </w:r>
            <w:r>
              <w:rPr>
                <w:rFonts w:hint="default" w:ascii="Times New Roman" w:hAnsi="Times New Roman" w:cs="Times New Roman" w:eastAsiaTheme="minorEastAsia"/>
                <w:color w:val="auto"/>
                <w:highlight w:val="none"/>
                <w:vertAlign w:val="subscript"/>
              </w:rPr>
              <w:t>5</w:t>
            </w:r>
          </w:p>
        </w:tc>
        <w:tc>
          <w:tcPr>
            <w:tcW w:w="708" w:type="dxa"/>
            <w:vMerge w:val="continue"/>
            <w:vAlign w:val="center"/>
          </w:tcPr>
          <w:p>
            <w:pPr>
              <w:pStyle w:val="666"/>
              <w:spacing w:line="320" w:lineRule="exact"/>
              <w:rPr>
                <w:rFonts w:hint="default" w:ascii="Times New Roman" w:hAnsi="Times New Roman" w:cs="Times New Roman" w:eastAsiaTheme="minorEastAsia"/>
                <w:color w:val="auto"/>
                <w:highlight w:val="none"/>
              </w:rPr>
            </w:pPr>
          </w:p>
        </w:tc>
        <w:tc>
          <w:tcPr>
            <w:tcW w:w="708" w:type="dxa"/>
            <w:vMerge w:val="continue"/>
            <w:vAlign w:val="center"/>
          </w:tcPr>
          <w:p>
            <w:pPr>
              <w:pStyle w:val="666"/>
              <w:spacing w:line="320" w:lineRule="exact"/>
              <w:rPr>
                <w:rFonts w:hint="default" w:ascii="Times New Roman" w:hAnsi="Times New Roman" w:cs="Times New Roman" w:eastAsiaTheme="minorEastAsia"/>
                <w:color w:val="auto"/>
                <w:highlight w:val="none"/>
              </w:rPr>
            </w:pPr>
          </w:p>
        </w:tc>
        <w:tc>
          <w:tcPr>
            <w:tcW w:w="991" w:type="dxa"/>
            <w:vMerge w:val="continue"/>
            <w:tcBorders>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c>
          <w:tcPr>
            <w:tcW w:w="994" w:type="dxa"/>
            <w:tcBorders>
              <w:top w:val="single" w:color="auto" w:sz="4" w:space="0"/>
              <w:left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200</w:t>
            </w:r>
          </w:p>
        </w:tc>
        <w:tc>
          <w:tcPr>
            <w:tcW w:w="852"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0.011</w:t>
            </w:r>
          </w:p>
        </w:tc>
        <w:tc>
          <w:tcPr>
            <w:tcW w:w="1133" w:type="dxa"/>
            <w:vMerge w:val="continue"/>
            <w:vAlign w:val="center"/>
          </w:tcPr>
          <w:p>
            <w:pPr>
              <w:pStyle w:val="666"/>
              <w:spacing w:line="320" w:lineRule="exact"/>
              <w:rPr>
                <w:rFonts w:hint="default" w:ascii="Times New Roman" w:hAnsi="Times New Roman" w:cs="Times New Roman" w:eastAsiaTheme="minorEastAsia"/>
                <w:color w:val="auto"/>
                <w:highlight w:val="none"/>
              </w:rPr>
            </w:pPr>
          </w:p>
        </w:tc>
        <w:tc>
          <w:tcPr>
            <w:tcW w:w="708" w:type="dxa"/>
            <w:vMerge w:val="continue"/>
            <w:vAlign w:val="center"/>
          </w:tcPr>
          <w:p>
            <w:pPr>
              <w:pStyle w:val="666"/>
              <w:spacing w:line="320" w:lineRule="exact"/>
              <w:rPr>
                <w:rFonts w:hint="default" w:ascii="Times New Roman" w:hAnsi="Times New Roman" w:cs="Times New Roman" w:eastAsiaTheme="minorEastAsia"/>
                <w:color w:val="auto"/>
                <w:highlight w:val="none"/>
              </w:rPr>
            </w:pPr>
          </w:p>
        </w:tc>
        <w:tc>
          <w:tcPr>
            <w:tcW w:w="991" w:type="dxa"/>
            <w:vMerge w:val="continue"/>
            <w:tcBorders>
              <w:right w:val="single" w:color="auto" w:sz="4" w:space="0"/>
            </w:tcBorders>
            <w:vAlign w:val="center"/>
          </w:tcPr>
          <w:p>
            <w:pPr>
              <w:pStyle w:val="666"/>
              <w:spacing w:line="320" w:lineRule="exact"/>
              <w:jc w:val="both"/>
              <w:rPr>
                <w:rFonts w:hint="default" w:ascii="Times New Roman" w:hAnsi="Times New Roman" w:cs="Times New Roman" w:eastAsiaTheme="minorEastAsia"/>
                <w:color w:val="auto"/>
                <w:highlight w:val="none"/>
              </w:rPr>
            </w:pPr>
          </w:p>
        </w:tc>
        <w:tc>
          <w:tcPr>
            <w:tcW w:w="994" w:type="dxa"/>
            <w:tcBorders>
              <w:top w:val="single" w:color="auto" w:sz="4" w:space="0"/>
              <w:left w:val="single" w:color="auto" w:sz="4" w:space="0"/>
              <w:bottom w:val="single" w:color="auto" w:sz="4" w:space="0"/>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20</w:t>
            </w:r>
          </w:p>
        </w:tc>
        <w:tc>
          <w:tcPr>
            <w:tcW w:w="852" w:type="dxa"/>
            <w:tcBorders>
              <w:top w:val="single" w:color="auto" w:sz="4" w:space="0"/>
              <w:left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0.001</w:t>
            </w:r>
          </w:p>
        </w:tc>
        <w:tc>
          <w:tcPr>
            <w:tcW w:w="708" w:type="dxa"/>
            <w:vMerge w:val="continue"/>
            <w:tcBorders>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c>
          <w:tcPr>
            <w:tcW w:w="1296" w:type="dxa"/>
            <w:vMerge w:val="continue"/>
            <w:tcBorders>
              <w:lef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5" w:hRule="atLeast"/>
          <w:jc w:val="center"/>
        </w:trPr>
        <w:tc>
          <w:tcPr>
            <w:tcW w:w="626" w:type="dxa"/>
            <w:vMerge w:val="continue"/>
            <w:vAlign w:val="center"/>
          </w:tcPr>
          <w:p>
            <w:pPr>
              <w:pStyle w:val="666"/>
              <w:spacing w:line="320" w:lineRule="exact"/>
              <w:rPr>
                <w:rFonts w:hint="default" w:ascii="Times New Roman" w:hAnsi="Times New Roman" w:cs="Times New Roman" w:eastAsiaTheme="minorEastAsia"/>
                <w:color w:val="auto"/>
                <w:highlight w:val="none"/>
              </w:rPr>
            </w:pPr>
          </w:p>
        </w:tc>
        <w:tc>
          <w:tcPr>
            <w:tcW w:w="661" w:type="dxa"/>
            <w:vMerge w:val="continue"/>
            <w:vAlign w:val="center"/>
          </w:tcPr>
          <w:p>
            <w:pPr>
              <w:pStyle w:val="666"/>
              <w:spacing w:line="320" w:lineRule="exact"/>
              <w:rPr>
                <w:rFonts w:hint="default" w:ascii="Times New Roman" w:hAnsi="Times New Roman" w:cs="Times New Roman" w:eastAsiaTheme="minorEastAsia"/>
                <w:color w:val="auto"/>
                <w:highlight w:val="none"/>
              </w:rPr>
            </w:pPr>
          </w:p>
        </w:tc>
        <w:tc>
          <w:tcPr>
            <w:tcW w:w="805" w:type="dxa"/>
            <w:vMerge w:val="continue"/>
            <w:tcBorders>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c>
          <w:tcPr>
            <w:tcW w:w="852" w:type="dxa"/>
            <w:tcBorders>
              <w:top w:val="single" w:color="auto" w:sz="4" w:space="0"/>
              <w:left w:val="single" w:color="auto" w:sz="4" w:space="0"/>
              <w:bottom w:val="single" w:color="auto" w:sz="4" w:space="0"/>
            </w:tcBorders>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SS</w:t>
            </w:r>
          </w:p>
        </w:tc>
        <w:tc>
          <w:tcPr>
            <w:tcW w:w="708" w:type="dxa"/>
            <w:vMerge w:val="continue"/>
            <w:vAlign w:val="center"/>
          </w:tcPr>
          <w:p>
            <w:pPr>
              <w:pStyle w:val="666"/>
              <w:spacing w:line="320" w:lineRule="exact"/>
              <w:rPr>
                <w:rFonts w:hint="default" w:ascii="Times New Roman" w:hAnsi="Times New Roman" w:cs="Times New Roman" w:eastAsiaTheme="minorEastAsia"/>
                <w:color w:val="auto"/>
                <w:highlight w:val="none"/>
              </w:rPr>
            </w:pPr>
          </w:p>
        </w:tc>
        <w:tc>
          <w:tcPr>
            <w:tcW w:w="708" w:type="dxa"/>
            <w:vMerge w:val="continue"/>
            <w:vAlign w:val="center"/>
          </w:tcPr>
          <w:p>
            <w:pPr>
              <w:pStyle w:val="666"/>
              <w:spacing w:line="320" w:lineRule="exact"/>
              <w:rPr>
                <w:rFonts w:hint="default" w:ascii="Times New Roman" w:hAnsi="Times New Roman" w:cs="Times New Roman" w:eastAsiaTheme="minorEastAsia"/>
                <w:color w:val="auto"/>
                <w:highlight w:val="none"/>
              </w:rPr>
            </w:pPr>
          </w:p>
        </w:tc>
        <w:tc>
          <w:tcPr>
            <w:tcW w:w="991" w:type="dxa"/>
            <w:vMerge w:val="continue"/>
            <w:tcBorders>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c>
          <w:tcPr>
            <w:tcW w:w="994" w:type="dxa"/>
            <w:tcBorders>
              <w:top w:val="single" w:color="auto" w:sz="4" w:space="0"/>
              <w:left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200</w:t>
            </w:r>
          </w:p>
        </w:tc>
        <w:tc>
          <w:tcPr>
            <w:tcW w:w="852"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0.011</w:t>
            </w:r>
          </w:p>
        </w:tc>
        <w:tc>
          <w:tcPr>
            <w:tcW w:w="1133" w:type="dxa"/>
            <w:vMerge w:val="continue"/>
            <w:vAlign w:val="center"/>
          </w:tcPr>
          <w:p>
            <w:pPr>
              <w:pStyle w:val="666"/>
              <w:spacing w:line="320" w:lineRule="exact"/>
              <w:rPr>
                <w:rFonts w:hint="default" w:ascii="Times New Roman" w:hAnsi="Times New Roman" w:cs="Times New Roman" w:eastAsiaTheme="minorEastAsia"/>
                <w:color w:val="auto"/>
                <w:highlight w:val="none"/>
              </w:rPr>
            </w:pPr>
          </w:p>
        </w:tc>
        <w:tc>
          <w:tcPr>
            <w:tcW w:w="708" w:type="dxa"/>
            <w:vMerge w:val="continue"/>
            <w:vAlign w:val="center"/>
          </w:tcPr>
          <w:p>
            <w:pPr>
              <w:pStyle w:val="666"/>
              <w:spacing w:line="320" w:lineRule="exact"/>
              <w:rPr>
                <w:rFonts w:hint="default" w:ascii="Times New Roman" w:hAnsi="Times New Roman" w:cs="Times New Roman" w:eastAsiaTheme="minorEastAsia"/>
                <w:color w:val="auto"/>
                <w:highlight w:val="none"/>
              </w:rPr>
            </w:pPr>
          </w:p>
        </w:tc>
        <w:tc>
          <w:tcPr>
            <w:tcW w:w="991" w:type="dxa"/>
            <w:vMerge w:val="continue"/>
            <w:tcBorders>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c>
          <w:tcPr>
            <w:tcW w:w="994" w:type="dxa"/>
            <w:tcBorders>
              <w:top w:val="single" w:color="auto" w:sz="4" w:space="0"/>
              <w:left w:val="single" w:color="auto" w:sz="4" w:space="0"/>
              <w:bottom w:val="single" w:color="auto" w:sz="4" w:space="0"/>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20</w:t>
            </w:r>
          </w:p>
        </w:tc>
        <w:tc>
          <w:tcPr>
            <w:tcW w:w="852" w:type="dxa"/>
            <w:tcBorders>
              <w:top w:val="single" w:color="auto" w:sz="4" w:space="0"/>
              <w:left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0.001</w:t>
            </w:r>
          </w:p>
        </w:tc>
        <w:tc>
          <w:tcPr>
            <w:tcW w:w="708" w:type="dxa"/>
            <w:vMerge w:val="continue"/>
            <w:tcBorders>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c>
          <w:tcPr>
            <w:tcW w:w="1296" w:type="dxa"/>
            <w:vMerge w:val="continue"/>
            <w:tcBorders>
              <w:lef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626" w:type="dxa"/>
            <w:vMerge w:val="continue"/>
            <w:vAlign w:val="center"/>
          </w:tcPr>
          <w:p>
            <w:pPr>
              <w:pStyle w:val="666"/>
              <w:spacing w:line="320" w:lineRule="exact"/>
              <w:rPr>
                <w:rFonts w:hint="default" w:ascii="Times New Roman" w:hAnsi="Times New Roman" w:cs="Times New Roman" w:eastAsiaTheme="minorEastAsia"/>
                <w:color w:val="auto"/>
                <w:highlight w:val="none"/>
              </w:rPr>
            </w:pPr>
          </w:p>
        </w:tc>
        <w:tc>
          <w:tcPr>
            <w:tcW w:w="661" w:type="dxa"/>
            <w:vMerge w:val="continue"/>
            <w:vAlign w:val="center"/>
          </w:tcPr>
          <w:p>
            <w:pPr>
              <w:pStyle w:val="666"/>
              <w:spacing w:line="320" w:lineRule="exact"/>
              <w:rPr>
                <w:rFonts w:hint="default" w:ascii="Times New Roman" w:hAnsi="Times New Roman" w:cs="Times New Roman" w:eastAsiaTheme="minorEastAsia"/>
                <w:color w:val="auto"/>
                <w:highlight w:val="none"/>
              </w:rPr>
            </w:pPr>
          </w:p>
        </w:tc>
        <w:tc>
          <w:tcPr>
            <w:tcW w:w="805" w:type="dxa"/>
            <w:vMerge w:val="continue"/>
            <w:tcBorders>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c>
          <w:tcPr>
            <w:tcW w:w="852" w:type="dxa"/>
            <w:tcBorders>
              <w:top w:val="single" w:color="auto" w:sz="4" w:space="0"/>
              <w:left w:val="single" w:color="auto" w:sz="4" w:space="0"/>
            </w:tcBorders>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氨氮</w:t>
            </w:r>
          </w:p>
        </w:tc>
        <w:tc>
          <w:tcPr>
            <w:tcW w:w="708" w:type="dxa"/>
            <w:vMerge w:val="continue"/>
            <w:vAlign w:val="center"/>
          </w:tcPr>
          <w:p>
            <w:pPr>
              <w:pStyle w:val="666"/>
              <w:spacing w:line="320" w:lineRule="exact"/>
              <w:rPr>
                <w:rFonts w:hint="default" w:ascii="Times New Roman" w:hAnsi="Times New Roman" w:cs="Times New Roman" w:eastAsiaTheme="minorEastAsia"/>
                <w:color w:val="auto"/>
                <w:highlight w:val="none"/>
              </w:rPr>
            </w:pPr>
          </w:p>
        </w:tc>
        <w:tc>
          <w:tcPr>
            <w:tcW w:w="708" w:type="dxa"/>
            <w:vMerge w:val="continue"/>
            <w:vAlign w:val="center"/>
          </w:tcPr>
          <w:p>
            <w:pPr>
              <w:pStyle w:val="666"/>
              <w:spacing w:line="320" w:lineRule="exact"/>
              <w:rPr>
                <w:rFonts w:hint="default" w:ascii="Times New Roman" w:hAnsi="Times New Roman" w:cs="Times New Roman" w:eastAsiaTheme="minorEastAsia"/>
                <w:color w:val="auto"/>
                <w:highlight w:val="none"/>
              </w:rPr>
            </w:pPr>
          </w:p>
        </w:tc>
        <w:tc>
          <w:tcPr>
            <w:tcW w:w="991" w:type="dxa"/>
            <w:vMerge w:val="continue"/>
            <w:tcBorders>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c>
          <w:tcPr>
            <w:tcW w:w="994" w:type="dxa"/>
            <w:tcBorders>
              <w:top w:val="single" w:color="auto" w:sz="4" w:space="0"/>
              <w:lef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30</w:t>
            </w:r>
          </w:p>
        </w:tc>
        <w:tc>
          <w:tcPr>
            <w:tcW w:w="852" w:type="dxa"/>
            <w:tcBorders>
              <w:top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0.001</w:t>
            </w:r>
          </w:p>
        </w:tc>
        <w:tc>
          <w:tcPr>
            <w:tcW w:w="1133" w:type="dxa"/>
            <w:vMerge w:val="continue"/>
            <w:vAlign w:val="center"/>
          </w:tcPr>
          <w:p>
            <w:pPr>
              <w:pStyle w:val="666"/>
              <w:spacing w:line="320" w:lineRule="exact"/>
              <w:rPr>
                <w:rFonts w:hint="default" w:ascii="Times New Roman" w:hAnsi="Times New Roman" w:cs="Times New Roman" w:eastAsiaTheme="minorEastAsia"/>
                <w:color w:val="auto"/>
                <w:highlight w:val="none"/>
              </w:rPr>
            </w:pPr>
          </w:p>
        </w:tc>
        <w:tc>
          <w:tcPr>
            <w:tcW w:w="708" w:type="dxa"/>
            <w:vMerge w:val="continue"/>
            <w:vAlign w:val="center"/>
          </w:tcPr>
          <w:p>
            <w:pPr>
              <w:pStyle w:val="666"/>
              <w:spacing w:line="320" w:lineRule="exact"/>
              <w:rPr>
                <w:rFonts w:hint="default" w:ascii="Times New Roman" w:hAnsi="Times New Roman" w:cs="Times New Roman" w:eastAsiaTheme="minorEastAsia"/>
                <w:color w:val="auto"/>
                <w:highlight w:val="none"/>
              </w:rPr>
            </w:pPr>
          </w:p>
        </w:tc>
        <w:tc>
          <w:tcPr>
            <w:tcW w:w="991" w:type="dxa"/>
            <w:vMerge w:val="continue"/>
            <w:tcBorders>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c>
          <w:tcPr>
            <w:tcW w:w="994" w:type="dxa"/>
            <w:tcBorders>
              <w:top w:val="single" w:color="auto" w:sz="4" w:space="0"/>
              <w:left w:val="single" w:color="auto" w:sz="4" w:space="0"/>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w:t>
            </w:r>
          </w:p>
        </w:tc>
        <w:tc>
          <w:tcPr>
            <w:tcW w:w="852" w:type="dxa"/>
            <w:tcBorders>
              <w:top w:val="single" w:color="auto" w:sz="4" w:space="0"/>
              <w:lef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0.0002</w:t>
            </w:r>
          </w:p>
        </w:tc>
        <w:tc>
          <w:tcPr>
            <w:tcW w:w="708" w:type="dxa"/>
            <w:vMerge w:val="continue"/>
            <w:tcBorders>
              <w:righ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c>
          <w:tcPr>
            <w:tcW w:w="1296" w:type="dxa"/>
            <w:vMerge w:val="continue"/>
            <w:tcBorders>
              <w:left w:val="single" w:color="auto" w:sz="4" w:space="0"/>
            </w:tcBorders>
            <w:vAlign w:val="center"/>
          </w:tcPr>
          <w:p>
            <w:pPr>
              <w:pStyle w:val="666"/>
              <w:spacing w:line="320" w:lineRule="exact"/>
              <w:rPr>
                <w:rFonts w:hint="default" w:ascii="Times New Roman" w:hAnsi="Times New Roman" w:cs="Times New Roman" w:eastAsiaTheme="minorEastAsia"/>
                <w:color w:val="auto"/>
                <w:highlight w:val="none"/>
              </w:rPr>
            </w:pPr>
          </w:p>
        </w:tc>
      </w:tr>
    </w:tbl>
    <w:p>
      <w:pPr>
        <w:spacing w:line="500" w:lineRule="exact"/>
        <w:ind w:firstLine="560"/>
        <w:rPr>
          <w:rFonts w:hint="default" w:ascii="Times New Roman" w:hAnsi="Times New Roman" w:cs="Times New Roman" w:eastAsiaTheme="minorEastAsia"/>
          <w:color w:val="auto"/>
          <w:highlight w:val="none"/>
        </w:rPr>
        <w:sectPr>
          <w:footerReference r:id="rId25" w:type="default"/>
          <w:pgSz w:w="16838" w:h="11906" w:orient="landscape"/>
          <w:pgMar w:top="1701" w:right="1701" w:bottom="1701" w:left="1474" w:header="1134" w:footer="1134" w:gutter="0"/>
          <w:pgBorders>
            <w:top w:val="none" w:sz="0" w:space="0"/>
            <w:left w:val="none" w:sz="0" w:space="0"/>
            <w:bottom w:val="none" w:sz="0" w:space="0"/>
            <w:right w:val="none" w:sz="0" w:space="0"/>
          </w:pgBorders>
          <w:cols w:space="720" w:num="1"/>
          <w:docGrid w:linePitch="381" w:charSpace="0"/>
        </w:sectPr>
      </w:pPr>
    </w:p>
    <w:p>
      <w:pPr>
        <w:pStyle w:val="1297"/>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3.2.3.2 废气</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本项目运营期废气主要包括沼气</w:t>
      </w:r>
      <w:r>
        <w:rPr>
          <w:rFonts w:hint="default" w:ascii="Times New Roman" w:hAnsi="Times New Roman" w:cs="Times New Roman" w:eastAsiaTheme="minorEastAsia"/>
          <w:color w:val="auto"/>
          <w:sz w:val="24"/>
          <w:szCs w:val="22"/>
          <w:highlight w:val="none"/>
          <w:lang w:eastAsia="zh-CN"/>
        </w:rPr>
        <w:t>火炬</w:t>
      </w:r>
      <w:r>
        <w:rPr>
          <w:rFonts w:hint="default" w:ascii="Times New Roman" w:hAnsi="Times New Roman" w:cs="Times New Roman" w:eastAsiaTheme="minorEastAsia"/>
          <w:color w:val="auto"/>
          <w:sz w:val="24"/>
          <w:szCs w:val="22"/>
          <w:highlight w:val="none"/>
        </w:rPr>
        <w:t>燃烧废气、饲料加工粉尘、牛舍恶臭、固液分离间恶臭、粪污处理区恶臭、生物质锅炉排放废气。</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（1）沼气燃烧废气</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根据《规模化畜禽养殖场沼气工程设计规范》（NY-T 1222-2006）中的数据，理论上每去除1kgCOD可产生0.35 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沼气进行计算。黑膜沼气池COD去除率为90%，COD去除量为3.7273kg/h，沼气产生量为1.30m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/h，即31.3m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/d，沼气经脱硫后送至</w:t>
      </w:r>
      <w:r>
        <w:rPr>
          <w:rFonts w:hint="default" w:ascii="Times New Roman" w:hAnsi="Times New Roman" w:cs="Times New Roman" w:eastAsiaTheme="minorEastAsia"/>
          <w:color w:val="auto"/>
          <w:sz w:val="24"/>
          <w:szCs w:val="22"/>
          <w:highlight w:val="none"/>
          <w:lang w:eastAsia="zh-CN"/>
        </w:rPr>
        <w:t>火炬</w:t>
      </w:r>
      <w:r>
        <w:rPr>
          <w:rFonts w:hint="default" w:ascii="Times New Roman" w:hAnsi="Times New Roman" w:cs="Times New Roman" w:eastAsiaTheme="minorEastAsia"/>
          <w:color w:val="auto"/>
          <w:sz w:val="24"/>
          <w:szCs w:val="22"/>
          <w:highlight w:val="none"/>
        </w:rPr>
        <w:t>，燃烧废气经15m排气筒排放。</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沼气主要成分为甲烷，与天然气成分相近，根据《排污许可证申请与核发技术规范 锅炉》（HJ953-2018）中表F.3 燃气工业锅炉的产排污系数，SO</w:t>
      </w:r>
      <w:r>
        <w:rPr>
          <w:rFonts w:hint="default" w:ascii="Times New Roman" w:hAnsi="Times New Roman" w:cs="Times New Roman" w:eastAsiaTheme="minorEastAsia"/>
          <w:color w:val="auto"/>
          <w:sz w:val="24"/>
          <w:szCs w:val="22"/>
          <w:highlight w:val="none"/>
          <w:vertAlign w:val="subscript"/>
        </w:rPr>
        <w:t>2</w:t>
      </w:r>
      <w:r>
        <w:rPr>
          <w:rFonts w:hint="default" w:ascii="Times New Roman" w:hAnsi="Times New Roman" w:cs="Times New Roman" w:eastAsiaTheme="minorEastAsia"/>
          <w:color w:val="auto"/>
          <w:sz w:val="24"/>
          <w:szCs w:val="22"/>
          <w:highlight w:val="none"/>
        </w:rPr>
        <w:t>产污系数为0.02S千克/万立方米-原料，颗粒物产污系数为2.86千克/万立方米-原料，氮氧化物产污系数为18.71千克/万立方米-原料，沼气含硫量&lt;200mg/m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，含硫量S取100，夏季运行，年运行4380h，因此沼气燃烧废气中SO</w:t>
      </w:r>
      <w:r>
        <w:rPr>
          <w:rFonts w:hint="default" w:ascii="Times New Roman" w:hAnsi="Times New Roman" w:cs="Times New Roman" w:eastAsiaTheme="minorEastAsia"/>
          <w:color w:val="auto"/>
          <w:sz w:val="24"/>
          <w:szCs w:val="22"/>
          <w:highlight w:val="none"/>
          <w:vertAlign w:val="subscript"/>
        </w:rPr>
        <w:t>2</w:t>
      </w:r>
      <w:r>
        <w:rPr>
          <w:rFonts w:hint="default" w:ascii="Times New Roman" w:hAnsi="Times New Roman" w:cs="Times New Roman" w:eastAsiaTheme="minorEastAsia"/>
          <w:color w:val="auto"/>
          <w:sz w:val="24"/>
          <w:szCs w:val="22"/>
          <w:highlight w:val="none"/>
        </w:rPr>
        <w:t>排放速率为0.00026kg/h（0.0011t/a），颗粒物排放速率为0.00037kg/h（0.0016t/a），NO</w:t>
      </w:r>
      <w:r>
        <w:rPr>
          <w:rFonts w:hint="default" w:ascii="Times New Roman" w:hAnsi="Times New Roman" w:cs="Times New Roman" w:eastAsiaTheme="minorEastAsia"/>
          <w:color w:val="auto"/>
          <w:sz w:val="24"/>
          <w:szCs w:val="22"/>
          <w:highlight w:val="none"/>
          <w:vertAlign w:val="subscript"/>
        </w:rPr>
        <w:t>x</w:t>
      </w:r>
      <w:r>
        <w:rPr>
          <w:rFonts w:hint="default" w:ascii="Times New Roman" w:hAnsi="Times New Roman" w:cs="Times New Roman" w:eastAsiaTheme="minorEastAsia"/>
          <w:color w:val="auto"/>
          <w:sz w:val="24"/>
          <w:szCs w:val="22"/>
          <w:highlight w:val="none"/>
        </w:rPr>
        <w:t>排放速率为0.0024kg/h（0.01t/a）。基准烟气量为13.58Nm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/h。</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（2）饲料加工粉尘</w:t>
      </w:r>
    </w:p>
    <w:p>
      <w:pPr>
        <w:ind w:firstLine="560"/>
        <w:rPr>
          <w:rFonts w:hint="default" w:ascii="Times New Roman" w:hAnsi="Times New Roman" w:cs="Times New Roman" w:eastAsiaTheme="minorEastAsia"/>
          <w:color w:val="000000" w:themeColor="text1"/>
          <w:sz w:val="24"/>
          <w:szCs w:val="22"/>
          <w:highlight w:val="none"/>
          <w14:textFill>
            <w14:solidFill>
              <w14:schemeClr w14:val="tx1"/>
            </w14:solidFill>
          </w14:textFill>
        </w:rPr>
      </w:pPr>
      <w:r>
        <w:rPr>
          <w:rFonts w:hint="default" w:ascii="Times New Roman" w:hAnsi="Times New Roman" w:cs="Times New Roman" w:eastAsiaTheme="minorEastAsia"/>
          <w:color w:val="auto"/>
          <w:sz w:val="24"/>
          <w:szCs w:val="22"/>
          <w:highlight w:val="none"/>
        </w:rPr>
        <w:t>本项目饲料加工时间365d/a，每天8h，风机风量2000m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h，饲料加工粉尘产污量参考《第二次全国污染源普查工业污染源产排污系数手册》中饲料加工行业产污系数0.045（kg/t•产品）。本项目外购合格青贮饲料，青贮后草料、预混料等按合理的比例及要求，利用铡草机加工饲料4500t/a，因此粉尘产生量为0.20t/a（0.068kg/h），铡草产生的粉尘为较大颗粒，在室内沉降至地面的量约80%，因此</w:t>
      </w:r>
      <w:r>
        <w:rPr>
          <w:rFonts w:hint="default" w:ascii="Times New Roman" w:hAnsi="Times New Roman" w:cs="Times New Roman" w:eastAsiaTheme="minorEastAsia"/>
          <w:color w:val="000000" w:themeColor="text1"/>
          <w:sz w:val="24"/>
          <w:szCs w:val="22"/>
          <w:highlight w:val="none"/>
          <w14:textFill>
            <w14:solidFill>
              <w14:schemeClr w14:val="tx1"/>
            </w14:solidFill>
          </w14:textFill>
        </w:rPr>
        <w:t>饲料加工无组织粉尘产生速率为0.014kg/h。</w:t>
      </w:r>
    </w:p>
    <w:p>
      <w:pPr>
        <w:spacing w:line="500" w:lineRule="exact"/>
        <w:ind w:firstLine="560"/>
        <w:rPr>
          <w:rFonts w:hint="default" w:ascii="Times New Roman" w:hAnsi="Times New Roman" w:cs="Times New Roman" w:eastAsiaTheme="minorEastAsia"/>
          <w:color w:val="000000" w:themeColor="text1"/>
          <w:sz w:val="24"/>
          <w:szCs w:val="22"/>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14:textFill>
            <w14:solidFill>
              <w14:schemeClr w14:val="tx1"/>
            </w14:solidFill>
          </w14:textFill>
        </w:rPr>
        <w:t>（3）牛舍恶臭</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bookmarkStart w:id="100" w:name="_Hlk481917731"/>
      <w:r>
        <w:rPr>
          <w:rFonts w:hint="default" w:ascii="Times New Roman" w:hAnsi="Times New Roman" w:cs="Times New Roman" w:eastAsiaTheme="minorEastAsia"/>
          <w:color w:val="000000" w:themeColor="text1"/>
          <w:sz w:val="24"/>
          <w:szCs w:val="22"/>
          <w14:textFill>
            <w14:solidFill>
              <w14:schemeClr w14:val="tx1"/>
            </w14:solidFill>
          </w14:textFill>
        </w:rPr>
        <w:t>牛舍恶臭污染物中主要成分为H</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2</w:t>
      </w:r>
      <w:r>
        <w:rPr>
          <w:rFonts w:hint="default" w:ascii="Times New Roman" w:hAnsi="Times New Roman" w:cs="Times New Roman" w:eastAsiaTheme="minorEastAsia"/>
          <w:color w:val="000000" w:themeColor="text1"/>
          <w:sz w:val="24"/>
          <w:szCs w:val="22"/>
          <w14:textFill>
            <w14:solidFill>
              <w14:schemeClr w14:val="tx1"/>
            </w14:solidFill>
          </w14:textFill>
        </w:rPr>
        <w:t>S、NH</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，牛舍NH</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和H</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2</w:t>
      </w:r>
      <w:r>
        <w:rPr>
          <w:rFonts w:hint="default" w:ascii="Times New Roman" w:hAnsi="Times New Roman" w:cs="Times New Roman" w:eastAsiaTheme="minorEastAsia"/>
          <w:color w:val="000000" w:themeColor="text1"/>
          <w:sz w:val="24"/>
          <w:szCs w:val="22"/>
          <w14:textFill>
            <w14:solidFill>
              <w14:schemeClr w14:val="tx1"/>
            </w14:solidFill>
          </w14:textFill>
        </w:rPr>
        <w:t>S的排放强度受到许多因素的影响，包括生产工艺、气温、湿度、牛群种类、室内排风情况以及粪便的堆积时间等。</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根据论文《中国畜禽粪便产生量估算及环境效应》（中国环境科学，2006，26（5）：614～617），牛粪中含氮量约0.351%、含硫量约0.596‰。尿液中均含有氮元素（蛋白质、氨基酸、腐殖质等），其含量大致为0.03%。根据《家畜环境卫生学》，在饲料配方合理，栏舍管理得当的前提下，总硫、总氮转化成硫化氢、氨气的总量不超过其总量的5%，本次评价按其最不利条件，转化率按5%计算。牛粪含水按80%计。本项目常年存栏牛只量为1500头，产生牛粪27t/d，牛尿13.5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/d。</w:t>
      </w:r>
    </w:p>
    <w:p>
      <w:pPr>
        <w:spacing w:line="500" w:lineRule="exact"/>
        <w:ind w:firstLine="0" w:firstLineChars="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氨气产生量=27000*20%*0.351%*5%+13500*0.03%*5%</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 xml:space="preserve">      =0.9477+0.2025</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 xml:space="preserve">      =1.1502kg/d（0.048kg/h）</w:t>
      </w:r>
    </w:p>
    <w:p>
      <w:pPr>
        <w:spacing w:line="500" w:lineRule="exact"/>
        <w:ind w:firstLine="0" w:firstLineChars="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硫化氢产生量=27000*20%*0.596‰*5%=0.161kg/d（0.006kg/h）</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根据《生物发酵床养殖技术对养殖场污染物去除效果的研究》（林启才、张振文、杜丽劳、李英杰，陕西省环境科学研究院，2017年）的研究资料，养牛小区加垫料后与传统养殖方式相比，H</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2</w:t>
      </w:r>
      <w:r>
        <w:rPr>
          <w:rFonts w:hint="default" w:ascii="Times New Roman" w:hAnsi="Times New Roman" w:cs="Times New Roman" w:eastAsiaTheme="minorEastAsia"/>
          <w:color w:val="000000" w:themeColor="text1"/>
          <w:sz w:val="24"/>
          <w:szCs w:val="22"/>
          <w14:textFill>
            <w14:solidFill>
              <w14:schemeClr w14:val="tx1"/>
            </w14:solidFill>
          </w14:textFill>
        </w:rPr>
        <w:t>S削减28-45%，平均为38.9%，NH</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削减40-58%，平均削减47%。本项目牛舍采用垫料床对氨气的去除率47%，对硫化氢的去除率为38%。</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根据广东省微生物研究所罗永华等人的研究，微生物除臭剂（由氨氧化细菌、硫氧化细菌等多种微生物复合发酵制成的生物除臭剂EM生物菌）对氨气的去除率65.2~75.2（评价取70%），对硫化氢的去除率则可达90%以上（评价取90%）。本项目牛舍采用EM生物菌除臭剂对氨气的去除率取70%，对硫化氢的去除率为90%。</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综上，本项目牛舍恶臭排放情况如下：</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氨气排放速率=0.048*（1-47%）*（1-70%）=0.007kg/h。</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硫化氢排放速=0.006*（1-38%）*（1-90%）=0.0004kg/h。</w:t>
      </w:r>
    </w:p>
    <w:bookmarkEnd w:id="100"/>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（4）固液分离间恶臭</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本项目建设固液分离间对牛舍内产生的牛尿、牛舍冲洗废水、挤奶厅清洗废水等进行固液分离，固液分离后的固体外运处置堆肥。固液分离间操作产生恶臭气体，主要为氨和硫化氢，固液分离间密闭，</w:t>
      </w:r>
      <w:r>
        <w:rPr>
          <w:rFonts w:hint="default" w:ascii="Times New Roman" w:hAnsi="Times New Roman" w:cs="Times New Roman" w:eastAsiaTheme="minorEastAsia"/>
          <w:color w:val="auto"/>
          <w:sz w:val="24"/>
          <w:szCs w:val="24"/>
          <w:highlight w:val="none"/>
        </w:rPr>
        <w:t>负压收集废气送活性炭吸附装置处理后通过15 m高排气筒排放，配套风机风量为2000 m</w:t>
      </w:r>
      <w:r>
        <w:rPr>
          <w:rFonts w:hint="default" w:ascii="Times New Roman" w:hAnsi="Times New Roman" w:cs="Times New Roman" w:eastAsiaTheme="minorEastAsia"/>
          <w:color w:val="auto"/>
          <w:sz w:val="24"/>
          <w:szCs w:val="24"/>
          <w:highlight w:val="none"/>
          <w:vertAlign w:val="superscript"/>
        </w:rPr>
        <w:t>3</w:t>
      </w:r>
      <w:r>
        <w:rPr>
          <w:rFonts w:hint="default" w:ascii="Times New Roman" w:hAnsi="Times New Roman" w:cs="Times New Roman" w:eastAsiaTheme="minorEastAsia"/>
          <w:color w:val="auto"/>
          <w:sz w:val="24"/>
          <w:szCs w:val="24"/>
          <w:highlight w:val="none"/>
        </w:rPr>
        <w:t>/h。</w:t>
      </w:r>
      <w:r>
        <w:rPr>
          <w:rFonts w:hint="default" w:ascii="Times New Roman" w:hAnsi="Times New Roman" w:cs="Times New Roman" w:eastAsiaTheme="minorEastAsia"/>
          <w:color w:val="auto"/>
          <w:sz w:val="24"/>
          <w:szCs w:val="22"/>
          <w:highlight w:val="none"/>
        </w:rPr>
        <w:t>本项目奶牛存栏数1500只，产生牛粪27t/d，含水率70%，固液分离后固体含量为8.1t/d。</w:t>
      </w:r>
    </w:p>
    <w:p>
      <w:pPr>
        <w:spacing w:line="500" w:lineRule="exact"/>
        <w:ind w:firstLine="520"/>
        <w:rPr>
          <w:rFonts w:hint="default" w:ascii="Times New Roman" w:hAnsi="Times New Roman" w:cs="Times New Roman" w:eastAsiaTheme="minorEastAsia"/>
          <w:color w:val="000000" w:themeColor="text1"/>
          <w:spacing w:val="-10"/>
          <w:sz w:val="24"/>
          <w:szCs w:val="22"/>
          <w14:textFill>
            <w14:solidFill>
              <w14:schemeClr w14:val="tx1"/>
            </w14:solidFill>
          </w14:textFill>
        </w:rPr>
      </w:pPr>
      <w:r>
        <w:rPr>
          <w:rFonts w:hint="default" w:ascii="Times New Roman" w:hAnsi="Times New Roman" w:cs="Times New Roman" w:eastAsiaTheme="minorEastAsia"/>
          <w:color w:val="auto"/>
          <w:spacing w:val="-10"/>
          <w:sz w:val="24"/>
          <w:szCs w:val="22"/>
          <w:highlight w:val="none"/>
        </w:rPr>
        <w:t>根据《畜禽液体粪便贮存过程中气体排放影响</w:t>
      </w:r>
      <w:r>
        <w:rPr>
          <w:rFonts w:hint="default" w:ascii="Times New Roman" w:hAnsi="Times New Roman" w:cs="Times New Roman" w:eastAsiaTheme="minorEastAsia"/>
          <w:color w:val="auto"/>
          <w:spacing w:val="-10"/>
          <w:sz w:val="24"/>
          <w:szCs w:val="22"/>
        </w:rPr>
        <w:t>因素的研</w:t>
      </w:r>
      <w:r>
        <w:rPr>
          <w:rFonts w:hint="default" w:ascii="Times New Roman" w:hAnsi="Times New Roman" w:cs="Times New Roman" w:eastAsiaTheme="minorEastAsia"/>
          <w:color w:val="000000" w:themeColor="text1"/>
          <w:spacing w:val="-10"/>
          <w:sz w:val="24"/>
          <w:szCs w:val="22"/>
          <w14:textFill>
            <w14:solidFill>
              <w14:schemeClr w14:val="tx1"/>
            </w14:solidFill>
          </w14:textFill>
        </w:rPr>
        <w:t>究现状》（马瑞娟，董红敏，中国农业科技导报，2010,12(3):56-61），经固液分离后的粪便在贮存过程中氨的排放量为1311kg/hm</w:t>
      </w:r>
      <w:r>
        <w:rPr>
          <w:rFonts w:hint="default" w:ascii="Times New Roman" w:hAnsi="Times New Roman" w:cs="Times New Roman" w:eastAsiaTheme="minorEastAsia"/>
          <w:color w:val="000000" w:themeColor="text1"/>
          <w:spacing w:val="-10"/>
          <w:sz w:val="24"/>
          <w:szCs w:val="22"/>
          <w:vertAlign w:val="superscript"/>
          <w14:textFill>
            <w14:solidFill>
              <w14:schemeClr w14:val="tx1"/>
            </w14:solidFill>
          </w14:textFill>
        </w:rPr>
        <w:t>2</w:t>
      </w:r>
      <w:r>
        <w:rPr>
          <w:rFonts w:hint="default" w:ascii="Times New Roman" w:hAnsi="Times New Roman" w:cs="Times New Roman" w:eastAsiaTheme="minorEastAsia"/>
          <w:color w:val="000000" w:themeColor="text1"/>
          <w:spacing w:val="-10"/>
          <w:sz w:val="24"/>
          <w:szCs w:val="22"/>
          <w14:textFill>
            <w14:solidFill>
              <w14:schemeClr w14:val="tx1"/>
            </w14:solidFill>
          </w14:textFill>
        </w:rPr>
        <w:t>•a，固液分离间为1800m</w:t>
      </w:r>
      <w:r>
        <w:rPr>
          <w:rFonts w:hint="default" w:ascii="Times New Roman" w:hAnsi="Times New Roman" w:cs="Times New Roman" w:eastAsiaTheme="minorEastAsia"/>
          <w:color w:val="000000" w:themeColor="text1"/>
          <w:spacing w:val="-10"/>
          <w:sz w:val="24"/>
          <w:szCs w:val="22"/>
          <w:vertAlign w:val="superscript"/>
          <w14:textFill>
            <w14:solidFill>
              <w14:schemeClr w14:val="tx1"/>
            </w14:solidFill>
          </w14:textFill>
        </w:rPr>
        <w:t>2</w:t>
      </w:r>
      <w:r>
        <w:rPr>
          <w:rFonts w:hint="default" w:ascii="Times New Roman" w:hAnsi="Times New Roman" w:cs="Times New Roman" w:eastAsiaTheme="minorEastAsia"/>
          <w:color w:val="000000" w:themeColor="text1"/>
          <w:spacing w:val="-10"/>
          <w:sz w:val="24"/>
          <w:szCs w:val="22"/>
          <w14:textFill>
            <w14:solidFill>
              <w14:schemeClr w14:val="tx1"/>
            </w14:solidFill>
          </w14:textFill>
        </w:rPr>
        <w:t>，则氨气的产生速率为0.003kg/h。根据《风干预处理对堆肥腐熟度及臭气排放量的影响》（臧冰，李恕燕，李国学.农业工程学报，2016，32(增刊2)），采用新鲜粪与风干粪进行堆肥实验，H</w:t>
      </w:r>
      <w:r>
        <w:rPr>
          <w:rFonts w:hint="default" w:ascii="Times New Roman" w:hAnsi="Times New Roman" w:cs="Times New Roman" w:eastAsiaTheme="minorEastAsia"/>
          <w:color w:val="000000" w:themeColor="text1"/>
          <w:spacing w:val="-10"/>
          <w:sz w:val="24"/>
          <w:szCs w:val="22"/>
          <w:vertAlign w:val="subscript"/>
          <w14:textFill>
            <w14:solidFill>
              <w14:schemeClr w14:val="tx1"/>
            </w14:solidFill>
          </w14:textFill>
        </w:rPr>
        <w:t>2</w:t>
      </w:r>
      <w:r>
        <w:rPr>
          <w:rFonts w:hint="default" w:ascii="Times New Roman" w:hAnsi="Times New Roman" w:cs="Times New Roman" w:eastAsiaTheme="minorEastAsia"/>
          <w:color w:val="000000" w:themeColor="text1"/>
          <w:spacing w:val="-10"/>
          <w:sz w:val="24"/>
          <w:szCs w:val="22"/>
          <w14:textFill>
            <w14:solidFill>
              <w14:schemeClr w14:val="tx1"/>
            </w14:solidFill>
          </w14:textFill>
        </w:rPr>
        <w:t>S被检测排放量为0.2×10</w:t>
      </w:r>
      <w:r>
        <w:rPr>
          <w:rFonts w:hint="default" w:ascii="Times New Roman" w:hAnsi="Times New Roman" w:cs="Times New Roman" w:eastAsiaTheme="minorEastAsia"/>
          <w:color w:val="000000" w:themeColor="text1"/>
          <w:spacing w:val="-10"/>
          <w:sz w:val="24"/>
          <w:szCs w:val="22"/>
          <w:vertAlign w:val="superscript"/>
          <w14:textFill>
            <w14:solidFill>
              <w14:schemeClr w14:val="tx1"/>
            </w14:solidFill>
          </w14:textFill>
        </w:rPr>
        <w:t>-6</w:t>
      </w:r>
      <w:r>
        <w:rPr>
          <w:rFonts w:hint="default" w:ascii="Times New Roman" w:hAnsi="Times New Roman" w:cs="Times New Roman" w:eastAsiaTheme="minorEastAsia"/>
          <w:color w:val="000000" w:themeColor="text1"/>
          <w:spacing w:val="-10"/>
          <w:sz w:val="24"/>
          <w:szCs w:val="22"/>
          <w14:textFill>
            <w14:solidFill>
              <w14:schemeClr w14:val="tx1"/>
            </w14:solidFill>
          </w14:textFill>
        </w:rPr>
        <w:t>mol/kg，本项目粪便固液分离后固体含量为8.1t/d，则计算出H</w:t>
      </w:r>
      <w:r>
        <w:rPr>
          <w:rFonts w:hint="default" w:ascii="Times New Roman" w:hAnsi="Times New Roman" w:cs="Times New Roman" w:eastAsiaTheme="minorEastAsia"/>
          <w:color w:val="000000" w:themeColor="text1"/>
          <w:spacing w:val="-10"/>
          <w:sz w:val="24"/>
          <w:szCs w:val="22"/>
          <w:vertAlign w:val="subscript"/>
          <w14:textFill>
            <w14:solidFill>
              <w14:schemeClr w14:val="tx1"/>
            </w14:solidFill>
          </w14:textFill>
        </w:rPr>
        <w:t>2</w:t>
      </w:r>
      <w:r>
        <w:rPr>
          <w:rFonts w:hint="default" w:ascii="Times New Roman" w:hAnsi="Times New Roman" w:cs="Times New Roman" w:eastAsiaTheme="minorEastAsia"/>
          <w:color w:val="000000" w:themeColor="text1"/>
          <w:spacing w:val="-10"/>
          <w:sz w:val="24"/>
          <w:szCs w:val="22"/>
          <w14:textFill>
            <w14:solidFill>
              <w14:schemeClr w14:val="tx1"/>
            </w14:solidFill>
          </w14:textFill>
        </w:rPr>
        <w:t>S 的产生速率为0.002kg/h。</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本项目固液分离间采用活性炭吸附除臭，去除率为70%，集气率为90%，则固液分离间NH</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、H</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2</w:t>
      </w:r>
      <w:r>
        <w:rPr>
          <w:rFonts w:hint="default" w:ascii="Times New Roman" w:hAnsi="Times New Roman" w:cs="Times New Roman" w:eastAsiaTheme="minorEastAsia"/>
          <w:color w:val="000000" w:themeColor="text1"/>
          <w:sz w:val="24"/>
          <w:szCs w:val="22"/>
          <w14:textFill>
            <w14:solidFill>
              <w14:schemeClr w14:val="tx1"/>
            </w14:solidFill>
          </w14:textFill>
        </w:rPr>
        <w:t>S有组织排放速率分别为0.0008kg/h和0.0005kg/h。</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(5)粪污处理区恶臭</w:t>
      </w:r>
    </w:p>
    <w:p>
      <w:pPr>
        <w:spacing w:line="480" w:lineRule="exact"/>
        <w:ind w:firstLine="56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2"/>
        </w:rPr>
        <w:t>本项目粪污处理区包括固液分离间、黑膜沼气池和沼液储存池，固液分离间恶臭气体集气率90%，活性炭吸附后经15m高排气筒排出，</w:t>
      </w:r>
      <w:r>
        <w:rPr>
          <w:rFonts w:hint="default" w:ascii="Times New Roman" w:hAnsi="Times New Roman" w:cs="Times New Roman" w:eastAsiaTheme="minorEastAsia"/>
          <w:color w:val="auto"/>
          <w:sz w:val="24"/>
          <w:szCs w:val="24"/>
        </w:rPr>
        <w:t>氨、硫化氢</w:t>
      </w:r>
      <w:r>
        <w:rPr>
          <w:rFonts w:hint="default" w:ascii="Times New Roman" w:hAnsi="Times New Roman" w:cs="Times New Roman" w:eastAsiaTheme="minorEastAsia"/>
          <w:color w:val="auto"/>
          <w:sz w:val="24"/>
          <w:szCs w:val="22"/>
        </w:rPr>
        <w:t>无组织排放速率分别为0.0003kg/h和0.0002kg/h；黑膜沼气池密闭，</w:t>
      </w:r>
      <w:r>
        <w:rPr>
          <w:rFonts w:hint="default" w:ascii="Times New Roman" w:hAnsi="Times New Roman" w:cs="Times New Roman" w:eastAsiaTheme="minorEastAsia"/>
          <w:color w:val="auto"/>
          <w:sz w:val="24"/>
          <w:szCs w:val="24"/>
        </w:rPr>
        <w:t>此部分不核算恶臭气体量；沼液于沼液储存池储存过程会产生一定的恶臭气体，成分包括NH</w:t>
      </w:r>
      <w:r>
        <w:rPr>
          <w:rFonts w:hint="default" w:ascii="Times New Roman" w:hAnsi="Times New Roman" w:cs="Times New Roman" w:eastAsiaTheme="minorEastAsia"/>
          <w:color w:val="auto"/>
          <w:sz w:val="24"/>
          <w:szCs w:val="24"/>
          <w:vertAlign w:val="subscript"/>
        </w:rPr>
        <w:t>3</w:t>
      </w:r>
      <w:r>
        <w:rPr>
          <w:rFonts w:hint="default" w:ascii="Times New Roman" w:hAnsi="Times New Roman" w:cs="Times New Roman" w:eastAsiaTheme="minorEastAsia"/>
          <w:color w:val="auto"/>
          <w:sz w:val="24"/>
          <w:szCs w:val="24"/>
        </w:rPr>
        <w:t>和H</w:t>
      </w:r>
      <w:r>
        <w:rPr>
          <w:rFonts w:hint="default" w:ascii="Times New Roman" w:hAnsi="Times New Roman" w:cs="Times New Roman" w:eastAsiaTheme="minorEastAsia"/>
          <w:color w:val="auto"/>
          <w:sz w:val="24"/>
          <w:szCs w:val="24"/>
          <w:vertAlign w:val="subscript"/>
        </w:rPr>
        <w:t>2</w:t>
      </w:r>
      <w:r>
        <w:rPr>
          <w:rFonts w:hint="default" w:ascii="Times New Roman" w:hAnsi="Times New Roman" w:cs="Times New Roman" w:eastAsiaTheme="minorEastAsia"/>
          <w:color w:val="auto"/>
          <w:sz w:val="24"/>
          <w:szCs w:val="24"/>
        </w:rPr>
        <w:t>S等</w:t>
      </w:r>
      <w:r>
        <w:rPr>
          <w:rFonts w:hint="default" w:ascii="Times New Roman" w:hAnsi="Times New Roman" w:cs="Times New Roman" w:eastAsiaTheme="minorEastAsia"/>
          <w:color w:val="auto"/>
          <w:kern w:val="28"/>
          <w:sz w:val="24"/>
          <w:szCs w:val="24"/>
        </w:rPr>
        <w:t>。该部分恶臭气体中</w:t>
      </w:r>
      <w:r>
        <w:rPr>
          <w:rFonts w:hint="default" w:ascii="Times New Roman" w:hAnsi="Times New Roman" w:cs="Times New Roman" w:eastAsiaTheme="minorEastAsia"/>
          <w:color w:val="auto"/>
          <w:sz w:val="24"/>
          <w:szCs w:val="24"/>
        </w:rPr>
        <w:t>氨、硫化氢产生量约为牛舍产生量的5%，即氨、硫化氢产生量分别为0.0003 kg/h、0.00002 kg/h。本项目沼液储存池为顶部加盖半封闭式结构，并定期喷洒除臭剂。</w:t>
      </w:r>
    </w:p>
    <w:p>
      <w:pPr>
        <w:spacing w:line="480" w:lineRule="exact"/>
        <w:ind w:firstLine="560"/>
        <w:rPr>
          <w:rFonts w:hint="default" w:ascii="Times New Roman" w:hAnsi="Times New Roman" w:cs="Times New Roman" w:eastAsiaTheme="minorEastAsia"/>
          <w:color w:val="FF0000"/>
          <w:sz w:val="24"/>
          <w:szCs w:val="24"/>
        </w:rPr>
      </w:pPr>
      <w:r>
        <w:rPr>
          <w:rFonts w:hint="default" w:ascii="Times New Roman" w:hAnsi="Times New Roman" w:cs="Times New Roman" w:eastAsiaTheme="minorEastAsia"/>
          <w:color w:val="auto"/>
          <w:sz w:val="24"/>
          <w:szCs w:val="24"/>
        </w:rPr>
        <w:t>故粪污处理区氨、硫化氢</w:t>
      </w:r>
      <w:r>
        <w:rPr>
          <w:rFonts w:hint="default" w:ascii="Times New Roman" w:hAnsi="Times New Roman" w:cs="Times New Roman" w:eastAsiaTheme="minorEastAsia"/>
          <w:color w:val="auto"/>
          <w:sz w:val="24"/>
          <w:szCs w:val="22"/>
        </w:rPr>
        <w:t>无组织排放速</w:t>
      </w:r>
      <w:r>
        <w:rPr>
          <w:rFonts w:hint="default" w:ascii="Times New Roman" w:hAnsi="Times New Roman" w:cs="Times New Roman" w:eastAsiaTheme="minorEastAsia"/>
          <w:color w:val="000000" w:themeColor="text1"/>
          <w:sz w:val="24"/>
          <w:szCs w:val="22"/>
          <w14:textFill>
            <w14:solidFill>
              <w14:schemeClr w14:val="tx1"/>
            </w14:solidFill>
          </w14:textFill>
        </w:rPr>
        <w:t>率分别为0.0006kg/h和0.00022kg/h。</w:t>
      </w:r>
    </w:p>
    <w:p>
      <w:pPr>
        <w:pStyle w:val="8"/>
        <w:widowControl w:val="0"/>
        <w:ind w:firstLine="198" w:firstLineChars="71"/>
        <w:rPr>
          <w:rFonts w:hint="default" w:ascii="Times New Roman" w:hAnsi="Times New Roman" w:cs="Times New Roman" w:eastAsiaTheme="minorEastAsia"/>
          <w:snapToGrid w:val="0"/>
          <w:sz w:val="24"/>
          <w:szCs w:val="24"/>
        </w:rPr>
      </w:pPr>
      <w:r>
        <w:rPr>
          <w:rFonts w:hint="default" w:ascii="Times New Roman" w:hAnsi="Times New Roman" w:cs="Times New Roman" w:eastAsiaTheme="minorEastAsia"/>
          <w:sz w:val="24"/>
          <w:szCs w:val="24"/>
        </w:rPr>
        <w:t>（6）</w:t>
      </w:r>
      <w:r>
        <w:rPr>
          <w:rFonts w:hint="default" w:ascii="Times New Roman" w:hAnsi="Times New Roman" w:cs="Times New Roman" w:eastAsiaTheme="minorEastAsia"/>
          <w:snapToGrid w:val="0"/>
          <w:sz w:val="24"/>
          <w:szCs w:val="24"/>
        </w:rPr>
        <w:t>生物质锅炉废气</w:t>
      </w:r>
    </w:p>
    <w:p>
      <w:pPr>
        <w:pStyle w:val="25"/>
        <w:widowControl w:val="0"/>
        <w:spacing w:line="480" w:lineRule="exact"/>
        <w:ind w:firstLine="592"/>
        <w:rPr>
          <w:rFonts w:hint="default" w:ascii="Times New Roman" w:hAnsi="Times New Roman" w:cs="Times New Roman" w:eastAsiaTheme="minorEastAsia"/>
          <w:snapToGrid w:val="0"/>
          <w:spacing w:val="8"/>
          <w:sz w:val="24"/>
          <w:szCs w:val="24"/>
        </w:rPr>
      </w:pPr>
      <w:r>
        <w:rPr>
          <w:rFonts w:hint="default" w:ascii="Times New Roman" w:hAnsi="Times New Roman" w:cs="Times New Roman" w:eastAsiaTheme="minorEastAsia"/>
          <w:snapToGrid w:val="0"/>
          <w:spacing w:val="8"/>
          <w:sz w:val="24"/>
          <w:szCs w:val="24"/>
        </w:rPr>
        <w:t>本项目设锅炉房一座，新建1台7MW生物质热水锅炉，配套安装布袋除尘器。设置1个烟囱，高度为2</w:t>
      </w:r>
      <w:r>
        <w:rPr>
          <w:rFonts w:hint="default" w:ascii="Times New Roman" w:hAnsi="Times New Roman" w:cs="Times New Roman" w:eastAsiaTheme="minorEastAsia"/>
          <w:snapToGrid w:val="0"/>
          <w:spacing w:val="8"/>
          <w:sz w:val="24"/>
          <w:szCs w:val="24"/>
          <w:lang w:val="en-US" w:eastAsia="zh-CN"/>
        </w:rPr>
        <w:t>5</w:t>
      </w:r>
      <w:r>
        <w:rPr>
          <w:rFonts w:hint="default" w:ascii="Times New Roman" w:hAnsi="Times New Roman" w:cs="Times New Roman" w:eastAsiaTheme="minorEastAsia"/>
          <w:snapToGrid w:val="0"/>
          <w:spacing w:val="8"/>
          <w:sz w:val="24"/>
          <w:szCs w:val="24"/>
        </w:rPr>
        <w:t>m。锅炉燃料为生物质颗粒，主要用于采暖。锅炉年运行时间150d左右，每天运行时间20h，约消耗生物质成型燃料2100t/a。</w:t>
      </w:r>
    </w:p>
    <w:p>
      <w:pPr>
        <w:spacing w:line="480" w:lineRule="exact"/>
        <w:ind w:firstLine="56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锅炉燃烧生物质成型燃料污染物排放系数参照《生物质燃烧源大气污染物排放清单编制技术指南》中推荐参数，详见表3-2-6。</w:t>
      </w:r>
    </w:p>
    <w:p>
      <w:pPr>
        <w:spacing w:line="480" w:lineRule="exact"/>
        <w:ind w:firstLine="480"/>
        <w:rPr>
          <w:rFonts w:hint="default" w:ascii="Times New Roman" w:hAnsi="Times New Roman" w:cs="Times New Roman" w:eastAsiaTheme="minorEastAsia"/>
          <w:sz w:val="24"/>
        </w:rPr>
      </w:pPr>
      <w:r>
        <w:rPr>
          <w:rFonts w:hint="default" w:ascii="Times New Roman" w:hAnsi="Times New Roman" w:cs="Times New Roman" w:eastAsiaTheme="minorEastAsia"/>
          <w:sz w:val="24"/>
        </w:rPr>
        <w:t>表3-2-6          生物质锅炉污染物产生系数汇总表（g/kg生物质）</w:t>
      </w:r>
    </w:p>
    <w:tbl>
      <w:tblPr>
        <w:tblStyle w:val="91"/>
        <w:tblW w:w="9072"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512"/>
        <w:gridCol w:w="1782"/>
        <w:gridCol w:w="1769"/>
        <w:gridCol w:w="1336"/>
        <w:gridCol w:w="1336"/>
        <w:gridCol w:w="133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7" w:hRule="atLeast"/>
        </w:trPr>
        <w:tc>
          <w:tcPr>
            <w:tcW w:w="1512" w:type="dxa"/>
            <w:vMerge w:val="restart"/>
            <w:tcBorders>
              <w:tl2br w:val="nil"/>
              <w:tr2bl w:val="nil"/>
            </w:tcBorders>
            <w:vAlign w:val="center"/>
          </w:tcPr>
          <w:p>
            <w:pPr>
              <w:pStyle w:val="1252"/>
              <w:widowControl w:val="0"/>
              <w:spacing w:line="480" w:lineRule="exact"/>
              <w:ind w:firstLine="473"/>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项目</w:t>
            </w:r>
          </w:p>
        </w:tc>
        <w:tc>
          <w:tcPr>
            <w:tcW w:w="1782" w:type="dxa"/>
            <w:vMerge w:val="restart"/>
            <w:tcBorders>
              <w:tl2br w:val="nil"/>
              <w:tr2bl w:val="nil"/>
            </w:tcBorders>
            <w:vAlign w:val="center"/>
          </w:tcPr>
          <w:p>
            <w:pPr>
              <w:pStyle w:val="1252"/>
              <w:widowControl w:val="0"/>
              <w:spacing w:line="480" w:lineRule="exact"/>
              <w:ind w:firstLine="473"/>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燃料</w:t>
            </w:r>
          </w:p>
        </w:tc>
        <w:tc>
          <w:tcPr>
            <w:tcW w:w="1769" w:type="dxa"/>
            <w:vMerge w:val="restart"/>
            <w:tcBorders>
              <w:tl2br w:val="nil"/>
              <w:tr2bl w:val="nil"/>
            </w:tcBorders>
            <w:vAlign w:val="center"/>
          </w:tcPr>
          <w:p>
            <w:pPr>
              <w:pStyle w:val="1252"/>
              <w:widowControl w:val="0"/>
              <w:spacing w:line="480" w:lineRule="exact"/>
              <w:ind w:firstLine="473"/>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烟气量</w:t>
            </w:r>
          </w:p>
        </w:tc>
        <w:tc>
          <w:tcPr>
            <w:tcW w:w="4009" w:type="dxa"/>
            <w:gridSpan w:val="3"/>
            <w:tcBorders>
              <w:tl2br w:val="nil"/>
              <w:tr2bl w:val="nil"/>
            </w:tcBorders>
            <w:vAlign w:val="center"/>
          </w:tcPr>
          <w:p>
            <w:pPr>
              <w:pStyle w:val="1252"/>
              <w:widowControl w:val="0"/>
              <w:spacing w:line="480" w:lineRule="exact"/>
              <w:ind w:firstLine="473"/>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污染物排放系数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512" w:type="dxa"/>
            <w:vMerge w:val="continue"/>
            <w:tcBorders>
              <w:tl2br w:val="nil"/>
              <w:tr2bl w:val="nil"/>
            </w:tcBorders>
            <w:vAlign w:val="center"/>
          </w:tcPr>
          <w:p>
            <w:pPr>
              <w:pStyle w:val="1252"/>
              <w:widowControl w:val="0"/>
              <w:spacing w:line="480" w:lineRule="exact"/>
              <w:ind w:firstLine="473"/>
              <w:rPr>
                <w:rFonts w:hint="default" w:ascii="Times New Roman" w:hAnsi="Times New Roman" w:cs="Times New Roman" w:eastAsiaTheme="minorEastAsia"/>
                <w:w w:val="99"/>
                <w:kern w:val="0"/>
                <w:sz w:val="24"/>
                <w:szCs w:val="24"/>
              </w:rPr>
            </w:pPr>
          </w:p>
        </w:tc>
        <w:tc>
          <w:tcPr>
            <w:tcW w:w="1782" w:type="dxa"/>
            <w:vMerge w:val="continue"/>
            <w:tcBorders>
              <w:tl2br w:val="nil"/>
              <w:tr2bl w:val="nil"/>
            </w:tcBorders>
            <w:vAlign w:val="center"/>
          </w:tcPr>
          <w:p>
            <w:pPr>
              <w:pStyle w:val="1252"/>
              <w:widowControl w:val="0"/>
              <w:spacing w:line="480" w:lineRule="exact"/>
              <w:ind w:firstLine="473"/>
              <w:rPr>
                <w:rFonts w:hint="default" w:ascii="Times New Roman" w:hAnsi="Times New Roman" w:cs="Times New Roman" w:eastAsiaTheme="minorEastAsia"/>
                <w:w w:val="99"/>
                <w:kern w:val="0"/>
                <w:sz w:val="24"/>
                <w:szCs w:val="24"/>
              </w:rPr>
            </w:pPr>
          </w:p>
        </w:tc>
        <w:tc>
          <w:tcPr>
            <w:tcW w:w="1769" w:type="dxa"/>
            <w:vMerge w:val="continue"/>
            <w:tcBorders>
              <w:tl2br w:val="nil"/>
              <w:tr2bl w:val="nil"/>
            </w:tcBorders>
            <w:vAlign w:val="center"/>
          </w:tcPr>
          <w:p>
            <w:pPr>
              <w:pStyle w:val="1252"/>
              <w:widowControl w:val="0"/>
              <w:spacing w:line="480" w:lineRule="exact"/>
              <w:ind w:firstLine="473"/>
              <w:rPr>
                <w:rFonts w:hint="default" w:ascii="Times New Roman" w:hAnsi="Times New Roman" w:cs="Times New Roman" w:eastAsiaTheme="minorEastAsia"/>
                <w:w w:val="99"/>
                <w:kern w:val="0"/>
                <w:sz w:val="24"/>
                <w:szCs w:val="24"/>
              </w:rPr>
            </w:pPr>
          </w:p>
        </w:tc>
        <w:tc>
          <w:tcPr>
            <w:tcW w:w="1336" w:type="dxa"/>
            <w:tcBorders>
              <w:tl2br w:val="nil"/>
              <w:tr2bl w:val="nil"/>
            </w:tcBorders>
            <w:vAlign w:val="center"/>
          </w:tcPr>
          <w:p>
            <w:pPr>
              <w:pStyle w:val="1252"/>
              <w:widowControl w:val="0"/>
              <w:spacing w:line="480" w:lineRule="exact"/>
              <w:ind w:firstLine="473"/>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SO</w:t>
            </w:r>
            <w:r>
              <w:rPr>
                <w:rFonts w:hint="default" w:ascii="Times New Roman" w:hAnsi="Times New Roman" w:cs="Times New Roman" w:eastAsiaTheme="minorEastAsia"/>
                <w:w w:val="99"/>
                <w:kern w:val="0"/>
                <w:sz w:val="24"/>
                <w:szCs w:val="24"/>
                <w:vertAlign w:val="subscript"/>
              </w:rPr>
              <w:t>2</w:t>
            </w:r>
          </w:p>
        </w:tc>
        <w:tc>
          <w:tcPr>
            <w:tcW w:w="1336" w:type="dxa"/>
            <w:tcBorders>
              <w:tl2br w:val="nil"/>
              <w:tr2bl w:val="nil"/>
            </w:tcBorders>
            <w:vAlign w:val="center"/>
          </w:tcPr>
          <w:p>
            <w:pPr>
              <w:pStyle w:val="1252"/>
              <w:widowControl w:val="0"/>
              <w:spacing w:line="480" w:lineRule="exact"/>
              <w:ind w:firstLine="473"/>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NO</w:t>
            </w:r>
            <w:r>
              <w:rPr>
                <w:rFonts w:hint="default" w:ascii="Times New Roman" w:hAnsi="Times New Roman" w:cs="Times New Roman" w:eastAsiaTheme="minorEastAsia"/>
                <w:w w:val="99"/>
                <w:kern w:val="0"/>
                <w:sz w:val="24"/>
                <w:szCs w:val="24"/>
                <w:vertAlign w:val="subscript"/>
              </w:rPr>
              <w:t>X</w:t>
            </w:r>
          </w:p>
        </w:tc>
        <w:tc>
          <w:tcPr>
            <w:tcW w:w="1337" w:type="dxa"/>
            <w:tcBorders>
              <w:tl2br w:val="nil"/>
              <w:tr2bl w:val="nil"/>
            </w:tcBorders>
            <w:vAlign w:val="center"/>
          </w:tcPr>
          <w:p>
            <w:pPr>
              <w:pStyle w:val="1252"/>
              <w:widowControl w:val="0"/>
              <w:spacing w:line="480" w:lineRule="exact"/>
              <w:ind w:firstLine="473"/>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颗粒物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512" w:type="dxa"/>
            <w:tcBorders>
              <w:tl2br w:val="nil"/>
              <w:tr2bl w:val="nil"/>
            </w:tcBorders>
            <w:vAlign w:val="center"/>
          </w:tcPr>
          <w:p>
            <w:pPr>
              <w:pStyle w:val="1252"/>
              <w:widowControl w:val="0"/>
              <w:spacing w:line="480" w:lineRule="exact"/>
              <w:ind w:left="0" w:leftChars="0" w:firstLine="0" w:firstLineChars="0"/>
              <w:jc w:val="center"/>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生物质锅炉</w:t>
            </w:r>
          </w:p>
        </w:tc>
        <w:tc>
          <w:tcPr>
            <w:tcW w:w="1782" w:type="dxa"/>
            <w:tcBorders>
              <w:tl2br w:val="nil"/>
              <w:tr2bl w:val="nil"/>
            </w:tcBorders>
            <w:vAlign w:val="center"/>
          </w:tcPr>
          <w:p>
            <w:pPr>
              <w:pStyle w:val="1252"/>
              <w:widowControl w:val="0"/>
              <w:spacing w:line="480" w:lineRule="exact"/>
              <w:ind w:left="0" w:leftChars="0" w:firstLine="0" w:firstLineChars="0"/>
              <w:jc w:val="center"/>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生物质成型燃料</w:t>
            </w:r>
          </w:p>
        </w:tc>
        <w:tc>
          <w:tcPr>
            <w:tcW w:w="1769" w:type="dxa"/>
            <w:tcBorders>
              <w:tl2br w:val="nil"/>
              <w:tr2bl w:val="nil"/>
            </w:tcBorders>
            <w:vAlign w:val="center"/>
          </w:tcPr>
          <w:p>
            <w:pPr>
              <w:pStyle w:val="1252"/>
              <w:widowControl w:val="0"/>
              <w:spacing w:line="480" w:lineRule="exact"/>
              <w:ind w:left="0" w:leftChars="0" w:firstLine="0" w:firstLineChars="0"/>
              <w:jc w:val="center"/>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6552.29Nm</w:t>
            </w:r>
            <w:r>
              <w:rPr>
                <w:rFonts w:hint="default" w:ascii="Times New Roman" w:hAnsi="Times New Roman" w:cs="Times New Roman" w:eastAsiaTheme="minorEastAsia"/>
                <w:w w:val="99"/>
                <w:kern w:val="0"/>
                <w:sz w:val="24"/>
                <w:szCs w:val="24"/>
                <w:vertAlign w:val="superscript"/>
              </w:rPr>
              <w:t>3</w:t>
            </w:r>
            <w:r>
              <w:rPr>
                <w:rFonts w:hint="default" w:ascii="Times New Roman" w:hAnsi="Times New Roman" w:cs="Times New Roman" w:eastAsiaTheme="minorEastAsia"/>
                <w:w w:val="99"/>
                <w:kern w:val="0"/>
                <w:sz w:val="24"/>
                <w:szCs w:val="24"/>
              </w:rPr>
              <w:t>/t</w:t>
            </w:r>
          </w:p>
        </w:tc>
        <w:tc>
          <w:tcPr>
            <w:tcW w:w="1336" w:type="dxa"/>
            <w:tcBorders>
              <w:tl2br w:val="nil"/>
              <w:tr2bl w:val="nil"/>
            </w:tcBorders>
            <w:vAlign w:val="center"/>
          </w:tcPr>
          <w:p>
            <w:pPr>
              <w:pStyle w:val="1252"/>
              <w:widowControl w:val="0"/>
              <w:spacing w:line="480" w:lineRule="exact"/>
              <w:ind w:firstLine="473"/>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17S</w:t>
            </w:r>
          </w:p>
        </w:tc>
        <w:tc>
          <w:tcPr>
            <w:tcW w:w="1336" w:type="dxa"/>
            <w:tcBorders>
              <w:tl2br w:val="nil"/>
              <w:tr2bl w:val="nil"/>
            </w:tcBorders>
            <w:vAlign w:val="center"/>
          </w:tcPr>
          <w:p>
            <w:pPr>
              <w:pStyle w:val="1252"/>
              <w:widowControl w:val="0"/>
              <w:spacing w:line="480" w:lineRule="exact"/>
              <w:ind w:firstLine="473"/>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1.02</w:t>
            </w:r>
          </w:p>
        </w:tc>
        <w:tc>
          <w:tcPr>
            <w:tcW w:w="1337" w:type="dxa"/>
            <w:tcBorders>
              <w:tl2br w:val="nil"/>
              <w:tr2bl w:val="nil"/>
            </w:tcBorders>
            <w:vAlign w:val="center"/>
          </w:tcPr>
          <w:p>
            <w:pPr>
              <w:pStyle w:val="1252"/>
              <w:widowControl w:val="0"/>
              <w:spacing w:line="480" w:lineRule="exact"/>
              <w:ind w:firstLine="473"/>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1.12</w:t>
            </w:r>
          </w:p>
        </w:tc>
      </w:tr>
    </w:tbl>
    <w:p>
      <w:pPr>
        <w:spacing w:line="480" w:lineRule="exact"/>
        <w:ind w:firstLine="56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注：锅炉烟气量参照《工业污染源产排污系数手册》中产排污系数表生物质锅炉的产排污系数。</w:t>
      </w:r>
    </w:p>
    <w:p>
      <w:pPr>
        <w:spacing w:line="480" w:lineRule="exact"/>
        <w:ind w:firstLine="56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本项目锅炉污染物排放情况见表3-2-7。</w:t>
      </w:r>
    </w:p>
    <w:p>
      <w:pPr>
        <w:spacing w:line="480" w:lineRule="exact"/>
        <w:ind w:firstLine="480"/>
        <w:rPr>
          <w:rFonts w:hint="default" w:ascii="Times New Roman" w:hAnsi="Times New Roman" w:cs="Times New Roman" w:eastAsiaTheme="minorEastAsia"/>
          <w:sz w:val="24"/>
        </w:rPr>
      </w:pPr>
      <w:r>
        <w:rPr>
          <w:rFonts w:hint="default" w:ascii="Times New Roman" w:hAnsi="Times New Roman" w:cs="Times New Roman" w:eastAsiaTheme="minorEastAsia"/>
          <w:sz w:val="24"/>
        </w:rPr>
        <w:t xml:space="preserve">表 3-2-7  </w:t>
      </w:r>
      <w:r>
        <w:rPr>
          <w:rFonts w:hint="default" w:ascii="Times New Roman" w:hAnsi="Times New Roman" w:cs="Times New Roman" w:eastAsiaTheme="minorEastAsia"/>
          <w:sz w:val="24"/>
        </w:rPr>
        <w:tab/>
      </w:r>
      <w:r>
        <w:rPr>
          <w:rFonts w:hint="default" w:ascii="Times New Roman" w:hAnsi="Times New Roman" w:cs="Times New Roman" w:eastAsiaTheme="minorEastAsia"/>
          <w:sz w:val="24"/>
        </w:rPr>
        <w:t xml:space="preserve">   生物质锅炉主要大气污染物产排情况一览表</w:t>
      </w:r>
    </w:p>
    <w:tbl>
      <w:tblPr>
        <w:tblStyle w:val="91"/>
        <w:tblW w:w="9072"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048"/>
        <w:gridCol w:w="2043"/>
        <w:gridCol w:w="1089"/>
        <w:gridCol w:w="1094"/>
        <w:gridCol w:w="1095"/>
        <w:gridCol w:w="170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3" w:hRule="atLeast"/>
        </w:trPr>
        <w:tc>
          <w:tcPr>
            <w:tcW w:w="2048" w:type="dxa"/>
            <w:tcBorders>
              <w:left w:val="nil"/>
              <w:bottom w:val="single" w:color="000000" w:sz="4" w:space="0"/>
              <w:right w:val="single" w:color="000000" w:sz="4" w:space="0"/>
            </w:tcBorders>
            <w:vAlign w:val="center"/>
          </w:tcPr>
          <w:p>
            <w:pPr>
              <w:pStyle w:val="1252"/>
              <w:widowControl w:val="0"/>
              <w:spacing w:line="480" w:lineRule="exact"/>
              <w:ind w:firstLine="0" w:firstLineChars="0"/>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消耗量</w:t>
            </w:r>
          </w:p>
        </w:tc>
        <w:tc>
          <w:tcPr>
            <w:tcW w:w="2043" w:type="dxa"/>
            <w:tcBorders>
              <w:left w:val="single" w:color="000000" w:sz="4" w:space="0"/>
              <w:bottom w:val="single" w:color="000000" w:sz="4" w:space="0"/>
              <w:right w:val="single" w:color="000000" w:sz="4" w:space="0"/>
            </w:tcBorders>
            <w:vAlign w:val="center"/>
          </w:tcPr>
          <w:p>
            <w:pPr>
              <w:pStyle w:val="1252"/>
              <w:widowControl w:val="0"/>
              <w:spacing w:line="480" w:lineRule="exact"/>
              <w:ind w:firstLine="0" w:firstLineChars="0"/>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主要污染物</w:t>
            </w:r>
          </w:p>
        </w:tc>
        <w:tc>
          <w:tcPr>
            <w:tcW w:w="1089" w:type="dxa"/>
            <w:tcBorders>
              <w:left w:val="single" w:color="000000" w:sz="4" w:space="0"/>
              <w:bottom w:val="single" w:color="000000" w:sz="4" w:space="0"/>
              <w:right w:val="single" w:color="000000" w:sz="4" w:space="0"/>
            </w:tcBorders>
            <w:vAlign w:val="center"/>
          </w:tcPr>
          <w:p>
            <w:pPr>
              <w:pStyle w:val="1252"/>
              <w:widowControl w:val="0"/>
              <w:spacing w:line="480" w:lineRule="exact"/>
              <w:ind w:firstLine="0" w:firstLineChars="0"/>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SO</w:t>
            </w:r>
            <w:r>
              <w:rPr>
                <w:rFonts w:hint="default" w:ascii="Times New Roman" w:hAnsi="Times New Roman" w:cs="Times New Roman" w:eastAsiaTheme="minorEastAsia"/>
                <w:w w:val="99"/>
                <w:kern w:val="0"/>
                <w:sz w:val="24"/>
                <w:szCs w:val="24"/>
                <w:vertAlign w:val="subscript"/>
              </w:rPr>
              <w:t>2</w:t>
            </w:r>
          </w:p>
        </w:tc>
        <w:tc>
          <w:tcPr>
            <w:tcW w:w="1094" w:type="dxa"/>
            <w:tcBorders>
              <w:left w:val="single" w:color="000000" w:sz="4" w:space="0"/>
              <w:bottom w:val="single" w:color="000000" w:sz="4" w:space="0"/>
              <w:right w:val="single" w:color="000000" w:sz="4" w:space="0"/>
            </w:tcBorders>
            <w:vAlign w:val="center"/>
          </w:tcPr>
          <w:p>
            <w:pPr>
              <w:pStyle w:val="1252"/>
              <w:widowControl w:val="0"/>
              <w:spacing w:line="480" w:lineRule="exact"/>
              <w:ind w:firstLine="0" w:firstLineChars="0"/>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NO</w:t>
            </w:r>
            <w:r>
              <w:rPr>
                <w:rFonts w:hint="default" w:ascii="Times New Roman" w:hAnsi="Times New Roman" w:cs="Times New Roman" w:eastAsiaTheme="minorEastAsia"/>
                <w:w w:val="99"/>
                <w:kern w:val="0"/>
                <w:sz w:val="24"/>
                <w:szCs w:val="24"/>
                <w:vertAlign w:val="subscript"/>
              </w:rPr>
              <w:t>X</w:t>
            </w:r>
          </w:p>
        </w:tc>
        <w:tc>
          <w:tcPr>
            <w:tcW w:w="1095" w:type="dxa"/>
            <w:tcBorders>
              <w:left w:val="single" w:color="000000" w:sz="4" w:space="0"/>
              <w:bottom w:val="single" w:color="000000" w:sz="4" w:space="0"/>
              <w:right w:val="single" w:color="000000" w:sz="4" w:space="0"/>
            </w:tcBorders>
            <w:vAlign w:val="center"/>
          </w:tcPr>
          <w:p>
            <w:pPr>
              <w:pStyle w:val="1252"/>
              <w:widowControl w:val="0"/>
              <w:spacing w:line="480" w:lineRule="exact"/>
              <w:ind w:firstLine="0" w:firstLineChars="0"/>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颗粒物</w:t>
            </w:r>
          </w:p>
        </w:tc>
        <w:tc>
          <w:tcPr>
            <w:tcW w:w="1703" w:type="dxa"/>
            <w:tcBorders>
              <w:left w:val="single" w:color="000000" w:sz="4" w:space="0"/>
              <w:bottom w:val="single" w:color="000000" w:sz="4" w:space="0"/>
              <w:right w:val="nil"/>
            </w:tcBorders>
            <w:vAlign w:val="center"/>
          </w:tcPr>
          <w:p>
            <w:pPr>
              <w:pStyle w:val="1252"/>
              <w:widowControl w:val="0"/>
              <w:spacing w:line="480" w:lineRule="exact"/>
              <w:ind w:firstLine="0" w:firstLineChars="0"/>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废气量（Nm</w:t>
            </w:r>
            <w:r>
              <w:rPr>
                <w:rFonts w:hint="default" w:ascii="Times New Roman" w:hAnsi="Times New Roman" w:cs="Times New Roman" w:eastAsiaTheme="minorEastAsia"/>
                <w:w w:val="99"/>
                <w:kern w:val="0"/>
                <w:sz w:val="24"/>
                <w:szCs w:val="24"/>
                <w:vertAlign w:val="superscript"/>
              </w:rPr>
              <w:t>3</w:t>
            </w:r>
            <w:r>
              <w:rPr>
                <w:rFonts w:hint="default" w:ascii="Times New Roman" w:hAnsi="Times New Roman" w:cs="Times New Roman" w:eastAsiaTheme="minorEastAsia"/>
                <w:w w:val="99"/>
                <w:kern w:val="0"/>
                <w:sz w:val="24"/>
                <w:szCs w:val="24"/>
              </w:rPr>
              <w:t>/a）</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2" w:hRule="atLeast"/>
        </w:trPr>
        <w:tc>
          <w:tcPr>
            <w:tcW w:w="2048" w:type="dxa"/>
            <w:vMerge w:val="restart"/>
            <w:tcBorders>
              <w:top w:val="single" w:color="000000" w:sz="4" w:space="0"/>
              <w:left w:val="nil"/>
              <w:right w:val="single" w:color="000000" w:sz="4" w:space="0"/>
            </w:tcBorders>
            <w:vAlign w:val="center"/>
          </w:tcPr>
          <w:p>
            <w:pPr>
              <w:pStyle w:val="1252"/>
              <w:widowControl w:val="0"/>
              <w:spacing w:line="480" w:lineRule="exact"/>
              <w:ind w:firstLine="0" w:firstLineChars="0"/>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锅炉年燃烧生物质成型颗粒总量为2100t/a</w:t>
            </w:r>
          </w:p>
        </w:tc>
        <w:tc>
          <w:tcPr>
            <w:tcW w:w="2043" w:type="dxa"/>
            <w:tcBorders>
              <w:top w:val="single" w:color="000000" w:sz="4" w:space="0"/>
              <w:left w:val="single" w:color="000000" w:sz="4" w:space="0"/>
              <w:bottom w:val="single" w:color="000000" w:sz="4" w:space="0"/>
              <w:right w:val="single" w:color="000000" w:sz="4" w:space="0"/>
            </w:tcBorders>
            <w:vAlign w:val="center"/>
          </w:tcPr>
          <w:p>
            <w:pPr>
              <w:pStyle w:val="1252"/>
              <w:widowControl w:val="0"/>
              <w:spacing w:line="480" w:lineRule="exact"/>
              <w:ind w:firstLine="0" w:firstLineChars="0"/>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产生量（t/a）</w:t>
            </w:r>
          </w:p>
        </w:tc>
        <w:tc>
          <w:tcPr>
            <w:tcW w:w="1089" w:type="dxa"/>
            <w:tcBorders>
              <w:top w:val="single" w:color="000000" w:sz="4" w:space="0"/>
              <w:left w:val="single" w:color="000000" w:sz="4" w:space="0"/>
              <w:bottom w:val="single" w:color="000000" w:sz="4" w:space="0"/>
              <w:right w:val="single" w:color="000000" w:sz="4" w:space="0"/>
            </w:tcBorders>
            <w:vAlign w:val="center"/>
          </w:tcPr>
          <w:p>
            <w:pPr>
              <w:pStyle w:val="1252"/>
              <w:widowControl w:val="0"/>
              <w:spacing w:line="480" w:lineRule="exact"/>
              <w:ind w:firstLine="0" w:firstLineChars="0"/>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3.57</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1252"/>
              <w:widowControl w:val="0"/>
              <w:spacing w:line="480" w:lineRule="exact"/>
              <w:ind w:firstLine="0" w:firstLineChars="0"/>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2.14</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1252"/>
              <w:widowControl w:val="0"/>
              <w:spacing w:line="480" w:lineRule="exact"/>
              <w:ind w:firstLine="0" w:firstLineChars="0"/>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2.35</w:t>
            </w:r>
          </w:p>
        </w:tc>
        <w:tc>
          <w:tcPr>
            <w:tcW w:w="1703" w:type="dxa"/>
            <w:vMerge w:val="restart"/>
            <w:tcBorders>
              <w:top w:val="single" w:color="000000" w:sz="4" w:space="0"/>
              <w:left w:val="single" w:color="000000" w:sz="4" w:space="0"/>
              <w:right w:val="nil"/>
            </w:tcBorders>
            <w:vAlign w:val="center"/>
          </w:tcPr>
          <w:p>
            <w:pPr>
              <w:pStyle w:val="1252"/>
              <w:widowControl w:val="0"/>
              <w:spacing w:line="480" w:lineRule="exact"/>
              <w:ind w:firstLine="0" w:firstLineChars="0"/>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sz w:val="24"/>
                <w:szCs w:val="24"/>
              </w:rPr>
              <w:t>1.38×10</w:t>
            </w:r>
            <w:r>
              <w:rPr>
                <w:rFonts w:hint="default" w:ascii="Times New Roman" w:hAnsi="Times New Roman" w:cs="Times New Roman" w:eastAsiaTheme="minorEastAsia"/>
                <w:sz w:val="24"/>
                <w:szCs w:val="24"/>
                <w:vertAlign w:val="superscript"/>
              </w:rPr>
              <w:t>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048" w:type="dxa"/>
            <w:vMerge w:val="continue"/>
            <w:tcBorders>
              <w:top w:val="nil"/>
              <w:left w:val="nil"/>
              <w:right w:val="single" w:color="000000" w:sz="4" w:space="0"/>
            </w:tcBorders>
            <w:vAlign w:val="center"/>
          </w:tcPr>
          <w:p>
            <w:pPr>
              <w:pStyle w:val="1252"/>
              <w:widowControl w:val="0"/>
              <w:spacing w:line="480" w:lineRule="exact"/>
              <w:ind w:firstLine="473"/>
              <w:rPr>
                <w:rFonts w:hint="default" w:ascii="Times New Roman" w:hAnsi="Times New Roman" w:cs="Times New Roman" w:eastAsiaTheme="minorEastAsia"/>
                <w:w w:val="99"/>
                <w:kern w:val="0"/>
                <w:sz w:val="24"/>
                <w:szCs w:val="24"/>
              </w:rPr>
            </w:pPr>
          </w:p>
        </w:tc>
        <w:tc>
          <w:tcPr>
            <w:tcW w:w="2043" w:type="dxa"/>
            <w:tcBorders>
              <w:top w:val="single" w:color="000000" w:sz="4" w:space="0"/>
              <w:left w:val="single" w:color="000000" w:sz="4" w:space="0"/>
              <w:bottom w:val="single" w:color="000000" w:sz="4" w:space="0"/>
              <w:right w:val="single" w:color="000000" w:sz="4" w:space="0"/>
            </w:tcBorders>
            <w:vAlign w:val="center"/>
          </w:tcPr>
          <w:p>
            <w:pPr>
              <w:pStyle w:val="1252"/>
              <w:widowControl w:val="0"/>
              <w:spacing w:line="480" w:lineRule="exact"/>
              <w:ind w:firstLine="0" w:firstLineChars="0"/>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产生浓度（mg/m</w:t>
            </w:r>
            <w:r>
              <w:rPr>
                <w:rFonts w:hint="default" w:ascii="Times New Roman" w:hAnsi="Times New Roman" w:cs="Times New Roman" w:eastAsiaTheme="minorEastAsia"/>
                <w:w w:val="99"/>
                <w:kern w:val="0"/>
                <w:sz w:val="24"/>
                <w:szCs w:val="24"/>
                <w:vertAlign w:val="superscript"/>
              </w:rPr>
              <w:t>3</w:t>
            </w:r>
            <w:r>
              <w:rPr>
                <w:rFonts w:hint="default" w:ascii="Times New Roman" w:hAnsi="Times New Roman" w:cs="Times New Roman" w:eastAsiaTheme="minorEastAsia"/>
                <w:w w:val="99"/>
                <w:kern w:val="0"/>
                <w:sz w:val="24"/>
                <w:szCs w:val="24"/>
              </w:rPr>
              <w:t>）</w:t>
            </w:r>
          </w:p>
        </w:tc>
        <w:tc>
          <w:tcPr>
            <w:tcW w:w="1089" w:type="dxa"/>
            <w:tcBorders>
              <w:top w:val="single" w:color="000000" w:sz="4" w:space="0"/>
              <w:left w:val="single" w:color="000000" w:sz="4" w:space="0"/>
              <w:bottom w:val="single" w:color="000000" w:sz="4" w:space="0"/>
              <w:right w:val="single" w:color="000000" w:sz="4" w:space="0"/>
            </w:tcBorders>
            <w:vAlign w:val="center"/>
          </w:tcPr>
          <w:p>
            <w:pPr>
              <w:pStyle w:val="1252"/>
              <w:widowControl w:val="0"/>
              <w:spacing w:line="480" w:lineRule="exact"/>
              <w:ind w:firstLine="0" w:firstLineChars="0"/>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258.69</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1252"/>
              <w:widowControl w:val="0"/>
              <w:spacing w:line="480" w:lineRule="exact"/>
              <w:ind w:firstLine="0" w:firstLineChars="0"/>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155.07</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1252"/>
              <w:widowControl w:val="0"/>
              <w:spacing w:line="480" w:lineRule="exact"/>
              <w:ind w:firstLine="0" w:firstLineChars="0"/>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170.29</w:t>
            </w:r>
          </w:p>
        </w:tc>
        <w:tc>
          <w:tcPr>
            <w:tcW w:w="1703" w:type="dxa"/>
            <w:vMerge w:val="continue"/>
            <w:tcBorders>
              <w:top w:val="nil"/>
              <w:left w:val="single" w:color="000000" w:sz="4" w:space="0"/>
              <w:right w:val="nil"/>
            </w:tcBorders>
            <w:vAlign w:val="center"/>
          </w:tcPr>
          <w:p>
            <w:pPr>
              <w:pStyle w:val="1252"/>
              <w:widowControl w:val="0"/>
              <w:spacing w:line="480" w:lineRule="exact"/>
              <w:ind w:firstLine="473"/>
              <w:rPr>
                <w:rFonts w:hint="default" w:ascii="Times New Roman" w:hAnsi="Times New Roman" w:cs="Times New Roman" w:eastAsiaTheme="minorEastAsia"/>
                <w:w w:val="99"/>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2048" w:type="dxa"/>
            <w:vMerge w:val="continue"/>
            <w:tcBorders>
              <w:top w:val="nil"/>
              <w:left w:val="nil"/>
              <w:right w:val="single" w:color="000000" w:sz="4" w:space="0"/>
            </w:tcBorders>
            <w:vAlign w:val="center"/>
          </w:tcPr>
          <w:p>
            <w:pPr>
              <w:pStyle w:val="1252"/>
              <w:widowControl w:val="0"/>
              <w:spacing w:line="480" w:lineRule="exact"/>
              <w:ind w:firstLine="473"/>
              <w:rPr>
                <w:rFonts w:hint="default" w:ascii="Times New Roman" w:hAnsi="Times New Roman" w:cs="Times New Roman" w:eastAsiaTheme="minorEastAsia"/>
                <w:w w:val="99"/>
                <w:kern w:val="0"/>
                <w:sz w:val="24"/>
                <w:szCs w:val="24"/>
              </w:rPr>
            </w:pPr>
          </w:p>
        </w:tc>
        <w:tc>
          <w:tcPr>
            <w:tcW w:w="2043" w:type="dxa"/>
            <w:tcBorders>
              <w:top w:val="single" w:color="000000" w:sz="4" w:space="0"/>
              <w:left w:val="single" w:color="000000" w:sz="4" w:space="0"/>
              <w:bottom w:val="single" w:color="000000" w:sz="4" w:space="0"/>
              <w:right w:val="single" w:color="000000" w:sz="4" w:space="0"/>
            </w:tcBorders>
            <w:vAlign w:val="center"/>
          </w:tcPr>
          <w:p>
            <w:pPr>
              <w:pStyle w:val="1252"/>
              <w:widowControl w:val="0"/>
              <w:spacing w:line="480" w:lineRule="exact"/>
              <w:ind w:firstLine="0" w:firstLineChars="0"/>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排放量（t/a）</w:t>
            </w:r>
          </w:p>
        </w:tc>
        <w:tc>
          <w:tcPr>
            <w:tcW w:w="1089" w:type="dxa"/>
            <w:tcBorders>
              <w:top w:val="single" w:color="000000" w:sz="4" w:space="0"/>
              <w:left w:val="single" w:color="000000" w:sz="4" w:space="0"/>
              <w:bottom w:val="single" w:color="000000" w:sz="4" w:space="0"/>
              <w:right w:val="single" w:color="000000" w:sz="4" w:space="0"/>
            </w:tcBorders>
            <w:vAlign w:val="center"/>
          </w:tcPr>
          <w:p>
            <w:pPr>
              <w:pStyle w:val="1252"/>
              <w:widowControl w:val="0"/>
              <w:spacing w:line="480" w:lineRule="exact"/>
              <w:ind w:firstLine="0" w:firstLineChars="0"/>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3.57</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1252"/>
              <w:widowControl w:val="0"/>
              <w:spacing w:line="480" w:lineRule="exact"/>
              <w:ind w:firstLine="0" w:firstLineChars="0"/>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2.14</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1252"/>
              <w:widowControl w:val="0"/>
              <w:spacing w:line="480" w:lineRule="exact"/>
              <w:ind w:firstLine="0" w:firstLineChars="0"/>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0.12</w:t>
            </w:r>
          </w:p>
        </w:tc>
        <w:tc>
          <w:tcPr>
            <w:tcW w:w="1703" w:type="dxa"/>
            <w:vMerge w:val="continue"/>
            <w:tcBorders>
              <w:top w:val="nil"/>
              <w:left w:val="single" w:color="000000" w:sz="4" w:space="0"/>
              <w:right w:val="nil"/>
            </w:tcBorders>
            <w:vAlign w:val="center"/>
          </w:tcPr>
          <w:p>
            <w:pPr>
              <w:pStyle w:val="1252"/>
              <w:widowControl w:val="0"/>
              <w:spacing w:line="480" w:lineRule="exact"/>
              <w:ind w:firstLine="473"/>
              <w:rPr>
                <w:rFonts w:hint="default" w:ascii="Times New Roman" w:hAnsi="Times New Roman" w:cs="Times New Roman" w:eastAsiaTheme="minorEastAsia"/>
                <w:w w:val="99"/>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2" w:hRule="atLeast"/>
        </w:trPr>
        <w:tc>
          <w:tcPr>
            <w:tcW w:w="2048" w:type="dxa"/>
            <w:vMerge w:val="continue"/>
            <w:tcBorders>
              <w:top w:val="nil"/>
              <w:left w:val="nil"/>
              <w:right w:val="single" w:color="000000" w:sz="4" w:space="0"/>
            </w:tcBorders>
            <w:vAlign w:val="center"/>
          </w:tcPr>
          <w:p>
            <w:pPr>
              <w:pStyle w:val="1252"/>
              <w:widowControl w:val="0"/>
              <w:spacing w:line="480" w:lineRule="exact"/>
              <w:ind w:firstLine="473"/>
              <w:rPr>
                <w:rFonts w:hint="default" w:ascii="Times New Roman" w:hAnsi="Times New Roman" w:cs="Times New Roman" w:eastAsiaTheme="minorEastAsia"/>
                <w:w w:val="99"/>
                <w:kern w:val="0"/>
                <w:sz w:val="24"/>
                <w:szCs w:val="24"/>
              </w:rPr>
            </w:pPr>
          </w:p>
        </w:tc>
        <w:tc>
          <w:tcPr>
            <w:tcW w:w="2043" w:type="dxa"/>
            <w:tcBorders>
              <w:top w:val="single" w:color="000000" w:sz="4" w:space="0"/>
              <w:left w:val="single" w:color="000000" w:sz="4" w:space="0"/>
              <w:right w:val="single" w:color="000000" w:sz="4" w:space="0"/>
            </w:tcBorders>
            <w:vAlign w:val="center"/>
          </w:tcPr>
          <w:p>
            <w:pPr>
              <w:pStyle w:val="1252"/>
              <w:widowControl w:val="0"/>
              <w:spacing w:line="480" w:lineRule="exact"/>
              <w:ind w:firstLine="0" w:firstLineChars="0"/>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排放浓度（mg/m</w:t>
            </w:r>
            <w:r>
              <w:rPr>
                <w:rFonts w:hint="default" w:ascii="Times New Roman" w:hAnsi="Times New Roman" w:cs="Times New Roman" w:eastAsiaTheme="minorEastAsia"/>
                <w:w w:val="99"/>
                <w:kern w:val="0"/>
                <w:sz w:val="24"/>
                <w:szCs w:val="24"/>
                <w:vertAlign w:val="superscript"/>
              </w:rPr>
              <w:t>3</w:t>
            </w:r>
            <w:r>
              <w:rPr>
                <w:rFonts w:hint="default" w:ascii="Times New Roman" w:hAnsi="Times New Roman" w:cs="Times New Roman" w:eastAsiaTheme="minorEastAsia"/>
                <w:w w:val="99"/>
                <w:kern w:val="0"/>
                <w:sz w:val="24"/>
                <w:szCs w:val="24"/>
              </w:rPr>
              <w:t>）</w:t>
            </w:r>
          </w:p>
        </w:tc>
        <w:tc>
          <w:tcPr>
            <w:tcW w:w="1089" w:type="dxa"/>
            <w:tcBorders>
              <w:top w:val="single" w:color="000000" w:sz="4" w:space="0"/>
              <w:left w:val="single" w:color="000000" w:sz="4" w:space="0"/>
              <w:right w:val="single" w:color="000000" w:sz="4" w:space="0"/>
            </w:tcBorders>
            <w:vAlign w:val="center"/>
          </w:tcPr>
          <w:p>
            <w:pPr>
              <w:pStyle w:val="1252"/>
              <w:widowControl w:val="0"/>
              <w:spacing w:line="480" w:lineRule="exact"/>
              <w:ind w:firstLine="0" w:firstLineChars="0"/>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258.69</w:t>
            </w:r>
          </w:p>
        </w:tc>
        <w:tc>
          <w:tcPr>
            <w:tcW w:w="1094" w:type="dxa"/>
            <w:tcBorders>
              <w:top w:val="single" w:color="000000" w:sz="4" w:space="0"/>
              <w:left w:val="single" w:color="000000" w:sz="4" w:space="0"/>
              <w:right w:val="single" w:color="000000" w:sz="4" w:space="0"/>
            </w:tcBorders>
            <w:vAlign w:val="center"/>
          </w:tcPr>
          <w:p>
            <w:pPr>
              <w:pStyle w:val="1252"/>
              <w:widowControl w:val="0"/>
              <w:spacing w:line="480" w:lineRule="exact"/>
              <w:ind w:firstLine="0" w:firstLineChars="0"/>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155.07</w:t>
            </w:r>
          </w:p>
        </w:tc>
        <w:tc>
          <w:tcPr>
            <w:tcW w:w="1095" w:type="dxa"/>
            <w:tcBorders>
              <w:top w:val="single" w:color="000000" w:sz="4" w:space="0"/>
              <w:left w:val="single" w:color="000000" w:sz="4" w:space="0"/>
              <w:right w:val="single" w:color="000000" w:sz="4" w:space="0"/>
            </w:tcBorders>
            <w:vAlign w:val="center"/>
          </w:tcPr>
          <w:p>
            <w:pPr>
              <w:pStyle w:val="1252"/>
              <w:widowControl w:val="0"/>
              <w:spacing w:line="480" w:lineRule="exact"/>
              <w:ind w:firstLine="0" w:firstLineChars="0"/>
              <w:rPr>
                <w:rFonts w:hint="default" w:ascii="Times New Roman" w:hAnsi="Times New Roman" w:cs="Times New Roman" w:eastAsiaTheme="minorEastAsia"/>
                <w:w w:val="99"/>
                <w:kern w:val="0"/>
                <w:sz w:val="24"/>
                <w:szCs w:val="24"/>
              </w:rPr>
            </w:pPr>
            <w:r>
              <w:rPr>
                <w:rFonts w:hint="default" w:ascii="Times New Roman" w:hAnsi="Times New Roman" w:cs="Times New Roman" w:eastAsiaTheme="minorEastAsia"/>
                <w:w w:val="99"/>
                <w:kern w:val="0"/>
                <w:sz w:val="24"/>
                <w:szCs w:val="24"/>
              </w:rPr>
              <w:t>8.7</w:t>
            </w:r>
          </w:p>
        </w:tc>
        <w:tc>
          <w:tcPr>
            <w:tcW w:w="1703" w:type="dxa"/>
            <w:vMerge w:val="continue"/>
            <w:tcBorders>
              <w:top w:val="nil"/>
              <w:left w:val="single" w:color="000000" w:sz="4" w:space="0"/>
              <w:right w:val="nil"/>
            </w:tcBorders>
            <w:vAlign w:val="center"/>
          </w:tcPr>
          <w:p>
            <w:pPr>
              <w:pStyle w:val="1252"/>
              <w:widowControl w:val="0"/>
              <w:spacing w:line="480" w:lineRule="exact"/>
              <w:ind w:firstLine="473"/>
              <w:rPr>
                <w:rFonts w:hint="default" w:ascii="Times New Roman" w:hAnsi="Times New Roman" w:cs="Times New Roman" w:eastAsiaTheme="minorEastAsia"/>
                <w:w w:val="99"/>
                <w:kern w:val="0"/>
                <w:sz w:val="24"/>
                <w:szCs w:val="24"/>
              </w:rPr>
            </w:pPr>
          </w:p>
        </w:tc>
      </w:tr>
    </w:tbl>
    <w:p>
      <w:pPr>
        <w:spacing w:line="480" w:lineRule="exact"/>
        <w:ind w:firstLine="56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经计算得，锅炉烟气产生量为1.38×10</w:t>
      </w:r>
      <w:r>
        <w:rPr>
          <w:rFonts w:hint="default" w:ascii="Times New Roman" w:hAnsi="Times New Roman" w:cs="Times New Roman" w:eastAsiaTheme="minorEastAsia"/>
          <w:sz w:val="24"/>
          <w:szCs w:val="24"/>
          <w:vertAlign w:val="superscript"/>
        </w:rPr>
        <w:t>7</w:t>
      </w:r>
      <w:r>
        <w:rPr>
          <w:rFonts w:hint="default" w:ascii="Times New Roman" w:hAnsi="Times New Roman" w:cs="Times New Roman" w:eastAsiaTheme="minorEastAsia"/>
          <w:sz w:val="24"/>
          <w:szCs w:val="24"/>
        </w:rPr>
        <w:t>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/a，颗粒物产生浓度为170.29mg/m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，产生量2350kg/a；SO</w:t>
      </w:r>
      <w:r>
        <w:rPr>
          <w:rFonts w:hint="default" w:ascii="Times New Roman" w:hAnsi="Times New Roman" w:cs="Times New Roman" w:eastAsiaTheme="minorEastAsia"/>
          <w:sz w:val="24"/>
          <w:szCs w:val="24"/>
          <w:vertAlign w:val="subscript"/>
        </w:rPr>
        <w:t>2</w:t>
      </w:r>
      <w:r>
        <w:rPr>
          <w:rFonts w:hint="default" w:ascii="Times New Roman" w:hAnsi="Times New Roman" w:cs="Times New Roman" w:eastAsiaTheme="minorEastAsia"/>
          <w:sz w:val="24"/>
          <w:szCs w:val="24"/>
        </w:rPr>
        <w:t>产生浓度为258.69mg/m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，产生量3570kg/a；NO</w:t>
      </w:r>
      <w:r>
        <w:rPr>
          <w:rFonts w:hint="default" w:ascii="Times New Roman" w:hAnsi="Times New Roman" w:cs="Times New Roman" w:eastAsiaTheme="minorEastAsia"/>
          <w:sz w:val="24"/>
          <w:szCs w:val="24"/>
          <w:vertAlign w:val="subscript"/>
        </w:rPr>
        <w:t>X</w:t>
      </w:r>
      <w:r>
        <w:rPr>
          <w:rFonts w:hint="default" w:ascii="Times New Roman" w:hAnsi="Times New Roman" w:cs="Times New Roman" w:eastAsiaTheme="minorEastAsia"/>
          <w:sz w:val="24"/>
          <w:szCs w:val="24"/>
        </w:rPr>
        <w:t>产生浓度为155.07mg/m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，产生量2140kg/a。布袋除尘器除尘效率95%。经处理后颗粒物排放浓度为8.7mg/m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、排放量120kg/a；SO</w:t>
      </w:r>
      <w:r>
        <w:rPr>
          <w:rFonts w:hint="default" w:ascii="Times New Roman" w:hAnsi="Times New Roman" w:cs="Times New Roman" w:eastAsiaTheme="minorEastAsia"/>
          <w:sz w:val="24"/>
          <w:szCs w:val="24"/>
          <w:vertAlign w:val="subscript"/>
        </w:rPr>
        <w:t>2</w:t>
      </w:r>
      <w:r>
        <w:rPr>
          <w:rFonts w:hint="default" w:ascii="Times New Roman" w:hAnsi="Times New Roman" w:cs="Times New Roman" w:eastAsiaTheme="minorEastAsia"/>
          <w:sz w:val="24"/>
          <w:szCs w:val="24"/>
        </w:rPr>
        <w:t>排放浓度258.69mg/m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、排放量3570kg/a；NO</w:t>
      </w:r>
      <w:r>
        <w:rPr>
          <w:rFonts w:hint="default" w:ascii="Times New Roman" w:hAnsi="Times New Roman" w:cs="Times New Roman" w:eastAsiaTheme="minorEastAsia"/>
          <w:sz w:val="24"/>
          <w:szCs w:val="24"/>
          <w:vertAlign w:val="subscript"/>
        </w:rPr>
        <w:t>X</w:t>
      </w:r>
      <w:r>
        <w:rPr>
          <w:rFonts w:hint="default" w:ascii="Times New Roman" w:hAnsi="Times New Roman" w:cs="Times New Roman" w:eastAsiaTheme="minorEastAsia"/>
          <w:sz w:val="24"/>
          <w:szCs w:val="24"/>
        </w:rPr>
        <w:t>排放浓度为155.07mg/m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、排放量2140kg/a；烟气黑度＜1，各污染物排放浓度满足《锅炉大气污染物排放标准》（GB13271-2014）中表2燃煤锅炉标准，能够做到达标排放。</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本项目废气污染源及治理情况见表3-2-8。</w:t>
      </w:r>
    </w:p>
    <w:p>
      <w:pPr>
        <w:spacing w:line="500" w:lineRule="exact"/>
        <w:ind w:firstLine="560"/>
        <w:jc w:val="center"/>
        <w:rPr>
          <w:rFonts w:hint="default" w:ascii="Times New Roman" w:hAnsi="Times New Roman" w:cs="Times New Roman" w:eastAsiaTheme="minorEastAsia"/>
          <w:color w:val="000000" w:themeColor="text1"/>
          <w:sz w:val="24"/>
          <w:szCs w:val="22"/>
          <w14:textFill>
            <w14:solidFill>
              <w14:schemeClr w14:val="tx1"/>
            </w14:solidFill>
          </w14:textFill>
        </w:rPr>
        <w:sectPr>
          <w:footerReference r:id="rId26" w:type="default"/>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12" w:charSpace="0"/>
        </w:sectPr>
      </w:pP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表3-2-8 废气污染源源强核算结果及相关参数一览表</w:t>
      </w:r>
    </w:p>
    <w:tbl>
      <w:tblPr>
        <w:tblStyle w:val="91"/>
        <w:tblW w:w="0" w:type="auto"/>
        <w:tblInd w:w="-102"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36"/>
        <w:gridCol w:w="708"/>
        <w:gridCol w:w="851"/>
        <w:gridCol w:w="850"/>
        <w:gridCol w:w="927"/>
        <w:gridCol w:w="703"/>
        <w:gridCol w:w="1013"/>
        <w:gridCol w:w="901"/>
        <w:gridCol w:w="851"/>
        <w:gridCol w:w="992"/>
        <w:gridCol w:w="709"/>
        <w:gridCol w:w="992"/>
        <w:gridCol w:w="850"/>
        <w:gridCol w:w="851"/>
        <w:gridCol w:w="709"/>
        <w:gridCol w:w="708"/>
        <w:gridCol w:w="70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7" w:hRule="atLeast"/>
        </w:trPr>
        <w:tc>
          <w:tcPr>
            <w:tcW w:w="636" w:type="dxa"/>
            <w:vMerge w:val="restart"/>
            <w:tcBorders>
              <w:top w:val="single" w:color="auto" w:sz="12"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序号</w:t>
            </w:r>
          </w:p>
        </w:tc>
        <w:tc>
          <w:tcPr>
            <w:tcW w:w="708" w:type="dxa"/>
            <w:vMerge w:val="restart"/>
            <w:tcBorders>
              <w:top w:val="single" w:color="auto" w:sz="12"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工序</w:t>
            </w:r>
          </w:p>
        </w:tc>
        <w:tc>
          <w:tcPr>
            <w:tcW w:w="851" w:type="dxa"/>
            <w:vMerge w:val="restart"/>
            <w:tcBorders>
              <w:top w:val="single" w:color="auto" w:sz="12" w:space="0"/>
              <w:righ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污染源</w:t>
            </w:r>
          </w:p>
        </w:tc>
        <w:tc>
          <w:tcPr>
            <w:tcW w:w="850" w:type="dxa"/>
            <w:vMerge w:val="restart"/>
            <w:tcBorders>
              <w:top w:val="single" w:color="auto" w:sz="12" w:space="0"/>
              <w:lef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污染物</w:t>
            </w:r>
          </w:p>
        </w:tc>
        <w:tc>
          <w:tcPr>
            <w:tcW w:w="927" w:type="dxa"/>
            <w:vMerge w:val="restart"/>
            <w:tcBorders>
              <w:top w:val="single" w:color="auto" w:sz="12"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排放</w:t>
            </w:r>
          </w:p>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规律</w:t>
            </w:r>
          </w:p>
        </w:tc>
        <w:tc>
          <w:tcPr>
            <w:tcW w:w="3468" w:type="dxa"/>
            <w:gridSpan w:val="4"/>
            <w:tcBorders>
              <w:top w:val="single" w:color="auto" w:sz="12" w:space="0"/>
              <w:bottom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污染物产生</w:t>
            </w:r>
          </w:p>
        </w:tc>
        <w:tc>
          <w:tcPr>
            <w:tcW w:w="1701" w:type="dxa"/>
            <w:gridSpan w:val="2"/>
            <w:tcBorders>
              <w:top w:val="single" w:color="auto" w:sz="12" w:space="0"/>
              <w:bottom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治理措施及效率</w:t>
            </w:r>
          </w:p>
        </w:tc>
        <w:tc>
          <w:tcPr>
            <w:tcW w:w="2693" w:type="dxa"/>
            <w:gridSpan w:val="3"/>
            <w:tcBorders>
              <w:top w:val="single" w:color="auto" w:sz="12" w:space="0"/>
              <w:bottom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污染物排放</w:t>
            </w:r>
          </w:p>
        </w:tc>
        <w:tc>
          <w:tcPr>
            <w:tcW w:w="709" w:type="dxa"/>
            <w:vMerge w:val="restart"/>
            <w:tcBorders>
              <w:top w:val="single" w:color="auto" w:sz="12" w:space="0"/>
              <w:righ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排放时间</w:t>
            </w:r>
          </w:p>
        </w:tc>
        <w:tc>
          <w:tcPr>
            <w:tcW w:w="708" w:type="dxa"/>
            <w:vMerge w:val="restart"/>
            <w:tcBorders>
              <w:top w:val="single" w:color="auto" w:sz="12" w:space="0"/>
              <w:lef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排气筒高度/内径（m）</w:t>
            </w:r>
          </w:p>
        </w:tc>
        <w:tc>
          <w:tcPr>
            <w:tcW w:w="709" w:type="dxa"/>
            <w:vMerge w:val="restart"/>
            <w:tcBorders>
              <w:top w:val="single" w:color="auto" w:sz="12" w:space="0"/>
              <w:lef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出口温度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61" w:hRule="atLeast"/>
        </w:trPr>
        <w:tc>
          <w:tcPr>
            <w:tcW w:w="636" w:type="dxa"/>
            <w:vMerge w:val="continue"/>
            <w:tcBorders>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708" w:type="dxa"/>
            <w:vMerge w:val="continue"/>
            <w:tcBorders>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851" w:type="dxa"/>
            <w:vMerge w:val="continue"/>
            <w:tcBorders>
              <w:bottom w:val="single" w:color="auto" w:sz="4" w:space="0"/>
              <w:righ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850" w:type="dxa"/>
            <w:vMerge w:val="continue"/>
            <w:tcBorders>
              <w:left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927" w:type="dxa"/>
            <w:vMerge w:val="continue"/>
            <w:tcBorders>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703" w:type="dxa"/>
            <w:tcBorders>
              <w:top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核算方法</w:t>
            </w:r>
          </w:p>
        </w:tc>
        <w:tc>
          <w:tcPr>
            <w:tcW w:w="1013" w:type="dxa"/>
            <w:tcBorders>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废气产生量/(Nm</w:t>
            </w:r>
            <w:r>
              <w:rPr>
                <w:rFonts w:hint="default" w:ascii="Times New Roman" w:hAnsi="Times New Roman" w:cs="Times New Roman" w:eastAsiaTheme="minorEastAsia"/>
                <w:color w:val="000000" w:themeColor="text1"/>
                <w:spacing w:val="0"/>
                <w:vertAlign w:val="superscript"/>
                <w14:textFill>
                  <w14:solidFill>
                    <w14:schemeClr w14:val="tx1"/>
                  </w14:solidFill>
                </w14:textFill>
              </w:rPr>
              <w:t>3</w:t>
            </w:r>
            <w:r>
              <w:rPr>
                <w:rFonts w:hint="default" w:ascii="Times New Roman" w:hAnsi="Times New Roman" w:cs="Times New Roman" w:eastAsiaTheme="minorEastAsia"/>
                <w:color w:val="000000" w:themeColor="text1"/>
                <w:spacing w:val="0"/>
                <w14:textFill>
                  <w14:solidFill>
                    <w14:schemeClr w14:val="tx1"/>
                  </w14:solidFill>
                </w14:textFill>
              </w:rPr>
              <w:t>/h)</w:t>
            </w:r>
          </w:p>
        </w:tc>
        <w:tc>
          <w:tcPr>
            <w:tcW w:w="901" w:type="dxa"/>
            <w:tcBorders>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产生浓度/(mg/m</w:t>
            </w:r>
            <w:r>
              <w:rPr>
                <w:rFonts w:hint="default" w:ascii="Times New Roman" w:hAnsi="Times New Roman" w:cs="Times New Roman" w:eastAsiaTheme="minorEastAsia"/>
                <w:color w:val="000000" w:themeColor="text1"/>
                <w:spacing w:val="0"/>
                <w:vertAlign w:val="superscript"/>
                <w14:textFill>
                  <w14:solidFill>
                    <w14:schemeClr w14:val="tx1"/>
                  </w14:solidFill>
                </w14:textFill>
              </w:rPr>
              <w:t>3</w:t>
            </w:r>
            <w:r>
              <w:rPr>
                <w:rFonts w:hint="default" w:ascii="Times New Roman" w:hAnsi="Times New Roman" w:cs="Times New Roman" w:eastAsiaTheme="minorEastAsia"/>
                <w:color w:val="000000" w:themeColor="text1"/>
                <w:spacing w:val="0"/>
                <w14:textFill>
                  <w14:solidFill>
                    <w14:schemeClr w14:val="tx1"/>
                  </w14:solidFill>
                </w14:textFill>
              </w:rPr>
              <w:t>)</w:t>
            </w:r>
          </w:p>
        </w:tc>
        <w:tc>
          <w:tcPr>
            <w:tcW w:w="851" w:type="dxa"/>
            <w:tcBorders>
              <w:bottom w:val="single" w:color="auto" w:sz="4" w:space="0"/>
              <w:righ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产生量/(kg/h)</w:t>
            </w:r>
          </w:p>
        </w:tc>
        <w:tc>
          <w:tcPr>
            <w:tcW w:w="992" w:type="dxa"/>
            <w:tcBorders>
              <w:top w:val="single" w:color="auto" w:sz="8" w:space="0"/>
              <w:left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工艺</w:t>
            </w:r>
          </w:p>
        </w:tc>
        <w:tc>
          <w:tcPr>
            <w:tcW w:w="709" w:type="dxa"/>
            <w:tcBorders>
              <w:top w:val="single" w:color="auto" w:sz="8" w:space="0"/>
              <w:left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效率(%)</w:t>
            </w:r>
          </w:p>
        </w:tc>
        <w:tc>
          <w:tcPr>
            <w:tcW w:w="992" w:type="dxa"/>
            <w:tcBorders>
              <w:top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废气排放量/(Nm</w:t>
            </w:r>
            <w:r>
              <w:rPr>
                <w:rFonts w:hint="default" w:ascii="Times New Roman" w:hAnsi="Times New Roman" w:cs="Times New Roman" w:eastAsiaTheme="minorEastAsia"/>
                <w:color w:val="000000" w:themeColor="text1"/>
                <w:spacing w:val="0"/>
                <w:vertAlign w:val="superscript"/>
                <w14:textFill>
                  <w14:solidFill>
                    <w14:schemeClr w14:val="tx1"/>
                  </w14:solidFill>
                </w14:textFill>
              </w:rPr>
              <w:t>3</w:t>
            </w:r>
            <w:r>
              <w:rPr>
                <w:rFonts w:hint="default" w:ascii="Times New Roman" w:hAnsi="Times New Roman" w:cs="Times New Roman" w:eastAsiaTheme="minorEastAsia"/>
                <w:color w:val="000000" w:themeColor="text1"/>
                <w:spacing w:val="0"/>
                <w14:textFill>
                  <w14:solidFill>
                    <w14:schemeClr w14:val="tx1"/>
                  </w14:solidFill>
                </w14:textFill>
              </w:rPr>
              <w:t>/h)</w:t>
            </w:r>
          </w:p>
        </w:tc>
        <w:tc>
          <w:tcPr>
            <w:tcW w:w="850" w:type="dxa"/>
            <w:tcBorders>
              <w:top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排放浓度/(mg/m</w:t>
            </w:r>
            <w:r>
              <w:rPr>
                <w:rFonts w:hint="default" w:ascii="Times New Roman" w:hAnsi="Times New Roman" w:cs="Times New Roman" w:eastAsiaTheme="minorEastAsia"/>
                <w:color w:val="000000" w:themeColor="text1"/>
                <w:spacing w:val="0"/>
                <w:vertAlign w:val="superscript"/>
                <w14:textFill>
                  <w14:solidFill>
                    <w14:schemeClr w14:val="tx1"/>
                  </w14:solidFill>
                </w14:textFill>
              </w:rPr>
              <w:t>3</w:t>
            </w:r>
            <w:r>
              <w:rPr>
                <w:rFonts w:hint="default" w:ascii="Times New Roman" w:hAnsi="Times New Roman" w:cs="Times New Roman" w:eastAsiaTheme="minorEastAsia"/>
                <w:color w:val="000000" w:themeColor="text1"/>
                <w:spacing w:val="0"/>
                <w14:textFill>
                  <w14:solidFill>
                    <w14:schemeClr w14:val="tx1"/>
                  </w14:solidFill>
                </w14:textFill>
              </w:rPr>
              <w:t>)</w:t>
            </w:r>
          </w:p>
        </w:tc>
        <w:tc>
          <w:tcPr>
            <w:tcW w:w="851" w:type="dxa"/>
            <w:tcBorders>
              <w:top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排放量/(kg/h)</w:t>
            </w:r>
          </w:p>
        </w:tc>
        <w:tc>
          <w:tcPr>
            <w:tcW w:w="709" w:type="dxa"/>
            <w:vMerge w:val="continue"/>
            <w:tcBorders>
              <w:bottom w:val="single" w:color="auto" w:sz="4" w:space="0"/>
              <w:righ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708" w:type="dxa"/>
            <w:vMerge w:val="continue"/>
            <w:tcBorders>
              <w:left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709" w:type="dxa"/>
            <w:vMerge w:val="continue"/>
            <w:tcBorders>
              <w:left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0" w:hRule="atLeast"/>
        </w:trPr>
        <w:tc>
          <w:tcPr>
            <w:tcW w:w="636" w:type="dxa"/>
            <w:vMerge w:val="restart"/>
            <w:tcBorders>
              <w:top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1</w:t>
            </w:r>
          </w:p>
        </w:tc>
        <w:tc>
          <w:tcPr>
            <w:tcW w:w="708" w:type="dxa"/>
            <w:vMerge w:val="restart"/>
            <w:tcBorders>
              <w:top w:val="single" w:color="auto" w:sz="4" w:space="0"/>
            </w:tcBorders>
            <w:vAlign w:val="center"/>
          </w:tcPr>
          <w:p>
            <w:pPr>
              <w:pStyle w:val="666"/>
              <w:spacing w:line="320" w:lineRule="exact"/>
              <w:rPr>
                <w:rFonts w:hint="default" w:ascii="Times New Roman" w:hAnsi="Times New Roman" w:cs="Times New Roman" w:eastAsiaTheme="minorEastAsia"/>
                <w:color w:val="auto"/>
                <w:spacing w:val="0"/>
                <w:highlight w:val="none"/>
                <w:lang w:eastAsia="zh-CN"/>
              </w:rPr>
            </w:pPr>
            <w:r>
              <w:rPr>
                <w:rFonts w:hint="default" w:ascii="Times New Roman" w:hAnsi="Times New Roman" w:cs="Times New Roman" w:eastAsiaTheme="minorEastAsia"/>
                <w:color w:val="auto"/>
                <w:spacing w:val="0"/>
                <w:highlight w:val="none"/>
              </w:rPr>
              <w:t>沼气</w:t>
            </w:r>
            <w:r>
              <w:rPr>
                <w:rFonts w:hint="default" w:ascii="Times New Roman" w:hAnsi="Times New Roman" w:cs="Times New Roman" w:eastAsiaTheme="minorEastAsia"/>
                <w:color w:val="auto"/>
                <w:spacing w:val="0"/>
                <w:highlight w:val="none"/>
                <w:lang w:eastAsia="zh-CN"/>
              </w:rPr>
              <w:t>火炬</w:t>
            </w:r>
          </w:p>
        </w:tc>
        <w:tc>
          <w:tcPr>
            <w:tcW w:w="851" w:type="dxa"/>
            <w:vMerge w:val="restart"/>
            <w:tcBorders>
              <w:top w:val="single" w:color="auto" w:sz="4" w:space="0"/>
              <w:right w:val="single" w:color="auto" w:sz="8"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沼气燃烧废气</w:t>
            </w:r>
          </w:p>
        </w:tc>
        <w:tc>
          <w:tcPr>
            <w:tcW w:w="850" w:type="dxa"/>
            <w:tcBorders>
              <w:top w:val="single" w:color="auto" w:sz="4" w:space="0"/>
              <w:left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颗粒物</w:t>
            </w:r>
          </w:p>
        </w:tc>
        <w:tc>
          <w:tcPr>
            <w:tcW w:w="927"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连续</w:t>
            </w:r>
          </w:p>
        </w:tc>
        <w:tc>
          <w:tcPr>
            <w:tcW w:w="703"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物料衡算</w:t>
            </w:r>
          </w:p>
        </w:tc>
        <w:tc>
          <w:tcPr>
            <w:tcW w:w="1013"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13.58</w:t>
            </w:r>
          </w:p>
        </w:tc>
        <w:tc>
          <w:tcPr>
            <w:tcW w:w="901"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27.24</w:t>
            </w:r>
          </w:p>
        </w:tc>
        <w:tc>
          <w:tcPr>
            <w:tcW w:w="851" w:type="dxa"/>
            <w:tcBorders>
              <w:top w:val="single" w:color="auto" w:sz="4" w:space="0"/>
              <w:bottom w:val="single" w:color="auto" w:sz="4" w:space="0"/>
              <w:right w:val="single" w:color="auto" w:sz="8"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0.00037</w:t>
            </w:r>
          </w:p>
        </w:tc>
        <w:tc>
          <w:tcPr>
            <w:tcW w:w="992" w:type="dxa"/>
            <w:vMerge w:val="restart"/>
            <w:tcBorders>
              <w:top w:val="single" w:color="auto" w:sz="4" w:space="0"/>
              <w:left w:val="single" w:color="auto" w:sz="8"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w:t>
            </w:r>
          </w:p>
        </w:tc>
        <w:tc>
          <w:tcPr>
            <w:tcW w:w="709" w:type="dxa"/>
            <w:vMerge w:val="restart"/>
            <w:tcBorders>
              <w:top w:val="single" w:color="auto" w:sz="4" w:space="0"/>
              <w:lef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w:t>
            </w:r>
          </w:p>
        </w:tc>
        <w:tc>
          <w:tcPr>
            <w:tcW w:w="992"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13.58</w:t>
            </w:r>
          </w:p>
        </w:tc>
        <w:tc>
          <w:tcPr>
            <w:tcW w:w="850"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27.24</w:t>
            </w:r>
          </w:p>
        </w:tc>
        <w:tc>
          <w:tcPr>
            <w:tcW w:w="851"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0.00037</w:t>
            </w:r>
          </w:p>
        </w:tc>
        <w:tc>
          <w:tcPr>
            <w:tcW w:w="709" w:type="dxa"/>
            <w:vMerge w:val="restart"/>
            <w:tcBorders>
              <w:top w:val="single" w:color="auto" w:sz="4" w:space="0"/>
              <w:righ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4440h/a</w:t>
            </w:r>
          </w:p>
        </w:tc>
        <w:tc>
          <w:tcPr>
            <w:tcW w:w="708" w:type="dxa"/>
            <w:vMerge w:val="restart"/>
            <w:tcBorders>
              <w:top w:val="single" w:color="auto" w:sz="4" w:space="0"/>
              <w:lef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15/0.2</w:t>
            </w:r>
          </w:p>
        </w:tc>
        <w:tc>
          <w:tcPr>
            <w:tcW w:w="709" w:type="dxa"/>
            <w:vMerge w:val="restart"/>
            <w:tcBorders>
              <w:top w:val="single" w:color="auto" w:sz="4" w:space="0"/>
              <w:lef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80" w:hRule="atLeast"/>
        </w:trPr>
        <w:tc>
          <w:tcPr>
            <w:tcW w:w="636" w:type="dxa"/>
            <w:vMerge w:val="continue"/>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708" w:type="dxa"/>
            <w:vMerge w:val="continue"/>
            <w:vAlign w:val="center"/>
          </w:tcPr>
          <w:p>
            <w:pPr>
              <w:pStyle w:val="666"/>
              <w:spacing w:line="320" w:lineRule="exact"/>
              <w:rPr>
                <w:rFonts w:hint="default" w:ascii="Times New Roman" w:hAnsi="Times New Roman" w:cs="Times New Roman" w:eastAsiaTheme="minorEastAsia"/>
                <w:color w:val="auto"/>
                <w:spacing w:val="0"/>
              </w:rPr>
            </w:pPr>
          </w:p>
        </w:tc>
        <w:tc>
          <w:tcPr>
            <w:tcW w:w="851" w:type="dxa"/>
            <w:vMerge w:val="continue"/>
            <w:tcBorders>
              <w:right w:val="single" w:color="auto" w:sz="8" w:space="0"/>
            </w:tcBorders>
            <w:vAlign w:val="center"/>
          </w:tcPr>
          <w:p>
            <w:pPr>
              <w:pStyle w:val="666"/>
              <w:spacing w:line="320" w:lineRule="exact"/>
              <w:rPr>
                <w:rFonts w:hint="default" w:ascii="Times New Roman" w:hAnsi="Times New Roman" w:cs="Times New Roman" w:eastAsiaTheme="minorEastAsia"/>
                <w:color w:val="auto"/>
                <w:spacing w:val="0"/>
              </w:rPr>
            </w:pPr>
          </w:p>
        </w:tc>
        <w:tc>
          <w:tcPr>
            <w:tcW w:w="850" w:type="dxa"/>
            <w:tcBorders>
              <w:top w:val="single" w:color="auto" w:sz="4" w:space="0"/>
              <w:left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rPr>
            </w:pPr>
            <w:r>
              <w:rPr>
                <w:rFonts w:hint="default" w:ascii="Times New Roman" w:hAnsi="Times New Roman" w:cs="Times New Roman" w:eastAsiaTheme="minorEastAsia"/>
                <w:color w:val="auto"/>
                <w:spacing w:val="0"/>
              </w:rPr>
              <w:t>SO</w:t>
            </w:r>
            <w:r>
              <w:rPr>
                <w:rFonts w:hint="default" w:ascii="Times New Roman" w:hAnsi="Times New Roman" w:cs="Times New Roman" w:eastAsiaTheme="minorEastAsia"/>
                <w:color w:val="auto"/>
                <w:spacing w:val="0"/>
                <w:vertAlign w:val="subscript"/>
              </w:rPr>
              <w:t>2</w:t>
            </w:r>
          </w:p>
        </w:tc>
        <w:tc>
          <w:tcPr>
            <w:tcW w:w="927"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rPr>
            </w:pPr>
            <w:r>
              <w:rPr>
                <w:rFonts w:hint="default" w:ascii="Times New Roman" w:hAnsi="Times New Roman" w:cs="Times New Roman" w:eastAsiaTheme="minorEastAsia"/>
                <w:color w:val="auto"/>
                <w:spacing w:val="0"/>
              </w:rPr>
              <w:t>连续</w:t>
            </w:r>
          </w:p>
        </w:tc>
        <w:tc>
          <w:tcPr>
            <w:tcW w:w="703"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rPr>
            </w:pPr>
            <w:r>
              <w:rPr>
                <w:rFonts w:hint="default" w:ascii="Times New Roman" w:hAnsi="Times New Roman" w:cs="Times New Roman" w:eastAsiaTheme="minorEastAsia"/>
                <w:color w:val="auto"/>
                <w:spacing w:val="0"/>
              </w:rPr>
              <w:t>物料衡算</w:t>
            </w:r>
          </w:p>
        </w:tc>
        <w:tc>
          <w:tcPr>
            <w:tcW w:w="1013"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rPr>
            </w:pPr>
            <w:r>
              <w:rPr>
                <w:rFonts w:hint="default" w:ascii="Times New Roman" w:hAnsi="Times New Roman" w:cs="Times New Roman" w:eastAsiaTheme="minorEastAsia"/>
                <w:color w:val="auto"/>
                <w:spacing w:val="0"/>
              </w:rPr>
              <w:t>13.58</w:t>
            </w:r>
          </w:p>
        </w:tc>
        <w:tc>
          <w:tcPr>
            <w:tcW w:w="901"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rPr>
            </w:pPr>
            <w:r>
              <w:rPr>
                <w:rFonts w:hint="default" w:ascii="Times New Roman" w:hAnsi="Times New Roman" w:cs="Times New Roman" w:eastAsiaTheme="minorEastAsia"/>
                <w:color w:val="auto"/>
                <w:spacing w:val="0"/>
              </w:rPr>
              <w:t>19.14</w:t>
            </w:r>
          </w:p>
        </w:tc>
        <w:tc>
          <w:tcPr>
            <w:tcW w:w="851" w:type="dxa"/>
            <w:tcBorders>
              <w:top w:val="single" w:color="auto" w:sz="4" w:space="0"/>
              <w:bottom w:val="single" w:color="auto" w:sz="4" w:space="0"/>
              <w:right w:val="single" w:color="auto" w:sz="8" w:space="0"/>
            </w:tcBorders>
            <w:vAlign w:val="center"/>
          </w:tcPr>
          <w:p>
            <w:pPr>
              <w:pStyle w:val="666"/>
              <w:spacing w:line="320" w:lineRule="exact"/>
              <w:rPr>
                <w:rFonts w:hint="default" w:ascii="Times New Roman" w:hAnsi="Times New Roman" w:cs="Times New Roman" w:eastAsiaTheme="minorEastAsia"/>
                <w:color w:val="auto"/>
                <w:spacing w:val="0"/>
              </w:rPr>
            </w:pPr>
            <w:r>
              <w:rPr>
                <w:rFonts w:hint="default" w:ascii="Times New Roman" w:hAnsi="Times New Roman" w:cs="Times New Roman" w:eastAsiaTheme="minorEastAsia"/>
                <w:color w:val="auto"/>
                <w:spacing w:val="0"/>
              </w:rPr>
              <w:t>0.00026</w:t>
            </w:r>
          </w:p>
        </w:tc>
        <w:tc>
          <w:tcPr>
            <w:tcW w:w="992" w:type="dxa"/>
            <w:vMerge w:val="continue"/>
            <w:tcBorders>
              <w:left w:val="single" w:color="auto" w:sz="8" w:space="0"/>
            </w:tcBorders>
            <w:vAlign w:val="center"/>
          </w:tcPr>
          <w:p>
            <w:pPr>
              <w:pStyle w:val="666"/>
              <w:spacing w:line="320" w:lineRule="exact"/>
              <w:rPr>
                <w:rFonts w:hint="default" w:ascii="Times New Roman" w:hAnsi="Times New Roman" w:cs="Times New Roman" w:eastAsiaTheme="minorEastAsia"/>
                <w:color w:val="auto"/>
                <w:spacing w:val="0"/>
              </w:rPr>
            </w:pPr>
          </w:p>
        </w:tc>
        <w:tc>
          <w:tcPr>
            <w:tcW w:w="709" w:type="dxa"/>
            <w:vMerge w:val="continue"/>
            <w:tcBorders>
              <w:lef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992"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13.58</w:t>
            </w:r>
          </w:p>
        </w:tc>
        <w:tc>
          <w:tcPr>
            <w:tcW w:w="850"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19.14</w:t>
            </w:r>
          </w:p>
        </w:tc>
        <w:tc>
          <w:tcPr>
            <w:tcW w:w="851"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0.00026</w:t>
            </w:r>
          </w:p>
        </w:tc>
        <w:tc>
          <w:tcPr>
            <w:tcW w:w="709" w:type="dxa"/>
            <w:vMerge w:val="continue"/>
            <w:tcBorders>
              <w:righ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708" w:type="dxa"/>
            <w:vMerge w:val="continue"/>
            <w:tcBorders>
              <w:lef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709" w:type="dxa"/>
            <w:vMerge w:val="continue"/>
            <w:tcBorders>
              <w:lef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80" w:hRule="atLeast"/>
        </w:trPr>
        <w:tc>
          <w:tcPr>
            <w:tcW w:w="636" w:type="dxa"/>
            <w:vMerge w:val="continue"/>
            <w:tcBorders>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708" w:type="dxa"/>
            <w:vMerge w:val="continue"/>
            <w:tcBorders>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rPr>
            </w:pPr>
          </w:p>
        </w:tc>
        <w:tc>
          <w:tcPr>
            <w:tcW w:w="851" w:type="dxa"/>
            <w:vMerge w:val="continue"/>
            <w:tcBorders>
              <w:bottom w:val="single" w:color="auto" w:sz="4" w:space="0"/>
              <w:right w:val="single" w:color="auto" w:sz="8" w:space="0"/>
            </w:tcBorders>
            <w:vAlign w:val="center"/>
          </w:tcPr>
          <w:p>
            <w:pPr>
              <w:pStyle w:val="666"/>
              <w:spacing w:line="320" w:lineRule="exact"/>
              <w:rPr>
                <w:rFonts w:hint="default" w:ascii="Times New Roman" w:hAnsi="Times New Roman" w:cs="Times New Roman" w:eastAsiaTheme="minorEastAsia"/>
                <w:color w:val="auto"/>
                <w:spacing w:val="0"/>
              </w:rPr>
            </w:pPr>
          </w:p>
        </w:tc>
        <w:tc>
          <w:tcPr>
            <w:tcW w:w="850" w:type="dxa"/>
            <w:tcBorders>
              <w:top w:val="single" w:color="auto" w:sz="4" w:space="0"/>
              <w:left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rPr>
            </w:pPr>
            <w:r>
              <w:rPr>
                <w:rFonts w:hint="default" w:ascii="Times New Roman" w:hAnsi="Times New Roman" w:cs="Times New Roman" w:eastAsiaTheme="minorEastAsia"/>
                <w:color w:val="auto"/>
                <w:spacing w:val="0"/>
              </w:rPr>
              <w:t>NO</w:t>
            </w:r>
            <w:r>
              <w:rPr>
                <w:rFonts w:hint="default" w:ascii="Times New Roman" w:hAnsi="Times New Roman" w:cs="Times New Roman" w:eastAsiaTheme="minorEastAsia"/>
                <w:color w:val="auto"/>
                <w:spacing w:val="0"/>
                <w:vertAlign w:val="subscript"/>
              </w:rPr>
              <w:t>x</w:t>
            </w:r>
          </w:p>
        </w:tc>
        <w:tc>
          <w:tcPr>
            <w:tcW w:w="927"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rPr>
            </w:pPr>
            <w:r>
              <w:rPr>
                <w:rFonts w:hint="default" w:ascii="Times New Roman" w:hAnsi="Times New Roman" w:cs="Times New Roman" w:eastAsiaTheme="minorEastAsia"/>
                <w:color w:val="auto"/>
                <w:spacing w:val="0"/>
              </w:rPr>
              <w:t>连续</w:t>
            </w:r>
          </w:p>
        </w:tc>
        <w:tc>
          <w:tcPr>
            <w:tcW w:w="703"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rPr>
            </w:pPr>
            <w:r>
              <w:rPr>
                <w:rFonts w:hint="default" w:ascii="Times New Roman" w:hAnsi="Times New Roman" w:cs="Times New Roman" w:eastAsiaTheme="minorEastAsia"/>
                <w:color w:val="auto"/>
                <w:spacing w:val="0"/>
              </w:rPr>
              <w:t>物料衡算</w:t>
            </w:r>
          </w:p>
        </w:tc>
        <w:tc>
          <w:tcPr>
            <w:tcW w:w="1013"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rPr>
            </w:pPr>
            <w:r>
              <w:rPr>
                <w:rFonts w:hint="default" w:ascii="Times New Roman" w:hAnsi="Times New Roman" w:cs="Times New Roman" w:eastAsiaTheme="minorEastAsia"/>
                <w:color w:val="auto"/>
                <w:spacing w:val="0"/>
              </w:rPr>
              <w:t>13.58</w:t>
            </w:r>
          </w:p>
        </w:tc>
        <w:tc>
          <w:tcPr>
            <w:tcW w:w="901"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rPr>
            </w:pPr>
            <w:r>
              <w:rPr>
                <w:rFonts w:hint="default" w:ascii="Times New Roman" w:hAnsi="Times New Roman" w:cs="Times New Roman" w:eastAsiaTheme="minorEastAsia"/>
                <w:color w:val="auto"/>
                <w:spacing w:val="0"/>
              </w:rPr>
              <w:t>176.73</w:t>
            </w:r>
          </w:p>
        </w:tc>
        <w:tc>
          <w:tcPr>
            <w:tcW w:w="851" w:type="dxa"/>
            <w:tcBorders>
              <w:top w:val="single" w:color="auto" w:sz="4" w:space="0"/>
              <w:bottom w:val="single" w:color="auto" w:sz="4" w:space="0"/>
              <w:right w:val="single" w:color="auto" w:sz="8" w:space="0"/>
            </w:tcBorders>
            <w:vAlign w:val="center"/>
          </w:tcPr>
          <w:p>
            <w:pPr>
              <w:pStyle w:val="666"/>
              <w:spacing w:line="320" w:lineRule="exact"/>
              <w:rPr>
                <w:rFonts w:hint="default" w:ascii="Times New Roman" w:hAnsi="Times New Roman" w:cs="Times New Roman" w:eastAsiaTheme="minorEastAsia"/>
                <w:color w:val="auto"/>
                <w:spacing w:val="0"/>
              </w:rPr>
            </w:pPr>
            <w:r>
              <w:rPr>
                <w:rFonts w:hint="default" w:ascii="Times New Roman" w:hAnsi="Times New Roman" w:cs="Times New Roman" w:eastAsiaTheme="minorEastAsia"/>
                <w:color w:val="auto"/>
                <w:spacing w:val="0"/>
              </w:rPr>
              <w:t>0.0024</w:t>
            </w:r>
          </w:p>
        </w:tc>
        <w:tc>
          <w:tcPr>
            <w:tcW w:w="992" w:type="dxa"/>
            <w:vMerge w:val="continue"/>
            <w:tcBorders>
              <w:left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rPr>
            </w:pPr>
          </w:p>
        </w:tc>
        <w:tc>
          <w:tcPr>
            <w:tcW w:w="709" w:type="dxa"/>
            <w:vMerge w:val="continue"/>
            <w:tcBorders>
              <w:left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992"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13.58</w:t>
            </w:r>
          </w:p>
        </w:tc>
        <w:tc>
          <w:tcPr>
            <w:tcW w:w="850"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176.73</w:t>
            </w:r>
          </w:p>
        </w:tc>
        <w:tc>
          <w:tcPr>
            <w:tcW w:w="851"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0.0024</w:t>
            </w:r>
          </w:p>
        </w:tc>
        <w:tc>
          <w:tcPr>
            <w:tcW w:w="709" w:type="dxa"/>
            <w:vMerge w:val="continue"/>
            <w:tcBorders>
              <w:bottom w:val="single" w:color="auto" w:sz="4" w:space="0"/>
              <w:righ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708" w:type="dxa"/>
            <w:vMerge w:val="continue"/>
            <w:tcBorders>
              <w:left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709" w:type="dxa"/>
            <w:vMerge w:val="continue"/>
            <w:tcBorders>
              <w:left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5" w:hRule="atLeast"/>
        </w:trPr>
        <w:tc>
          <w:tcPr>
            <w:tcW w:w="636" w:type="dxa"/>
            <w:tcBorders>
              <w:top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w:t>
            </w:r>
          </w:p>
        </w:tc>
        <w:tc>
          <w:tcPr>
            <w:tcW w:w="708" w:type="dxa"/>
            <w:tcBorders>
              <w:top w:val="single" w:color="auto" w:sz="4" w:space="0"/>
            </w:tcBorders>
            <w:vAlign w:val="center"/>
          </w:tcPr>
          <w:p>
            <w:pPr>
              <w:pStyle w:val="666"/>
              <w:spacing w:line="320" w:lineRule="exact"/>
              <w:rPr>
                <w:rFonts w:hint="default" w:ascii="Times New Roman" w:hAnsi="Times New Roman" w:cs="Times New Roman" w:eastAsiaTheme="minorEastAsia"/>
                <w:color w:val="auto"/>
                <w:spacing w:val="0"/>
              </w:rPr>
            </w:pPr>
            <w:r>
              <w:rPr>
                <w:rFonts w:hint="default" w:ascii="Times New Roman" w:hAnsi="Times New Roman" w:cs="Times New Roman" w:eastAsiaTheme="minorEastAsia"/>
                <w:color w:val="auto"/>
                <w:spacing w:val="0"/>
              </w:rPr>
              <w:t>干草库</w:t>
            </w:r>
          </w:p>
        </w:tc>
        <w:tc>
          <w:tcPr>
            <w:tcW w:w="851" w:type="dxa"/>
            <w:tcBorders>
              <w:top w:val="single" w:color="auto" w:sz="4" w:space="0"/>
              <w:right w:val="single" w:color="auto" w:sz="8" w:space="0"/>
            </w:tcBorders>
            <w:vAlign w:val="center"/>
          </w:tcPr>
          <w:p>
            <w:pPr>
              <w:pStyle w:val="666"/>
              <w:spacing w:line="320" w:lineRule="exact"/>
              <w:rPr>
                <w:rFonts w:hint="default" w:ascii="Times New Roman" w:hAnsi="Times New Roman" w:cs="Times New Roman" w:eastAsiaTheme="minorEastAsia"/>
                <w:color w:val="auto"/>
                <w:spacing w:val="0"/>
              </w:rPr>
            </w:pPr>
            <w:r>
              <w:rPr>
                <w:rFonts w:hint="default" w:ascii="Times New Roman" w:hAnsi="Times New Roman" w:cs="Times New Roman" w:eastAsiaTheme="minorEastAsia"/>
                <w:color w:val="auto"/>
                <w:spacing w:val="0"/>
              </w:rPr>
              <w:t>加工粉尘</w:t>
            </w:r>
          </w:p>
        </w:tc>
        <w:tc>
          <w:tcPr>
            <w:tcW w:w="850" w:type="dxa"/>
            <w:tcBorders>
              <w:top w:val="single" w:color="auto" w:sz="4" w:space="0"/>
              <w:left w:val="single" w:color="auto" w:sz="8" w:space="0"/>
              <w:bottom w:val="single" w:color="000000" w:sz="2" w:space="0"/>
            </w:tcBorders>
            <w:vAlign w:val="center"/>
          </w:tcPr>
          <w:p>
            <w:pPr>
              <w:pStyle w:val="666"/>
              <w:spacing w:line="320" w:lineRule="exact"/>
              <w:rPr>
                <w:rFonts w:hint="default" w:ascii="Times New Roman" w:hAnsi="Times New Roman" w:cs="Times New Roman" w:eastAsiaTheme="minorEastAsia"/>
                <w:color w:val="auto"/>
                <w:spacing w:val="0"/>
              </w:rPr>
            </w:pPr>
            <w:r>
              <w:rPr>
                <w:rFonts w:hint="default" w:ascii="Times New Roman" w:hAnsi="Times New Roman" w:cs="Times New Roman" w:eastAsiaTheme="minorEastAsia"/>
                <w:color w:val="auto"/>
                <w:spacing w:val="0"/>
              </w:rPr>
              <w:t>颗粒物</w:t>
            </w:r>
          </w:p>
        </w:tc>
        <w:tc>
          <w:tcPr>
            <w:tcW w:w="927" w:type="dxa"/>
            <w:tcBorders>
              <w:top w:val="single" w:color="auto" w:sz="4" w:space="0"/>
              <w:bottom w:val="single" w:color="000000" w:sz="2" w:space="0"/>
            </w:tcBorders>
            <w:vAlign w:val="center"/>
          </w:tcPr>
          <w:p>
            <w:pPr>
              <w:pStyle w:val="666"/>
              <w:spacing w:line="320" w:lineRule="exact"/>
              <w:rPr>
                <w:rFonts w:hint="default" w:ascii="Times New Roman" w:hAnsi="Times New Roman" w:cs="Times New Roman" w:eastAsiaTheme="minorEastAsia"/>
                <w:color w:val="auto"/>
                <w:spacing w:val="0"/>
              </w:rPr>
            </w:pPr>
            <w:r>
              <w:rPr>
                <w:rFonts w:hint="default" w:ascii="Times New Roman" w:hAnsi="Times New Roman" w:cs="Times New Roman" w:eastAsiaTheme="minorEastAsia"/>
                <w:color w:val="auto"/>
                <w:spacing w:val="0"/>
              </w:rPr>
              <w:t>连续</w:t>
            </w:r>
          </w:p>
        </w:tc>
        <w:tc>
          <w:tcPr>
            <w:tcW w:w="703" w:type="dxa"/>
            <w:tcBorders>
              <w:top w:val="single" w:color="auto" w:sz="4" w:space="0"/>
              <w:bottom w:val="single" w:color="000000" w:sz="2" w:space="0"/>
            </w:tcBorders>
            <w:vAlign w:val="center"/>
          </w:tcPr>
          <w:p>
            <w:pPr>
              <w:pStyle w:val="666"/>
              <w:spacing w:line="320" w:lineRule="exact"/>
              <w:rPr>
                <w:rFonts w:hint="default" w:ascii="Times New Roman" w:hAnsi="Times New Roman" w:cs="Times New Roman" w:eastAsiaTheme="minorEastAsia"/>
                <w:color w:val="auto"/>
                <w:spacing w:val="0"/>
              </w:rPr>
            </w:pPr>
            <w:r>
              <w:rPr>
                <w:rFonts w:hint="default" w:ascii="Times New Roman" w:hAnsi="Times New Roman" w:cs="Times New Roman" w:eastAsiaTheme="minorEastAsia"/>
                <w:color w:val="auto"/>
                <w:spacing w:val="0"/>
              </w:rPr>
              <w:t>产污系数</w:t>
            </w:r>
          </w:p>
        </w:tc>
        <w:tc>
          <w:tcPr>
            <w:tcW w:w="1013" w:type="dxa"/>
            <w:tcBorders>
              <w:top w:val="single" w:color="auto" w:sz="4" w:space="0"/>
              <w:bottom w:val="single" w:color="000000" w:sz="2" w:space="0"/>
            </w:tcBorders>
            <w:vAlign w:val="center"/>
          </w:tcPr>
          <w:p>
            <w:pPr>
              <w:pStyle w:val="666"/>
              <w:spacing w:line="320" w:lineRule="exact"/>
              <w:rPr>
                <w:rFonts w:hint="default" w:ascii="Times New Roman" w:hAnsi="Times New Roman" w:cs="Times New Roman" w:eastAsiaTheme="minorEastAsia"/>
                <w:color w:val="auto"/>
                <w:spacing w:val="0"/>
              </w:rPr>
            </w:pPr>
            <w:r>
              <w:rPr>
                <w:rFonts w:hint="default" w:ascii="Times New Roman" w:hAnsi="Times New Roman" w:cs="Times New Roman" w:eastAsiaTheme="minorEastAsia"/>
                <w:color w:val="auto"/>
                <w:spacing w:val="0"/>
              </w:rPr>
              <w:t>/</w:t>
            </w:r>
          </w:p>
        </w:tc>
        <w:tc>
          <w:tcPr>
            <w:tcW w:w="901" w:type="dxa"/>
            <w:tcBorders>
              <w:top w:val="single" w:color="auto" w:sz="4" w:space="0"/>
              <w:bottom w:val="single" w:color="000000" w:sz="2" w:space="0"/>
            </w:tcBorders>
            <w:vAlign w:val="center"/>
          </w:tcPr>
          <w:p>
            <w:pPr>
              <w:pStyle w:val="666"/>
              <w:spacing w:line="320" w:lineRule="exact"/>
              <w:rPr>
                <w:rFonts w:hint="default" w:ascii="Times New Roman" w:hAnsi="Times New Roman" w:cs="Times New Roman" w:eastAsiaTheme="minorEastAsia"/>
                <w:color w:val="auto"/>
                <w:spacing w:val="0"/>
              </w:rPr>
            </w:pPr>
            <w:r>
              <w:rPr>
                <w:rFonts w:hint="default" w:ascii="Times New Roman" w:hAnsi="Times New Roman" w:cs="Times New Roman" w:eastAsiaTheme="minorEastAsia"/>
                <w:color w:val="auto"/>
                <w:spacing w:val="0"/>
              </w:rPr>
              <w:t>/</w:t>
            </w:r>
          </w:p>
        </w:tc>
        <w:tc>
          <w:tcPr>
            <w:tcW w:w="851" w:type="dxa"/>
            <w:tcBorders>
              <w:top w:val="single" w:color="auto" w:sz="4" w:space="0"/>
              <w:bottom w:val="single" w:color="000000" w:sz="2" w:space="0"/>
              <w:right w:val="single" w:color="auto" w:sz="8" w:space="0"/>
            </w:tcBorders>
            <w:vAlign w:val="center"/>
          </w:tcPr>
          <w:p>
            <w:pPr>
              <w:pStyle w:val="666"/>
              <w:spacing w:line="320" w:lineRule="exact"/>
              <w:rPr>
                <w:rFonts w:hint="default" w:ascii="Times New Roman" w:hAnsi="Times New Roman" w:cs="Times New Roman" w:eastAsiaTheme="minorEastAsia"/>
                <w:color w:val="auto"/>
                <w:spacing w:val="0"/>
              </w:rPr>
            </w:pPr>
            <w:r>
              <w:rPr>
                <w:rFonts w:hint="default" w:ascii="Times New Roman" w:hAnsi="Times New Roman" w:cs="Times New Roman" w:eastAsiaTheme="minorEastAsia"/>
                <w:color w:val="auto"/>
                <w:spacing w:val="0"/>
              </w:rPr>
              <w:t>0.014</w:t>
            </w:r>
          </w:p>
        </w:tc>
        <w:tc>
          <w:tcPr>
            <w:tcW w:w="992" w:type="dxa"/>
            <w:tcBorders>
              <w:top w:val="single" w:color="auto" w:sz="4" w:space="0"/>
              <w:left w:val="single" w:color="auto" w:sz="8" w:space="0"/>
              <w:bottom w:val="single" w:color="000000" w:sz="2" w:space="0"/>
            </w:tcBorders>
            <w:vAlign w:val="center"/>
          </w:tcPr>
          <w:p>
            <w:pPr>
              <w:pStyle w:val="666"/>
              <w:rPr>
                <w:rFonts w:hint="default" w:ascii="Times New Roman" w:hAnsi="Times New Roman" w:cs="Times New Roman" w:eastAsiaTheme="minorEastAsia"/>
                <w:color w:val="auto"/>
                <w:spacing w:val="0"/>
              </w:rPr>
            </w:pPr>
            <w:r>
              <w:rPr>
                <w:rFonts w:hint="default" w:ascii="Times New Roman" w:hAnsi="Times New Roman" w:cs="Times New Roman" w:eastAsiaTheme="minorEastAsia"/>
                <w:color w:val="auto"/>
                <w:spacing w:val="0"/>
              </w:rPr>
              <w:t>/</w:t>
            </w:r>
          </w:p>
        </w:tc>
        <w:tc>
          <w:tcPr>
            <w:tcW w:w="709" w:type="dxa"/>
            <w:tcBorders>
              <w:top w:val="single" w:color="auto" w:sz="4" w:space="0"/>
              <w:left w:val="single" w:color="auto" w:sz="8" w:space="0"/>
              <w:bottom w:val="single" w:color="000000" w:sz="2" w:space="0"/>
            </w:tcBorders>
            <w:vAlign w:val="center"/>
          </w:tcPr>
          <w:p>
            <w:pPr>
              <w:pStyle w:val="666"/>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w:t>
            </w:r>
          </w:p>
        </w:tc>
        <w:tc>
          <w:tcPr>
            <w:tcW w:w="992" w:type="dxa"/>
            <w:tcBorders>
              <w:top w:val="single" w:color="auto" w:sz="4" w:space="0"/>
              <w:bottom w:val="single" w:color="000000" w:sz="2"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w:t>
            </w:r>
          </w:p>
        </w:tc>
        <w:tc>
          <w:tcPr>
            <w:tcW w:w="850" w:type="dxa"/>
            <w:tcBorders>
              <w:top w:val="single" w:color="auto" w:sz="4" w:space="0"/>
              <w:bottom w:val="single" w:color="000000" w:sz="2"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w:t>
            </w:r>
          </w:p>
        </w:tc>
        <w:tc>
          <w:tcPr>
            <w:tcW w:w="851" w:type="dxa"/>
            <w:tcBorders>
              <w:top w:val="single" w:color="auto" w:sz="4" w:space="0"/>
              <w:bottom w:val="single" w:color="000000" w:sz="2"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0.014</w:t>
            </w:r>
          </w:p>
        </w:tc>
        <w:tc>
          <w:tcPr>
            <w:tcW w:w="709" w:type="dxa"/>
            <w:tcBorders>
              <w:top w:val="single" w:color="auto" w:sz="4" w:space="0"/>
              <w:bottom w:val="single" w:color="000000" w:sz="2" w:space="0"/>
              <w:righ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2920h/a</w:t>
            </w:r>
          </w:p>
        </w:tc>
        <w:tc>
          <w:tcPr>
            <w:tcW w:w="708" w:type="dxa"/>
            <w:tcBorders>
              <w:top w:val="single" w:color="auto" w:sz="4" w:space="0"/>
              <w:left w:val="single" w:color="auto" w:sz="8" w:space="0"/>
              <w:bottom w:val="single" w:color="000000" w:sz="2"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w:t>
            </w:r>
          </w:p>
        </w:tc>
        <w:tc>
          <w:tcPr>
            <w:tcW w:w="709" w:type="dxa"/>
            <w:tcBorders>
              <w:top w:val="single" w:color="auto" w:sz="4" w:space="0"/>
              <w:left w:val="single" w:color="auto" w:sz="8" w:space="0"/>
              <w:bottom w:val="single" w:color="000000" w:sz="2"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40" w:hRule="atLeast"/>
        </w:trPr>
        <w:tc>
          <w:tcPr>
            <w:tcW w:w="636" w:type="dxa"/>
            <w:vMerge w:val="restart"/>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3</w:t>
            </w:r>
          </w:p>
        </w:tc>
        <w:tc>
          <w:tcPr>
            <w:tcW w:w="708" w:type="dxa"/>
            <w:vMerge w:val="restart"/>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牛舍</w:t>
            </w:r>
          </w:p>
        </w:tc>
        <w:tc>
          <w:tcPr>
            <w:tcW w:w="851" w:type="dxa"/>
            <w:vMerge w:val="restart"/>
            <w:tcBorders>
              <w:right w:val="single" w:color="auto" w:sz="8"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恶臭</w:t>
            </w:r>
          </w:p>
        </w:tc>
        <w:tc>
          <w:tcPr>
            <w:tcW w:w="850" w:type="dxa"/>
            <w:tcBorders>
              <w:top w:val="single" w:color="000000" w:sz="2" w:space="0"/>
              <w:left w:val="single" w:color="auto" w:sz="8" w:space="0"/>
              <w:bottom w:val="single" w:color="000000" w:sz="2"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NH</w:t>
            </w:r>
            <w:r>
              <w:rPr>
                <w:rFonts w:hint="default" w:ascii="Times New Roman" w:hAnsi="Times New Roman" w:cs="Times New Roman" w:eastAsiaTheme="minorEastAsia"/>
                <w:color w:val="auto"/>
                <w:spacing w:val="0"/>
                <w:highlight w:val="none"/>
                <w:vertAlign w:val="subscript"/>
              </w:rPr>
              <w:t>3</w:t>
            </w:r>
          </w:p>
        </w:tc>
        <w:tc>
          <w:tcPr>
            <w:tcW w:w="927" w:type="dxa"/>
            <w:tcBorders>
              <w:top w:val="single" w:color="000000" w:sz="2" w:space="0"/>
              <w:bottom w:val="single" w:color="000000" w:sz="2"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连续</w:t>
            </w:r>
          </w:p>
        </w:tc>
        <w:tc>
          <w:tcPr>
            <w:tcW w:w="703" w:type="dxa"/>
            <w:tcBorders>
              <w:top w:val="single" w:color="000000" w:sz="2" w:space="0"/>
              <w:bottom w:val="single" w:color="000000" w:sz="2"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物料衡算</w:t>
            </w:r>
          </w:p>
        </w:tc>
        <w:tc>
          <w:tcPr>
            <w:tcW w:w="1013" w:type="dxa"/>
            <w:tcBorders>
              <w:top w:val="single" w:color="000000" w:sz="2" w:space="0"/>
              <w:bottom w:val="single" w:color="000000" w:sz="2"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w:t>
            </w:r>
          </w:p>
        </w:tc>
        <w:tc>
          <w:tcPr>
            <w:tcW w:w="901" w:type="dxa"/>
            <w:tcBorders>
              <w:top w:val="single" w:color="000000" w:sz="2" w:space="0"/>
              <w:bottom w:val="single" w:color="000000" w:sz="2"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w:t>
            </w:r>
          </w:p>
        </w:tc>
        <w:tc>
          <w:tcPr>
            <w:tcW w:w="851" w:type="dxa"/>
            <w:tcBorders>
              <w:top w:val="single" w:color="000000" w:sz="2" w:space="0"/>
              <w:bottom w:val="single" w:color="000000" w:sz="2"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0.048</w:t>
            </w:r>
          </w:p>
        </w:tc>
        <w:tc>
          <w:tcPr>
            <w:tcW w:w="992" w:type="dxa"/>
            <w:tcBorders>
              <w:top w:val="single" w:color="000000" w:sz="2" w:space="0"/>
              <w:bottom w:val="single" w:color="000000" w:sz="2" w:space="0"/>
              <w:right w:val="single" w:color="auto" w:sz="8"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垫料床+EM菌除臭剂</w:t>
            </w:r>
          </w:p>
        </w:tc>
        <w:tc>
          <w:tcPr>
            <w:tcW w:w="709" w:type="dxa"/>
            <w:tcBorders>
              <w:top w:val="single" w:color="000000" w:sz="2" w:space="0"/>
              <w:left w:val="single" w:color="auto" w:sz="8" w:space="0"/>
              <w:bottom w:val="single" w:color="000000" w:sz="2"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84</w:t>
            </w:r>
          </w:p>
        </w:tc>
        <w:tc>
          <w:tcPr>
            <w:tcW w:w="992" w:type="dxa"/>
            <w:tcBorders>
              <w:top w:val="single" w:color="000000" w:sz="2" w:space="0"/>
              <w:bottom w:val="single" w:color="000000" w:sz="2"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w:t>
            </w:r>
          </w:p>
        </w:tc>
        <w:tc>
          <w:tcPr>
            <w:tcW w:w="850" w:type="dxa"/>
            <w:tcBorders>
              <w:top w:val="single" w:color="000000" w:sz="2" w:space="0"/>
              <w:bottom w:val="single" w:color="000000" w:sz="2"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w:t>
            </w:r>
          </w:p>
        </w:tc>
        <w:tc>
          <w:tcPr>
            <w:tcW w:w="851" w:type="dxa"/>
            <w:tcBorders>
              <w:top w:val="single" w:color="000000" w:sz="2" w:space="0"/>
              <w:bottom w:val="single" w:color="000000" w:sz="2"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0.007</w:t>
            </w:r>
          </w:p>
        </w:tc>
        <w:tc>
          <w:tcPr>
            <w:tcW w:w="709" w:type="dxa"/>
            <w:vMerge w:val="restart"/>
            <w:tcBorders>
              <w:top w:val="single" w:color="000000" w:sz="2" w:space="0"/>
              <w:righ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8760h/a</w:t>
            </w:r>
          </w:p>
        </w:tc>
        <w:tc>
          <w:tcPr>
            <w:tcW w:w="708" w:type="dxa"/>
            <w:vMerge w:val="restart"/>
            <w:tcBorders>
              <w:top w:val="single" w:color="000000" w:sz="2" w:space="0"/>
              <w:lef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w:t>
            </w:r>
          </w:p>
        </w:tc>
        <w:tc>
          <w:tcPr>
            <w:tcW w:w="709" w:type="dxa"/>
            <w:vMerge w:val="restart"/>
            <w:tcBorders>
              <w:top w:val="single" w:color="000000" w:sz="2" w:space="0"/>
              <w:lef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0" w:hRule="atLeast"/>
        </w:trPr>
        <w:tc>
          <w:tcPr>
            <w:tcW w:w="636" w:type="dxa"/>
            <w:vMerge w:val="continue"/>
            <w:tcBorders>
              <w:bottom w:val="single" w:color="000000" w:sz="2"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708" w:type="dxa"/>
            <w:vMerge w:val="continue"/>
            <w:tcBorders>
              <w:bottom w:val="single" w:color="000000" w:sz="2"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p>
        </w:tc>
        <w:tc>
          <w:tcPr>
            <w:tcW w:w="851" w:type="dxa"/>
            <w:vMerge w:val="continue"/>
            <w:tcBorders>
              <w:bottom w:val="single" w:color="000000" w:sz="2" w:space="0"/>
              <w:right w:val="single" w:color="auto" w:sz="8"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p>
        </w:tc>
        <w:tc>
          <w:tcPr>
            <w:tcW w:w="850" w:type="dxa"/>
            <w:tcBorders>
              <w:top w:val="single" w:color="000000" w:sz="2" w:space="0"/>
              <w:left w:val="single" w:color="auto" w:sz="8" w:space="0"/>
              <w:bottom w:val="single" w:color="000000" w:sz="2"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H</w:t>
            </w:r>
            <w:r>
              <w:rPr>
                <w:rFonts w:hint="default" w:ascii="Times New Roman" w:hAnsi="Times New Roman" w:cs="Times New Roman" w:eastAsiaTheme="minorEastAsia"/>
                <w:color w:val="auto"/>
                <w:spacing w:val="0"/>
                <w:highlight w:val="none"/>
                <w:vertAlign w:val="subscript"/>
              </w:rPr>
              <w:t>2</w:t>
            </w:r>
            <w:r>
              <w:rPr>
                <w:rFonts w:hint="default" w:ascii="Times New Roman" w:hAnsi="Times New Roman" w:cs="Times New Roman" w:eastAsiaTheme="minorEastAsia"/>
                <w:color w:val="auto"/>
                <w:spacing w:val="0"/>
                <w:highlight w:val="none"/>
              </w:rPr>
              <w:t>S</w:t>
            </w:r>
          </w:p>
        </w:tc>
        <w:tc>
          <w:tcPr>
            <w:tcW w:w="927" w:type="dxa"/>
            <w:tcBorders>
              <w:top w:val="single" w:color="000000" w:sz="2" w:space="0"/>
              <w:bottom w:val="single" w:color="000000" w:sz="2"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连续</w:t>
            </w:r>
          </w:p>
        </w:tc>
        <w:tc>
          <w:tcPr>
            <w:tcW w:w="703" w:type="dxa"/>
            <w:tcBorders>
              <w:top w:val="single" w:color="000000" w:sz="2" w:space="0"/>
              <w:bottom w:val="single" w:color="000000" w:sz="2"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物料衡算</w:t>
            </w:r>
          </w:p>
        </w:tc>
        <w:tc>
          <w:tcPr>
            <w:tcW w:w="1013" w:type="dxa"/>
            <w:tcBorders>
              <w:top w:val="single" w:color="000000" w:sz="2" w:space="0"/>
              <w:bottom w:val="single" w:color="000000" w:sz="2"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w:t>
            </w:r>
          </w:p>
        </w:tc>
        <w:tc>
          <w:tcPr>
            <w:tcW w:w="901" w:type="dxa"/>
            <w:tcBorders>
              <w:top w:val="single" w:color="000000" w:sz="2" w:space="0"/>
              <w:bottom w:val="single" w:color="000000" w:sz="2"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w:t>
            </w:r>
          </w:p>
        </w:tc>
        <w:tc>
          <w:tcPr>
            <w:tcW w:w="851" w:type="dxa"/>
            <w:tcBorders>
              <w:top w:val="single" w:color="000000" w:sz="2" w:space="0"/>
              <w:bottom w:val="single" w:color="000000" w:sz="2"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0.006</w:t>
            </w:r>
          </w:p>
        </w:tc>
        <w:tc>
          <w:tcPr>
            <w:tcW w:w="992" w:type="dxa"/>
            <w:tcBorders>
              <w:top w:val="single" w:color="000000" w:sz="2" w:space="0"/>
              <w:bottom w:val="single" w:color="000000" w:sz="2" w:space="0"/>
              <w:right w:val="single" w:color="auto" w:sz="8"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垫料床+EM菌除臭剂</w:t>
            </w:r>
          </w:p>
        </w:tc>
        <w:tc>
          <w:tcPr>
            <w:tcW w:w="709" w:type="dxa"/>
            <w:tcBorders>
              <w:top w:val="single" w:color="000000" w:sz="2" w:space="0"/>
              <w:left w:val="single" w:color="auto" w:sz="8" w:space="0"/>
              <w:bottom w:val="single" w:color="000000" w:sz="2"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93.7</w:t>
            </w:r>
          </w:p>
        </w:tc>
        <w:tc>
          <w:tcPr>
            <w:tcW w:w="992" w:type="dxa"/>
            <w:tcBorders>
              <w:top w:val="single" w:color="000000" w:sz="2" w:space="0"/>
              <w:bottom w:val="single" w:color="000000" w:sz="2"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w:t>
            </w:r>
          </w:p>
        </w:tc>
        <w:tc>
          <w:tcPr>
            <w:tcW w:w="850" w:type="dxa"/>
            <w:tcBorders>
              <w:top w:val="single" w:color="000000" w:sz="2" w:space="0"/>
              <w:bottom w:val="single" w:color="000000" w:sz="2"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w:t>
            </w:r>
          </w:p>
        </w:tc>
        <w:tc>
          <w:tcPr>
            <w:tcW w:w="851" w:type="dxa"/>
            <w:tcBorders>
              <w:top w:val="single" w:color="000000" w:sz="2" w:space="0"/>
              <w:bottom w:val="single" w:color="000000" w:sz="2"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0.0004</w:t>
            </w:r>
          </w:p>
        </w:tc>
        <w:tc>
          <w:tcPr>
            <w:tcW w:w="709" w:type="dxa"/>
            <w:vMerge w:val="continue"/>
            <w:tcBorders>
              <w:bottom w:val="single" w:color="000000" w:sz="2" w:space="0"/>
              <w:righ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708" w:type="dxa"/>
            <w:vMerge w:val="continue"/>
            <w:tcBorders>
              <w:left w:val="single" w:color="auto" w:sz="8" w:space="0"/>
              <w:bottom w:val="single" w:color="000000" w:sz="2"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709" w:type="dxa"/>
            <w:vMerge w:val="continue"/>
            <w:tcBorders>
              <w:left w:val="single" w:color="auto" w:sz="8" w:space="0"/>
              <w:bottom w:val="single" w:color="000000" w:sz="2"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80" w:hRule="atLeast"/>
        </w:trPr>
        <w:tc>
          <w:tcPr>
            <w:tcW w:w="636" w:type="dxa"/>
            <w:vMerge w:val="restart"/>
            <w:tcBorders>
              <w:top w:val="single" w:color="000000" w:sz="2"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4</w:t>
            </w:r>
          </w:p>
        </w:tc>
        <w:tc>
          <w:tcPr>
            <w:tcW w:w="708" w:type="dxa"/>
            <w:vMerge w:val="restart"/>
            <w:tcBorders>
              <w:top w:val="single" w:color="000000" w:sz="2"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固液分离间</w:t>
            </w:r>
          </w:p>
        </w:tc>
        <w:tc>
          <w:tcPr>
            <w:tcW w:w="851" w:type="dxa"/>
            <w:vMerge w:val="restart"/>
            <w:tcBorders>
              <w:top w:val="single" w:color="000000" w:sz="2" w:space="0"/>
              <w:right w:val="single" w:color="auto" w:sz="8"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有组织恶臭</w:t>
            </w:r>
          </w:p>
        </w:tc>
        <w:tc>
          <w:tcPr>
            <w:tcW w:w="850" w:type="dxa"/>
            <w:tcBorders>
              <w:top w:val="single" w:color="000000" w:sz="2" w:space="0"/>
              <w:left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NH</w:t>
            </w:r>
            <w:r>
              <w:rPr>
                <w:rFonts w:hint="default" w:ascii="Times New Roman" w:hAnsi="Times New Roman" w:cs="Times New Roman" w:eastAsiaTheme="minorEastAsia"/>
                <w:color w:val="auto"/>
                <w:spacing w:val="0"/>
                <w:highlight w:val="none"/>
                <w:vertAlign w:val="subscript"/>
              </w:rPr>
              <w:t>3</w:t>
            </w:r>
          </w:p>
        </w:tc>
        <w:tc>
          <w:tcPr>
            <w:tcW w:w="927" w:type="dxa"/>
            <w:tcBorders>
              <w:top w:val="single" w:color="000000" w:sz="2"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连续</w:t>
            </w:r>
          </w:p>
        </w:tc>
        <w:tc>
          <w:tcPr>
            <w:tcW w:w="703" w:type="dxa"/>
            <w:tcBorders>
              <w:top w:val="single" w:color="000000" w:sz="2"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物料衡算</w:t>
            </w:r>
          </w:p>
        </w:tc>
        <w:tc>
          <w:tcPr>
            <w:tcW w:w="1013" w:type="dxa"/>
            <w:tcBorders>
              <w:top w:val="single" w:color="000000" w:sz="2"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2000</w:t>
            </w:r>
          </w:p>
        </w:tc>
        <w:tc>
          <w:tcPr>
            <w:tcW w:w="901" w:type="dxa"/>
            <w:tcBorders>
              <w:top w:val="single" w:color="000000" w:sz="2"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1.5</w:t>
            </w:r>
          </w:p>
        </w:tc>
        <w:tc>
          <w:tcPr>
            <w:tcW w:w="851" w:type="dxa"/>
            <w:tcBorders>
              <w:top w:val="single" w:color="000000" w:sz="2"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0.003</w:t>
            </w:r>
          </w:p>
        </w:tc>
        <w:tc>
          <w:tcPr>
            <w:tcW w:w="992" w:type="dxa"/>
            <w:vMerge w:val="restart"/>
            <w:tcBorders>
              <w:top w:val="single" w:color="000000" w:sz="2" w:space="0"/>
              <w:right w:val="single" w:color="auto" w:sz="8"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负压收集，活性炭吸附</w:t>
            </w:r>
          </w:p>
        </w:tc>
        <w:tc>
          <w:tcPr>
            <w:tcW w:w="709" w:type="dxa"/>
            <w:tcBorders>
              <w:top w:val="single" w:color="000000" w:sz="2" w:space="0"/>
              <w:left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70</w:t>
            </w:r>
          </w:p>
        </w:tc>
        <w:tc>
          <w:tcPr>
            <w:tcW w:w="992" w:type="dxa"/>
            <w:tcBorders>
              <w:top w:val="single" w:color="000000" w:sz="2"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2000</w:t>
            </w:r>
          </w:p>
        </w:tc>
        <w:tc>
          <w:tcPr>
            <w:tcW w:w="850" w:type="dxa"/>
            <w:tcBorders>
              <w:top w:val="single" w:color="000000" w:sz="2"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0.4</w:t>
            </w:r>
          </w:p>
        </w:tc>
        <w:tc>
          <w:tcPr>
            <w:tcW w:w="851" w:type="dxa"/>
            <w:tcBorders>
              <w:top w:val="single" w:color="000000" w:sz="2"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0.0008</w:t>
            </w:r>
          </w:p>
        </w:tc>
        <w:tc>
          <w:tcPr>
            <w:tcW w:w="709" w:type="dxa"/>
            <w:vMerge w:val="restart"/>
            <w:tcBorders>
              <w:top w:val="single" w:color="000000" w:sz="2" w:space="0"/>
              <w:righ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8760</w:t>
            </w:r>
          </w:p>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h/a</w:t>
            </w:r>
          </w:p>
        </w:tc>
        <w:tc>
          <w:tcPr>
            <w:tcW w:w="708" w:type="dxa"/>
            <w:vMerge w:val="restart"/>
            <w:tcBorders>
              <w:top w:val="single" w:color="000000" w:sz="2" w:space="0"/>
              <w:lef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15/0.2</w:t>
            </w:r>
          </w:p>
        </w:tc>
        <w:tc>
          <w:tcPr>
            <w:tcW w:w="709" w:type="dxa"/>
            <w:vMerge w:val="restart"/>
            <w:tcBorders>
              <w:top w:val="single" w:color="000000" w:sz="2" w:space="0"/>
              <w:lef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40" w:hRule="atLeast"/>
        </w:trPr>
        <w:tc>
          <w:tcPr>
            <w:tcW w:w="636" w:type="dxa"/>
            <w:vMerge w:val="continue"/>
            <w:vAlign w:val="center"/>
          </w:tcPr>
          <w:p>
            <w:pPr>
              <w:pStyle w:val="666"/>
              <w:spacing w:line="320" w:lineRule="exact"/>
              <w:rPr>
                <w:rFonts w:hint="default" w:ascii="Times New Roman" w:hAnsi="Times New Roman" w:cs="Times New Roman" w:eastAsiaTheme="minorEastAsia"/>
                <w:color w:val="000000" w:themeColor="text1"/>
                <w:spacing w:val="0"/>
                <w:szCs w:val="18"/>
                <w14:textFill>
                  <w14:solidFill>
                    <w14:schemeClr w14:val="tx1"/>
                  </w14:solidFill>
                </w14:textFill>
              </w:rPr>
            </w:pPr>
          </w:p>
        </w:tc>
        <w:tc>
          <w:tcPr>
            <w:tcW w:w="708" w:type="dxa"/>
            <w:vMerge w:val="continue"/>
            <w:vAlign w:val="center"/>
          </w:tcPr>
          <w:p>
            <w:pPr>
              <w:pStyle w:val="666"/>
              <w:spacing w:line="320" w:lineRule="exact"/>
              <w:rPr>
                <w:rFonts w:hint="default" w:ascii="Times New Roman" w:hAnsi="Times New Roman" w:cs="Times New Roman" w:eastAsiaTheme="minorEastAsia"/>
                <w:color w:val="auto"/>
                <w:spacing w:val="0"/>
                <w:highlight w:val="none"/>
              </w:rPr>
            </w:pPr>
          </w:p>
        </w:tc>
        <w:tc>
          <w:tcPr>
            <w:tcW w:w="851" w:type="dxa"/>
            <w:vMerge w:val="continue"/>
            <w:tcBorders>
              <w:right w:val="single" w:color="auto" w:sz="8"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p>
        </w:tc>
        <w:tc>
          <w:tcPr>
            <w:tcW w:w="850" w:type="dxa"/>
            <w:tcBorders>
              <w:top w:val="single" w:color="auto" w:sz="4" w:space="0"/>
              <w:left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H</w:t>
            </w:r>
            <w:r>
              <w:rPr>
                <w:rFonts w:hint="default" w:ascii="Times New Roman" w:hAnsi="Times New Roman" w:cs="Times New Roman" w:eastAsiaTheme="minorEastAsia"/>
                <w:color w:val="auto"/>
                <w:spacing w:val="0"/>
                <w:highlight w:val="none"/>
                <w:vertAlign w:val="subscript"/>
              </w:rPr>
              <w:t>2</w:t>
            </w:r>
            <w:r>
              <w:rPr>
                <w:rFonts w:hint="default" w:ascii="Times New Roman" w:hAnsi="Times New Roman" w:cs="Times New Roman" w:eastAsiaTheme="minorEastAsia"/>
                <w:color w:val="auto"/>
                <w:spacing w:val="0"/>
                <w:highlight w:val="none"/>
              </w:rPr>
              <w:t>S</w:t>
            </w:r>
          </w:p>
        </w:tc>
        <w:tc>
          <w:tcPr>
            <w:tcW w:w="927"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连续</w:t>
            </w:r>
          </w:p>
        </w:tc>
        <w:tc>
          <w:tcPr>
            <w:tcW w:w="703"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物料衡算</w:t>
            </w:r>
          </w:p>
        </w:tc>
        <w:tc>
          <w:tcPr>
            <w:tcW w:w="1013"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2000</w:t>
            </w:r>
          </w:p>
        </w:tc>
        <w:tc>
          <w:tcPr>
            <w:tcW w:w="901"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1.0</w:t>
            </w:r>
          </w:p>
        </w:tc>
        <w:tc>
          <w:tcPr>
            <w:tcW w:w="851"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0.002</w:t>
            </w:r>
          </w:p>
        </w:tc>
        <w:tc>
          <w:tcPr>
            <w:tcW w:w="992" w:type="dxa"/>
            <w:vMerge w:val="continue"/>
            <w:tcBorders>
              <w:right w:val="single" w:color="auto" w:sz="8"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p>
        </w:tc>
        <w:tc>
          <w:tcPr>
            <w:tcW w:w="709" w:type="dxa"/>
            <w:tcBorders>
              <w:top w:val="single" w:color="auto" w:sz="4" w:space="0"/>
              <w:left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70</w:t>
            </w:r>
          </w:p>
        </w:tc>
        <w:tc>
          <w:tcPr>
            <w:tcW w:w="992"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2000</w:t>
            </w:r>
          </w:p>
        </w:tc>
        <w:tc>
          <w:tcPr>
            <w:tcW w:w="850"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0.25</w:t>
            </w:r>
          </w:p>
        </w:tc>
        <w:tc>
          <w:tcPr>
            <w:tcW w:w="851"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0.0005</w:t>
            </w:r>
          </w:p>
        </w:tc>
        <w:tc>
          <w:tcPr>
            <w:tcW w:w="709" w:type="dxa"/>
            <w:vMerge w:val="continue"/>
            <w:tcBorders>
              <w:righ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708" w:type="dxa"/>
            <w:vMerge w:val="continue"/>
            <w:tcBorders>
              <w:lef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709" w:type="dxa"/>
            <w:vMerge w:val="continue"/>
            <w:tcBorders>
              <w:lef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00" w:hRule="atLeast"/>
        </w:trPr>
        <w:tc>
          <w:tcPr>
            <w:tcW w:w="636" w:type="dxa"/>
            <w:vMerge w:val="continue"/>
            <w:vAlign w:val="center"/>
          </w:tcPr>
          <w:p>
            <w:pPr>
              <w:pStyle w:val="666"/>
              <w:spacing w:line="320" w:lineRule="exact"/>
              <w:rPr>
                <w:rFonts w:hint="default" w:ascii="Times New Roman" w:hAnsi="Times New Roman" w:cs="Times New Roman" w:eastAsiaTheme="minorEastAsia"/>
                <w:color w:val="000000" w:themeColor="text1"/>
                <w:spacing w:val="0"/>
                <w:szCs w:val="18"/>
                <w14:textFill>
                  <w14:solidFill>
                    <w14:schemeClr w14:val="tx1"/>
                  </w14:solidFill>
                </w14:textFill>
              </w:rPr>
            </w:pPr>
          </w:p>
        </w:tc>
        <w:tc>
          <w:tcPr>
            <w:tcW w:w="708" w:type="dxa"/>
            <w:vMerge w:val="continue"/>
            <w:vAlign w:val="center"/>
          </w:tcPr>
          <w:p>
            <w:pPr>
              <w:pStyle w:val="666"/>
              <w:spacing w:line="320" w:lineRule="exact"/>
              <w:rPr>
                <w:rFonts w:hint="default" w:ascii="Times New Roman" w:hAnsi="Times New Roman" w:cs="Times New Roman" w:eastAsiaTheme="minorEastAsia"/>
                <w:color w:val="auto"/>
                <w:spacing w:val="0"/>
                <w:highlight w:val="none"/>
              </w:rPr>
            </w:pPr>
          </w:p>
        </w:tc>
        <w:tc>
          <w:tcPr>
            <w:tcW w:w="851" w:type="dxa"/>
            <w:vMerge w:val="restart"/>
            <w:tcBorders>
              <w:right w:val="single" w:color="auto" w:sz="8"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无组织恶臭</w:t>
            </w:r>
          </w:p>
        </w:tc>
        <w:tc>
          <w:tcPr>
            <w:tcW w:w="850" w:type="dxa"/>
            <w:tcBorders>
              <w:top w:val="single" w:color="auto" w:sz="4" w:space="0"/>
              <w:left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NH</w:t>
            </w:r>
            <w:r>
              <w:rPr>
                <w:rFonts w:hint="default" w:ascii="Times New Roman" w:hAnsi="Times New Roman" w:cs="Times New Roman" w:eastAsiaTheme="minorEastAsia"/>
                <w:color w:val="auto"/>
                <w:spacing w:val="0"/>
                <w:highlight w:val="none"/>
                <w:vertAlign w:val="subscript"/>
              </w:rPr>
              <w:t>3</w:t>
            </w:r>
          </w:p>
        </w:tc>
        <w:tc>
          <w:tcPr>
            <w:tcW w:w="927"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连续</w:t>
            </w:r>
          </w:p>
        </w:tc>
        <w:tc>
          <w:tcPr>
            <w:tcW w:w="703"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物料衡算</w:t>
            </w:r>
          </w:p>
        </w:tc>
        <w:tc>
          <w:tcPr>
            <w:tcW w:w="1013"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w:t>
            </w:r>
          </w:p>
        </w:tc>
        <w:tc>
          <w:tcPr>
            <w:tcW w:w="901"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w:t>
            </w:r>
          </w:p>
        </w:tc>
        <w:tc>
          <w:tcPr>
            <w:tcW w:w="851"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0.0003</w:t>
            </w:r>
          </w:p>
        </w:tc>
        <w:tc>
          <w:tcPr>
            <w:tcW w:w="992" w:type="dxa"/>
            <w:vMerge w:val="restart"/>
            <w:tcBorders>
              <w:right w:val="single" w:color="auto" w:sz="8"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固液分离间密闭，喷撒除臭剂</w:t>
            </w:r>
          </w:p>
        </w:tc>
        <w:tc>
          <w:tcPr>
            <w:tcW w:w="709" w:type="dxa"/>
            <w:tcBorders>
              <w:top w:val="single" w:color="auto" w:sz="4" w:space="0"/>
              <w:left w:val="single" w:color="auto" w:sz="8" w:space="0"/>
              <w:bottom w:val="single" w:color="auto" w:sz="4" w:space="0"/>
            </w:tcBorders>
          </w:tcPr>
          <w:p>
            <w:pPr>
              <w:ind w:firstLine="149" w:firstLineChars="71"/>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w:t>
            </w:r>
          </w:p>
        </w:tc>
        <w:tc>
          <w:tcPr>
            <w:tcW w:w="992" w:type="dxa"/>
            <w:tcBorders>
              <w:top w:val="single" w:color="auto" w:sz="4" w:space="0"/>
              <w:bottom w:val="single" w:color="auto" w:sz="4" w:space="0"/>
            </w:tcBorders>
          </w:tcPr>
          <w:p>
            <w:pPr>
              <w:ind w:firstLine="254" w:firstLineChars="121"/>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w:t>
            </w:r>
          </w:p>
        </w:tc>
        <w:tc>
          <w:tcPr>
            <w:tcW w:w="850" w:type="dxa"/>
            <w:tcBorders>
              <w:top w:val="single" w:color="auto" w:sz="4" w:space="0"/>
              <w:bottom w:val="single" w:color="auto" w:sz="4" w:space="0"/>
            </w:tcBorders>
          </w:tcPr>
          <w:p>
            <w:pPr>
              <w:ind w:firstLine="149" w:firstLineChars="71"/>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w:t>
            </w:r>
          </w:p>
        </w:tc>
        <w:tc>
          <w:tcPr>
            <w:tcW w:w="851"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0.0003</w:t>
            </w:r>
          </w:p>
        </w:tc>
        <w:tc>
          <w:tcPr>
            <w:tcW w:w="709" w:type="dxa"/>
            <w:vMerge w:val="restart"/>
            <w:tcBorders>
              <w:righ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8760</w:t>
            </w:r>
          </w:p>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h/a</w:t>
            </w:r>
          </w:p>
        </w:tc>
        <w:tc>
          <w:tcPr>
            <w:tcW w:w="708" w:type="dxa"/>
            <w:tcBorders>
              <w:left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w:t>
            </w:r>
          </w:p>
        </w:tc>
        <w:tc>
          <w:tcPr>
            <w:tcW w:w="709" w:type="dxa"/>
            <w:tcBorders>
              <w:left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30" w:hRule="atLeast"/>
        </w:trPr>
        <w:tc>
          <w:tcPr>
            <w:tcW w:w="636" w:type="dxa"/>
            <w:vMerge w:val="continue"/>
            <w:vAlign w:val="center"/>
          </w:tcPr>
          <w:p>
            <w:pPr>
              <w:pStyle w:val="666"/>
              <w:spacing w:line="320" w:lineRule="exact"/>
              <w:rPr>
                <w:rFonts w:hint="default" w:ascii="Times New Roman" w:hAnsi="Times New Roman" w:cs="Times New Roman" w:eastAsiaTheme="minorEastAsia"/>
                <w:color w:val="000000" w:themeColor="text1"/>
                <w:spacing w:val="0"/>
                <w:szCs w:val="18"/>
                <w14:textFill>
                  <w14:solidFill>
                    <w14:schemeClr w14:val="tx1"/>
                  </w14:solidFill>
                </w14:textFill>
              </w:rPr>
            </w:pPr>
          </w:p>
        </w:tc>
        <w:tc>
          <w:tcPr>
            <w:tcW w:w="708" w:type="dxa"/>
            <w:vMerge w:val="continue"/>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851" w:type="dxa"/>
            <w:vMerge w:val="continue"/>
            <w:tcBorders>
              <w:righ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850" w:type="dxa"/>
            <w:tcBorders>
              <w:top w:val="single" w:color="auto" w:sz="4" w:space="0"/>
              <w:left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H</w:t>
            </w:r>
            <w:r>
              <w:rPr>
                <w:rFonts w:hint="default" w:ascii="Times New Roman" w:hAnsi="Times New Roman" w:cs="Times New Roman" w:eastAsiaTheme="minorEastAsia"/>
                <w:color w:val="000000" w:themeColor="text1"/>
                <w:spacing w:val="0"/>
                <w:vertAlign w:val="subscript"/>
                <w14:textFill>
                  <w14:solidFill>
                    <w14:schemeClr w14:val="tx1"/>
                  </w14:solidFill>
                </w14:textFill>
              </w:rPr>
              <w:t>2</w:t>
            </w:r>
            <w:r>
              <w:rPr>
                <w:rFonts w:hint="default" w:ascii="Times New Roman" w:hAnsi="Times New Roman" w:cs="Times New Roman" w:eastAsiaTheme="minorEastAsia"/>
                <w:color w:val="000000" w:themeColor="text1"/>
                <w:spacing w:val="0"/>
                <w14:textFill>
                  <w14:solidFill>
                    <w14:schemeClr w14:val="tx1"/>
                  </w14:solidFill>
                </w14:textFill>
              </w:rPr>
              <w:t>S</w:t>
            </w:r>
          </w:p>
        </w:tc>
        <w:tc>
          <w:tcPr>
            <w:tcW w:w="927"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连续</w:t>
            </w:r>
          </w:p>
        </w:tc>
        <w:tc>
          <w:tcPr>
            <w:tcW w:w="703"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物料衡算</w:t>
            </w:r>
          </w:p>
        </w:tc>
        <w:tc>
          <w:tcPr>
            <w:tcW w:w="1013"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w:t>
            </w:r>
          </w:p>
        </w:tc>
        <w:tc>
          <w:tcPr>
            <w:tcW w:w="901"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w:t>
            </w:r>
          </w:p>
        </w:tc>
        <w:tc>
          <w:tcPr>
            <w:tcW w:w="851"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0.0002</w:t>
            </w:r>
          </w:p>
        </w:tc>
        <w:tc>
          <w:tcPr>
            <w:tcW w:w="992" w:type="dxa"/>
            <w:vMerge w:val="continue"/>
            <w:tcBorders>
              <w:right w:val="single" w:color="auto" w:sz="8" w:space="0"/>
            </w:tcBorders>
            <w:vAlign w:val="center"/>
          </w:tcPr>
          <w:p>
            <w:pPr>
              <w:pStyle w:val="666"/>
              <w:spacing w:line="320" w:lineRule="exact"/>
              <w:rPr>
                <w:rFonts w:hint="default" w:ascii="Times New Roman" w:hAnsi="Times New Roman" w:cs="Times New Roman" w:eastAsiaTheme="minorEastAsia"/>
                <w:color w:val="FF0000"/>
                <w:spacing w:val="0"/>
                <w:highlight w:val="yellow"/>
              </w:rPr>
            </w:pPr>
          </w:p>
        </w:tc>
        <w:tc>
          <w:tcPr>
            <w:tcW w:w="709" w:type="dxa"/>
            <w:tcBorders>
              <w:top w:val="single" w:color="auto" w:sz="4" w:space="0"/>
              <w:left w:val="single" w:color="auto" w:sz="8" w:space="0"/>
              <w:bottom w:val="single" w:color="auto" w:sz="4" w:space="0"/>
            </w:tcBorders>
          </w:tcPr>
          <w:p>
            <w:pPr>
              <w:ind w:firstLine="149" w:firstLineChars="71"/>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w:t>
            </w:r>
          </w:p>
        </w:tc>
        <w:tc>
          <w:tcPr>
            <w:tcW w:w="992" w:type="dxa"/>
            <w:tcBorders>
              <w:top w:val="single" w:color="auto" w:sz="4" w:space="0"/>
              <w:bottom w:val="single" w:color="auto" w:sz="4" w:space="0"/>
            </w:tcBorders>
          </w:tcPr>
          <w:p>
            <w:pPr>
              <w:ind w:firstLine="420"/>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w:t>
            </w:r>
          </w:p>
        </w:tc>
        <w:tc>
          <w:tcPr>
            <w:tcW w:w="850" w:type="dxa"/>
            <w:tcBorders>
              <w:top w:val="single" w:color="auto" w:sz="4" w:space="0"/>
              <w:bottom w:val="single" w:color="auto" w:sz="4" w:space="0"/>
            </w:tcBorders>
          </w:tcPr>
          <w:p>
            <w:pPr>
              <w:ind w:firstLine="420"/>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w:t>
            </w:r>
          </w:p>
        </w:tc>
        <w:tc>
          <w:tcPr>
            <w:tcW w:w="851"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0.0002</w:t>
            </w:r>
          </w:p>
        </w:tc>
        <w:tc>
          <w:tcPr>
            <w:tcW w:w="709" w:type="dxa"/>
            <w:vMerge w:val="continue"/>
            <w:tcBorders>
              <w:righ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708" w:type="dxa"/>
            <w:tcBorders>
              <w:top w:val="single" w:color="auto" w:sz="4" w:space="0"/>
              <w:left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709" w:type="dxa"/>
            <w:tcBorders>
              <w:top w:val="single" w:color="auto" w:sz="4" w:space="0"/>
              <w:left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65" w:hRule="atLeast"/>
        </w:trPr>
        <w:tc>
          <w:tcPr>
            <w:tcW w:w="636" w:type="dxa"/>
            <w:vMerge w:val="restart"/>
            <w:vAlign w:val="center"/>
          </w:tcPr>
          <w:p>
            <w:pPr>
              <w:pStyle w:val="666"/>
              <w:spacing w:line="320" w:lineRule="exact"/>
              <w:rPr>
                <w:rFonts w:hint="default" w:ascii="Times New Roman" w:hAnsi="Times New Roman" w:cs="Times New Roman" w:eastAsiaTheme="minorEastAsia"/>
                <w:color w:val="000000" w:themeColor="text1"/>
                <w:spacing w:val="0"/>
                <w:szCs w:val="18"/>
                <w14:textFill>
                  <w14:solidFill>
                    <w14:schemeClr w14:val="tx1"/>
                  </w14:solidFill>
                </w14:textFill>
              </w:rPr>
            </w:pPr>
            <w:r>
              <w:rPr>
                <w:rFonts w:hint="default" w:ascii="Times New Roman" w:hAnsi="Times New Roman" w:cs="Times New Roman" w:eastAsiaTheme="minorEastAsia"/>
                <w:color w:val="000000" w:themeColor="text1"/>
                <w:spacing w:val="0"/>
                <w:szCs w:val="18"/>
                <w14:textFill>
                  <w14:solidFill>
                    <w14:schemeClr w14:val="tx1"/>
                  </w14:solidFill>
                </w14:textFill>
              </w:rPr>
              <w:t>5</w:t>
            </w:r>
          </w:p>
        </w:tc>
        <w:tc>
          <w:tcPr>
            <w:tcW w:w="708" w:type="dxa"/>
            <w:vMerge w:val="restart"/>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粪污处理区</w:t>
            </w:r>
          </w:p>
        </w:tc>
        <w:tc>
          <w:tcPr>
            <w:tcW w:w="851" w:type="dxa"/>
            <w:vMerge w:val="restart"/>
            <w:tcBorders>
              <w:righ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恶臭</w:t>
            </w:r>
          </w:p>
        </w:tc>
        <w:tc>
          <w:tcPr>
            <w:tcW w:w="850" w:type="dxa"/>
            <w:tcBorders>
              <w:top w:val="single" w:color="auto" w:sz="4" w:space="0"/>
              <w:left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NH</w:t>
            </w:r>
            <w:r>
              <w:rPr>
                <w:rFonts w:hint="default" w:ascii="Times New Roman" w:hAnsi="Times New Roman" w:cs="Times New Roman" w:eastAsiaTheme="minorEastAsia"/>
                <w:color w:val="000000" w:themeColor="text1"/>
                <w:spacing w:val="0"/>
                <w:vertAlign w:val="subscript"/>
                <w14:textFill>
                  <w14:solidFill>
                    <w14:schemeClr w14:val="tx1"/>
                  </w14:solidFill>
                </w14:textFill>
              </w:rPr>
              <w:t>3</w:t>
            </w:r>
          </w:p>
        </w:tc>
        <w:tc>
          <w:tcPr>
            <w:tcW w:w="927"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连续</w:t>
            </w:r>
          </w:p>
        </w:tc>
        <w:tc>
          <w:tcPr>
            <w:tcW w:w="703"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物料衡算</w:t>
            </w:r>
          </w:p>
        </w:tc>
        <w:tc>
          <w:tcPr>
            <w:tcW w:w="1013"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w:t>
            </w:r>
          </w:p>
        </w:tc>
        <w:tc>
          <w:tcPr>
            <w:tcW w:w="901"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w:t>
            </w:r>
          </w:p>
        </w:tc>
        <w:tc>
          <w:tcPr>
            <w:tcW w:w="851"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0.0006</w:t>
            </w:r>
          </w:p>
        </w:tc>
        <w:tc>
          <w:tcPr>
            <w:tcW w:w="992" w:type="dxa"/>
            <w:vMerge w:val="restart"/>
            <w:tcBorders>
              <w:right w:val="single" w:color="auto" w:sz="8"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加盖半封闭，定期喷洒除臭剂</w:t>
            </w:r>
          </w:p>
        </w:tc>
        <w:tc>
          <w:tcPr>
            <w:tcW w:w="709" w:type="dxa"/>
            <w:tcBorders>
              <w:top w:val="single" w:color="auto" w:sz="4" w:space="0"/>
              <w:left w:val="single" w:color="auto" w:sz="8" w:space="0"/>
              <w:bottom w:val="single" w:color="auto" w:sz="4" w:space="0"/>
            </w:tcBorders>
          </w:tcPr>
          <w:p>
            <w:pPr>
              <w:ind w:firstLine="149" w:firstLineChars="71"/>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w:t>
            </w:r>
          </w:p>
        </w:tc>
        <w:tc>
          <w:tcPr>
            <w:tcW w:w="992" w:type="dxa"/>
            <w:tcBorders>
              <w:top w:val="single" w:color="auto" w:sz="4" w:space="0"/>
              <w:bottom w:val="single" w:color="auto" w:sz="4" w:space="0"/>
            </w:tcBorders>
          </w:tcPr>
          <w:p>
            <w:pPr>
              <w:ind w:firstLine="420"/>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w:t>
            </w:r>
          </w:p>
        </w:tc>
        <w:tc>
          <w:tcPr>
            <w:tcW w:w="850" w:type="dxa"/>
            <w:tcBorders>
              <w:top w:val="single" w:color="auto" w:sz="4" w:space="0"/>
              <w:bottom w:val="single" w:color="auto" w:sz="4" w:space="0"/>
            </w:tcBorders>
          </w:tcPr>
          <w:p>
            <w:pPr>
              <w:ind w:firstLine="420"/>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w:t>
            </w:r>
          </w:p>
        </w:tc>
        <w:tc>
          <w:tcPr>
            <w:tcW w:w="851"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0.0006</w:t>
            </w:r>
          </w:p>
        </w:tc>
        <w:tc>
          <w:tcPr>
            <w:tcW w:w="709" w:type="dxa"/>
            <w:vMerge w:val="restart"/>
            <w:tcBorders>
              <w:righ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8760</w:t>
            </w:r>
          </w:p>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h/a</w:t>
            </w:r>
          </w:p>
        </w:tc>
        <w:tc>
          <w:tcPr>
            <w:tcW w:w="708" w:type="dxa"/>
            <w:tcBorders>
              <w:top w:val="single" w:color="auto" w:sz="4" w:space="0"/>
              <w:left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w:t>
            </w:r>
          </w:p>
        </w:tc>
        <w:tc>
          <w:tcPr>
            <w:tcW w:w="709" w:type="dxa"/>
            <w:tcBorders>
              <w:top w:val="single" w:color="auto" w:sz="4" w:space="0"/>
              <w:left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80" w:hRule="atLeast"/>
        </w:trPr>
        <w:tc>
          <w:tcPr>
            <w:tcW w:w="636" w:type="dxa"/>
            <w:vMerge w:val="continue"/>
            <w:vAlign w:val="center"/>
          </w:tcPr>
          <w:p>
            <w:pPr>
              <w:pStyle w:val="666"/>
              <w:spacing w:line="320" w:lineRule="exact"/>
              <w:rPr>
                <w:rFonts w:hint="default" w:ascii="Times New Roman" w:hAnsi="Times New Roman" w:cs="Times New Roman" w:eastAsiaTheme="minorEastAsia"/>
                <w:color w:val="000000" w:themeColor="text1"/>
                <w:spacing w:val="0"/>
                <w:szCs w:val="18"/>
                <w14:textFill>
                  <w14:solidFill>
                    <w14:schemeClr w14:val="tx1"/>
                  </w14:solidFill>
                </w14:textFill>
              </w:rPr>
            </w:pPr>
          </w:p>
        </w:tc>
        <w:tc>
          <w:tcPr>
            <w:tcW w:w="708" w:type="dxa"/>
            <w:vMerge w:val="continue"/>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851" w:type="dxa"/>
            <w:vMerge w:val="continue"/>
            <w:tcBorders>
              <w:righ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850" w:type="dxa"/>
            <w:tcBorders>
              <w:top w:val="single" w:color="auto" w:sz="4" w:space="0"/>
              <w:left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H</w:t>
            </w:r>
            <w:r>
              <w:rPr>
                <w:rFonts w:hint="default" w:ascii="Times New Roman" w:hAnsi="Times New Roman" w:cs="Times New Roman" w:eastAsiaTheme="minorEastAsia"/>
                <w:color w:val="000000" w:themeColor="text1"/>
                <w:spacing w:val="0"/>
                <w:vertAlign w:val="subscript"/>
                <w14:textFill>
                  <w14:solidFill>
                    <w14:schemeClr w14:val="tx1"/>
                  </w14:solidFill>
                </w14:textFill>
              </w:rPr>
              <w:t>2</w:t>
            </w:r>
            <w:r>
              <w:rPr>
                <w:rFonts w:hint="default" w:ascii="Times New Roman" w:hAnsi="Times New Roman" w:cs="Times New Roman" w:eastAsiaTheme="minorEastAsia"/>
                <w:color w:val="000000" w:themeColor="text1"/>
                <w:spacing w:val="0"/>
                <w14:textFill>
                  <w14:solidFill>
                    <w14:schemeClr w14:val="tx1"/>
                  </w14:solidFill>
                </w14:textFill>
              </w:rPr>
              <w:t>S</w:t>
            </w:r>
          </w:p>
        </w:tc>
        <w:tc>
          <w:tcPr>
            <w:tcW w:w="927"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连续</w:t>
            </w:r>
          </w:p>
        </w:tc>
        <w:tc>
          <w:tcPr>
            <w:tcW w:w="703"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物料衡算</w:t>
            </w:r>
          </w:p>
        </w:tc>
        <w:tc>
          <w:tcPr>
            <w:tcW w:w="1013"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w:t>
            </w:r>
          </w:p>
        </w:tc>
        <w:tc>
          <w:tcPr>
            <w:tcW w:w="901"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w:t>
            </w:r>
          </w:p>
        </w:tc>
        <w:tc>
          <w:tcPr>
            <w:tcW w:w="851"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0.00022</w:t>
            </w:r>
          </w:p>
        </w:tc>
        <w:tc>
          <w:tcPr>
            <w:tcW w:w="992" w:type="dxa"/>
            <w:vMerge w:val="continue"/>
            <w:tcBorders>
              <w:right w:val="single" w:color="auto" w:sz="8"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p>
        </w:tc>
        <w:tc>
          <w:tcPr>
            <w:tcW w:w="709" w:type="dxa"/>
            <w:tcBorders>
              <w:top w:val="single" w:color="auto" w:sz="4" w:space="0"/>
              <w:left w:val="single" w:color="auto" w:sz="8" w:space="0"/>
              <w:bottom w:val="single" w:color="auto" w:sz="4" w:space="0"/>
            </w:tcBorders>
          </w:tcPr>
          <w:p>
            <w:pPr>
              <w:ind w:firstLine="149" w:firstLineChars="71"/>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w:t>
            </w:r>
          </w:p>
        </w:tc>
        <w:tc>
          <w:tcPr>
            <w:tcW w:w="992" w:type="dxa"/>
            <w:tcBorders>
              <w:top w:val="single" w:color="auto" w:sz="4" w:space="0"/>
              <w:bottom w:val="single" w:color="auto" w:sz="4" w:space="0"/>
            </w:tcBorders>
          </w:tcPr>
          <w:p>
            <w:pPr>
              <w:ind w:firstLine="420"/>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w:t>
            </w:r>
          </w:p>
        </w:tc>
        <w:tc>
          <w:tcPr>
            <w:tcW w:w="850" w:type="dxa"/>
            <w:tcBorders>
              <w:top w:val="single" w:color="auto" w:sz="4" w:space="0"/>
              <w:bottom w:val="single" w:color="auto" w:sz="4" w:space="0"/>
            </w:tcBorders>
          </w:tcPr>
          <w:p>
            <w:pPr>
              <w:ind w:firstLine="420"/>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w:t>
            </w:r>
          </w:p>
        </w:tc>
        <w:tc>
          <w:tcPr>
            <w:tcW w:w="851"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0.00022</w:t>
            </w:r>
          </w:p>
        </w:tc>
        <w:tc>
          <w:tcPr>
            <w:tcW w:w="709" w:type="dxa"/>
            <w:vMerge w:val="continue"/>
            <w:tcBorders>
              <w:righ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708" w:type="dxa"/>
            <w:tcBorders>
              <w:top w:val="single" w:color="auto" w:sz="4" w:space="0"/>
              <w:left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w:t>
            </w:r>
          </w:p>
        </w:tc>
        <w:tc>
          <w:tcPr>
            <w:tcW w:w="709" w:type="dxa"/>
            <w:tcBorders>
              <w:top w:val="single" w:color="auto" w:sz="4" w:space="0"/>
              <w:left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15" w:hRule="atLeast"/>
        </w:trPr>
        <w:tc>
          <w:tcPr>
            <w:tcW w:w="636" w:type="dxa"/>
            <w:vMerge w:val="restart"/>
            <w:vAlign w:val="center"/>
          </w:tcPr>
          <w:p>
            <w:pPr>
              <w:pStyle w:val="666"/>
              <w:spacing w:line="320" w:lineRule="exact"/>
              <w:rPr>
                <w:rFonts w:hint="default" w:ascii="Times New Roman" w:hAnsi="Times New Roman" w:cs="Times New Roman" w:eastAsiaTheme="minorEastAsia"/>
                <w:color w:val="000000" w:themeColor="text1"/>
                <w:spacing w:val="0"/>
                <w:szCs w:val="18"/>
                <w14:textFill>
                  <w14:solidFill>
                    <w14:schemeClr w14:val="tx1"/>
                  </w14:solidFill>
                </w14:textFill>
              </w:rPr>
            </w:pPr>
            <w:r>
              <w:rPr>
                <w:rFonts w:hint="default" w:ascii="Times New Roman" w:hAnsi="Times New Roman" w:cs="Times New Roman" w:eastAsiaTheme="minorEastAsia"/>
                <w:color w:val="000000" w:themeColor="text1"/>
                <w:spacing w:val="0"/>
                <w:szCs w:val="18"/>
                <w14:textFill>
                  <w14:solidFill>
                    <w14:schemeClr w14:val="tx1"/>
                  </w14:solidFill>
                </w14:textFill>
              </w:rPr>
              <w:t>6</w:t>
            </w:r>
          </w:p>
        </w:tc>
        <w:tc>
          <w:tcPr>
            <w:tcW w:w="708" w:type="dxa"/>
            <w:vMerge w:val="restart"/>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生物质锅炉</w:t>
            </w:r>
          </w:p>
        </w:tc>
        <w:tc>
          <w:tcPr>
            <w:tcW w:w="851" w:type="dxa"/>
            <w:vMerge w:val="restart"/>
            <w:tcBorders>
              <w:righ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锅炉排放废气</w:t>
            </w:r>
          </w:p>
        </w:tc>
        <w:tc>
          <w:tcPr>
            <w:tcW w:w="850" w:type="dxa"/>
            <w:tcBorders>
              <w:top w:val="single" w:color="auto" w:sz="4" w:space="0"/>
              <w:left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颗粒物</w:t>
            </w:r>
          </w:p>
        </w:tc>
        <w:tc>
          <w:tcPr>
            <w:tcW w:w="927"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连续</w:t>
            </w:r>
          </w:p>
        </w:tc>
        <w:tc>
          <w:tcPr>
            <w:tcW w:w="703"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物料衡算</w:t>
            </w:r>
          </w:p>
        </w:tc>
        <w:tc>
          <w:tcPr>
            <w:tcW w:w="1013"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spacing w:val="0"/>
                <w:szCs w:val="28"/>
              </w:rPr>
              <w:t>4600</w:t>
            </w:r>
          </w:p>
        </w:tc>
        <w:tc>
          <w:tcPr>
            <w:tcW w:w="901"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170.29</w:t>
            </w:r>
          </w:p>
        </w:tc>
        <w:tc>
          <w:tcPr>
            <w:tcW w:w="851"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0.78</w:t>
            </w:r>
          </w:p>
        </w:tc>
        <w:tc>
          <w:tcPr>
            <w:tcW w:w="992" w:type="dxa"/>
            <w:vMerge w:val="restart"/>
            <w:tcBorders>
              <w:right w:val="single" w:color="auto" w:sz="8" w:space="0"/>
            </w:tcBorders>
            <w:vAlign w:val="center"/>
          </w:tcPr>
          <w:p>
            <w:pPr>
              <w:pStyle w:val="666"/>
              <w:spacing w:line="32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布袋除尘器</w:t>
            </w:r>
          </w:p>
        </w:tc>
        <w:tc>
          <w:tcPr>
            <w:tcW w:w="709" w:type="dxa"/>
            <w:tcBorders>
              <w:top w:val="single" w:color="auto" w:sz="4" w:space="0"/>
              <w:left w:val="single" w:color="auto" w:sz="8" w:space="0"/>
              <w:bottom w:val="single" w:color="auto" w:sz="4" w:space="0"/>
            </w:tcBorders>
          </w:tcPr>
          <w:p>
            <w:pPr>
              <w:ind w:firstLine="149" w:firstLineChars="71"/>
              <w:rPr>
                <w:rFonts w:hint="default" w:ascii="Times New Roman" w:hAnsi="Times New Roman" w:cs="Times New Roman" w:eastAsiaTheme="minorEastAsia"/>
                <w:color w:val="000000" w:themeColor="text1"/>
                <w:spacing w:val="0"/>
                <w:sz w:val="21"/>
                <w:szCs w:val="21"/>
                <w14:textFill>
                  <w14:solidFill>
                    <w14:schemeClr w14:val="tx1"/>
                  </w14:solidFill>
                </w14:textFill>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95</w:t>
            </w:r>
          </w:p>
        </w:tc>
        <w:tc>
          <w:tcPr>
            <w:tcW w:w="992"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spacing w:val="0"/>
                <w:szCs w:val="28"/>
              </w:rPr>
              <w:t>4600</w:t>
            </w:r>
          </w:p>
        </w:tc>
        <w:tc>
          <w:tcPr>
            <w:tcW w:w="850" w:type="dxa"/>
            <w:tcBorders>
              <w:top w:val="single" w:color="auto" w:sz="4" w:space="0"/>
              <w:bottom w:val="single" w:color="auto" w:sz="4" w:space="0"/>
            </w:tcBorders>
          </w:tcPr>
          <w:p>
            <w:pPr>
              <w:ind w:firstLine="0" w:firstLineChars="0"/>
              <w:jc w:val="center"/>
              <w:rPr>
                <w:rFonts w:hint="default" w:ascii="Times New Roman" w:hAnsi="Times New Roman" w:cs="Times New Roman" w:eastAsiaTheme="minorEastAsia"/>
                <w:color w:val="000000" w:themeColor="text1"/>
                <w:spacing w:val="0"/>
                <w:sz w:val="21"/>
                <w:szCs w:val="21"/>
                <w14:textFill>
                  <w14:solidFill>
                    <w14:schemeClr w14:val="tx1"/>
                  </w14:solidFill>
                </w14:textFill>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8.7</w:t>
            </w:r>
          </w:p>
        </w:tc>
        <w:tc>
          <w:tcPr>
            <w:tcW w:w="851"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0.04</w:t>
            </w:r>
          </w:p>
        </w:tc>
        <w:tc>
          <w:tcPr>
            <w:tcW w:w="709" w:type="dxa"/>
            <w:vMerge w:val="restart"/>
            <w:tcBorders>
              <w:righ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3000</w:t>
            </w:r>
          </w:p>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h/a</w:t>
            </w:r>
          </w:p>
        </w:tc>
        <w:tc>
          <w:tcPr>
            <w:tcW w:w="708" w:type="dxa"/>
            <w:vMerge w:val="restart"/>
            <w:tcBorders>
              <w:top w:val="single" w:color="auto" w:sz="4" w:space="0"/>
              <w:lef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20/0.2</w:t>
            </w:r>
          </w:p>
        </w:tc>
        <w:tc>
          <w:tcPr>
            <w:tcW w:w="709" w:type="dxa"/>
            <w:vMerge w:val="restart"/>
            <w:tcBorders>
              <w:top w:val="single" w:color="auto" w:sz="4" w:space="0"/>
              <w:lef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5" w:hRule="atLeast"/>
        </w:trPr>
        <w:tc>
          <w:tcPr>
            <w:tcW w:w="636" w:type="dxa"/>
            <w:vMerge w:val="continue"/>
            <w:vAlign w:val="center"/>
          </w:tcPr>
          <w:p>
            <w:pPr>
              <w:pStyle w:val="666"/>
              <w:spacing w:line="320" w:lineRule="exact"/>
              <w:rPr>
                <w:rFonts w:hint="default" w:ascii="Times New Roman" w:hAnsi="Times New Roman" w:cs="Times New Roman" w:eastAsiaTheme="minorEastAsia"/>
                <w:color w:val="000000" w:themeColor="text1"/>
                <w:spacing w:val="0"/>
                <w:szCs w:val="18"/>
                <w14:textFill>
                  <w14:solidFill>
                    <w14:schemeClr w14:val="tx1"/>
                  </w14:solidFill>
                </w14:textFill>
              </w:rPr>
            </w:pPr>
          </w:p>
        </w:tc>
        <w:tc>
          <w:tcPr>
            <w:tcW w:w="708" w:type="dxa"/>
            <w:vMerge w:val="continue"/>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851" w:type="dxa"/>
            <w:vMerge w:val="continue"/>
            <w:tcBorders>
              <w:righ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850" w:type="dxa"/>
            <w:tcBorders>
              <w:top w:val="single" w:color="auto" w:sz="4" w:space="0"/>
              <w:left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SO</w:t>
            </w:r>
            <w:r>
              <w:rPr>
                <w:rFonts w:hint="default" w:ascii="Times New Roman" w:hAnsi="Times New Roman" w:cs="Times New Roman" w:eastAsiaTheme="minorEastAsia"/>
                <w:color w:val="000000" w:themeColor="text1"/>
                <w:spacing w:val="0"/>
                <w:vertAlign w:val="subscript"/>
                <w14:textFill>
                  <w14:solidFill>
                    <w14:schemeClr w14:val="tx1"/>
                  </w14:solidFill>
                </w14:textFill>
              </w:rPr>
              <w:t>2</w:t>
            </w:r>
          </w:p>
        </w:tc>
        <w:tc>
          <w:tcPr>
            <w:tcW w:w="927"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连续</w:t>
            </w:r>
          </w:p>
        </w:tc>
        <w:tc>
          <w:tcPr>
            <w:tcW w:w="703"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物料衡算</w:t>
            </w:r>
          </w:p>
        </w:tc>
        <w:tc>
          <w:tcPr>
            <w:tcW w:w="1013"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4600</w:t>
            </w:r>
          </w:p>
        </w:tc>
        <w:tc>
          <w:tcPr>
            <w:tcW w:w="901" w:type="dxa"/>
            <w:tcBorders>
              <w:top w:val="single" w:color="auto" w:sz="4" w:space="0"/>
              <w:bottom w:val="single" w:color="auto" w:sz="4" w:space="0"/>
            </w:tcBorders>
          </w:tcPr>
          <w:p>
            <w:pPr>
              <w:ind w:firstLine="0" w:firstLineChars="0"/>
              <w:rPr>
                <w:rFonts w:hint="default" w:ascii="Times New Roman" w:hAnsi="Times New Roman" w:cs="Times New Roman" w:eastAsiaTheme="minorEastAsia"/>
                <w:color w:val="000000" w:themeColor="text1"/>
                <w:spacing w:val="0"/>
                <w:sz w:val="21"/>
                <w:szCs w:val="21"/>
                <w14:textFill>
                  <w14:solidFill>
                    <w14:schemeClr w14:val="tx1"/>
                  </w14:solidFill>
                </w14:textFill>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258.69</w:t>
            </w:r>
          </w:p>
        </w:tc>
        <w:tc>
          <w:tcPr>
            <w:tcW w:w="851"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1.19</w:t>
            </w:r>
          </w:p>
        </w:tc>
        <w:tc>
          <w:tcPr>
            <w:tcW w:w="992" w:type="dxa"/>
            <w:vMerge w:val="continue"/>
            <w:tcBorders>
              <w:right w:val="single" w:color="auto" w:sz="8" w:space="0"/>
            </w:tcBorders>
            <w:vAlign w:val="center"/>
          </w:tcPr>
          <w:p>
            <w:pPr>
              <w:pStyle w:val="666"/>
              <w:spacing w:line="320" w:lineRule="exact"/>
              <w:rPr>
                <w:rFonts w:hint="default" w:ascii="Times New Roman" w:hAnsi="Times New Roman" w:cs="Times New Roman" w:eastAsiaTheme="minorEastAsia"/>
                <w:color w:val="FF0000"/>
                <w:spacing w:val="0"/>
                <w:highlight w:val="yellow"/>
              </w:rPr>
            </w:pPr>
          </w:p>
        </w:tc>
        <w:tc>
          <w:tcPr>
            <w:tcW w:w="709" w:type="dxa"/>
            <w:tcBorders>
              <w:top w:val="single" w:color="auto" w:sz="4" w:space="0"/>
              <w:left w:val="single" w:color="auto" w:sz="8" w:space="0"/>
              <w:bottom w:val="single" w:color="auto" w:sz="4" w:space="0"/>
            </w:tcBorders>
          </w:tcPr>
          <w:p>
            <w:pPr>
              <w:ind w:firstLine="149" w:firstLineChars="71"/>
              <w:rPr>
                <w:rFonts w:hint="default" w:ascii="Times New Roman" w:hAnsi="Times New Roman" w:cs="Times New Roman" w:eastAsiaTheme="minorEastAsia"/>
                <w:color w:val="000000" w:themeColor="text1"/>
                <w:spacing w:val="0"/>
                <w:sz w:val="21"/>
                <w:szCs w:val="21"/>
                <w14:textFill>
                  <w14:solidFill>
                    <w14:schemeClr w14:val="tx1"/>
                  </w14:solidFill>
                </w14:textFill>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w:t>
            </w:r>
          </w:p>
        </w:tc>
        <w:tc>
          <w:tcPr>
            <w:tcW w:w="992"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4600</w:t>
            </w:r>
          </w:p>
        </w:tc>
        <w:tc>
          <w:tcPr>
            <w:tcW w:w="850" w:type="dxa"/>
            <w:tcBorders>
              <w:top w:val="single" w:color="auto" w:sz="4" w:space="0"/>
              <w:bottom w:val="single" w:color="auto" w:sz="4" w:space="0"/>
            </w:tcBorders>
          </w:tcPr>
          <w:p>
            <w:pPr>
              <w:ind w:firstLine="0" w:firstLineChars="0"/>
              <w:rPr>
                <w:rFonts w:hint="default" w:ascii="Times New Roman" w:hAnsi="Times New Roman" w:cs="Times New Roman" w:eastAsiaTheme="minorEastAsia"/>
                <w:color w:val="000000" w:themeColor="text1"/>
                <w:spacing w:val="0"/>
                <w:sz w:val="21"/>
                <w:szCs w:val="21"/>
                <w14:textFill>
                  <w14:solidFill>
                    <w14:schemeClr w14:val="tx1"/>
                  </w14:solidFill>
                </w14:textFill>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258.69</w:t>
            </w:r>
          </w:p>
        </w:tc>
        <w:tc>
          <w:tcPr>
            <w:tcW w:w="851"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1.19</w:t>
            </w:r>
          </w:p>
        </w:tc>
        <w:tc>
          <w:tcPr>
            <w:tcW w:w="709" w:type="dxa"/>
            <w:vMerge w:val="continue"/>
            <w:tcBorders>
              <w:righ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708" w:type="dxa"/>
            <w:vMerge w:val="continue"/>
            <w:tcBorders>
              <w:lef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709" w:type="dxa"/>
            <w:vMerge w:val="continue"/>
            <w:tcBorders>
              <w:lef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00" w:hRule="atLeast"/>
        </w:trPr>
        <w:tc>
          <w:tcPr>
            <w:tcW w:w="636" w:type="dxa"/>
            <w:vMerge w:val="continue"/>
            <w:vAlign w:val="center"/>
          </w:tcPr>
          <w:p>
            <w:pPr>
              <w:pStyle w:val="666"/>
              <w:spacing w:line="320" w:lineRule="exact"/>
              <w:rPr>
                <w:rFonts w:hint="default" w:ascii="Times New Roman" w:hAnsi="Times New Roman" w:cs="Times New Roman" w:eastAsiaTheme="minorEastAsia"/>
                <w:color w:val="000000" w:themeColor="text1"/>
                <w:spacing w:val="0"/>
                <w:szCs w:val="18"/>
                <w14:textFill>
                  <w14:solidFill>
                    <w14:schemeClr w14:val="tx1"/>
                  </w14:solidFill>
                </w14:textFill>
              </w:rPr>
            </w:pPr>
          </w:p>
        </w:tc>
        <w:tc>
          <w:tcPr>
            <w:tcW w:w="708" w:type="dxa"/>
            <w:vMerge w:val="continue"/>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851" w:type="dxa"/>
            <w:vMerge w:val="continue"/>
            <w:tcBorders>
              <w:righ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850" w:type="dxa"/>
            <w:tcBorders>
              <w:top w:val="single" w:color="auto" w:sz="4" w:space="0"/>
              <w:left w:val="single" w:color="auto" w:sz="8"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NO</w:t>
            </w:r>
            <w:r>
              <w:rPr>
                <w:rFonts w:hint="default" w:ascii="Times New Roman" w:hAnsi="Times New Roman" w:cs="Times New Roman" w:eastAsiaTheme="minorEastAsia"/>
                <w:color w:val="000000" w:themeColor="text1"/>
                <w:spacing w:val="0"/>
                <w:vertAlign w:val="subscript"/>
                <w14:textFill>
                  <w14:solidFill>
                    <w14:schemeClr w14:val="tx1"/>
                  </w14:solidFill>
                </w14:textFill>
              </w:rPr>
              <w:t>x</w:t>
            </w:r>
          </w:p>
        </w:tc>
        <w:tc>
          <w:tcPr>
            <w:tcW w:w="927"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连续</w:t>
            </w:r>
          </w:p>
        </w:tc>
        <w:tc>
          <w:tcPr>
            <w:tcW w:w="703"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物料衡算</w:t>
            </w:r>
          </w:p>
        </w:tc>
        <w:tc>
          <w:tcPr>
            <w:tcW w:w="1013"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4600</w:t>
            </w:r>
          </w:p>
        </w:tc>
        <w:tc>
          <w:tcPr>
            <w:tcW w:w="901" w:type="dxa"/>
            <w:tcBorders>
              <w:top w:val="single" w:color="auto" w:sz="4" w:space="0"/>
              <w:bottom w:val="single" w:color="auto" w:sz="4" w:space="0"/>
            </w:tcBorders>
          </w:tcPr>
          <w:p>
            <w:pPr>
              <w:ind w:firstLine="0" w:firstLineChars="0"/>
              <w:rPr>
                <w:rFonts w:hint="default" w:ascii="Times New Roman" w:hAnsi="Times New Roman" w:cs="Times New Roman" w:eastAsiaTheme="minorEastAsia"/>
                <w:color w:val="000000" w:themeColor="text1"/>
                <w:spacing w:val="0"/>
                <w:sz w:val="21"/>
                <w:szCs w:val="21"/>
                <w14:textFill>
                  <w14:solidFill>
                    <w14:schemeClr w14:val="tx1"/>
                  </w14:solidFill>
                </w14:textFill>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155.07</w:t>
            </w:r>
          </w:p>
        </w:tc>
        <w:tc>
          <w:tcPr>
            <w:tcW w:w="851"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0.71</w:t>
            </w:r>
          </w:p>
        </w:tc>
        <w:tc>
          <w:tcPr>
            <w:tcW w:w="992" w:type="dxa"/>
            <w:vMerge w:val="continue"/>
            <w:tcBorders>
              <w:right w:val="single" w:color="auto" w:sz="8" w:space="0"/>
            </w:tcBorders>
            <w:vAlign w:val="center"/>
          </w:tcPr>
          <w:p>
            <w:pPr>
              <w:pStyle w:val="666"/>
              <w:spacing w:line="320" w:lineRule="exact"/>
              <w:rPr>
                <w:rFonts w:hint="default" w:ascii="Times New Roman" w:hAnsi="Times New Roman" w:cs="Times New Roman" w:eastAsiaTheme="minorEastAsia"/>
                <w:color w:val="FF0000"/>
                <w:spacing w:val="0"/>
                <w:highlight w:val="yellow"/>
              </w:rPr>
            </w:pPr>
          </w:p>
        </w:tc>
        <w:tc>
          <w:tcPr>
            <w:tcW w:w="709" w:type="dxa"/>
            <w:tcBorders>
              <w:top w:val="single" w:color="auto" w:sz="4" w:space="0"/>
              <w:left w:val="single" w:color="auto" w:sz="8" w:space="0"/>
              <w:bottom w:val="single" w:color="auto" w:sz="4" w:space="0"/>
            </w:tcBorders>
          </w:tcPr>
          <w:p>
            <w:pPr>
              <w:ind w:firstLine="149" w:firstLineChars="71"/>
              <w:rPr>
                <w:rFonts w:hint="default" w:ascii="Times New Roman" w:hAnsi="Times New Roman" w:cs="Times New Roman" w:eastAsiaTheme="minorEastAsia"/>
                <w:color w:val="000000" w:themeColor="text1"/>
                <w:spacing w:val="0"/>
                <w:sz w:val="21"/>
                <w:szCs w:val="21"/>
                <w14:textFill>
                  <w14:solidFill>
                    <w14:schemeClr w14:val="tx1"/>
                  </w14:solidFill>
                </w14:textFill>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w:t>
            </w:r>
          </w:p>
        </w:tc>
        <w:tc>
          <w:tcPr>
            <w:tcW w:w="992"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4600</w:t>
            </w:r>
          </w:p>
        </w:tc>
        <w:tc>
          <w:tcPr>
            <w:tcW w:w="850" w:type="dxa"/>
            <w:tcBorders>
              <w:top w:val="single" w:color="auto" w:sz="4" w:space="0"/>
              <w:bottom w:val="single" w:color="auto" w:sz="4" w:space="0"/>
            </w:tcBorders>
          </w:tcPr>
          <w:p>
            <w:pPr>
              <w:ind w:firstLine="0" w:firstLineChars="0"/>
              <w:rPr>
                <w:rFonts w:hint="default" w:ascii="Times New Roman" w:hAnsi="Times New Roman" w:cs="Times New Roman" w:eastAsiaTheme="minorEastAsia"/>
                <w:color w:val="000000" w:themeColor="text1"/>
                <w:spacing w:val="0"/>
                <w:sz w:val="21"/>
                <w:szCs w:val="21"/>
                <w14:textFill>
                  <w14:solidFill>
                    <w14:schemeClr w14:val="tx1"/>
                  </w14:solidFill>
                </w14:textFill>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155.07</w:t>
            </w:r>
          </w:p>
        </w:tc>
        <w:tc>
          <w:tcPr>
            <w:tcW w:w="851" w:type="dxa"/>
            <w:tcBorders>
              <w:top w:val="single" w:color="auto" w:sz="4"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0.71</w:t>
            </w:r>
          </w:p>
        </w:tc>
        <w:tc>
          <w:tcPr>
            <w:tcW w:w="709" w:type="dxa"/>
            <w:vMerge w:val="continue"/>
            <w:tcBorders>
              <w:righ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708" w:type="dxa"/>
            <w:vMerge w:val="continue"/>
            <w:tcBorders>
              <w:lef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709" w:type="dxa"/>
            <w:vMerge w:val="continue"/>
            <w:tcBorders>
              <w:lef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05" w:hRule="atLeast"/>
        </w:trPr>
        <w:tc>
          <w:tcPr>
            <w:tcW w:w="636" w:type="dxa"/>
            <w:vMerge w:val="continue"/>
            <w:tcBorders>
              <w:bottom w:val="single" w:color="auto" w:sz="12" w:space="0"/>
            </w:tcBorders>
            <w:vAlign w:val="center"/>
          </w:tcPr>
          <w:p>
            <w:pPr>
              <w:pStyle w:val="666"/>
              <w:spacing w:line="320" w:lineRule="exact"/>
              <w:rPr>
                <w:rFonts w:hint="default" w:ascii="Times New Roman" w:hAnsi="Times New Roman" w:cs="Times New Roman" w:eastAsiaTheme="minorEastAsia"/>
                <w:color w:val="000000" w:themeColor="text1"/>
                <w:spacing w:val="0"/>
                <w:szCs w:val="18"/>
                <w14:textFill>
                  <w14:solidFill>
                    <w14:schemeClr w14:val="tx1"/>
                  </w14:solidFill>
                </w14:textFill>
              </w:rPr>
            </w:pPr>
          </w:p>
        </w:tc>
        <w:tc>
          <w:tcPr>
            <w:tcW w:w="708" w:type="dxa"/>
            <w:vMerge w:val="continue"/>
            <w:tcBorders>
              <w:bottom w:val="single" w:color="auto" w:sz="12"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851" w:type="dxa"/>
            <w:vMerge w:val="continue"/>
            <w:tcBorders>
              <w:bottom w:val="single" w:color="auto" w:sz="12" w:space="0"/>
              <w:righ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850" w:type="dxa"/>
            <w:tcBorders>
              <w:top w:val="single" w:color="auto" w:sz="4" w:space="0"/>
              <w:left w:val="single" w:color="auto" w:sz="8" w:space="0"/>
              <w:bottom w:val="single" w:color="auto" w:sz="12"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林格曼黑度</w:t>
            </w:r>
          </w:p>
        </w:tc>
        <w:tc>
          <w:tcPr>
            <w:tcW w:w="927" w:type="dxa"/>
            <w:tcBorders>
              <w:top w:val="single" w:color="auto" w:sz="4" w:space="0"/>
              <w:bottom w:val="single" w:color="auto" w:sz="12"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连续</w:t>
            </w:r>
          </w:p>
        </w:tc>
        <w:tc>
          <w:tcPr>
            <w:tcW w:w="703" w:type="dxa"/>
            <w:tcBorders>
              <w:top w:val="single" w:color="auto" w:sz="4" w:space="0"/>
              <w:bottom w:val="single" w:color="auto" w:sz="12"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物料衡算</w:t>
            </w:r>
          </w:p>
        </w:tc>
        <w:tc>
          <w:tcPr>
            <w:tcW w:w="1013" w:type="dxa"/>
            <w:tcBorders>
              <w:top w:val="single" w:color="auto" w:sz="4" w:space="0"/>
              <w:bottom w:val="single" w:color="auto" w:sz="12"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w:t>
            </w:r>
          </w:p>
        </w:tc>
        <w:tc>
          <w:tcPr>
            <w:tcW w:w="901" w:type="dxa"/>
            <w:tcBorders>
              <w:top w:val="single" w:color="auto" w:sz="4" w:space="0"/>
              <w:bottom w:val="single" w:color="auto" w:sz="12"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w:t>
            </w:r>
          </w:p>
        </w:tc>
        <w:tc>
          <w:tcPr>
            <w:tcW w:w="851" w:type="dxa"/>
            <w:tcBorders>
              <w:top w:val="single" w:color="auto" w:sz="4" w:space="0"/>
              <w:bottom w:val="single" w:color="auto" w:sz="12"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≤1</w:t>
            </w:r>
          </w:p>
        </w:tc>
        <w:tc>
          <w:tcPr>
            <w:tcW w:w="992" w:type="dxa"/>
            <w:vMerge w:val="continue"/>
            <w:tcBorders>
              <w:bottom w:val="single" w:color="auto" w:sz="12" w:space="0"/>
              <w:right w:val="single" w:color="auto" w:sz="8" w:space="0"/>
            </w:tcBorders>
            <w:vAlign w:val="center"/>
          </w:tcPr>
          <w:p>
            <w:pPr>
              <w:pStyle w:val="666"/>
              <w:spacing w:line="320" w:lineRule="exact"/>
              <w:rPr>
                <w:rFonts w:hint="default" w:ascii="Times New Roman" w:hAnsi="Times New Roman" w:cs="Times New Roman" w:eastAsiaTheme="minorEastAsia"/>
                <w:color w:val="FF0000"/>
                <w:spacing w:val="0"/>
                <w:highlight w:val="yellow"/>
              </w:rPr>
            </w:pPr>
          </w:p>
        </w:tc>
        <w:tc>
          <w:tcPr>
            <w:tcW w:w="709" w:type="dxa"/>
            <w:tcBorders>
              <w:top w:val="single" w:color="auto" w:sz="4" w:space="0"/>
              <w:left w:val="single" w:color="auto" w:sz="8" w:space="0"/>
              <w:bottom w:val="single" w:color="auto" w:sz="12" w:space="0"/>
            </w:tcBorders>
          </w:tcPr>
          <w:p>
            <w:pPr>
              <w:ind w:firstLine="149" w:firstLineChars="71"/>
              <w:rPr>
                <w:rFonts w:hint="default" w:ascii="Times New Roman" w:hAnsi="Times New Roman" w:cs="Times New Roman" w:eastAsiaTheme="minorEastAsia"/>
                <w:color w:val="000000" w:themeColor="text1"/>
                <w:spacing w:val="0"/>
                <w:sz w:val="21"/>
                <w:szCs w:val="21"/>
                <w14:textFill>
                  <w14:solidFill>
                    <w14:schemeClr w14:val="tx1"/>
                  </w14:solidFill>
                </w14:textFill>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w:t>
            </w:r>
          </w:p>
        </w:tc>
        <w:tc>
          <w:tcPr>
            <w:tcW w:w="992" w:type="dxa"/>
            <w:tcBorders>
              <w:top w:val="single" w:color="auto" w:sz="4" w:space="0"/>
              <w:bottom w:val="single" w:color="auto" w:sz="12" w:space="0"/>
            </w:tcBorders>
          </w:tcPr>
          <w:p>
            <w:pPr>
              <w:ind w:firstLine="420"/>
              <w:rPr>
                <w:rFonts w:hint="default" w:ascii="Times New Roman" w:hAnsi="Times New Roman" w:cs="Times New Roman" w:eastAsiaTheme="minorEastAsia"/>
                <w:color w:val="000000" w:themeColor="text1"/>
                <w:spacing w:val="0"/>
                <w:sz w:val="21"/>
                <w:szCs w:val="21"/>
                <w14:textFill>
                  <w14:solidFill>
                    <w14:schemeClr w14:val="tx1"/>
                  </w14:solidFill>
                </w14:textFill>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w:t>
            </w:r>
          </w:p>
        </w:tc>
        <w:tc>
          <w:tcPr>
            <w:tcW w:w="850" w:type="dxa"/>
            <w:tcBorders>
              <w:top w:val="single" w:color="auto" w:sz="4" w:space="0"/>
              <w:bottom w:val="single" w:color="auto" w:sz="12" w:space="0"/>
            </w:tcBorders>
          </w:tcPr>
          <w:p>
            <w:pPr>
              <w:ind w:firstLine="420"/>
              <w:rPr>
                <w:rFonts w:hint="default" w:ascii="Times New Roman" w:hAnsi="Times New Roman" w:cs="Times New Roman" w:eastAsiaTheme="minorEastAsia"/>
                <w:color w:val="000000" w:themeColor="text1"/>
                <w:spacing w:val="0"/>
                <w:sz w:val="21"/>
                <w:szCs w:val="21"/>
                <w14:textFill>
                  <w14:solidFill>
                    <w14:schemeClr w14:val="tx1"/>
                  </w14:solidFill>
                </w14:textFill>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w:t>
            </w:r>
          </w:p>
        </w:tc>
        <w:tc>
          <w:tcPr>
            <w:tcW w:w="851" w:type="dxa"/>
            <w:tcBorders>
              <w:top w:val="single" w:color="auto" w:sz="4" w:space="0"/>
              <w:bottom w:val="single" w:color="auto" w:sz="12"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≤1</w:t>
            </w:r>
          </w:p>
        </w:tc>
        <w:tc>
          <w:tcPr>
            <w:tcW w:w="709" w:type="dxa"/>
            <w:vMerge w:val="continue"/>
            <w:tcBorders>
              <w:bottom w:val="single" w:color="auto" w:sz="12" w:space="0"/>
              <w:right w:val="single" w:color="auto" w:sz="8"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708" w:type="dxa"/>
            <w:vMerge w:val="continue"/>
            <w:tcBorders>
              <w:left w:val="single" w:color="auto" w:sz="8" w:space="0"/>
              <w:bottom w:val="single" w:color="auto" w:sz="12"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709" w:type="dxa"/>
            <w:vMerge w:val="continue"/>
            <w:tcBorders>
              <w:left w:val="single" w:color="auto" w:sz="8" w:space="0"/>
              <w:bottom w:val="single" w:color="auto" w:sz="12" w:space="0"/>
            </w:tcBorders>
            <w:vAlign w:val="center"/>
          </w:tcPr>
          <w:p>
            <w:pPr>
              <w:pStyle w:val="666"/>
              <w:spacing w:line="320" w:lineRule="exact"/>
              <w:rPr>
                <w:rFonts w:hint="default" w:ascii="Times New Roman" w:hAnsi="Times New Roman" w:cs="Times New Roman" w:eastAsiaTheme="minorEastAsia"/>
                <w:color w:val="000000" w:themeColor="text1"/>
                <w:spacing w:val="0"/>
                <w14:textFill>
                  <w14:solidFill>
                    <w14:schemeClr w14:val="tx1"/>
                  </w14:solidFill>
                </w14:textFill>
              </w:rPr>
            </w:pPr>
          </w:p>
        </w:tc>
      </w:tr>
    </w:tbl>
    <w:p>
      <w:pPr>
        <w:spacing w:line="500" w:lineRule="exact"/>
        <w:ind w:firstLine="560"/>
        <w:rPr>
          <w:rFonts w:hint="default" w:ascii="Times New Roman" w:hAnsi="Times New Roman" w:cs="Times New Roman" w:eastAsiaTheme="minorEastAsia"/>
          <w:color w:val="000000" w:themeColor="text1"/>
          <w14:textFill>
            <w14:solidFill>
              <w14:schemeClr w14:val="tx1"/>
            </w14:solidFill>
          </w14:textFill>
        </w:rPr>
        <w:sectPr>
          <w:footerReference r:id="rId27" w:type="default"/>
          <w:pgSz w:w="16838" w:h="11906" w:orient="landscape"/>
          <w:pgMar w:top="1701" w:right="1701" w:bottom="1701" w:left="1474" w:header="1134" w:footer="1134" w:gutter="0"/>
          <w:pgBorders>
            <w:top w:val="none" w:sz="0" w:space="0"/>
            <w:left w:val="none" w:sz="0" w:space="0"/>
            <w:bottom w:val="none" w:sz="0" w:space="0"/>
            <w:right w:val="none" w:sz="0" w:space="0"/>
          </w:pgBorders>
          <w:cols w:space="720" w:num="1"/>
          <w:docGrid w:linePitch="312" w:charSpace="0"/>
        </w:sectPr>
      </w:pPr>
    </w:p>
    <w:p>
      <w:pPr>
        <w:pStyle w:val="1297"/>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3.2.3.3 噪声</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本项目噪声源为排气扇、机泵、风机等产生的设备噪声。采取基础减振、隔声、软管连接等降噪措施，本项目噪声源设备及治理情况见表3-2-9。</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表3-2-9 噪声污染源源强核算结果及相关参数一览表</w:t>
      </w:r>
    </w:p>
    <w:tbl>
      <w:tblPr>
        <w:tblStyle w:val="9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909"/>
        <w:gridCol w:w="850"/>
        <w:gridCol w:w="707"/>
        <w:gridCol w:w="707"/>
        <w:gridCol w:w="994"/>
        <w:gridCol w:w="668"/>
        <w:gridCol w:w="824"/>
        <w:gridCol w:w="935"/>
        <w:gridCol w:w="675"/>
        <w:gridCol w:w="935"/>
        <w:gridCol w:w="74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jc w:val="center"/>
        </w:trPr>
        <w:tc>
          <w:tcPr>
            <w:tcW w:w="909" w:type="dxa"/>
            <w:vMerge w:val="restart"/>
            <w:tcBorders>
              <w:top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生产线</w:t>
            </w:r>
          </w:p>
        </w:tc>
        <w:tc>
          <w:tcPr>
            <w:tcW w:w="850" w:type="dxa"/>
            <w:vMerge w:val="restart"/>
            <w:tcBorders>
              <w:top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噪声源</w:t>
            </w:r>
          </w:p>
        </w:tc>
        <w:tc>
          <w:tcPr>
            <w:tcW w:w="707" w:type="dxa"/>
            <w:vMerge w:val="restart"/>
            <w:tcBorders>
              <w:top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声源类型</w:t>
            </w:r>
          </w:p>
        </w:tc>
        <w:tc>
          <w:tcPr>
            <w:tcW w:w="1701" w:type="dxa"/>
            <w:gridSpan w:val="2"/>
            <w:tcBorders>
              <w:top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噪声源强</w:t>
            </w:r>
          </w:p>
        </w:tc>
        <w:tc>
          <w:tcPr>
            <w:tcW w:w="1492" w:type="dxa"/>
            <w:gridSpan w:val="2"/>
            <w:tcBorders>
              <w:top w:val="single" w:color="auto" w:sz="12" w:space="0"/>
              <w:bottom w:val="single" w:color="auto" w:sz="4" w:space="0"/>
            </w:tcBorders>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降噪措施</w:t>
            </w:r>
          </w:p>
        </w:tc>
        <w:tc>
          <w:tcPr>
            <w:tcW w:w="935" w:type="dxa"/>
            <w:vMerge w:val="restart"/>
            <w:tcBorders>
              <w:top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降噪效果</w:t>
            </w:r>
          </w:p>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[dB(A)]</w:t>
            </w:r>
          </w:p>
        </w:tc>
        <w:tc>
          <w:tcPr>
            <w:tcW w:w="1610" w:type="dxa"/>
            <w:gridSpan w:val="2"/>
            <w:tcBorders>
              <w:top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噪声排放值</w:t>
            </w:r>
          </w:p>
        </w:tc>
        <w:tc>
          <w:tcPr>
            <w:tcW w:w="748" w:type="dxa"/>
            <w:vMerge w:val="restart"/>
            <w:tcBorders>
              <w:top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持续时间/h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jc w:val="center"/>
        </w:trPr>
        <w:tc>
          <w:tcPr>
            <w:tcW w:w="909" w:type="dxa"/>
            <w:vMerge w:val="continue"/>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850" w:type="dxa"/>
            <w:vMerge w:val="continue"/>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707" w:type="dxa"/>
            <w:vMerge w:val="continue"/>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707" w:type="dxa"/>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核算</w:t>
            </w:r>
          </w:p>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方法</w:t>
            </w:r>
          </w:p>
        </w:tc>
        <w:tc>
          <w:tcPr>
            <w:tcW w:w="994" w:type="dxa"/>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噪声值</w:t>
            </w:r>
          </w:p>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[dB(A)]</w:t>
            </w:r>
          </w:p>
        </w:tc>
        <w:tc>
          <w:tcPr>
            <w:tcW w:w="668" w:type="dxa"/>
            <w:tcBorders>
              <w:top w:val="single" w:color="auto" w:sz="4" w:space="0"/>
              <w:right w:val="single" w:color="auto" w:sz="4" w:space="0"/>
            </w:tcBorders>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工艺</w:t>
            </w:r>
          </w:p>
        </w:tc>
        <w:tc>
          <w:tcPr>
            <w:tcW w:w="824" w:type="dxa"/>
            <w:tcBorders>
              <w:top w:val="single" w:color="auto" w:sz="4" w:space="0"/>
              <w:left w:val="single" w:color="auto" w:sz="4" w:space="0"/>
            </w:tcBorders>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降噪效果</w:t>
            </w:r>
          </w:p>
        </w:tc>
        <w:tc>
          <w:tcPr>
            <w:tcW w:w="935" w:type="dxa"/>
            <w:vMerge w:val="continue"/>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p>
        </w:tc>
        <w:tc>
          <w:tcPr>
            <w:tcW w:w="675" w:type="dxa"/>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核算方法</w:t>
            </w:r>
          </w:p>
        </w:tc>
        <w:tc>
          <w:tcPr>
            <w:tcW w:w="935" w:type="dxa"/>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噪声值</w:t>
            </w:r>
          </w:p>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[dB(A)]</w:t>
            </w:r>
          </w:p>
        </w:tc>
        <w:tc>
          <w:tcPr>
            <w:tcW w:w="748" w:type="dxa"/>
            <w:vMerge w:val="continue"/>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502" w:hRule="atLeast"/>
          <w:jc w:val="center"/>
        </w:trPr>
        <w:tc>
          <w:tcPr>
            <w:tcW w:w="909" w:type="dxa"/>
            <w:vAlign w:val="center"/>
          </w:tcPr>
          <w:p>
            <w:pPr>
              <w:pStyle w:val="666"/>
              <w:spacing w:line="360" w:lineRule="exact"/>
              <w:rPr>
                <w:rFonts w:hint="default" w:ascii="Times New Roman" w:hAnsi="Times New Roman" w:cs="Times New Roman" w:eastAsiaTheme="minorEastAsia"/>
                <w:color w:val="000000" w:themeColor="text1"/>
                <w:spacing w:val="0"/>
                <w:lang w:eastAsia="zh-CN"/>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沼气</w:t>
            </w:r>
            <w:r>
              <w:rPr>
                <w:rFonts w:hint="default" w:ascii="Times New Roman" w:hAnsi="Times New Roman" w:cs="Times New Roman" w:eastAsiaTheme="minorEastAsia"/>
                <w:color w:val="000000" w:themeColor="text1"/>
                <w:spacing w:val="0"/>
                <w:lang w:eastAsia="zh-CN"/>
                <w14:textFill>
                  <w14:solidFill>
                    <w14:schemeClr w14:val="tx1"/>
                  </w14:solidFill>
                </w14:textFill>
              </w:rPr>
              <w:t>火炬</w:t>
            </w:r>
          </w:p>
        </w:tc>
        <w:tc>
          <w:tcPr>
            <w:tcW w:w="850" w:type="dxa"/>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风机</w:t>
            </w:r>
          </w:p>
        </w:tc>
        <w:tc>
          <w:tcPr>
            <w:tcW w:w="707" w:type="dxa"/>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频发</w:t>
            </w:r>
          </w:p>
        </w:tc>
        <w:tc>
          <w:tcPr>
            <w:tcW w:w="707" w:type="dxa"/>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类比法</w:t>
            </w:r>
          </w:p>
        </w:tc>
        <w:tc>
          <w:tcPr>
            <w:tcW w:w="994" w:type="dxa"/>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85</w:t>
            </w:r>
          </w:p>
        </w:tc>
        <w:tc>
          <w:tcPr>
            <w:tcW w:w="1492" w:type="dxa"/>
            <w:gridSpan w:val="2"/>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基础减振、隔声</w:t>
            </w:r>
          </w:p>
        </w:tc>
        <w:tc>
          <w:tcPr>
            <w:tcW w:w="935" w:type="dxa"/>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15</w:t>
            </w:r>
          </w:p>
        </w:tc>
        <w:tc>
          <w:tcPr>
            <w:tcW w:w="675" w:type="dxa"/>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类比法</w:t>
            </w:r>
          </w:p>
        </w:tc>
        <w:tc>
          <w:tcPr>
            <w:tcW w:w="935" w:type="dxa"/>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70</w:t>
            </w:r>
          </w:p>
        </w:tc>
        <w:tc>
          <w:tcPr>
            <w:tcW w:w="748" w:type="dxa"/>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4440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07" w:hRule="atLeast"/>
          <w:jc w:val="center"/>
        </w:trPr>
        <w:tc>
          <w:tcPr>
            <w:tcW w:w="909" w:type="dxa"/>
            <w:tcBorders>
              <w:top w:val="single" w:color="auto" w:sz="4" w:space="0"/>
              <w:bottom w:val="single" w:color="auto" w:sz="2" w:space="0"/>
            </w:tcBorders>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牛舍</w:t>
            </w:r>
          </w:p>
        </w:tc>
        <w:tc>
          <w:tcPr>
            <w:tcW w:w="850" w:type="dxa"/>
            <w:tcBorders>
              <w:top w:val="single" w:color="auto" w:sz="4" w:space="0"/>
              <w:bottom w:val="single" w:color="auto" w:sz="4" w:space="0"/>
            </w:tcBorders>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排气扇</w:t>
            </w:r>
          </w:p>
        </w:tc>
        <w:tc>
          <w:tcPr>
            <w:tcW w:w="707" w:type="dxa"/>
            <w:tcBorders>
              <w:top w:val="single" w:color="auto" w:sz="4" w:space="0"/>
              <w:bottom w:val="single" w:color="auto" w:sz="4" w:space="0"/>
            </w:tcBorders>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频发</w:t>
            </w:r>
          </w:p>
        </w:tc>
        <w:tc>
          <w:tcPr>
            <w:tcW w:w="707" w:type="dxa"/>
            <w:tcBorders>
              <w:top w:val="single" w:color="auto" w:sz="4" w:space="0"/>
              <w:bottom w:val="single" w:color="auto" w:sz="4" w:space="0"/>
            </w:tcBorders>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类比法</w:t>
            </w:r>
          </w:p>
        </w:tc>
        <w:tc>
          <w:tcPr>
            <w:tcW w:w="994" w:type="dxa"/>
            <w:tcBorders>
              <w:top w:val="single" w:color="auto" w:sz="4" w:space="0"/>
              <w:bottom w:val="single" w:color="auto" w:sz="4" w:space="0"/>
            </w:tcBorders>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85</w:t>
            </w:r>
          </w:p>
        </w:tc>
        <w:tc>
          <w:tcPr>
            <w:tcW w:w="1492" w:type="dxa"/>
            <w:gridSpan w:val="2"/>
            <w:tcBorders>
              <w:top w:val="single" w:color="auto" w:sz="4" w:space="0"/>
              <w:bottom w:val="single" w:color="auto" w:sz="4" w:space="0"/>
            </w:tcBorders>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基础减振、隔声</w:t>
            </w:r>
          </w:p>
        </w:tc>
        <w:tc>
          <w:tcPr>
            <w:tcW w:w="935" w:type="dxa"/>
            <w:tcBorders>
              <w:top w:val="single" w:color="auto" w:sz="4" w:space="0"/>
              <w:bottom w:val="single" w:color="auto" w:sz="4" w:space="0"/>
            </w:tcBorders>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15</w:t>
            </w:r>
          </w:p>
        </w:tc>
        <w:tc>
          <w:tcPr>
            <w:tcW w:w="675" w:type="dxa"/>
            <w:tcBorders>
              <w:top w:val="single" w:color="auto" w:sz="4" w:space="0"/>
              <w:bottom w:val="single" w:color="auto" w:sz="4" w:space="0"/>
            </w:tcBorders>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类比法</w:t>
            </w:r>
          </w:p>
        </w:tc>
        <w:tc>
          <w:tcPr>
            <w:tcW w:w="935" w:type="dxa"/>
            <w:tcBorders>
              <w:top w:val="single" w:color="auto" w:sz="4" w:space="0"/>
              <w:bottom w:val="single" w:color="auto" w:sz="4" w:space="0"/>
            </w:tcBorders>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70</w:t>
            </w:r>
          </w:p>
        </w:tc>
        <w:tc>
          <w:tcPr>
            <w:tcW w:w="748" w:type="dxa"/>
            <w:tcBorders>
              <w:bottom w:val="single" w:color="auto" w:sz="4" w:space="0"/>
            </w:tcBorders>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8760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615" w:hRule="atLeast"/>
          <w:jc w:val="center"/>
        </w:trPr>
        <w:tc>
          <w:tcPr>
            <w:tcW w:w="909" w:type="dxa"/>
            <w:tcBorders>
              <w:top w:val="single" w:color="auto" w:sz="2" w:space="0"/>
              <w:bottom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固液分离间</w:t>
            </w:r>
          </w:p>
        </w:tc>
        <w:tc>
          <w:tcPr>
            <w:tcW w:w="850" w:type="dxa"/>
            <w:tcBorders>
              <w:top w:val="single" w:color="auto" w:sz="4" w:space="0"/>
              <w:bottom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水泵</w:t>
            </w:r>
          </w:p>
        </w:tc>
        <w:tc>
          <w:tcPr>
            <w:tcW w:w="707" w:type="dxa"/>
            <w:tcBorders>
              <w:top w:val="single" w:color="auto" w:sz="4" w:space="0"/>
              <w:bottom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频发</w:t>
            </w:r>
          </w:p>
        </w:tc>
        <w:tc>
          <w:tcPr>
            <w:tcW w:w="707" w:type="dxa"/>
            <w:tcBorders>
              <w:top w:val="single" w:color="auto" w:sz="4" w:space="0"/>
              <w:bottom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类比法</w:t>
            </w:r>
          </w:p>
        </w:tc>
        <w:tc>
          <w:tcPr>
            <w:tcW w:w="994" w:type="dxa"/>
            <w:tcBorders>
              <w:top w:val="single" w:color="auto" w:sz="4" w:space="0"/>
              <w:bottom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92</w:t>
            </w:r>
          </w:p>
        </w:tc>
        <w:tc>
          <w:tcPr>
            <w:tcW w:w="1492" w:type="dxa"/>
            <w:gridSpan w:val="2"/>
            <w:tcBorders>
              <w:top w:val="single" w:color="auto" w:sz="4" w:space="0"/>
              <w:bottom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基础减振、软管连接</w:t>
            </w:r>
          </w:p>
        </w:tc>
        <w:tc>
          <w:tcPr>
            <w:tcW w:w="935" w:type="dxa"/>
            <w:tcBorders>
              <w:top w:val="single" w:color="auto" w:sz="4" w:space="0"/>
              <w:bottom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20</w:t>
            </w:r>
          </w:p>
        </w:tc>
        <w:tc>
          <w:tcPr>
            <w:tcW w:w="675" w:type="dxa"/>
            <w:tcBorders>
              <w:top w:val="single" w:color="auto" w:sz="4" w:space="0"/>
              <w:bottom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类比法</w:t>
            </w:r>
          </w:p>
        </w:tc>
        <w:tc>
          <w:tcPr>
            <w:tcW w:w="935" w:type="dxa"/>
            <w:tcBorders>
              <w:top w:val="single" w:color="auto" w:sz="4" w:space="0"/>
              <w:bottom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72</w:t>
            </w:r>
          </w:p>
        </w:tc>
        <w:tc>
          <w:tcPr>
            <w:tcW w:w="748" w:type="dxa"/>
            <w:tcBorders>
              <w:top w:val="single" w:color="auto" w:sz="4" w:space="0"/>
              <w:bottom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0"/>
                <w14:textFill>
                  <w14:solidFill>
                    <w14:schemeClr w14:val="tx1"/>
                  </w14:solidFill>
                </w14:textFill>
              </w:rPr>
            </w:pPr>
            <w:r>
              <w:rPr>
                <w:rFonts w:hint="default" w:ascii="Times New Roman" w:hAnsi="Times New Roman" w:cs="Times New Roman" w:eastAsiaTheme="minorEastAsia"/>
                <w:color w:val="000000" w:themeColor="text1"/>
                <w:spacing w:val="0"/>
                <w14:textFill>
                  <w14:solidFill>
                    <w14:schemeClr w14:val="tx1"/>
                  </w14:solidFill>
                </w14:textFill>
              </w:rPr>
              <w:t>8760</w:t>
            </w:r>
          </w:p>
        </w:tc>
      </w:tr>
    </w:tbl>
    <w:p>
      <w:pPr>
        <w:pStyle w:val="1297"/>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3.2.3.4 固废</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根据污染因素分析，本项目固废污染源包括：牛粪污、病死牛、胎盘、废沼气</w:t>
      </w:r>
      <w:r>
        <w:rPr>
          <w:rFonts w:hint="default" w:ascii="Times New Roman" w:hAnsi="Times New Roman" w:cs="Times New Roman" w:eastAsiaTheme="minorEastAsia"/>
          <w:color w:val="auto"/>
          <w:sz w:val="24"/>
          <w:szCs w:val="22"/>
          <w:highlight w:val="none"/>
        </w:rPr>
        <w:t>脱硫剂、沼渣、卧床垫料废物、生活</w:t>
      </w:r>
      <w:r>
        <w:rPr>
          <w:rFonts w:hint="default" w:ascii="Times New Roman" w:hAnsi="Times New Roman" w:cs="Times New Roman" w:eastAsiaTheme="minorEastAsia"/>
          <w:color w:val="000000" w:themeColor="text1"/>
          <w:sz w:val="24"/>
          <w:szCs w:val="22"/>
          <w14:textFill>
            <w14:solidFill>
              <w14:schemeClr w14:val="tx1"/>
            </w14:solidFill>
          </w14:textFill>
        </w:rPr>
        <w:t>垃圾、医疗废物，具体分析如下：</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（1）牛粪污</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根据《畜禽养殖业污染治理工程技术规范》（HJ497-2009）中表A.2不同畜禽粪污日排泄量，每头牛排粪量20kg/d，本项目年存栏1500头奶牛，其中泌乳牛1200头，后备牛300头，泌乳牛按排粪量20kg/d计，后备牛按排粪量10kg/d计，因此产生牛粪约27t/d，即9855t/a。牛粪及经固液分离后干物质外运至安达市瑞合玉米种植专业合作社堆肥。</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（2）病死牛、胎盘</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本奶牛存栏量1500头，死亡率约为1%，病死牛约15头/a，奶牛平均体重约为320kg，则项目奶牛病死牛尸体产生总量约为4.8t/a。</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奶牛养殖场病死牛多发生于犊牛，生产后的犊牛死亡率约为2%。本项目预计常年待孕奶牛存栏量为300头，受胎率为95%，则受胎后的犊牛约为285头，即项目每年约产生6个死亡胎盘。胎盘（死胎按照胎盘重量计）平均重量约为4.5kg，则项目胎盘产生总量约为27 kg /a。</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本项目年病死牛尸体及胎盘产生总量为4.827t，外委安达市题桥环保科技有限公司安全处置。</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（3）废沼气脱硫剂</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项目沼气脱硫采用干式脱硫，脱硫剂的主要成分为氧化铁，脱硫效率为95%，废沼气脱硫剂未纳入《国家危险废物名录（2021年版）》，主要成分为氧化铁，不属于危险废物，沼气脱硫装置中失去活性的废脱硫剂由生产厂家更换时回收处置，项目废脱硫剂产生量约为0.5t/a。</w:t>
      </w:r>
    </w:p>
    <w:p>
      <w:pPr>
        <w:spacing w:line="500" w:lineRule="exact"/>
        <w:ind w:firstLine="560"/>
        <w:rPr>
          <w:rFonts w:hint="default" w:ascii="Times New Roman" w:hAnsi="Times New Roman" w:cs="Times New Roman" w:eastAsiaTheme="minorEastAsia"/>
          <w:color w:val="auto"/>
          <w:sz w:val="24"/>
          <w:szCs w:val="22"/>
          <w:highlight w:val="none"/>
        </w:rPr>
      </w:pPr>
      <w:bookmarkStart w:id="101" w:name="OLE_LINK1"/>
      <w:bookmarkStart w:id="102" w:name="OLE_LINK2"/>
      <w:r>
        <w:rPr>
          <w:rFonts w:hint="default" w:ascii="Times New Roman" w:hAnsi="Times New Roman" w:cs="Times New Roman" w:eastAsiaTheme="minorEastAsia"/>
          <w:color w:val="auto"/>
          <w:sz w:val="24"/>
          <w:szCs w:val="22"/>
          <w:highlight w:val="none"/>
        </w:rPr>
        <w:t>（4）沼渣</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项目进入沼气池的含少量固体的液体部分为7936.1t/a，厌氧反应处理后的沼渣约占5%，产生量为396.805t/a。沼渣和牛粪、固液分离后干物质一起外运安达市瑞合玉米种植专业合作社堆肥处置。</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（5）卧床垫料废物</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牛舍卧床垫料，需要定期更换、补充，产生卧床垫料废物，卧床垫料废物产生量为10000t/a，定期还田。</w:t>
      </w:r>
    </w:p>
    <w:bookmarkEnd w:id="101"/>
    <w:bookmarkEnd w:id="102"/>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（6）生活垃圾</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生活垃圾产生量为0.5kg/d·人，本项目定员20人，产生总量为3.65t/a，属于一般固体废物，由建设单位负责拉运至先源乡垃圾收集点。</w:t>
      </w:r>
    </w:p>
    <w:p>
      <w:pPr>
        <w:numPr>
          <w:ilvl w:val="0"/>
          <w:numId w:val="1"/>
        </w:numPr>
        <w:spacing w:line="500" w:lineRule="exact"/>
        <w:ind w:left="280" w:leftChars="0" w:firstLine="560" w:firstLineChars="0"/>
        <w:rPr>
          <w:rFonts w:hint="default" w:ascii="Times New Roman" w:hAnsi="Times New Roman" w:cs="Times New Roman" w:eastAsiaTheme="minorEastAsia"/>
          <w:color w:val="auto"/>
          <w:sz w:val="24"/>
          <w:szCs w:val="22"/>
          <w:highlight w:val="none"/>
          <w:lang w:eastAsia="zh-CN"/>
        </w:rPr>
      </w:pPr>
      <w:r>
        <w:rPr>
          <w:rFonts w:hint="default" w:ascii="Times New Roman" w:hAnsi="Times New Roman" w:cs="Times New Roman" w:eastAsiaTheme="minorEastAsia"/>
          <w:color w:val="auto"/>
          <w:sz w:val="24"/>
          <w:szCs w:val="22"/>
          <w:highlight w:val="none"/>
          <w:lang w:eastAsia="zh-CN"/>
        </w:rPr>
        <w:t>废活性炭</w:t>
      </w:r>
    </w:p>
    <w:p>
      <w:pPr>
        <w:spacing w:line="500" w:lineRule="exact"/>
        <w:ind w:firstLine="560"/>
        <w:rPr>
          <w:rFonts w:hint="default" w:ascii="Times New Roman" w:hAnsi="Times New Roman" w:cs="Times New Roman" w:eastAsiaTheme="minorEastAsia"/>
          <w:color w:val="auto"/>
          <w:sz w:val="24"/>
          <w:szCs w:val="22"/>
          <w:highlight w:val="none"/>
          <w:lang w:eastAsia="zh-CN"/>
        </w:rPr>
      </w:pPr>
      <w:r>
        <w:rPr>
          <w:rFonts w:hint="default" w:ascii="Times New Roman" w:hAnsi="Times New Roman" w:cs="Times New Roman" w:eastAsiaTheme="minorEastAsia"/>
          <w:color w:val="auto"/>
          <w:sz w:val="24"/>
          <w:szCs w:val="22"/>
          <w:highlight w:val="none"/>
        </w:rPr>
        <w:t>项目废</w:t>
      </w:r>
      <w:r>
        <w:rPr>
          <w:rFonts w:hint="default" w:ascii="Times New Roman" w:hAnsi="Times New Roman" w:cs="Times New Roman" w:eastAsiaTheme="minorEastAsia"/>
          <w:color w:val="auto"/>
          <w:sz w:val="24"/>
          <w:szCs w:val="22"/>
          <w:highlight w:val="none"/>
          <w:lang w:eastAsia="zh-CN"/>
        </w:rPr>
        <w:t>活性炭</w:t>
      </w:r>
      <w:r>
        <w:rPr>
          <w:rFonts w:hint="default" w:ascii="Times New Roman" w:hAnsi="Times New Roman" w:cs="Times New Roman" w:eastAsiaTheme="minorEastAsia"/>
          <w:color w:val="auto"/>
          <w:sz w:val="24"/>
          <w:szCs w:val="22"/>
          <w:highlight w:val="none"/>
        </w:rPr>
        <w:t>产生量约为</w:t>
      </w:r>
      <w:r>
        <w:rPr>
          <w:rFonts w:hint="default" w:ascii="Times New Roman" w:hAnsi="Times New Roman" w:cs="Times New Roman" w:eastAsiaTheme="minorEastAsia"/>
          <w:color w:val="auto"/>
          <w:sz w:val="24"/>
          <w:szCs w:val="22"/>
          <w:highlight w:val="none"/>
          <w:lang w:val="en-US" w:eastAsia="zh-CN"/>
        </w:rPr>
        <w:t>1</w:t>
      </w:r>
      <w:r>
        <w:rPr>
          <w:rFonts w:hint="default" w:ascii="Times New Roman" w:hAnsi="Times New Roman" w:cs="Times New Roman" w:eastAsiaTheme="minorEastAsia"/>
          <w:color w:val="auto"/>
          <w:sz w:val="24"/>
          <w:szCs w:val="22"/>
          <w:highlight w:val="none"/>
        </w:rPr>
        <w:t>t/a。生产厂家更换时回收处置</w:t>
      </w:r>
      <w:r>
        <w:rPr>
          <w:rFonts w:hint="default" w:ascii="Times New Roman" w:hAnsi="Times New Roman" w:cs="Times New Roman" w:eastAsiaTheme="minorEastAsia"/>
          <w:color w:val="auto"/>
          <w:sz w:val="24"/>
          <w:szCs w:val="22"/>
          <w:highlight w:val="none"/>
          <w:lang w:eastAsia="zh-CN"/>
        </w:rPr>
        <w:t>。</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lang w:eastAsia="zh-CN"/>
        </w:rPr>
        <w:t>（</w:t>
      </w:r>
      <w:r>
        <w:rPr>
          <w:rFonts w:hint="default" w:ascii="Times New Roman" w:hAnsi="Times New Roman" w:cs="Times New Roman" w:eastAsiaTheme="minorEastAsia"/>
          <w:color w:val="auto"/>
          <w:sz w:val="24"/>
          <w:szCs w:val="22"/>
          <w:highlight w:val="none"/>
          <w:lang w:val="en-US" w:eastAsia="zh-CN"/>
        </w:rPr>
        <w:t>8</w:t>
      </w:r>
      <w:r>
        <w:rPr>
          <w:rFonts w:hint="default" w:ascii="Times New Roman" w:hAnsi="Times New Roman" w:cs="Times New Roman" w:eastAsiaTheme="minorEastAsia"/>
          <w:color w:val="auto"/>
          <w:sz w:val="24"/>
          <w:szCs w:val="22"/>
          <w:highlight w:val="none"/>
          <w:lang w:eastAsia="zh-CN"/>
        </w:rPr>
        <w:t>）</w:t>
      </w:r>
      <w:r>
        <w:rPr>
          <w:rFonts w:hint="default" w:ascii="Times New Roman" w:hAnsi="Times New Roman" w:cs="Times New Roman" w:eastAsiaTheme="minorEastAsia"/>
          <w:color w:val="auto"/>
          <w:sz w:val="24"/>
          <w:szCs w:val="22"/>
          <w:highlight w:val="none"/>
        </w:rPr>
        <w:t>医疗废物</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本项目需要使用预防疾病用药，每年约使用药1000瓶、300袋，药瓶重量约为0.02kg/个，用药包装袋重量约为0.01kg/个，经计算，医疗废物废物总产生量约为0.023t/a。根据《国家危险废物名录（2021年版）》，属于HW01类危险废物，废物代码为841-001-01。医疗废物在危废暂存间存放，定期委托有资质的单位安全处置。</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本项目固体废物污染源源强核算结果一览表详见表3-2-10。</w:t>
      </w:r>
    </w:p>
    <w:p>
      <w:pPr>
        <w:pStyle w:val="643"/>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表3-2-10  固体废物污染源源强核算结果及相关参数一览表</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9"/>
        <w:gridCol w:w="667"/>
        <w:gridCol w:w="1129"/>
        <w:gridCol w:w="992"/>
        <w:gridCol w:w="709"/>
        <w:gridCol w:w="850"/>
        <w:gridCol w:w="1985"/>
        <w:gridCol w:w="851"/>
        <w:gridCol w:w="14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439" w:type="dxa"/>
            <w:vMerge w:val="restart"/>
            <w:tcBorders>
              <w:righ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lang w:val="zh-CN"/>
              </w:rPr>
            </w:pPr>
            <w:r>
              <w:rPr>
                <w:rFonts w:hint="default" w:ascii="Times New Roman" w:hAnsi="Times New Roman" w:cs="Times New Roman" w:eastAsiaTheme="minorEastAsia"/>
                <w:color w:val="auto"/>
                <w:spacing w:val="0"/>
                <w:highlight w:val="none"/>
                <w:lang w:val="zh-CN"/>
              </w:rPr>
              <w:t>编号</w:t>
            </w:r>
          </w:p>
        </w:tc>
        <w:tc>
          <w:tcPr>
            <w:tcW w:w="667" w:type="dxa"/>
            <w:vMerge w:val="restart"/>
            <w:tcBorders>
              <w:lef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lang w:val="zh-CN"/>
              </w:rPr>
            </w:pPr>
            <w:r>
              <w:rPr>
                <w:rFonts w:hint="default" w:ascii="Times New Roman" w:hAnsi="Times New Roman" w:cs="Times New Roman" w:eastAsiaTheme="minorEastAsia"/>
                <w:color w:val="auto"/>
                <w:spacing w:val="0"/>
                <w:highlight w:val="none"/>
                <w:lang w:val="zh-CN"/>
              </w:rPr>
              <w:t>工序</w:t>
            </w:r>
          </w:p>
        </w:tc>
        <w:tc>
          <w:tcPr>
            <w:tcW w:w="1129" w:type="dxa"/>
            <w:vMerge w:val="restart"/>
            <w:vAlign w:val="center"/>
          </w:tcPr>
          <w:p>
            <w:pPr>
              <w:pStyle w:val="666"/>
              <w:spacing w:line="260" w:lineRule="exact"/>
              <w:rPr>
                <w:rFonts w:hint="default" w:ascii="Times New Roman" w:hAnsi="Times New Roman" w:cs="Times New Roman" w:eastAsiaTheme="minorEastAsia"/>
                <w:color w:val="auto"/>
                <w:spacing w:val="0"/>
                <w:highlight w:val="none"/>
                <w:lang w:val="zh-CN"/>
              </w:rPr>
            </w:pPr>
            <w:r>
              <w:rPr>
                <w:rFonts w:hint="default" w:ascii="Times New Roman" w:hAnsi="Times New Roman" w:cs="Times New Roman" w:eastAsiaTheme="minorEastAsia"/>
                <w:color w:val="auto"/>
                <w:spacing w:val="0"/>
                <w:highlight w:val="none"/>
                <w:lang w:val="zh-CN"/>
              </w:rPr>
              <w:t>固体废物名称</w:t>
            </w:r>
          </w:p>
        </w:tc>
        <w:tc>
          <w:tcPr>
            <w:tcW w:w="992" w:type="dxa"/>
            <w:vMerge w:val="restart"/>
            <w:vAlign w:val="center"/>
          </w:tcPr>
          <w:p>
            <w:pPr>
              <w:pStyle w:val="666"/>
              <w:spacing w:line="260" w:lineRule="exact"/>
              <w:rPr>
                <w:rFonts w:hint="default" w:ascii="Times New Roman" w:hAnsi="Times New Roman" w:cs="Times New Roman" w:eastAsiaTheme="minorEastAsia"/>
                <w:color w:val="auto"/>
                <w:spacing w:val="0"/>
                <w:highlight w:val="none"/>
                <w:lang w:val="zh-CN"/>
              </w:rPr>
            </w:pPr>
            <w:r>
              <w:rPr>
                <w:rFonts w:hint="default" w:ascii="Times New Roman" w:hAnsi="Times New Roman" w:cs="Times New Roman" w:eastAsiaTheme="minorEastAsia"/>
                <w:color w:val="auto"/>
                <w:spacing w:val="0"/>
                <w:highlight w:val="none"/>
                <w:lang w:val="zh-CN"/>
              </w:rPr>
              <w:t>固废属性</w:t>
            </w:r>
          </w:p>
        </w:tc>
        <w:tc>
          <w:tcPr>
            <w:tcW w:w="1559" w:type="dxa"/>
            <w:gridSpan w:val="2"/>
            <w:tcBorders>
              <w:bottom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lang w:val="zh-CN"/>
              </w:rPr>
            </w:pPr>
            <w:r>
              <w:rPr>
                <w:rFonts w:hint="default" w:ascii="Times New Roman" w:hAnsi="Times New Roman" w:cs="Times New Roman" w:eastAsiaTheme="minorEastAsia"/>
                <w:color w:val="auto"/>
                <w:spacing w:val="0"/>
                <w:highlight w:val="none"/>
                <w:lang w:val="zh-CN"/>
              </w:rPr>
              <w:t>产生情况</w:t>
            </w:r>
          </w:p>
        </w:tc>
        <w:tc>
          <w:tcPr>
            <w:tcW w:w="2836" w:type="dxa"/>
            <w:gridSpan w:val="2"/>
            <w:tcBorders>
              <w:bottom w:val="single" w:color="auto" w:sz="2" w:space="0"/>
              <w:righ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lang w:val="zh-CN"/>
              </w:rPr>
            </w:pPr>
            <w:r>
              <w:rPr>
                <w:rFonts w:hint="default" w:ascii="Times New Roman" w:hAnsi="Times New Roman" w:cs="Times New Roman" w:eastAsiaTheme="minorEastAsia"/>
                <w:color w:val="auto"/>
                <w:spacing w:val="0"/>
                <w:highlight w:val="none"/>
                <w:lang w:val="zh-CN"/>
              </w:rPr>
              <w:t>处置措施</w:t>
            </w:r>
          </w:p>
        </w:tc>
        <w:tc>
          <w:tcPr>
            <w:tcW w:w="1432" w:type="dxa"/>
            <w:vMerge w:val="restart"/>
            <w:tcBorders>
              <w:lef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lang w:val="zh-CN"/>
              </w:rPr>
            </w:pPr>
            <w:r>
              <w:rPr>
                <w:rFonts w:hint="default" w:ascii="Times New Roman" w:hAnsi="Times New Roman" w:cs="Times New Roman" w:eastAsiaTheme="minorEastAsia"/>
                <w:color w:val="auto"/>
                <w:spacing w:val="0"/>
                <w:highlight w:val="none"/>
                <w:lang w:val="zh-CN"/>
              </w:rPr>
              <w:t>最终去向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439" w:type="dxa"/>
            <w:vMerge w:val="continue"/>
            <w:tcBorders>
              <w:righ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lang w:val="zh-CN"/>
              </w:rPr>
            </w:pPr>
          </w:p>
        </w:tc>
        <w:tc>
          <w:tcPr>
            <w:tcW w:w="667" w:type="dxa"/>
            <w:vMerge w:val="continue"/>
            <w:tcBorders>
              <w:lef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lang w:val="zh-CN"/>
              </w:rPr>
            </w:pPr>
          </w:p>
        </w:tc>
        <w:tc>
          <w:tcPr>
            <w:tcW w:w="1129" w:type="dxa"/>
            <w:vMerge w:val="continue"/>
            <w:vAlign w:val="center"/>
          </w:tcPr>
          <w:p>
            <w:pPr>
              <w:pStyle w:val="666"/>
              <w:spacing w:line="260" w:lineRule="exact"/>
              <w:rPr>
                <w:rFonts w:hint="default" w:ascii="Times New Roman" w:hAnsi="Times New Roman" w:cs="Times New Roman" w:eastAsiaTheme="minorEastAsia"/>
                <w:color w:val="auto"/>
                <w:spacing w:val="0"/>
                <w:highlight w:val="none"/>
                <w:lang w:val="zh-CN"/>
              </w:rPr>
            </w:pPr>
          </w:p>
        </w:tc>
        <w:tc>
          <w:tcPr>
            <w:tcW w:w="992" w:type="dxa"/>
            <w:vMerge w:val="continue"/>
            <w:vAlign w:val="center"/>
          </w:tcPr>
          <w:p>
            <w:pPr>
              <w:pStyle w:val="666"/>
              <w:spacing w:line="260" w:lineRule="exact"/>
              <w:rPr>
                <w:rFonts w:hint="default" w:ascii="Times New Roman" w:hAnsi="Times New Roman" w:cs="Times New Roman" w:eastAsiaTheme="minorEastAsia"/>
                <w:color w:val="auto"/>
                <w:spacing w:val="0"/>
                <w:highlight w:val="none"/>
                <w:lang w:val="zh-CN"/>
              </w:rPr>
            </w:pPr>
          </w:p>
        </w:tc>
        <w:tc>
          <w:tcPr>
            <w:tcW w:w="709" w:type="dxa"/>
            <w:tcBorders>
              <w:top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lang w:val="zh-CN"/>
              </w:rPr>
            </w:pPr>
            <w:r>
              <w:rPr>
                <w:rFonts w:hint="default" w:ascii="Times New Roman" w:hAnsi="Times New Roman" w:cs="Times New Roman" w:eastAsiaTheme="minorEastAsia"/>
                <w:color w:val="auto"/>
                <w:spacing w:val="0"/>
                <w:highlight w:val="none"/>
                <w:lang w:val="zh-CN"/>
              </w:rPr>
              <w:t>核算方法</w:t>
            </w:r>
          </w:p>
        </w:tc>
        <w:tc>
          <w:tcPr>
            <w:tcW w:w="850" w:type="dxa"/>
            <w:tcBorders>
              <w:top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lang w:val="zh-CN"/>
              </w:rPr>
            </w:pPr>
            <w:r>
              <w:rPr>
                <w:rFonts w:hint="default" w:ascii="Times New Roman" w:hAnsi="Times New Roman" w:cs="Times New Roman" w:eastAsiaTheme="minorEastAsia"/>
                <w:color w:val="auto"/>
                <w:spacing w:val="0"/>
                <w:highlight w:val="none"/>
                <w:lang w:val="zh-CN"/>
              </w:rPr>
              <w:t>产生量/（t/a）</w:t>
            </w:r>
          </w:p>
        </w:tc>
        <w:tc>
          <w:tcPr>
            <w:tcW w:w="1985" w:type="dxa"/>
            <w:tcBorders>
              <w:top w:val="single" w:color="auto" w:sz="2" w:space="0"/>
              <w:righ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lang w:val="zh-CN"/>
              </w:rPr>
            </w:pPr>
            <w:r>
              <w:rPr>
                <w:rFonts w:hint="default" w:ascii="Times New Roman" w:hAnsi="Times New Roman" w:cs="Times New Roman" w:eastAsiaTheme="minorEastAsia"/>
                <w:color w:val="auto"/>
                <w:spacing w:val="0"/>
                <w:highlight w:val="none"/>
                <w:lang w:val="zh-CN"/>
              </w:rPr>
              <w:t>工艺</w:t>
            </w:r>
          </w:p>
        </w:tc>
        <w:tc>
          <w:tcPr>
            <w:tcW w:w="851" w:type="dxa"/>
            <w:tcBorders>
              <w:top w:val="single" w:color="auto" w:sz="2" w:space="0"/>
              <w:left w:val="single" w:color="auto" w:sz="2" w:space="0"/>
              <w:righ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lang w:val="zh-CN"/>
              </w:rPr>
            </w:pPr>
            <w:r>
              <w:rPr>
                <w:rFonts w:hint="default" w:ascii="Times New Roman" w:hAnsi="Times New Roman" w:cs="Times New Roman" w:eastAsiaTheme="minorEastAsia"/>
                <w:color w:val="auto"/>
                <w:spacing w:val="0"/>
                <w:highlight w:val="none"/>
                <w:lang w:val="zh-CN"/>
              </w:rPr>
              <w:t>处置量/（t/a）</w:t>
            </w:r>
          </w:p>
        </w:tc>
        <w:tc>
          <w:tcPr>
            <w:tcW w:w="1432" w:type="dxa"/>
            <w:vMerge w:val="continue"/>
            <w:tcBorders>
              <w:lef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lang w:val="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439" w:type="dxa"/>
            <w:tcBorders>
              <w:righ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lang w:val="zh-CN"/>
              </w:rPr>
            </w:pPr>
            <w:r>
              <w:rPr>
                <w:rFonts w:hint="default" w:ascii="Times New Roman" w:hAnsi="Times New Roman" w:cs="Times New Roman" w:eastAsiaTheme="minorEastAsia"/>
                <w:color w:val="auto"/>
                <w:spacing w:val="0"/>
                <w:highlight w:val="none"/>
                <w:lang w:val="zh-CN"/>
              </w:rPr>
              <w:t>1</w:t>
            </w:r>
          </w:p>
        </w:tc>
        <w:tc>
          <w:tcPr>
            <w:tcW w:w="667" w:type="dxa"/>
            <w:tcBorders>
              <w:lef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lang w:val="zh-CN"/>
              </w:rPr>
            </w:pPr>
            <w:r>
              <w:rPr>
                <w:rFonts w:hint="default" w:ascii="Times New Roman" w:hAnsi="Times New Roman" w:cs="Times New Roman" w:eastAsiaTheme="minorEastAsia"/>
                <w:color w:val="auto"/>
                <w:spacing w:val="0"/>
                <w:highlight w:val="none"/>
                <w:lang w:val="zh-CN"/>
              </w:rPr>
              <w:t>牛舍</w:t>
            </w:r>
          </w:p>
        </w:tc>
        <w:tc>
          <w:tcPr>
            <w:tcW w:w="1129" w:type="dxa"/>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牛粪污</w:t>
            </w:r>
          </w:p>
        </w:tc>
        <w:tc>
          <w:tcPr>
            <w:tcW w:w="992" w:type="dxa"/>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lang w:val="zh-CN"/>
              </w:rPr>
              <w:t>一般固废</w:t>
            </w:r>
          </w:p>
        </w:tc>
        <w:tc>
          <w:tcPr>
            <w:tcW w:w="709" w:type="dxa"/>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产污系数</w:t>
            </w:r>
          </w:p>
        </w:tc>
        <w:tc>
          <w:tcPr>
            <w:tcW w:w="850" w:type="dxa"/>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9855</w:t>
            </w:r>
          </w:p>
        </w:tc>
        <w:tc>
          <w:tcPr>
            <w:tcW w:w="1985" w:type="dxa"/>
            <w:tcBorders>
              <w:righ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采用干清粪工艺，运至固液分离间暂存，定期外运处置。</w:t>
            </w:r>
          </w:p>
        </w:tc>
        <w:tc>
          <w:tcPr>
            <w:tcW w:w="851" w:type="dxa"/>
            <w:tcBorders>
              <w:left w:val="single" w:color="auto" w:sz="2" w:space="0"/>
              <w:righ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9855</w:t>
            </w:r>
          </w:p>
        </w:tc>
        <w:tc>
          <w:tcPr>
            <w:tcW w:w="1432" w:type="dxa"/>
            <w:tcBorders>
              <w:lef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外委安达市瑞合玉米种植专业合作社堆肥还田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439" w:type="dxa"/>
            <w:tcBorders>
              <w:righ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lang w:val="zh-CN"/>
              </w:rPr>
            </w:pPr>
            <w:r>
              <w:rPr>
                <w:rFonts w:hint="default" w:ascii="Times New Roman" w:hAnsi="Times New Roman" w:cs="Times New Roman" w:eastAsiaTheme="minorEastAsia"/>
                <w:color w:val="auto"/>
                <w:spacing w:val="0"/>
                <w:highlight w:val="none"/>
                <w:lang w:val="zh-CN"/>
              </w:rPr>
              <w:t>2</w:t>
            </w:r>
          </w:p>
        </w:tc>
        <w:tc>
          <w:tcPr>
            <w:tcW w:w="667" w:type="dxa"/>
            <w:tcBorders>
              <w:lef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lang w:val="zh-CN"/>
              </w:rPr>
            </w:pPr>
            <w:r>
              <w:rPr>
                <w:rFonts w:hint="default" w:ascii="Times New Roman" w:hAnsi="Times New Roman" w:cs="Times New Roman" w:eastAsiaTheme="minorEastAsia"/>
                <w:color w:val="auto"/>
                <w:spacing w:val="0"/>
                <w:highlight w:val="none"/>
                <w:lang w:val="zh-CN"/>
              </w:rPr>
              <w:t>牛舍</w:t>
            </w:r>
          </w:p>
        </w:tc>
        <w:tc>
          <w:tcPr>
            <w:tcW w:w="1129" w:type="dxa"/>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病死牛、胎盘</w:t>
            </w:r>
          </w:p>
        </w:tc>
        <w:tc>
          <w:tcPr>
            <w:tcW w:w="992" w:type="dxa"/>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一般固废</w:t>
            </w:r>
          </w:p>
        </w:tc>
        <w:tc>
          <w:tcPr>
            <w:tcW w:w="709" w:type="dxa"/>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产污系数</w:t>
            </w:r>
          </w:p>
        </w:tc>
        <w:tc>
          <w:tcPr>
            <w:tcW w:w="850" w:type="dxa"/>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4.827</w:t>
            </w:r>
          </w:p>
        </w:tc>
        <w:tc>
          <w:tcPr>
            <w:tcW w:w="1985" w:type="dxa"/>
            <w:tcBorders>
              <w:righ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病死牛暂存间暂存</w:t>
            </w:r>
          </w:p>
        </w:tc>
        <w:tc>
          <w:tcPr>
            <w:tcW w:w="851" w:type="dxa"/>
            <w:tcBorders>
              <w:left w:val="single" w:color="auto" w:sz="2" w:space="0"/>
              <w:righ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4.827</w:t>
            </w:r>
          </w:p>
        </w:tc>
        <w:tc>
          <w:tcPr>
            <w:tcW w:w="1432" w:type="dxa"/>
            <w:tcBorders>
              <w:lef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外委安达市题桥环保科技有限公司安全处置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39" w:type="dxa"/>
            <w:tcBorders>
              <w:righ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lang w:val="zh-CN"/>
              </w:rPr>
            </w:pPr>
            <w:r>
              <w:rPr>
                <w:rFonts w:hint="default" w:ascii="Times New Roman" w:hAnsi="Times New Roman" w:cs="Times New Roman" w:eastAsiaTheme="minorEastAsia"/>
                <w:color w:val="auto"/>
                <w:spacing w:val="0"/>
                <w:highlight w:val="none"/>
                <w:lang w:val="zh-CN"/>
              </w:rPr>
              <w:t>3</w:t>
            </w:r>
          </w:p>
        </w:tc>
        <w:tc>
          <w:tcPr>
            <w:tcW w:w="667" w:type="dxa"/>
            <w:tcBorders>
              <w:lef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lang w:val="zh-CN"/>
              </w:rPr>
            </w:pPr>
            <w:r>
              <w:rPr>
                <w:rFonts w:hint="default" w:ascii="Times New Roman" w:hAnsi="Times New Roman" w:cs="Times New Roman" w:eastAsiaTheme="minorEastAsia"/>
                <w:color w:val="auto"/>
                <w:spacing w:val="0"/>
                <w:highlight w:val="none"/>
                <w:lang w:val="zh-CN"/>
              </w:rPr>
              <w:t>脱硫</w:t>
            </w:r>
          </w:p>
        </w:tc>
        <w:tc>
          <w:tcPr>
            <w:tcW w:w="1129" w:type="dxa"/>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废沼气脱硫剂</w:t>
            </w:r>
          </w:p>
        </w:tc>
        <w:tc>
          <w:tcPr>
            <w:tcW w:w="992" w:type="dxa"/>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一般固废</w:t>
            </w:r>
          </w:p>
        </w:tc>
        <w:tc>
          <w:tcPr>
            <w:tcW w:w="709" w:type="dxa"/>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物料衡算法</w:t>
            </w:r>
          </w:p>
        </w:tc>
        <w:tc>
          <w:tcPr>
            <w:tcW w:w="850" w:type="dxa"/>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0.5</w:t>
            </w:r>
          </w:p>
        </w:tc>
        <w:tc>
          <w:tcPr>
            <w:tcW w:w="1985" w:type="dxa"/>
            <w:tcBorders>
              <w:righ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厂家回收</w:t>
            </w:r>
          </w:p>
        </w:tc>
        <w:tc>
          <w:tcPr>
            <w:tcW w:w="851" w:type="dxa"/>
            <w:tcBorders>
              <w:left w:val="single" w:color="auto" w:sz="2" w:space="0"/>
              <w:righ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0.5</w:t>
            </w:r>
          </w:p>
        </w:tc>
        <w:tc>
          <w:tcPr>
            <w:tcW w:w="1432" w:type="dxa"/>
            <w:tcBorders>
              <w:lef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439" w:type="dxa"/>
            <w:tcBorders>
              <w:righ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4</w:t>
            </w:r>
          </w:p>
        </w:tc>
        <w:tc>
          <w:tcPr>
            <w:tcW w:w="667" w:type="dxa"/>
            <w:tcBorders>
              <w:lef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黑膜沼气池</w:t>
            </w:r>
          </w:p>
        </w:tc>
        <w:tc>
          <w:tcPr>
            <w:tcW w:w="1129" w:type="dxa"/>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沼渣</w:t>
            </w:r>
          </w:p>
        </w:tc>
        <w:tc>
          <w:tcPr>
            <w:tcW w:w="992" w:type="dxa"/>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一般固废</w:t>
            </w:r>
          </w:p>
        </w:tc>
        <w:tc>
          <w:tcPr>
            <w:tcW w:w="709" w:type="dxa"/>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产污系数法</w:t>
            </w:r>
          </w:p>
        </w:tc>
        <w:tc>
          <w:tcPr>
            <w:tcW w:w="850" w:type="dxa"/>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396.8</w:t>
            </w:r>
          </w:p>
        </w:tc>
        <w:tc>
          <w:tcPr>
            <w:tcW w:w="1985" w:type="dxa"/>
            <w:tcBorders>
              <w:righ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集中收集</w:t>
            </w:r>
          </w:p>
        </w:tc>
        <w:tc>
          <w:tcPr>
            <w:tcW w:w="851" w:type="dxa"/>
            <w:tcBorders>
              <w:left w:val="single" w:color="auto" w:sz="2" w:space="0"/>
              <w:righ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396.8</w:t>
            </w:r>
          </w:p>
        </w:tc>
        <w:tc>
          <w:tcPr>
            <w:tcW w:w="1432" w:type="dxa"/>
            <w:tcBorders>
              <w:lef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外委安达市瑞合玉米种植专业合作社堆肥还田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39" w:type="dxa"/>
            <w:tcBorders>
              <w:righ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5</w:t>
            </w:r>
          </w:p>
        </w:tc>
        <w:tc>
          <w:tcPr>
            <w:tcW w:w="667" w:type="dxa"/>
            <w:tcBorders>
              <w:lef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牛舍</w:t>
            </w:r>
          </w:p>
        </w:tc>
        <w:tc>
          <w:tcPr>
            <w:tcW w:w="1129" w:type="dxa"/>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卧床垫料废物</w:t>
            </w:r>
          </w:p>
        </w:tc>
        <w:tc>
          <w:tcPr>
            <w:tcW w:w="992" w:type="dxa"/>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一般固废</w:t>
            </w:r>
          </w:p>
        </w:tc>
        <w:tc>
          <w:tcPr>
            <w:tcW w:w="709" w:type="dxa"/>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产污系数法</w:t>
            </w:r>
          </w:p>
        </w:tc>
        <w:tc>
          <w:tcPr>
            <w:tcW w:w="850" w:type="dxa"/>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10000</w:t>
            </w:r>
          </w:p>
        </w:tc>
        <w:tc>
          <w:tcPr>
            <w:tcW w:w="1985" w:type="dxa"/>
            <w:tcBorders>
              <w:righ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集中收集</w:t>
            </w:r>
          </w:p>
        </w:tc>
        <w:tc>
          <w:tcPr>
            <w:tcW w:w="851" w:type="dxa"/>
            <w:tcBorders>
              <w:left w:val="single" w:color="auto" w:sz="2" w:space="0"/>
              <w:righ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10000</w:t>
            </w:r>
          </w:p>
        </w:tc>
        <w:tc>
          <w:tcPr>
            <w:tcW w:w="1432" w:type="dxa"/>
            <w:tcBorders>
              <w:lef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定期还田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439" w:type="dxa"/>
            <w:tcBorders>
              <w:righ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6</w:t>
            </w:r>
          </w:p>
        </w:tc>
        <w:tc>
          <w:tcPr>
            <w:tcW w:w="667" w:type="dxa"/>
            <w:tcBorders>
              <w:lef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办公</w:t>
            </w:r>
          </w:p>
        </w:tc>
        <w:tc>
          <w:tcPr>
            <w:tcW w:w="1129" w:type="dxa"/>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生活垃圾</w:t>
            </w:r>
          </w:p>
        </w:tc>
        <w:tc>
          <w:tcPr>
            <w:tcW w:w="992" w:type="dxa"/>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一般固废</w:t>
            </w:r>
          </w:p>
        </w:tc>
        <w:tc>
          <w:tcPr>
            <w:tcW w:w="709" w:type="dxa"/>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产污系数法</w:t>
            </w:r>
          </w:p>
        </w:tc>
        <w:tc>
          <w:tcPr>
            <w:tcW w:w="850" w:type="dxa"/>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3.65</w:t>
            </w:r>
          </w:p>
        </w:tc>
        <w:tc>
          <w:tcPr>
            <w:tcW w:w="1985" w:type="dxa"/>
            <w:tcBorders>
              <w:righ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集中收集</w:t>
            </w:r>
          </w:p>
        </w:tc>
        <w:tc>
          <w:tcPr>
            <w:tcW w:w="851" w:type="dxa"/>
            <w:tcBorders>
              <w:left w:val="single" w:color="auto" w:sz="2" w:space="0"/>
              <w:righ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3.65</w:t>
            </w:r>
          </w:p>
        </w:tc>
        <w:tc>
          <w:tcPr>
            <w:tcW w:w="1432" w:type="dxa"/>
            <w:tcBorders>
              <w:lef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由建设单位负责拉运至先源垃圾收集点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39" w:type="dxa"/>
            <w:tcBorders>
              <w:righ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lang w:val="en-US" w:eastAsia="zh-CN"/>
              </w:rPr>
            </w:pPr>
            <w:r>
              <w:rPr>
                <w:rFonts w:hint="default" w:ascii="Times New Roman" w:hAnsi="Times New Roman" w:cs="Times New Roman" w:eastAsiaTheme="minorEastAsia"/>
                <w:color w:val="auto"/>
                <w:spacing w:val="0"/>
                <w:highlight w:val="none"/>
                <w:lang w:val="en-US" w:eastAsia="zh-CN"/>
              </w:rPr>
              <w:t>7</w:t>
            </w:r>
          </w:p>
        </w:tc>
        <w:tc>
          <w:tcPr>
            <w:tcW w:w="667" w:type="dxa"/>
            <w:tcBorders>
              <w:lef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lang w:eastAsia="zh-CN"/>
              </w:rPr>
            </w:pPr>
            <w:r>
              <w:rPr>
                <w:rFonts w:hint="default" w:ascii="Times New Roman" w:hAnsi="Times New Roman" w:cs="Times New Roman" w:eastAsiaTheme="minorEastAsia"/>
                <w:color w:val="auto"/>
                <w:spacing w:val="0"/>
                <w:highlight w:val="none"/>
                <w:lang w:eastAsia="zh-CN"/>
              </w:rPr>
              <w:t>固液分离间</w:t>
            </w:r>
          </w:p>
        </w:tc>
        <w:tc>
          <w:tcPr>
            <w:tcW w:w="1129" w:type="dxa"/>
            <w:vAlign w:val="center"/>
          </w:tcPr>
          <w:p>
            <w:pPr>
              <w:pStyle w:val="666"/>
              <w:spacing w:line="260" w:lineRule="exact"/>
              <w:rPr>
                <w:rFonts w:hint="default" w:ascii="Times New Roman" w:hAnsi="Times New Roman" w:cs="Times New Roman" w:eastAsiaTheme="minorEastAsia"/>
                <w:color w:val="auto"/>
                <w:spacing w:val="0"/>
                <w:highlight w:val="none"/>
                <w:lang w:eastAsia="zh-CN"/>
              </w:rPr>
            </w:pPr>
            <w:r>
              <w:rPr>
                <w:rFonts w:hint="default" w:ascii="Times New Roman" w:hAnsi="Times New Roman" w:cs="Times New Roman" w:eastAsiaTheme="minorEastAsia"/>
                <w:color w:val="auto"/>
                <w:spacing w:val="0"/>
                <w:highlight w:val="none"/>
                <w:lang w:eastAsia="zh-CN"/>
              </w:rPr>
              <w:t>废活性炭</w:t>
            </w:r>
          </w:p>
        </w:tc>
        <w:tc>
          <w:tcPr>
            <w:tcW w:w="992" w:type="dxa"/>
            <w:vAlign w:val="center"/>
          </w:tcPr>
          <w:p>
            <w:pPr>
              <w:pStyle w:val="666"/>
              <w:spacing w:line="260" w:lineRule="exact"/>
              <w:rPr>
                <w:rFonts w:hint="default" w:ascii="Times New Roman" w:hAnsi="Times New Roman" w:cs="Times New Roman" w:eastAsiaTheme="minorEastAsia"/>
                <w:color w:val="auto"/>
                <w:spacing w:val="0"/>
                <w:highlight w:val="none"/>
                <w:lang w:eastAsia="zh-CN"/>
              </w:rPr>
            </w:pPr>
            <w:r>
              <w:rPr>
                <w:rFonts w:hint="default" w:ascii="Times New Roman" w:hAnsi="Times New Roman" w:cs="Times New Roman" w:eastAsiaTheme="minorEastAsia"/>
                <w:color w:val="auto"/>
                <w:spacing w:val="0"/>
                <w:highlight w:val="none"/>
                <w:lang w:eastAsia="zh-CN"/>
              </w:rPr>
              <w:t>一般固废</w:t>
            </w:r>
          </w:p>
        </w:tc>
        <w:tc>
          <w:tcPr>
            <w:tcW w:w="709" w:type="dxa"/>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产污系数法</w:t>
            </w:r>
          </w:p>
        </w:tc>
        <w:tc>
          <w:tcPr>
            <w:tcW w:w="850" w:type="dxa"/>
            <w:vAlign w:val="center"/>
          </w:tcPr>
          <w:p>
            <w:pPr>
              <w:pStyle w:val="666"/>
              <w:spacing w:line="260" w:lineRule="exact"/>
              <w:rPr>
                <w:rFonts w:hint="default" w:ascii="Times New Roman" w:hAnsi="Times New Roman" w:cs="Times New Roman" w:eastAsiaTheme="minorEastAsia"/>
                <w:color w:val="auto"/>
                <w:spacing w:val="0"/>
                <w:highlight w:val="none"/>
                <w:lang w:val="en-US" w:eastAsia="zh-CN"/>
              </w:rPr>
            </w:pPr>
            <w:r>
              <w:rPr>
                <w:rFonts w:hint="default" w:ascii="Times New Roman" w:hAnsi="Times New Roman" w:cs="Times New Roman" w:eastAsiaTheme="minorEastAsia"/>
                <w:color w:val="auto"/>
                <w:spacing w:val="0"/>
                <w:highlight w:val="none"/>
                <w:lang w:val="en-US" w:eastAsia="zh-CN"/>
              </w:rPr>
              <w:t>1</w:t>
            </w:r>
          </w:p>
        </w:tc>
        <w:tc>
          <w:tcPr>
            <w:tcW w:w="1985" w:type="dxa"/>
            <w:tcBorders>
              <w:righ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lang w:eastAsia="zh-CN"/>
              </w:rPr>
            </w:pPr>
            <w:r>
              <w:rPr>
                <w:rFonts w:hint="default" w:ascii="Times New Roman" w:hAnsi="Times New Roman" w:cs="Times New Roman" w:eastAsiaTheme="minorEastAsia"/>
                <w:color w:val="auto"/>
                <w:spacing w:val="0"/>
                <w:highlight w:val="none"/>
                <w:lang w:eastAsia="zh-CN"/>
              </w:rPr>
              <w:t>厂家回收</w:t>
            </w:r>
          </w:p>
        </w:tc>
        <w:tc>
          <w:tcPr>
            <w:tcW w:w="851" w:type="dxa"/>
            <w:tcBorders>
              <w:left w:val="single" w:color="auto" w:sz="2" w:space="0"/>
              <w:righ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lang w:val="en-US" w:eastAsia="zh-CN"/>
              </w:rPr>
            </w:pPr>
            <w:r>
              <w:rPr>
                <w:rFonts w:hint="default" w:ascii="Times New Roman" w:hAnsi="Times New Roman" w:cs="Times New Roman" w:eastAsiaTheme="minorEastAsia"/>
                <w:color w:val="auto"/>
                <w:spacing w:val="0"/>
                <w:highlight w:val="none"/>
                <w:lang w:val="en-US" w:eastAsia="zh-CN"/>
              </w:rPr>
              <w:t>1</w:t>
            </w:r>
          </w:p>
        </w:tc>
        <w:tc>
          <w:tcPr>
            <w:tcW w:w="1432" w:type="dxa"/>
            <w:tcBorders>
              <w:lef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lang w:eastAsia="zh-CN"/>
              </w:rPr>
            </w:pPr>
            <w:r>
              <w:rPr>
                <w:rFonts w:hint="default" w:ascii="Times New Roman" w:hAnsi="Times New Roman" w:cs="Times New Roman" w:eastAsiaTheme="minorEastAsia"/>
                <w:color w:val="auto"/>
                <w:spacing w:val="0"/>
                <w:highlight w:val="none"/>
                <w:lang w:eastAsia="zh-CN"/>
              </w:rPr>
              <w:t>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39" w:type="dxa"/>
            <w:tcBorders>
              <w:righ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lang w:eastAsia="zh-CN"/>
              </w:rPr>
            </w:pPr>
            <w:r>
              <w:rPr>
                <w:rFonts w:hint="default" w:ascii="Times New Roman" w:hAnsi="Times New Roman" w:cs="Times New Roman" w:eastAsiaTheme="minorEastAsia"/>
                <w:color w:val="auto"/>
                <w:spacing w:val="0"/>
                <w:highlight w:val="none"/>
                <w:lang w:val="en-US" w:eastAsia="zh-CN"/>
              </w:rPr>
              <w:t>8</w:t>
            </w:r>
          </w:p>
        </w:tc>
        <w:tc>
          <w:tcPr>
            <w:tcW w:w="667" w:type="dxa"/>
            <w:tcBorders>
              <w:lef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预防疾病</w:t>
            </w:r>
          </w:p>
        </w:tc>
        <w:tc>
          <w:tcPr>
            <w:tcW w:w="1129" w:type="dxa"/>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医疗废物</w:t>
            </w:r>
          </w:p>
        </w:tc>
        <w:tc>
          <w:tcPr>
            <w:tcW w:w="992" w:type="dxa"/>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危险废物</w:t>
            </w:r>
          </w:p>
        </w:tc>
        <w:tc>
          <w:tcPr>
            <w:tcW w:w="709" w:type="dxa"/>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物料衡算法</w:t>
            </w:r>
          </w:p>
        </w:tc>
        <w:tc>
          <w:tcPr>
            <w:tcW w:w="850" w:type="dxa"/>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0.023</w:t>
            </w:r>
          </w:p>
        </w:tc>
        <w:tc>
          <w:tcPr>
            <w:tcW w:w="1985" w:type="dxa"/>
            <w:tcBorders>
              <w:righ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厂区危废暂存间暂存</w:t>
            </w:r>
          </w:p>
        </w:tc>
        <w:tc>
          <w:tcPr>
            <w:tcW w:w="851" w:type="dxa"/>
            <w:tcBorders>
              <w:left w:val="single" w:color="auto" w:sz="2" w:space="0"/>
              <w:righ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0.023</w:t>
            </w:r>
          </w:p>
        </w:tc>
        <w:tc>
          <w:tcPr>
            <w:tcW w:w="1432" w:type="dxa"/>
            <w:tcBorders>
              <w:left w:val="single" w:color="auto" w:sz="2" w:space="0"/>
            </w:tcBorders>
            <w:vAlign w:val="center"/>
          </w:tcPr>
          <w:p>
            <w:pPr>
              <w:pStyle w:val="666"/>
              <w:spacing w:line="260" w:lineRule="exact"/>
              <w:rPr>
                <w:rFonts w:hint="default" w:ascii="Times New Roman" w:hAnsi="Times New Roman" w:cs="Times New Roman" w:eastAsiaTheme="minorEastAsia"/>
                <w:color w:val="auto"/>
                <w:spacing w:val="0"/>
                <w:highlight w:val="none"/>
              </w:rPr>
            </w:pPr>
            <w:r>
              <w:rPr>
                <w:rFonts w:hint="default" w:ascii="Times New Roman" w:hAnsi="Times New Roman" w:cs="Times New Roman" w:eastAsiaTheme="minorEastAsia"/>
                <w:color w:val="auto"/>
                <w:spacing w:val="0"/>
                <w:highlight w:val="none"/>
              </w:rPr>
              <w:t>委托有资质的单位处置处理</w:t>
            </w:r>
          </w:p>
        </w:tc>
      </w:tr>
    </w:tbl>
    <w:p>
      <w:pPr>
        <w:pStyle w:val="1921"/>
        <w:spacing w:line="560" w:lineRule="exact"/>
        <w:ind w:firstLine="562"/>
        <w:rPr>
          <w:rFonts w:hint="default" w:ascii="Times New Roman" w:hAnsi="Times New Roman" w:cs="Times New Roman" w:eastAsiaTheme="minorEastAsia"/>
          <w:b/>
          <w:bCs/>
          <w:color w:val="auto"/>
          <w:szCs w:val="28"/>
          <w:highlight w:val="none"/>
        </w:rPr>
        <w:sectPr>
          <w:footerReference r:id="rId28" w:type="default"/>
          <w:pgSz w:w="12240" w:h="15840"/>
          <w:pgMar w:top="1701" w:right="1701" w:bottom="1474" w:left="1701" w:header="1134" w:footer="1134" w:gutter="0"/>
          <w:pgBorders>
            <w:top w:val="none" w:sz="0" w:space="0"/>
            <w:left w:val="none" w:sz="0" w:space="0"/>
            <w:bottom w:val="none" w:sz="0" w:space="0"/>
            <w:right w:val="none" w:sz="0" w:space="0"/>
          </w:pgBorders>
          <w:cols w:space="720" w:num="1"/>
        </w:sectPr>
      </w:pP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表3-2-11本项目危险废物汇总表</w:t>
      </w:r>
    </w:p>
    <w:tbl>
      <w:tblPr>
        <w:tblStyle w:val="9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002"/>
        <w:gridCol w:w="864"/>
        <w:gridCol w:w="1418"/>
        <w:gridCol w:w="854"/>
        <w:gridCol w:w="1118"/>
        <w:gridCol w:w="1005"/>
        <w:gridCol w:w="1134"/>
        <w:gridCol w:w="1417"/>
        <w:gridCol w:w="851"/>
        <w:gridCol w:w="850"/>
        <w:gridCol w:w="17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58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序号</w:t>
            </w:r>
          </w:p>
        </w:tc>
        <w:tc>
          <w:tcPr>
            <w:tcW w:w="1002"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危险废物名称</w:t>
            </w:r>
          </w:p>
        </w:tc>
        <w:tc>
          <w:tcPr>
            <w:tcW w:w="864"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危险废物类别</w:t>
            </w:r>
          </w:p>
        </w:tc>
        <w:tc>
          <w:tcPr>
            <w:tcW w:w="141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危险废物</w:t>
            </w:r>
          </w:p>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代码</w:t>
            </w:r>
          </w:p>
        </w:tc>
        <w:tc>
          <w:tcPr>
            <w:tcW w:w="854"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产生量（t/a）</w:t>
            </w:r>
          </w:p>
        </w:tc>
        <w:tc>
          <w:tcPr>
            <w:tcW w:w="111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产生工序及装置</w:t>
            </w:r>
          </w:p>
        </w:tc>
        <w:tc>
          <w:tcPr>
            <w:tcW w:w="100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形态</w:t>
            </w:r>
          </w:p>
        </w:tc>
        <w:tc>
          <w:tcPr>
            <w:tcW w:w="1134"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主要成分</w:t>
            </w:r>
          </w:p>
        </w:tc>
        <w:tc>
          <w:tcPr>
            <w:tcW w:w="141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有害成分</w:t>
            </w:r>
          </w:p>
        </w:tc>
        <w:tc>
          <w:tcPr>
            <w:tcW w:w="8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产废周期</w:t>
            </w:r>
          </w:p>
        </w:tc>
        <w:tc>
          <w:tcPr>
            <w:tcW w:w="85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危险</w:t>
            </w:r>
          </w:p>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特性</w:t>
            </w:r>
          </w:p>
        </w:tc>
        <w:tc>
          <w:tcPr>
            <w:tcW w:w="170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5" w:hRule="atLeast"/>
          <w:jc w:val="center"/>
        </w:trPr>
        <w:tc>
          <w:tcPr>
            <w:tcW w:w="58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c>
          <w:tcPr>
            <w:tcW w:w="1002"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医疗废物</w:t>
            </w:r>
          </w:p>
        </w:tc>
        <w:tc>
          <w:tcPr>
            <w:tcW w:w="864"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HW01</w:t>
            </w:r>
          </w:p>
        </w:tc>
        <w:tc>
          <w:tcPr>
            <w:tcW w:w="141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841-001-01</w:t>
            </w:r>
          </w:p>
        </w:tc>
        <w:tc>
          <w:tcPr>
            <w:tcW w:w="854"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0.023</w:t>
            </w:r>
          </w:p>
        </w:tc>
        <w:tc>
          <w:tcPr>
            <w:tcW w:w="111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预防疾病</w:t>
            </w:r>
          </w:p>
        </w:tc>
        <w:tc>
          <w:tcPr>
            <w:tcW w:w="100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固体、液体</w:t>
            </w:r>
          </w:p>
        </w:tc>
        <w:tc>
          <w:tcPr>
            <w:tcW w:w="1134"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磺胺类、氯霉素药物</w:t>
            </w:r>
          </w:p>
        </w:tc>
        <w:tc>
          <w:tcPr>
            <w:tcW w:w="141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磺胺类、氯霉素药物</w:t>
            </w:r>
          </w:p>
        </w:tc>
        <w:tc>
          <w:tcPr>
            <w:tcW w:w="8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每月</w:t>
            </w:r>
          </w:p>
        </w:tc>
        <w:tc>
          <w:tcPr>
            <w:tcW w:w="85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In</w:t>
            </w:r>
          </w:p>
        </w:tc>
        <w:tc>
          <w:tcPr>
            <w:tcW w:w="170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lang w:val="en-GB"/>
                <w14:textFill>
                  <w14:solidFill>
                    <w14:schemeClr w14:val="tx1"/>
                  </w14:solidFill>
                </w14:textFill>
              </w:rPr>
              <w:t>密闭桶装，在危废暂存间内分区存放，定期送有资质单位安全处置，外运的危险废物需执行危险废物转移联单制度</w:t>
            </w:r>
          </w:p>
        </w:tc>
      </w:tr>
    </w:tbl>
    <w:p>
      <w:pPr>
        <w:pStyle w:val="666"/>
        <w:jc w:val="left"/>
        <w:rPr>
          <w:rFonts w:hint="default" w:ascii="Times New Roman" w:hAnsi="Times New Roman" w:cs="Times New Roman" w:eastAsiaTheme="minorEastAsia"/>
          <w:color w:val="000000" w:themeColor="text1"/>
          <w:lang w:val="zh-CN"/>
          <w14:textFill>
            <w14:solidFill>
              <w14:schemeClr w14:val="tx1"/>
            </w14:solidFill>
          </w14:textFill>
        </w:rPr>
      </w:pPr>
      <w:r>
        <w:rPr>
          <w:rFonts w:hint="default" w:ascii="Times New Roman" w:hAnsi="Times New Roman" w:cs="Times New Roman" w:eastAsiaTheme="minorEastAsia"/>
          <w:color w:val="000000" w:themeColor="text1"/>
          <w:lang w:val="zh-CN"/>
          <w14:textFill>
            <w14:solidFill>
              <w14:schemeClr w14:val="tx1"/>
            </w14:solidFill>
          </w14:textFill>
        </w:rPr>
        <w:t>注：危险特性中In代表感染性。</w:t>
      </w:r>
    </w:p>
    <w:p>
      <w:pPr>
        <w:pStyle w:val="1921"/>
        <w:spacing w:line="560" w:lineRule="exact"/>
        <w:ind w:firstLine="562"/>
        <w:rPr>
          <w:rFonts w:hint="default" w:ascii="Times New Roman" w:hAnsi="Times New Roman" w:cs="Times New Roman" w:eastAsiaTheme="minorEastAsia"/>
          <w:b/>
          <w:bCs/>
          <w:color w:val="000000" w:themeColor="text1"/>
          <w:szCs w:val="28"/>
          <w14:textFill>
            <w14:solidFill>
              <w14:schemeClr w14:val="tx1"/>
            </w14:solidFill>
          </w14:textFill>
        </w:rPr>
      </w:pPr>
    </w:p>
    <w:p>
      <w:pPr>
        <w:pStyle w:val="1921"/>
        <w:spacing w:line="560" w:lineRule="exact"/>
        <w:ind w:firstLine="560"/>
        <w:rPr>
          <w:rFonts w:hint="default" w:ascii="Times New Roman" w:hAnsi="Times New Roman" w:cs="Times New Roman" w:eastAsiaTheme="minorEastAsia"/>
          <w:b/>
          <w:bCs/>
          <w:color w:val="000000" w:themeColor="text1"/>
          <w:szCs w:val="28"/>
          <w14:textFill>
            <w14:solidFill>
              <w14:schemeClr w14:val="tx1"/>
            </w14:solidFill>
          </w14:textFill>
        </w:rPr>
        <w:sectPr>
          <w:footerReference r:id="rId29" w:type="default"/>
          <w:pgSz w:w="15840" w:h="12240" w:orient="landscape"/>
          <w:pgMar w:top="1701" w:right="1701" w:bottom="1701" w:left="1701" w:header="1134" w:footer="1134" w:gutter="0"/>
          <w:pgBorders>
            <w:top w:val="none" w:sz="0" w:space="0"/>
            <w:left w:val="none" w:sz="0" w:space="0"/>
            <w:bottom w:val="none" w:sz="0" w:space="0"/>
            <w:right w:val="none" w:sz="0" w:space="0"/>
          </w:pgBorders>
          <w:cols w:space="720" w:num="1"/>
        </w:sectPr>
      </w:pPr>
    </w:p>
    <w:p>
      <w:pPr>
        <w:pStyle w:val="1297"/>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3.2.3.5 环境风险</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本项目危险物质主要为甲烷，风险源主要包括黑膜沼气池。黑膜沼气池中沼气量按照液面距离池顶高度0.5m的区域的容积计算，容积为900m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，沼气中甲烷含量约为60%，甲烷密度为0.72kg/m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，因此黑膜沼气池中甲烷存在总量为0.39t。</w:t>
      </w:r>
    </w:p>
    <w:p>
      <w:pPr>
        <w:pStyle w:val="1297"/>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3.2.3.6 非正常工况</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（1）废水</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本项目固液分离间设备发生异常时非正常工况，会产生非正常工况废水，污水无法输送至黑膜沼气池，综合废水源强COD约4260mg/L，氨氮约2280mg/L。</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（2）地下水</w:t>
      </w:r>
    </w:p>
    <w:p>
      <w:pPr>
        <w:ind w:firstLine="560"/>
        <w:rPr>
          <w:rFonts w:hint="default" w:ascii="Times New Roman" w:hAnsi="Times New Roman" w:cs="Times New Roman" w:eastAsiaTheme="minorEastAsia"/>
          <w:color w:val="000000" w:themeColor="text1"/>
          <w:sz w:val="24"/>
          <w:szCs w:val="22"/>
          <w:highlight w:val="yellow"/>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本项目非正常工况为废水污染物浓度最高的单元为固液分离间渗漏污染地下水环境，根据《环境影响评价技术导则 地下水环境》（HJ610-2016），本项目非正常工况下渗滤液的渗漏量结合项目的工程分析和《给水排水构筑物施工及验收规范》（GB50141-2008）进行确定。</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本项目固液分离间内集污池40m</w:t>
      </w:r>
      <w:r>
        <w:rPr>
          <w:rFonts w:hint="default" w:ascii="Times New Roman" w:hAnsi="Times New Roman" w:cs="Times New Roman" w:eastAsiaTheme="minorEastAsia"/>
          <w:color w:val="auto"/>
          <w:sz w:val="24"/>
          <w:szCs w:val="22"/>
          <w:highlight w:val="none"/>
          <w:vertAlign w:val="superscript"/>
        </w:rPr>
        <w:t>2</w:t>
      </w:r>
      <w:r>
        <w:rPr>
          <w:rFonts w:hint="default" w:ascii="Times New Roman" w:hAnsi="Times New Roman" w:cs="Times New Roman" w:eastAsiaTheme="minorEastAsia"/>
          <w:color w:val="auto"/>
          <w:sz w:val="24"/>
          <w:szCs w:val="22"/>
          <w:highlight w:val="none"/>
        </w:rPr>
        <w:t>（5m×8m），平均每天收集废水量为21.74m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。固液分离间内集污池为钢筋混凝土水池（钢筋混凝土水池渗水量不得超过2L/m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·d），本项目渗水量按照2L/m</w:t>
      </w:r>
      <w:r>
        <w:rPr>
          <w:rFonts w:hint="default" w:ascii="Times New Roman" w:hAnsi="Times New Roman" w:cs="Times New Roman" w:eastAsiaTheme="minorEastAsia"/>
          <w:color w:val="auto"/>
          <w:sz w:val="24"/>
          <w:szCs w:val="22"/>
          <w:highlight w:val="none"/>
          <w:vertAlign w:val="superscript"/>
        </w:rPr>
        <w:t>2</w:t>
      </w:r>
      <w:r>
        <w:rPr>
          <w:rFonts w:hint="default" w:ascii="Times New Roman" w:hAnsi="Times New Roman" w:cs="Times New Roman" w:eastAsiaTheme="minorEastAsia"/>
          <w:color w:val="auto"/>
          <w:sz w:val="24"/>
          <w:szCs w:val="22"/>
          <w:highlight w:val="none"/>
        </w:rPr>
        <w:t>·d 进行计算，渗水面积40m</w:t>
      </w:r>
      <w:r>
        <w:rPr>
          <w:rFonts w:hint="default" w:ascii="Times New Roman" w:hAnsi="Times New Roman" w:cs="Times New Roman" w:eastAsiaTheme="minorEastAsia"/>
          <w:color w:val="auto"/>
          <w:sz w:val="24"/>
          <w:szCs w:val="22"/>
          <w:highlight w:val="none"/>
          <w:vertAlign w:val="superscript"/>
        </w:rPr>
        <w:t>2</w:t>
      </w:r>
      <w:r>
        <w:rPr>
          <w:rFonts w:hint="default" w:ascii="Times New Roman" w:hAnsi="Times New Roman" w:cs="Times New Roman" w:eastAsiaTheme="minorEastAsia"/>
          <w:color w:val="auto"/>
          <w:sz w:val="24"/>
          <w:szCs w:val="22"/>
          <w:highlight w:val="none"/>
        </w:rPr>
        <w:t>，则渗水量为0.08m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/d。非正常工况下，即集污池防渗层破裂或老化，防渗系数下降一个数量级，渗水量0.8m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/d。</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auto"/>
          <w:sz w:val="24"/>
          <w:szCs w:val="22"/>
          <w:highlight w:val="none"/>
        </w:rPr>
        <w:t>本项目废水成分简单，影响地下水的主要污染物为COD</w:t>
      </w:r>
      <w:r>
        <w:rPr>
          <w:rFonts w:hint="default" w:ascii="Times New Roman" w:hAnsi="Times New Roman" w:cs="Times New Roman" w:eastAsiaTheme="minorEastAsia"/>
          <w:color w:val="000000" w:themeColor="text1"/>
          <w:sz w:val="24"/>
          <w:szCs w:val="22"/>
          <w14:textFill>
            <w14:solidFill>
              <w14:schemeClr w14:val="tx1"/>
            </w14:solidFill>
          </w14:textFill>
        </w:rPr>
        <w:t>、NH</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-N，各项污染物的标准指数见表3-2-12</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表3-2-12  地下水各项污染物的标准指数一览表（mg/L）</w:t>
      </w:r>
    </w:p>
    <w:tbl>
      <w:tblPr>
        <w:tblStyle w:val="9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517"/>
        <w:gridCol w:w="3328"/>
        <w:gridCol w:w="19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污染物名称</w:t>
            </w:r>
          </w:p>
        </w:tc>
        <w:tc>
          <w:tcPr>
            <w:tcW w:w="151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污染物浓度</w:t>
            </w:r>
          </w:p>
        </w:tc>
        <w:tc>
          <w:tcPr>
            <w:tcW w:w="3328" w:type="dxa"/>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GB/T14848-2017（III 类标准）</w:t>
            </w:r>
          </w:p>
        </w:tc>
        <w:tc>
          <w:tcPr>
            <w:tcW w:w="195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标准指数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702"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COD</w:t>
            </w:r>
          </w:p>
        </w:tc>
        <w:tc>
          <w:tcPr>
            <w:tcW w:w="1517"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16556</w:t>
            </w:r>
          </w:p>
        </w:tc>
        <w:tc>
          <w:tcPr>
            <w:tcW w:w="3328"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10（耗氧量折算值）</w:t>
            </w:r>
          </w:p>
        </w:tc>
        <w:tc>
          <w:tcPr>
            <w:tcW w:w="1958"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1655.6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702"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NH</w:t>
            </w:r>
            <w:r>
              <w:rPr>
                <w:rFonts w:hint="default" w:ascii="Times New Roman" w:hAnsi="Times New Roman" w:cs="Times New Roman" w:eastAsiaTheme="minorEastAsia"/>
                <w:color w:val="auto"/>
                <w:highlight w:val="none"/>
                <w:vertAlign w:val="subscript"/>
              </w:rPr>
              <w:t>3</w:t>
            </w:r>
            <w:r>
              <w:rPr>
                <w:rFonts w:hint="default" w:ascii="Times New Roman" w:hAnsi="Times New Roman" w:cs="Times New Roman" w:eastAsiaTheme="minorEastAsia"/>
                <w:color w:val="auto"/>
                <w:highlight w:val="none"/>
              </w:rPr>
              <w:t>-N</w:t>
            </w:r>
          </w:p>
        </w:tc>
        <w:tc>
          <w:tcPr>
            <w:tcW w:w="1517"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2380</w:t>
            </w:r>
          </w:p>
        </w:tc>
        <w:tc>
          <w:tcPr>
            <w:tcW w:w="3328"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0.5</w:t>
            </w:r>
          </w:p>
        </w:tc>
        <w:tc>
          <w:tcPr>
            <w:tcW w:w="1958" w:type="dxa"/>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4760</w:t>
            </w:r>
          </w:p>
        </w:tc>
      </w:tr>
    </w:tbl>
    <w:p>
      <w:pPr>
        <w:spacing w:line="500" w:lineRule="exact"/>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auto"/>
          <w:sz w:val="24"/>
          <w:szCs w:val="24"/>
          <w:highlight w:val="none"/>
        </w:rPr>
        <w:t>本项目选择氨氮作为预测因子，氨氮的渗漏量为0.024kg/d。</w:t>
      </w:r>
    </w:p>
    <w:p>
      <w:pPr>
        <w:pStyle w:val="639"/>
        <w:rPr>
          <w:rFonts w:hint="default" w:ascii="Times New Roman" w:hAnsi="Times New Roman" w:cs="Times New Roman" w:eastAsiaTheme="minorEastAsia"/>
          <w:b/>
          <w:bCs w:val="0"/>
          <w:color w:val="000000" w:themeColor="text1"/>
          <w:sz w:val="32"/>
          <w:szCs w:val="32"/>
          <w14:textFill>
            <w14:solidFill>
              <w14:schemeClr w14:val="tx1"/>
            </w14:solidFill>
          </w14:textFill>
        </w:rPr>
      </w:pPr>
      <w:bookmarkStart w:id="103" w:name="_Toc13178"/>
      <w:r>
        <w:rPr>
          <w:rFonts w:hint="default" w:ascii="Times New Roman" w:hAnsi="Times New Roman" w:cs="Times New Roman" w:eastAsiaTheme="minorEastAsia"/>
          <w:b/>
          <w:bCs w:val="0"/>
          <w:color w:val="000000" w:themeColor="text1"/>
          <w:sz w:val="32"/>
          <w:szCs w:val="32"/>
          <w14:textFill>
            <w14:solidFill>
              <w14:schemeClr w14:val="tx1"/>
            </w14:solidFill>
          </w14:textFill>
        </w:rPr>
        <w:t>3.3 清洁生产</w:t>
      </w:r>
      <w:bookmarkEnd w:id="103"/>
    </w:p>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bookmarkStart w:id="104" w:name="_Toc17898234"/>
      <w:bookmarkStart w:id="105" w:name="_Toc269147077"/>
      <w:bookmarkStart w:id="106" w:name="_Toc253118485"/>
      <w:bookmarkStart w:id="107" w:name="_Toc318886874"/>
      <w:bookmarkStart w:id="108" w:name="_Toc329335745"/>
      <w:r>
        <w:rPr>
          <w:rFonts w:hint="default" w:ascii="Times New Roman" w:hAnsi="Times New Roman" w:cs="Times New Roman" w:eastAsiaTheme="minorEastAsia"/>
          <w:color w:val="000000" w:themeColor="text1"/>
          <w:sz w:val="24"/>
          <w:szCs w:val="24"/>
          <w14:textFill>
            <w14:solidFill>
              <w14:schemeClr w14:val="tx1"/>
            </w14:solidFill>
          </w14:textFill>
        </w:rPr>
        <w:t>3.3.1 清洁生产概述</w:t>
      </w:r>
      <w:bookmarkEnd w:id="104"/>
      <w:bookmarkEnd w:id="105"/>
      <w:bookmarkEnd w:id="106"/>
      <w:bookmarkEnd w:id="107"/>
      <w:bookmarkEnd w:id="108"/>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清洁生产是由末端治理转向生产全过程控制的综合预防污染为目的的环境策略，是污染防治和环境管理的重要措施，是实现可持续发展的重要手段，是以节能、降耗、减污、减少工业企业生产对人类健康和环境的危害为主要目标，以改进技术、强化企事业管理为手段，通过产品的开发设计、原料的充分使用、良好的企业管理、合理的工艺流程、有效的物料循环以及综合利用等途径，实现工业生产中包括生产、产品和消费的全过程控制，使污染物的产生量和排放量最小化的一种综合性措施，其目的是使生产和消费过程中产生的废物资源化、减量化、无害化，从而使企业获得最大的环境效益和经济效益。</w:t>
      </w:r>
    </w:p>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bookmarkStart w:id="109" w:name="_Toc17898235"/>
      <w:bookmarkStart w:id="110" w:name="_Toc329335746"/>
      <w:bookmarkStart w:id="111" w:name="_Toc318886875"/>
      <w:r>
        <w:rPr>
          <w:rFonts w:hint="default" w:ascii="Times New Roman" w:hAnsi="Times New Roman" w:cs="Times New Roman" w:eastAsiaTheme="minorEastAsia"/>
          <w:color w:val="000000" w:themeColor="text1"/>
          <w:sz w:val="24"/>
          <w:szCs w:val="24"/>
          <w14:textFill>
            <w14:solidFill>
              <w14:schemeClr w14:val="tx1"/>
            </w14:solidFill>
          </w14:textFill>
        </w:rPr>
        <w:t>3.3.2 清洁生产的意义及思路</w:t>
      </w:r>
      <w:bookmarkEnd w:id="109"/>
      <w:bookmarkEnd w:id="110"/>
      <w:bookmarkEnd w:id="111"/>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根据企业的产污特点和实际运行情况，通过认真细致的分析，提出符合企业生产特点的清洁生产方案有利于企业在生产过程中降低能耗物耗，减少污染物的排放，对提高企业的经济效益，减轻末端治理的负荷和费用有着重要的意义。</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清洁生产是将可持续发展的思想应用于环境保护的一种整体预防的战略。它是以节能、降耗、减污为主要目标，以技术、管理为手段，通过产品的开发设计、原料的充分使用、良好的企业管理、合理的工艺流程、有效的物料循环以及综合利用等途径，实现工业生产中包括生产、产品和消费的全过程控制，使污染物的产生量和排放量最小化的一种综合性措施，其目的是使生产和消费过程产生的废物资源化、减量化、无害化，从而使企业获得最大的环境效益和经济效益。</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因此，清洁生产要求企业采用先进的生产工艺，提高生产管理水平及环境管理水平，把环境保护的着眼点从末端治理转移到生产工艺的全过程，采取工艺过程控制与末端治理相结合的污染防治措施。</w:t>
      </w:r>
    </w:p>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bookmarkStart w:id="112" w:name="_Toc17898236"/>
      <w:bookmarkStart w:id="113" w:name="_Toc329335747"/>
      <w:r>
        <w:rPr>
          <w:rFonts w:hint="default" w:ascii="Times New Roman" w:hAnsi="Times New Roman" w:cs="Times New Roman" w:eastAsiaTheme="minorEastAsia"/>
          <w:color w:val="000000" w:themeColor="text1"/>
          <w:sz w:val="24"/>
          <w:szCs w:val="24"/>
          <w14:textFill>
            <w14:solidFill>
              <w14:schemeClr w14:val="tx1"/>
            </w14:solidFill>
          </w14:textFill>
        </w:rPr>
        <w:t>3.3.3 清洁生产评价指标体系</w:t>
      </w:r>
      <w:bookmarkEnd w:id="112"/>
      <w:bookmarkEnd w:id="113"/>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国家已发布行业清洁生产规范性文件和相关技术指南的建设项目，应按所发布的规定内容和指标进行清洁生产水平分析，必要时提出进一步改进措施与建议。国家未发布行业清洁生产规范性文件和相关技术指南的建设项目，结合行业及工程特点，从资源能源利用、生产工艺与设备、生产过程、污染物产生、废物处理与综合利用、环境管理要求等方面确定清洁生产指标和展开评论。</w:t>
      </w:r>
    </w:p>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bookmarkStart w:id="114" w:name="_Toc17898237"/>
      <w:r>
        <w:rPr>
          <w:rFonts w:hint="default" w:ascii="Times New Roman" w:hAnsi="Times New Roman" w:cs="Times New Roman" w:eastAsiaTheme="minorEastAsia"/>
          <w:color w:val="000000" w:themeColor="text1"/>
          <w:sz w:val="24"/>
          <w:szCs w:val="24"/>
          <w14:textFill>
            <w14:solidFill>
              <w14:schemeClr w14:val="tx1"/>
            </w14:solidFill>
          </w14:textFill>
        </w:rPr>
        <w:t>3.3.4 清洁生产综合评价指标</w:t>
      </w:r>
      <w:bookmarkEnd w:id="114"/>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建设项目为奶牛养殖建设工程，国家尚未发布行业及相关类似行业的清洁生产规范性文件或相关技术指南。因此，建设项目清洁生产结合行业及工程特点，从养殖工艺与装备情况、资源能源利用情况、产品指标、污染物产生指标、废物处理与综合利用、环境管理等方面对本项目的清洁生产进行分析与评价。</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一、养殖工艺与装备</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选用清洁工艺、淘汰落后有毒有害原辅材料和落后的设备，是推行清洁生产的前提，因此，在清洁生产分析中，首先要对工艺技术来源和技术特点进行分析，说明其在同等技术中所占地位以及选用设备的先进性。对于一般建设项目，生产工艺与装备选取直接影响到该项目投入生产后，资源能源利用效率和废气物产生。因此装置规模、生产工艺与装备的先进性也可提现其在节能、减污、降耗等方面的清洁生产水平。</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1、基本要求</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（1）产业政策符合性分析：根据《产业结构调整指导目录（2019年本）》，本项目属于“第一类 鼓励类”中“一、农林业”、“4、畜禽标准化规模养殖技术开发与应用”，属于鼓励类项目，符合国家产业政策。</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原料质量与工艺要求符合性分析：本项目建设需要引进优质品种及配合优质成品饲料。由专人统一负责聘请畜牧专业人员从国内优质规范化养牛场引进，以确保牛的优良品种及优越品质。饲料择优从当地购置。</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2、先进的生产设备及工艺</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清粪采用干清粪工艺，采用机械清粪处理，实现日产日清，保持牛舍的干净清洁。建设项目所采用的工艺设备达到了目前国内较先进的水平，符合清洁生产要求。</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二、资源能源利用情况分析</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按着国家有关节能技术规定，设计中对养殖各工序分别采取了相应的节能措施。场区在设计过程中的主要节能措施如下所示。</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1、机电设备部分节能措施</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（1）设备选型力求与生产能力相匹配，以免造成设备的闲置与不必要的浪费。</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（2）电器设备均选用节能型设备，包括水泵、电机、灯具等，力求做到用电及电力系统合理匹配，从而降低能耗。</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（3）供热设备选用效率高、能耗低的设备。</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（4）加强设备综合管理，对水、电等原料的使用，严格计量，提高设备运营效率。</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2、建筑部分节能措施</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办公、门卫等属民用建筑类，设计严格按照《严寒和寒冷地区居住建筑节能设计标准》（JGJ26-2018）执行。</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3、其他节能措施</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（1）采用标准化牛舍，清洁环保。</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（2）采用先进的工艺和设备，完善工艺流程，保证设备在最佳负荷状态下工作，有利于降低能耗和生产成本。</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（3）按功能要求物料流向应有合理布置，减少物料往返次数及运输距离和成本费用，提高劳动效率。</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（4）场区内水泵设计尽量缩短距离，使损耗控制在合理范围内，力求节约能源。</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（5）确定经济合理的供水方案。在满足场区生产、生活用水要求的情况下，力求节约用水。</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（6）加强对生产各个环节水、电的计量，完善并提高企业的经营管理水平，以量化为依据，切实抓好能源的利用与管理。</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建设项目在能源方面较小型散养耗能较大，但从整体来看，单位产品的能耗却大大降低。因此，本项目在资源能源利用方面能够达到国内先进水平。</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三、产品指标分析</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建设项目年存栏1500只奶牛，饲喂优质的成品饲料，营养配比合理。</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四、污染物产生指标分析</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1、废水产生指标</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建设项目污水量为21.74t/d（7936.1t/a），经黑膜沼气池</w:t>
      </w:r>
      <w:r>
        <w:rPr>
          <w:rFonts w:hint="default" w:ascii="Times New Roman" w:hAnsi="Times New Roman" w:cs="Times New Roman" w:eastAsiaTheme="minorEastAsia"/>
          <w:color w:val="auto"/>
          <w:sz w:val="24"/>
          <w:szCs w:val="24"/>
          <w:highlight w:val="none"/>
        </w:rPr>
        <w:t>发酵后进入沼液储池，满足《畜禽粪便还田技术规范》（GB/T 25246-2010）表2卫生要求，定期还田</w:t>
      </w:r>
      <w:r>
        <w:rPr>
          <w:rFonts w:hint="default" w:ascii="Times New Roman" w:hAnsi="Times New Roman" w:cs="Times New Roman" w:eastAsiaTheme="minorEastAsia"/>
          <w:color w:val="auto"/>
          <w:sz w:val="24"/>
          <w:szCs w:val="22"/>
          <w:highlight w:val="none"/>
        </w:rPr>
        <w:t>。</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2、废气产生指标</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建设项目所产生的废气为饲料加工粉尘、沼气燃烧废气、牛舍、粪污处理区产生的臭气、生物质锅炉排放废气，废气经处理后满足排放标准排放。</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3、固体废物产生指标</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本项目产生牛粪污量为9855t/a，牛粪采用干清粪工艺，牛粪和固液分离后干物质外委安达市瑞合玉米种植专业合作社堆肥还田。固体废物处置率达到100%。</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综上所述，建设项目清洁生产在污染物产生方面可达到国内先进水平。</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五、废物处理与综合利用指标分析</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建设项目废水经黑膜沼气池发酵后定期还田；牛粪和固液分离后干物质外委安达市瑞合玉米种植专业合作社堆肥还田。固体废物处置率达到100%。</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六、环境管理分析</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建设项目各生产环节均符合国家和地方有关法律、法规，污染物排放达到国家、地方和行业现行排放标准、总量控制和排放许可证要求；养殖废物进行无害化处理；养殖过程进行严格的管理，各岗位需进行清洁生产相关内容的培训，完善管理制度并严格执行，规定严格的检验、计量措施、统计原始记录；为了环境保护的目的，对本项目施工期间和运营期，对于原料供应商、生产协作方等相关方的行为提出相应的环保要求，明确各自环境管理程序。</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七、清洁生产指标综合分析</w:t>
      </w:r>
    </w:p>
    <w:p>
      <w:pPr>
        <w:ind w:firstLine="56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建设项目各清洁生产指标及现状见表3-3-1。</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表3-3-1  清洁生产指标综合分析</w:t>
      </w:r>
    </w:p>
    <w:tbl>
      <w:tblPr>
        <w:tblStyle w:val="9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770"/>
        <w:gridCol w:w="4215"/>
        <w:gridCol w:w="230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清洁生产类别</w:t>
            </w:r>
          </w:p>
        </w:tc>
        <w:tc>
          <w:tcPr>
            <w:tcW w:w="421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清洁生产现状</w:t>
            </w:r>
          </w:p>
        </w:tc>
        <w:tc>
          <w:tcPr>
            <w:tcW w:w="230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清洁生产指标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养殖工艺与装备情况</w:t>
            </w:r>
          </w:p>
        </w:tc>
        <w:tc>
          <w:tcPr>
            <w:tcW w:w="421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大多选择国际先进高端设备与工艺</w:t>
            </w:r>
          </w:p>
        </w:tc>
        <w:tc>
          <w:tcPr>
            <w:tcW w:w="230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国际先进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资源能源利用情况</w:t>
            </w:r>
          </w:p>
        </w:tc>
        <w:tc>
          <w:tcPr>
            <w:tcW w:w="421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大规模标准化养殖、自动化程度较高，资源能源得到充分的利用</w:t>
            </w:r>
          </w:p>
        </w:tc>
        <w:tc>
          <w:tcPr>
            <w:tcW w:w="230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国内先进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产品指标</w:t>
            </w:r>
          </w:p>
        </w:tc>
        <w:tc>
          <w:tcPr>
            <w:tcW w:w="421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统一国际化标准</w:t>
            </w:r>
          </w:p>
        </w:tc>
        <w:tc>
          <w:tcPr>
            <w:tcW w:w="230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国际先进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污染物产生指标</w:t>
            </w:r>
          </w:p>
        </w:tc>
        <w:tc>
          <w:tcPr>
            <w:tcW w:w="421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污染物产生量均低于控制标准</w:t>
            </w:r>
          </w:p>
        </w:tc>
        <w:tc>
          <w:tcPr>
            <w:tcW w:w="230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国内先进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废物处理与综合利用</w:t>
            </w:r>
          </w:p>
        </w:tc>
        <w:tc>
          <w:tcPr>
            <w:tcW w:w="421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废水经无害化处置</w:t>
            </w:r>
          </w:p>
        </w:tc>
        <w:tc>
          <w:tcPr>
            <w:tcW w:w="230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国内先进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环境管理</w:t>
            </w:r>
          </w:p>
        </w:tc>
        <w:tc>
          <w:tcPr>
            <w:tcW w:w="421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严格执行各项法律法规、规章制度及环境审核机制，在生产过程中严于管理</w:t>
            </w:r>
          </w:p>
        </w:tc>
        <w:tc>
          <w:tcPr>
            <w:tcW w:w="230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国际先进</w:t>
            </w:r>
          </w:p>
        </w:tc>
      </w:tr>
    </w:tbl>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由上表可知，本项目大部分清洁生产指标均已达到国内先进水平，养殖工艺与装备、部分产品指标已达国际先进水平。</w:t>
      </w:r>
    </w:p>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bookmarkStart w:id="115" w:name="_Toc17898238"/>
      <w:r>
        <w:rPr>
          <w:rFonts w:hint="default" w:ascii="Times New Roman" w:hAnsi="Times New Roman" w:cs="Times New Roman" w:eastAsiaTheme="minorEastAsia"/>
          <w:color w:val="000000" w:themeColor="text1"/>
          <w:sz w:val="24"/>
          <w:szCs w:val="24"/>
          <w14:textFill>
            <w14:solidFill>
              <w14:schemeClr w14:val="tx1"/>
            </w14:solidFill>
          </w14:textFill>
        </w:rPr>
        <w:t>3.3.5 清洁生产分析结论</w:t>
      </w:r>
      <w:bookmarkEnd w:id="115"/>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sectPr>
          <w:footerReference r:id="rId30" w:type="default"/>
          <w:pgSz w:w="12240" w:h="15840"/>
          <w:pgMar w:top="1701" w:right="1701" w:bottom="1474" w:left="1701" w:header="1134" w:footer="1134" w:gutter="0"/>
          <w:pgBorders>
            <w:top w:val="none" w:sz="0" w:space="0"/>
            <w:left w:val="none" w:sz="0" w:space="0"/>
            <w:bottom w:val="none" w:sz="0" w:space="0"/>
            <w:right w:val="none" w:sz="0" w:space="0"/>
          </w:pgBorders>
          <w:cols w:space="720" w:num="1"/>
        </w:sectPr>
      </w:pPr>
      <w:r>
        <w:rPr>
          <w:rFonts w:hint="default" w:ascii="Times New Roman" w:hAnsi="Times New Roman" w:cs="Times New Roman" w:eastAsiaTheme="minorEastAsia"/>
          <w:color w:val="000000" w:themeColor="text1"/>
          <w:sz w:val="24"/>
          <w:szCs w:val="22"/>
          <w14:textFill>
            <w14:solidFill>
              <w14:schemeClr w14:val="tx1"/>
            </w14:solidFill>
          </w14:textFill>
        </w:rPr>
        <w:t>由上述分析可知，本工程清洁生产大多处于国内先进水平，考虑到清洁生产是以节能、降耗、减污为主要目标，以技术、管理为手段，通过产品的开发设计、原料的充分使用、良好的企业管理、合理的工艺流程、有效的物料循环以及综合利用等途径，实现工业生产中包括生产、产品和消费的全过程控制，使污染物的产生量和排放量最小化的一种综合性措施。在养殖过程中应加强环境管理，发挥环保职能，使各项环保措施得到充分的发挥和利用，项目清洁生产综合水平较高，属清洁生产国内先进水平。</w:t>
      </w:r>
    </w:p>
    <w:p>
      <w:pPr>
        <w:pStyle w:val="641"/>
        <w:rPr>
          <w:rFonts w:hint="default" w:ascii="Times New Roman" w:hAnsi="Times New Roman" w:cs="Times New Roman" w:eastAsiaTheme="minorEastAsia"/>
          <w:color w:val="000000" w:themeColor="text1"/>
          <w14:textFill>
            <w14:solidFill>
              <w14:schemeClr w14:val="tx1"/>
            </w14:solidFill>
          </w14:textFill>
        </w:rPr>
      </w:pPr>
      <w:bookmarkStart w:id="116" w:name="_Toc16764"/>
      <w:r>
        <w:rPr>
          <w:rFonts w:hint="default" w:ascii="Times New Roman" w:hAnsi="Times New Roman" w:cs="Times New Roman" w:eastAsiaTheme="minorEastAsia"/>
          <w:color w:val="000000" w:themeColor="text1"/>
          <w14:textFill>
            <w14:solidFill>
              <w14:schemeClr w14:val="tx1"/>
            </w14:solidFill>
          </w14:textFill>
        </w:rPr>
        <w:t>4 环境现状调查与评价</w:t>
      </w:r>
      <w:bookmarkEnd w:id="116"/>
    </w:p>
    <w:p>
      <w:pPr>
        <w:pStyle w:val="639"/>
        <w:rPr>
          <w:rFonts w:hint="default" w:ascii="Times New Roman" w:hAnsi="Times New Roman" w:cs="Times New Roman" w:eastAsiaTheme="minorEastAsia"/>
          <w:color w:val="000000" w:themeColor="text1"/>
          <w:sz w:val="28"/>
          <w:szCs w:val="28"/>
          <w14:textFill>
            <w14:solidFill>
              <w14:schemeClr w14:val="tx1"/>
            </w14:solidFill>
          </w14:textFill>
        </w:rPr>
      </w:pPr>
      <w:bookmarkStart w:id="117" w:name="_Toc3121136"/>
      <w:bookmarkStart w:id="118" w:name="_Toc29634"/>
      <w:r>
        <w:rPr>
          <w:rFonts w:hint="default" w:ascii="Times New Roman" w:hAnsi="Times New Roman" w:cs="Times New Roman" w:eastAsiaTheme="minorEastAsia"/>
          <w:color w:val="000000" w:themeColor="text1"/>
          <w:sz w:val="28"/>
          <w:szCs w:val="28"/>
          <w14:textFill>
            <w14:solidFill>
              <w14:schemeClr w14:val="tx1"/>
            </w14:solidFill>
          </w14:textFill>
        </w:rPr>
        <w:t>4.1 自然环境现状调查与评价</w:t>
      </w:r>
      <w:bookmarkEnd w:id="117"/>
      <w:bookmarkEnd w:id="118"/>
    </w:p>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4.1.1 地理位置</w:t>
      </w:r>
    </w:p>
    <w:p>
      <w:pPr>
        <w:keepNext w:val="0"/>
        <w:keepLines w:val="0"/>
        <w:pageBreakBefore w:val="0"/>
        <w:widowControl/>
        <w:kinsoku/>
        <w:wordWrap/>
        <w:overflowPunct/>
        <w:topLinePunct w:val="0"/>
        <w:autoSpaceDE/>
        <w:autoSpaceDN/>
        <w:bidi w:val="0"/>
        <w:adjustRightInd w:val="0"/>
        <w:snapToGrid w:val="0"/>
        <w:spacing w:line="500" w:lineRule="exact"/>
        <w:ind w:firstLine="560"/>
        <w:textAlignment w:val="auto"/>
        <w:rPr>
          <w:rFonts w:hint="default" w:ascii="Times New Roman" w:hAnsi="Times New Roman" w:cs="Times New Roman" w:eastAsiaTheme="minorEastAsia"/>
          <w:sz w:val="24"/>
          <w:szCs w:val="22"/>
        </w:rPr>
      </w:pPr>
      <w:r>
        <w:rPr>
          <w:rFonts w:hint="default" w:ascii="Times New Roman" w:hAnsi="Times New Roman" w:cs="Times New Roman" w:eastAsiaTheme="minorEastAsia"/>
          <w:sz w:val="24"/>
          <w:szCs w:val="22"/>
        </w:rPr>
        <w:t>安达市位于黑龙江省西南部，松嫩平原中部,地理位置是：北纬46°1'11"一47°0'36"”，东经125°52'15"- 125°54'45"。南望省城哈尔滨，北依鹤乡齐齐哈尔，与石油名城大庆毗邻接壤。全市幅员面积3586万公里，其中耕地面积10.5万顷，草原面积16.8万公顷，辖14个乡镇和6个街道办事处，是我省西部地区的交通枢纽。</w:t>
      </w:r>
    </w:p>
    <w:p>
      <w:pPr>
        <w:keepNext w:val="0"/>
        <w:keepLines w:val="0"/>
        <w:pageBreakBefore w:val="0"/>
        <w:widowControl/>
        <w:kinsoku/>
        <w:wordWrap/>
        <w:overflowPunct/>
        <w:topLinePunct w:val="0"/>
        <w:autoSpaceDE/>
        <w:autoSpaceDN/>
        <w:bidi w:val="0"/>
        <w:adjustRightInd w:val="0"/>
        <w:snapToGrid w:val="0"/>
        <w:spacing w:line="500" w:lineRule="exact"/>
        <w:ind w:firstLine="560"/>
        <w:textAlignment w:val="auto"/>
        <w:rPr>
          <w:rFonts w:hint="default" w:ascii="Times New Roman" w:hAnsi="Times New Roman" w:cs="Times New Roman" w:eastAsiaTheme="minorEastAsia"/>
          <w:sz w:val="24"/>
          <w:szCs w:val="22"/>
        </w:rPr>
      </w:pPr>
      <w:r>
        <w:rPr>
          <w:rFonts w:hint="default" w:ascii="Times New Roman" w:hAnsi="Times New Roman" w:cs="Times New Roman" w:eastAsiaTheme="minorEastAsia"/>
          <w:sz w:val="24"/>
          <w:szCs w:val="22"/>
        </w:rPr>
        <w:t>本项目位于黑龙江省绥化市</w:t>
      </w:r>
      <w:r>
        <w:rPr>
          <w:rFonts w:hint="eastAsia" w:ascii="Times New Roman" w:hAnsi="Times New Roman" w:cs="Times New Roman" w:eastAsiaTheme="minorEastAsia"/>
          <w:sz w:val="24"/>
          <w:szCs w:val="22"/>
          <w:lang w:eastAsia="zh-CN"/>
        </w:rPr>
        <w:t>安达市东14公里，明沈公路南侧1000米处</w:t>
      </w:r>
      <w:r>
        <w:rPr>
          <w:rFonts w:hint="default" w:ascii="Times New Roman" w:hAnsi="Times New Roman" w:cs="Times New Roman" w:eastAsiaTheme="minorEastAsia"/>
          <w:sz w:val="24"/>
          <w:szCs w:val="22"/>
        </w:rPr>
        <w:t>（厂址中心E125.47590，N46.50718），选址周围皆为空地。项目所在位置见图4-1-1。</w:t>
      </w:r>
    </w:p>
    <w:p>
      <w:pPr>
        <w:keepNext w:val="0"/>
        <w:keepLines w:val="0"/>
        <w:pageBreakBefore w:val="0"/>
        <w:widowControl/>
        <w:kinsoku/>
        <w:wordWrap/>
        <w:overflowPunct/>
        <w:topLinePunct w:val="0"/>
        <w:autoSpaceDE/>
        <w:autoSpaceDN/>
        <w:bidi w:val="0"/>
        <w:adjustRightInd w:val="0"/>
        <w:snapToGrid w:val="0"/>
        <w:spacing w:line="480" w:lineRule="auto"/>
        <w:ind w:left="0" w:leftChars="0" w:firstLine="0" w:firstLineChars="0"/>
        <w:jc w:val="center"/>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drawing>
          <wp:inline distT="0" distB="0" distL="114300" distR="114300">
            <wp:extent cx="4580255" cy="5241290"/>
            <wp:effectExtent l="0" t="0" r="10795" b="16510"/>
            <wp:docPr id="40" name="图片 40" descr="F:\安达项目统计\养牛清单\安达市地理位置.png安达市地理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F:\安达项目统计\养牛清单\安达市地理位置.png安达市地理位置"/>
                    <pic:cNvPicPr>
                      <a:picLocks noChangeAspect="1"/>
                    </pic:cNvPicPr>
                  </pic:nvPicPr>
                  <pic:blipFill>
                    <a:blip r:embed="rId57"/>
                    <a:srcRect/>
                    <a:stretch>
                      <a:fillRect/>
                    </a:stretch>
                  </pic:blipFill>
                  <pic:spPr>
                    <a:xfrm>
                      <a:off x="0" y="0"/>
                      <a:ext cx="4580255" cy="52412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480" w:lineRule="auto"/>
        <w:ind w:firstLine="0" w:firstLineChars="0"/>
        <w:jc w:val="center"/>
        <w:textAlignment w:val="auto"/>
        <w:rPr>
          <w:rFonts w:hint="default" w:ascii="Times New Roman" w:hAnsi="Times New Roman" w:cs="Times New Roman" w:eastAsiaTheme="minorEastAsia"/>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14:textFill>
            <w14:solidFill>
              <w14:schemeClr w14:val="tx1"/>
            </w14:solidFill>
          </w14:textFill>
        </w:rPr>
        <w:t>图4-1-1 项目地理位置图</w:t>
      </w:r>
    </w:p>
    <w:p>
      <w:pPr>
        <w:pStyle w:val="1167"/>
        <w:keepNext w:val="0"/>
        <w:keepLines w:val="0"/>
        <w:pageBreakBefore w:val="0"/>
        <w:widowControl/>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4.1.2 地形地貌</w:t>
      </w:r>
    </w:p>
    <w:p>
      <w:pPr>
        <w:pStyle w:val="1293"/>
        <w:tabs>
          <w:tab w:val="left" w:pos="1599"/>
        </w:tabs>
        <w:spacing w:line="500" w:lineRule="exact"/>
        <w:ind w:firstLine="527"/>
        <w:rPr>
          <w:rFonts w:hint="default" w:ascii="Times New Roman" w:hAnsi="Times New Roman" w:cs="Times New Roman" w:eastAsiaTheme="minorEastAsia"/>
          <w:spacing w:val="-6"/>
          <w:w w:val="99"/>
          <w:sz w:val="24"/>
          <w:szCs w:val="24"/>
        </w:rPr>
      </w:pPr>
      <w:r>
        <w:rPr>
          <w:rFonts w:hint="default" w:ascii="Times New Roman" w:hAnsi="Times New Roman" w:cs="Times New Roman" w:eastAsiaTheme="minorEastAsia"/>
          <w:spacing w:val="-6"/>
          <w:w w:val="99"/>
          <w:sz w:val="24"/>
          <w:szCs w:val="24"/>
        </w:rPr>
        <w:t>安达市规划区位于受缓慢下降作用的松嫩平原中部，地势平坦开阔，东部属小兴安岭前冲击侵蚀倾斜高平原区，中、西、南部属双阳河、乌裕尔河冲击泛滥低平原区，地形为东北高、西南低。海拔高程自212米延缓降至132米，地面坡度1/600-1/300，地貌属冲击冰水阶地和冲击洪积低漫滩，无江无河呈闭流区。</w:t>
      </w:r>
    </w:p>
    <w:p>
      <w:pPr>
        <w:ind w:firstLine="0" w:firstLineChars="0"/>
        <w:outlineLvl w:val="2"/>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4.1.3 气候、气象</w:t>
      </w:r>
    </w:p>
    <w:p>
      <w:pPr>
        <w:pStyle w:val="1293"/>
        <w:tabs>
          <w:tab w:val="left" w:pos="1599"/>
        </w:tabs>
        <w:spacing w:line="500" w:lineRule="exact"/>
        <w:ind w:firstLine="527"/>
        <w:rPr>
          <w:rFonts w:hint="default" w:ascii="Times New Roman" w:hAnsi="Times New Roman" w:cs="Times New Roman" w:eastAsiaTheme="minorEastAsia"/>
          <w:spacing w:val="-6"/>
          <w:w w:val="99"/>
          <w:sz w:val="24"/>
          <w:szCs w:val="24"/>
        </w:rPr>
      </w:pPr>
      <w:r>
        <w:rPr>
          <w:rFonts w:hint="default" w:ascii="Times New Roman" w:hAnsi="Times New Roman" w:cs="Times New Roman" w:eastAsiaTheme="minorEastAsia"/>
          <w:spacing w:val="-6"/>
          <w:w w:val="99"/>
          <w:sz w:val="24"/>
          <w:szCs w:val="24"/>
        </w:rPr>
        <w:t>安达市属于中温带大陆性季风气候，地处半干旱－半湿润过渡地带。其特点是：冬季严寒少雪，夏季湿热多雨，春季升温快，降雨少，大风多，秋季降温急剧，霜冻和寒潮时有发生；累年年平均气温3.9℃，累年年平均降水量429.6mm，多集中在6～9月，占全年降水量的82.16％，年蒸发量1619.1mm，是年降水量的3.7倍；年平均风速2.4m/s，日照2826小时，无霜期165天，季节性标准冻深为2.10m。</w:t>
      </w:r>
    </w:p>
    <w:p>
      <w:pPr>
        <w:pStyle w:val="1293"/>
        <w:tabs>
          <w:tab w:val="left" w:pos="1599"/>
        </w:tabs>
        <w:spacing w:line="500" w:lineRule="exact"/>
        <w:ind w:firstLine="527"/>
        <w:rPr>
          <w:rFonts w:hint="default" w:ascii="Times New Roman" w:hAnsi="Times New Roman" w:cs="Times New Roman" w:eastAsiaTheme="minorEastAsia"/>
          <w:spacing w:val="-6"/>
          <w:w w:val="99"/>
          <w:sz w:val="24"/>
          <w:szCs w:val="24"/>
        </w:rPr>
      </w:pPr>
      <w:r>
        <w:rPr>
          <w:rFonts w:hint="default" w:ascii="Times New Roman" w:hAnsi="Times New Roman" w:cs="Times New Roman" w:eastAsiaTheme="minorEastAsia"/>
          <w:spacing w:val="-6"/>
          <w:w w:val="99"/>
          <w:sz w:val="24"/>
          <w:szCs w:val="24"/>
        </w:rPr>
        <w:t>安达气象站多年月平均风速如下表，4月平均风速最大（3.51m/s），1月风最小（1.98m/s）。</w:t>
      </w:r>
    </w:p>
    <w:p>
      <w:pPr>
        <w:pStyle w:val="7"/>
        <w:keepNext/>
        <w:keepLines/>
        <w:pageBreakBefore w:val="0"/>
        <w:widowControl/>
        <w:kinsoku/>
        <w:wordWrap/>
        <w:overflowPunct/>
        <w:topLinePunct w:val="0"/>
        <w:autoSpaceDE/>
        <w:autoSpaceDN/>
        <w:bidi w:val="0"/>
        <w:adjustRightInd w:val="0"/>
        <w:snapToGrid w:val="0"/>
        <w:spacing w:before="0" w:after="0"/>
        <w:ind w:left="0" w:firstLine="0" w:firstLineChars="0"/>
        <w:textAlignment w:val="auto"/>
        <w:rPr>
          <w:rFonts w:hint="default" w:ascii="Times New Roman" w:hAnsi="Times New Roman" w:cs="Times New Roman" w:eastAsiaTheme="minorEastAsia"/>
          <w:b w:val="0"/>
          <w:bCs/>
          <w:w w:val="99"/>
          <w:sz w:val="24"/>
          <w:szCs w:val="24"/>
        </w:rPr>
      </w:pPr>
      <w:r>
        <w:rPr>
          <w:rFonts w:hint="default" w:ascii="Times New Roman" w:hAnsi="Times New Roman" w:cs="Times New Roman" w:eastAsiaTheme="minorEastAsia"/>
          <w:b w:val="0"/>
          <w:bCs/>
          <w:w w:val="99"/>
          <w:sz w:val="24"/>
          <w:szCs w:val="24"/>
        </w:rPr>
        <w:t xml:space="preserve">表4-1-1    安达气象站多年月平均风速统计    单位：m/s </w:t>
      </w:r>
    </w:p>
    <w:tbl>
      <w:tblPr>
        <w:tblStyle w:val="91"/>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614"/>
        <w:gridCol w:w="614"/>
        <w:gridCol w:w="614"/>
        <w:gridCol w:w="614"/>
        <w:gridCol w:w="614"/>
        <w:gridCol w:w="614"/>
        <w:gridCol w:w="614"/>
        <w:gridCol w:w="614"/>
        <w:gridCol w:w="614"/>
        <w:gridCol w:w="614"/>
        <w:gridCol w:w="615"/>
        <w:gridCol w:w="6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7" w:type="pct"/>
            <w:tcBorders>
              <w:top w:val="single" w:color="auto" w:sz="12" w:space="0"/>
              <w:left w:val="nil"/>
              <w:bottom w:val="single" w:color="auto" w:sz="4" w:space="0"/>
              <w:right w:val="single" w:color="auto" w:sz="4" w:space="0"/>
            </w:tcBorders>
            <w:vAlign w:val="center"/>
          </w:tcPr>
          <w:p>
            <w:pPr>
              <w:spacing w:line="400" w:lineRule="exact"/>
              <w:ind w:firstLine="0" w:firstLineChars="0"/>
              <w:jc w:val="center"/>
              <w:rPr>
                <w:rFonts w:hint="default" w:ascii="Times New Roman" w:hAnsi="Times New Roman" w:cs="Times New Roman" w:eastAsiaTheme="minorEastAsia"/>
                <w:w w:val="99"/>
                <w:kern w:val="24"/>
                <w:sz w:val="24"/>
              </w:rPr>
            </w:pPr>
            <w:r>
              <w:rPr>
                <w:rFonts w:hint="default" w:ascii="Times New Roman" w:hAnsi="Times New Roman" w:cs="Times New Roman" w:eastAsiaTheme="minorEastAsia"/>
                <w:w w:val="99"/>
                <w:kern w:val="24"/>
                <w:sz w:val="24"/>
              </w:rPr>
              <w:t>月份</w:t>
            </w:r>
          </w:p>
        </w:tc>
        <w:tc>
          <w:tcPr>
            <w:tcW w:w="352" w:type="pct"/>
            <w:tcBorders>
              <w:top w:val="single" w:color="auto" w:sz="12" w:space="0"/>
              <w:left w:val="single" w:color="auto" w:sz="4" w:space="0"/>
              <w:bottom w:val="single" w:color="auto" w:sz="4" w:space="0"/>
              <w:right w:val="single" w:color="auto" w:sz="4" w:space="0"/>
            </w:tcBorders>
            <w:vAlign w:val="center"/>
          </w:tcPr>
          <w:p>
            <w:pPr>
              <w:spacing w:line="400" w:lineRule="exact"/>
              <w:ind w:firstLine="0" w:firstLineChars="0"/>
              <w:jc w:val="center"/>
              <w:rPr>
                <w:rFonts w:hint="default" w:ascii="Times New Roman" w:hAnsi="Times New Roman" w:cs="Times New Roman" w:eastAsiaTheme="minorEastAsia"/>
                <w:w w:val="99"/>
                <w:kern w:val="24"/>
                <w:sz w:val="24"/>
              </w:rPr>
            </w:pPr>
            <w:r>
              <w:rPr>
                <w:rFonts w:hint="default" w:ascii="Times New Roman" w:hAnsi="Times New Roman" w:cs="Times New Roman" w:eastAsiaTheme="minorEastAsia"/>
                <w:w w:val="99"/>
                <w:kern w:val="24"/>
                <w:sz w:val="24"/>
              </w:rPr>
              <w:t>1</w:t>
            </w:r>
          </w:p>
        </w:tc>
        <w:tc>
          <w:tcPr>
            <w:tcW w:w="352" w:type="pct"/>
            <w:tcBorders>
              <w:top w:val="single" w:color="auto" w:sz="12" w:space="0"/>
              <w:left w:val="single" w:color="auto" w:sz="4" w:space="0"/>
              <w:bottom w:val="single" w:color="auto" w:sz="4" w:space="0"/>
              <w:right w:val="single" w:color="auto" w:sz="4" w:space="0"/>
            </w:tcBorders>
            <w:vAlign w:val="center"/>
          </w:tcPr>
          <w:p>
            <w:pPr>
              <w:spacing w:line="400" w:lineRule="exact"/>
              <w:ind w:firstLine="0" w:firstLineChars="0"/>
              <w:jc w:val="center"/>
              <w:rPr>
                <w:rFonts w:hint="default" w:ascii="Times New Roman" w:hAnsi="Times New Roman" w:cs="Times New Roman" w:eastAsiaTheme="minorEastAsia"/>
                <w:w w:val="99"/>
                <w:kern w:val="24"/>
                <w:sz w:val="24"/>
              </w:rPr>
            </w:pPr>
            <w:r>
              <w:rPr>
                <w:rFonts w:hint="default" w:ascii="Times New Roman" w:hAnsi="Times New Roman" w:cs="Times New Roman" w:eastAsiaTheme="minorEastAsia"/>
                <w:w w:val="99"/>
                <w:kern w:val="24"/>
                <w:sz w:val="24"/>
              </w:rPr>
              <w:t>2</w:t>
            </w:r>
          </w:p>
        </w:tc>
        <w:tc>
          <w:tcPr>
            <w:tcW w:w="352" w:type="pct"/>
            <w:tcBorders>
              <w:top w:val="single" w:color="auto" w:sz="12" w:space="0"/>
              <w:left w:val="single" w:color="auto" w:sz="4" w:space="0"/>
              <w:bottom w:val="single" w:color="auto" w:sz="4" w:space="0"/>
              <w:right w:val="single" w:color="auto" w:sz="4" w:space="0"/>
            </w:tcBorders>
            <w:vAlign w:val="center"/>
          </w:tcPr>
          <w:p>
            <w:pPr>
              <w:spacing w:line="400" w:lineRule="exact"/>
              <w:ind w:firstLine="0" w:firstLineChars="0"/>
              <w:jc w:val="center"/>
              <w:rPr>
                <w:rFonts w:hint="default" w:ascii="Times New Roman" w:hAnsi="Times New Roman" w:cs="Times New Roman" w:eastAsiaTheme="minorEastAsia"/>
                <w:w w:val="99"/>
                <w:kern w:val="24"/>
                <w:sz w:val="24"/>
              </w:rPr>
            </w:pPr>
            <w:r>
              <w:rPr>
                <w:rFonts w:hint="default" w:ascii="Times New Roman" w:hAnsi="Times New Roman" w:cs="Times New Roman" w:eastAsiaTheme="minorEastAsia"/>
                <w:w w:val="99"/>
                <w:kern w:val="24"/>
                <w:sz w:val="24"/>
              </w:rPr>
              <w:t>3</w:t>
            </w:r>
          </w:p>
        </w:tc>
        <w:tc>
          <w:tcPr>
            <w:tcW w:w="352" w:type="pct"/>
            <w:tcBorders>
              <w:top w:val="single" w:color="auto" w:sz="12" w:space="0"/>
              <w:left w:val="single" w:color="auto" w:sz="4" w:space="0"/>
              <w:bottom w:val="single" w:color="auto" w:sz="4" w:space="0"/>
              <w:right w:val="single" w:color="auto" w:sz="4" w:space="0"/>
            </w:tcBorders>
            <w:vAlign w:val="center"/>
          </w:tcPr>
          <w:p>
            <w:pPr>
              <w:spacing w:line="400" w:lineRule="exact"/>
              <w:ind w:firstLine="0" w:firstLineChars="0"/>
              <w:jc w:val="center"/>
              <w:rPr>
                <w:rFonts w:hint="default" w:ascii="Times New Roman" w:hAnsi="Times New Roman" w:cs="Times New Roman" w:eastAsiaTheme="minorEastAsia"/>
                <w:w w:val="99"/>
                <w:kern w:val="24"/>
                <w:sz w:val="24"/>
              </w:rPr>
            </w:pPr>
            <w:r>
              <w:rPr>
                <w:rFonts w:hint="default" w:ascii="Times New Roman" w:hAnsi="Times New Roman" w:cs="Times New Roman" w:eastAsiaTheme="minorEastAsia"/>
                <w:w w:val="99"/>
                <w:kern w:val="24"/>
                <w:sz w:val="24"/>
              </w:rPr>
              <w:t>4</w:t>
            </w:r>
          </w:p>
        </w:tc>
        <w:tc>
          <w:tcPr>
            <w:tcW w:w="352" w:type="pct"/>
            <w:tcBorders>
              <w:top w:val="single" w:color="auto" w:sz="12" w:space="0"/>
              <w:left w:val="single" w:color="auto" w:sz="4" w:space="0"/>
              <w:bottom w:val="single" w:color="auto" w:sz="4" w:space="0"/>
              <w:right w:val="single" w:color="auto" w:sz="4" w:space="0"/>
            </w:tcBorders>
            <w:vAlign w:val="center"/>
          </w:tcPr>
          <w:p>
            <w:pPr>
              <w:spacing w:line="400" w:lineRule="exact"/>
              <w:ind w:firstLine="0" w:firstLineChars="0"/>
              <w:jc w:val="center"/>
              <w:rPr>
                <w:rFonts w:hint="default" w:ascii="Times New Roman" w:hAnsi="Times New Roman" w:cs="Times New Roman" w:eastAsiaTheme="minorEastAsia"/>
                <w:w w:val="99"/>
                <w:kern w:val="24"/>
                <w:sz w:val="24"/>
              </w:rPr>
            </w:pPr>
            <w:r>
              <w:rPr>
                <w:rFonts w:hint="default" w:ascii="Times New Roman" w:hAnsi="Times New Roman" w:cs="Times New Roman" w:eastAsiaTheme="minorEastAsia"/>
                <w:w w:val="99"/>
                <w:kern w:val="24"/>
                <w:sz w:val="24"/>
              </w:rPr>
              <w:t>5</w:t>
            </w:r>
          </w:p>
        </w:tc>
        <w:tc>
          <w:tcPr>
            <w:tcW w:w="352" w:type="pct"/>
            <w:tcBorders>
              <w:top w:val="single" w:color="auto" w:sz="12" w:space="0"/>
              <w:left w:val="single" w:color="auto" w:sz="4" w:space="0"/>
              <w:bottom w:val="single" w:color="auto" w:sz="4" w:space="0"/>
              <w:right w:val="single" w:color="auto" w:sz="4" w:space="0"/>
            </w:tcBorders>
            <w:vAlign w:val="center"/>
          </w:tcPr>
          <w:p>
            <w:pPr>
              <w:spacing w:line="400" w:lineRule="exact"/>
              <w:ind w:firstLine="0" w:firstLineChars="0"/>
              <w:jc w:val="center"/>
              <w:rPr>
                <w:rFonts w:hint="default" w:ascii="Times New Roman" w:hAnsi="Times New Roman" w:cs="Times New Roman" w:eastAsiaTheme="minorEastAsia"/>
                <w:w w:val="99"/>
                <w:kern w:val="24"/>
                <w:sz w:val="24"/>
              </w:rPr>
            </w:pPr>
            <w:r>
              <w:rPr>
                <w:rFonts w:hint="default" w:ascii="Times New Roman" w:hAnsi="Times New Roman" w:cs="Times New Roman" w:eastAsiaTheme="minorEastAsia"/>
                <w:w w:val="99"/>
                <w:kern w:val="24"/>
                <w:sz w:val="24"/>
              </w:rPr>
              <w:t>6</w:t>
            </w:r>
          </w:p>
        </w:tc>
        <w:tc>
          <w:tcPr>
            <w:tcW w:w="352" w:type="pct"/>
            <w:tcBorders>
              <w:top w:val="single" w:color="auto" w:sz="12" w:space="0"/>
              <w:left w:val="single" w:color="auto" w:sz="4" w:space="0"/>
              <w:bottom w:val="single" w:color="auto" w:sz="4" w:space="0"/>
              <w:right w:val="single" w:color="auto" w:sz="4" w:space="0"/>
            </w:tcBorders>
            <w:vAlign w:val="center"/>
          </w:tcPr>
          <w:p>
            <w:pPr>
              <w:spacing w:line="400" w:lineRule="exact"/>
              <w:ind w:firstLine="0" w:firstLineChars="0"/>
              <w:jc w:val="center"/>
              <w:rPr>
                <w:rFonts w:hint="default" w:ascii="Times New Roman" w:hAnsi="Times New Roman" w:cs="Times New Roman" w:eastAsiaTheme="minorEastAsia"/>
                <w:w w:val="99"/>
                <w:kern w:val="24"/>
                <w:sz w:val="24"/>
              </w:rPr>
            </w:pPr>
            <w:r>
              <w:rPr>
                <w:rFonts w:hint="default" w:ascii="Times New Roman" w:hAnsi="Times New Roman" w:cs="Times New Roman" w:eastAsiaTheme="minorEastAsia"/>
                <w:w w:val="99"/>
                <w:kern w:val="24"/>
                <w:sz w:val="24"/>
              </w:rPr>
              <w:t>7</w:t>
            </w:r>
          </w:p>
        </w:tc>
        <w:tc>
          <w:tcPr>
            <w:tcW w:w="352" w:type="pct"/>
            <w:tcBorders>
              <w:top w:val="single" w:color="auto" w:sz="12" w:space="0"/>
              <w:left w:val="single" w:color="auto" w:sz="4" w:space="0"/>
              <w:bottom w:val="single" w:color="auto" w:sz="4" w:space="0"/>
              <w:right w:val="single" w:color="auto" w:sz="4" w:space="0"/>
            </w:tcBorders>
            <w:vAlign w:val="center"/>
          </w:tcPr>
          <w:p>
            <w:pPr>
              <w:spacing w:line="400" w:lineRule="exact"/>
              <w:ind w:firstLine="0" w:firstLineChars="0"/>
              <w:jc w:val="center"/>
              <w:rPr>
                <w:rFonts w:hint="default" w:ascii="Times New Roman" w:hAnsi="Times New Roman" w:cs="Times New Roman" w:eastAsiaTheme="minorEastAsia"/>
                <w:w w:val="99"/>
                <w:kern w:val="24"/>
                <w:sz w:val="24"/>
              </w:rPr>
            </w:pPr>
            <w:r>
              <w:rPr>
                <w:rFonts w:hint="default" w:ascii="Times New Roman" w:hAnsi="Times New Roman" w:cs="Times New Roman" w:eastAsiaTheme="minorEastAsia"/>
                <w:w w:val="99"/>
                <w:kern w:val="24"/>
                <w:sz w:val="24"/>
              </w:rPr>
              <w:t>8</w:t>
            </w:r>
          </w:p>
        </w:tc>
        <w:tc>
          <w:tcPr>
            <w:tcW w:w="352" w:type="pct"/>
            <w:tcBorders>
              <w:top w:val="single" w:color="auto" w:sz="12" w:space="0"/>
              <w:left w:val="single" w:color="auto" w:sz="4" w:space="0"/>
              <w:bottom w:val="single" w:color="auto" w:sz="4" w:space="0"/>
              <w:right w:val="single" w:color="auto" w:sz="4" w:space="0"/>
            </w:tcBorders>
            <w:vAlign w:val="center"/>
          </w:tcPr>
          <w:p>
            <w:pPr>
              <w:spacing w:line="400" w:lineRule="exact"/>
              <w:ind w:firstLine="0" w:firstLineChars="0"/>
              <w:jc w:val="center"/>
              <w:rPr>
                <w:rFonts w:hint="default" w:ascii="Times New Roman" w:hAnsi="Times New Roman" w:cs="Times New Roman" w:eastAsiaTheme="minorEastAsia"/>
                <w:w w:val="99"/>
                <w:kern w:val="24"/>
                <w:sz w:val="24"/>
              </w:rPr>
            </w:pPr>
            <w:r>
              <w:rPr>
                <w:rFonts w:hint="default" w:ascii="Times New Roman" w:hAnsi="Times New Roman" w:cs="Times New Roman" w:eastAsiaTheme="minorEastAsia"/>
                <w:w w:val="99"/>
                <w:kern w:val="24"/>
                <w:sz w:val="24"/>
              </w:rPr>
              <w:t>9</w:t>
            </w:r>
          </w:p>
        </w:tc>
        <w:tc>
          <w:tcPr>
            <w:tcW w:w="352" w:type="pct"/>
            <w:tcBorders>
              <w:top w:val="single" w:color="auto" w:sz="12" w:space="0"/>
              <w:left w:val="single" w:color="auto" w:sz="4" w:space="0"/>
              <w:bottom w:val="single" w:color="auto" w:sz="4" w:space="0"/>
              <w:right w:val="single" w:color="auto" w:sz="4" w:space="0"/>
            </w:tcBorders>
            <w:vAlign w:val="center"/>
          </w:tcPr>
          <w:p>
            <w:pPr>
              <w:spacing w:line="400" w:lineRule="exact"/>
              <w:ind w:firstLine="0" w:firstLineChars="0"/>
              <w:jc w:val="center"/>
              <w:rPr>
                <w:rFonts w:hint="default" w:ascii="Times New Roman" w:hAnsi="Times New Roman" w:cs="Times New Roman" w:eastAsiaTheme="minorEastAsia"/>
                <w:w w:val="99"/>
                <w:kern w:val="24"/>
                <w:sz w:val="24"/>
              </w:rPr>
            </w:pPr>
            <w:r>
              <w:rPr>
                <w:rFonts w:hint="default" w:ascii="Times New Roman" w:hAnsi="Times New Roman" w:cs="Times New Roman" w:eastAsiaTheme="minorEastAsia"/>
                <w:w w:val="99"/>
                <w:kern w:val="24"/>
                <w:sz w:val="24"/>
              </w:rPr>
              <w:t>10</w:t>
            </w:r>
          </w:p>
        </w:tc>
        <w:tc>
          <w:tcPr>
            <w:tcW w:w="352" w:type="pct"/>
            <w:tcBorders>
              <w:top w:val="single" w:color="auto" w:sz="12" w:space="0"/>
              <w:left w:val="single" w:color="auto" w:sz="4" w:space="0"/>
              <w:bottom w:val="single" w:color="auto" w:sz="4" w:space="0"/>
              <w:right w:val="single" w:color="auto" w:sz="4" w:space="0"/>
            </w:tcBorders>
            <w:vAlign w:val="center"/>
          </w:tcPr>
          <w:p>
            <w:pPr>
              <w:spacing w:line="400" w:lineRule="exact"/>
              <w:ind w:firstLine="0" w:firstLineChars="0"/>
              <w:jc w:val="center"/>
              <w:rPr>
                <w:rFonts w:hint="default" w:ascii="Times New Roman" w:hAnsi="Times New Roman" w:cs="Times New Roman" w:eastAsiaTheme="minorEastAsia"/>
                <w:w w:val="99"/>
                <w:kern w:val="24"/>
                <w:sz w:val="24"/>
              </w:rPr>
            </w:pPr>
            <w:r>
              <w:rPr>
                <w:rFonts w:hint="default" w:ascii="Times New Roman" w:hAnsi="Times New Roman" w:cs="Times New Roman" w:eastAsiaTheme="minorEastAsia"/>
                <w:w w:val="99"/>
                <w:kern w:val="24"/>
                <w:sz w:val="24"/>
              </w:rPr>
              <w:t>11</w:t>
            </w:r>
          </w:p>
        </w:tc>
        <w:tc>
          <w:tcPr>
            <w:tcW w:w="348" w:type="pct"/>
            <w:tcBorders>
              <w:top w:val="single" w:color="auto" w:sz="12" w:space="0"/>
              <w:left w:val="single" w:color="auto" w:sz="4" w:space="0"/>
              <w:bottom w:val="single" w:color="auto" w:sz="4" w:space="0"/>
              <w:right w:val="nil"/>
            </w:tcBorders>
            <w:vAlign w:val="center"/>
          </w:tcPr>
          <w:p>
            <w:pPr>
              <w:spacing w:line="400" w:lineRule="exact"/>
              <w:ind w:firstLine="0" w:firstLineChars="0"/>
              <w:jc w:val="center"/>
              <w:rPr>
                <w:rFonts w:hint="default" w:ascii="Times New Roman" w:hAnsi="Times New Roman" w:cs="Times New Roman" w:eastAsiaTheme="minorEastAsia"/>
                <w:w w:val="99"/>
                <w:kern w:val="24"/>
                <w:sz w:val="24"/>
              </w:rPr>
            </w:pPr>
            <w:r>
              <w:rPr>
                <w:rFonts w:hint="default" w:ascii="Times New Roman" w:hAnsi="Times New Roman" w:cs="Times New Roman" w:eastAsiaTheme="minorEastAsia"/>
                <w:w w:val="99"/>
                <w:kern w:val="24"/>
                <w:sz w:val="24"/>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7" w:type="pct"/>
            <w:tcBorders>
              <w:top w:val="single" w:color="auto" w:sz="4" w:space="0"/>
              <w:left w:val="nil"/>
              <w:bottom w:val="single" w:color="auto" w:sz="12" w:space="0"/>
              <w:right w:val="single" w:color="auto" w:sz="4" w:space="0"/>
            </w:tcBorders>
            <w:vAlign w:val="center"/>
          </w:tcPr>
          <w:p>
            <w:pPr>
              <w:spacing w:line="400" w:lineRule="exact"/>
              <w:ind w:firstLine="0" w:firstLineChars="0"/>
              <w:jc w:val="center"/>
              <w:rPr>
                <w:rFonts w:hint="default" w:ascii="Times New Roman" w:hAnsi="Times New Roman" w:cs="Times New Roman" w:eastAsiaTheme="minorEastAsia"/>
                <w:w w:val="99"/>
                <w:kern w:val="24"/>
                <w:sz w:val="24"/>
              </w:rPr>
            </w:pPr>
            <w:r>
              <w:rPr>
                <w:rFonts w:hint="default" w:ascii="Times New Roman" w:hAnsi="Times New Roman" w:cs="Times New Roman" w:eastAsiaTheme="minorEastAsia"/>
                <w:w w:val="99"/>
                <w:kern w:val="24"/>
                <w:sz w:val="24"/>
              </w:rPr>
              <w:t>平均风速</w:t>
            </w:r>
          </w:p>
        </w:tc>
        <w:tc>
          <w:tcPr>
            <w:tcW w:w="352" w:type="pct"/>
            <w:tcBorders>
              <w:top w:val="single" w:color="auto" w:sz="4" w:space="0"/>
              <w:left w:val="single" w:color="auto" w:sz="4" w:space="0"/>
              <w:bottom w:val="single" w:color="auto" w:sz="12" w:space="0"/>
              <w:right w:val="single" w:color="auto" w:sz="4" w:space="0"/>
            </w:tcBorders>
            <w:vAlign w:val="center"/>
          </w:tcPr>
          <w:p>
            <w:pPr>
              <w:spacing w:line="400" w:lineRule="exact"/>
              <w:ind w:firstLine="0" w:firstLineChars="0"/>
              <w:jc w:val="center"/>
              <w:rPr>
                <w:rFonts w:hint="default" w:ascii="Times New Roman" w:hAnsi="Times New Roman" w:cs="Times New Roman" w:eastAsiaTheme="minorEastAsia"/>
                <w:w w:val="99"/>
                <w:kern w:val="24"/>
                <w:sz w:val="24"/>
              </w:rPr>
            </w:pPr>
            <w:r>
              <w:rPr>
                <w:rFonts w:hint="default" w:ascii="Times New Roman" w:hAnsi="Times New Roman" w:cs="Times New Roman" w:eastAsiaTheme="minorEastAsia"/>
                <w:w w:val="99"/>
                <w:kern w:val="24"/>
                <w:sz w:val="24"/>
              </w:rPr>
              <w:t>2.0</w:t>
            </w:r>
          </w:p>
        </w:tc>
        <w:tc>
          <w:tcPr>
            <w:tcW w:w="352" w:type="pct"/>
            <w:tcBorders>
              <w:top w:val="single" w:color="auto" w:sz="4" w:space="0"/>
              <w:left w:val="single" w:color="auto" w:sz="4" w:space="0"/>
              <w:bottom w:val="single" w:color="auto" w:sz="12" w:space="0"/>
              <w:right w:val="single" w:color="auto" w:sz="4" w:space="0"/>
            </w:tcBorders>
            <w:vAlign w:val="center"/>
          </w:tcPr>
          <w:p>
            <w:pPr>
              <w:spacing w:line="400" w:lineRule="exact"/>
              <w:ind w:firstLine="0" w:firstLineChars="0"/>
              <w:jc w:val="center"/>
              <w:rPr>
                <w:rFonts w:hint="default" w:ascii="Times New Roman" w:hAnsi="Times New Roman" w:cs="Times New Roman" w:eastAsiaTheme="minorEastAsia"/>
                <w:w w:val="99"/>
                <w:kern w:val="24"/>
                <w:sz w:val="24"/>
              </w:rPr>
            </w:pPr>
            <w:r>
              <w:rPr>
                <w:rFonts w:hint="default" w:ascii="Times New Roman" w:hAnsi="Times New Roman" w:cs="Times New Roman" w:eastAsiaTheme="minorEastAsia"/>
                <w:w w:val="99"/>
                <w:kern w:val="24"/>
                <w:sz w:val="24"/>
              </w:rPr>
              <w:t>2.4</w:t>
            </w:r>
          </w:p>
        </w:tc>
        <w:tc>
          <w:tcPr>
            <w:tcW w:w="352" w:type="pct"/>
            <w:tcBorders>
              <w:top w:val="single" w:color="auto" w:sz="4" w:space="0"/>
              <w:left w:val="single" w:color="auto" w:sz="4" w:space="0"/>
              <w:bottom w:val="single" w:color="auto" w:sz="12" w:space="0"/>
              <w:right w:val="single" w:color="auto" w:sz="4" w:space="0"/>
            </w:tcBorders>
            <w:vAlign w:val="center"/>
          </w:tcPr>
          <w:p>
            <w:pPr>
              <w:spacing w:line="400" w:lineRule="exact"/>
              <w:ind w:firstLine="0" w:firstLineChars="0"/>
              <w:jc w:val="center"/>
              <w:rPr>
                <w:rFonts w:hint="default" w:ascii="Times New Roman" w:hAnsi="Times New Roman" w:cs="Times New Roman" w:eastAsiaTheme="minorEastAsia"/>
                <w:w w:val="99"/>
                <w:kern w:val="24"/>
                <w:sz w:val="24"/>
              </w:rPr>
            </w:pPr>
            <w:r>
              <w:rPr>
                <w:rFonts w:hint="default" w:ascii="Times New Roman" w:hAnsi="Times New Roman" w:cs="Times New Roman" w:eastAsiaTheme="minorEastAsia"/>
                <w:w w:val="99"/>
                <w:kern w:val="24"/>
                <w:sz w:val="24"/>
              </w:rPr>
              <w:t>3.1</w:t>
            </w:r>
          </w:p>
        </w:tc>
        <w:tc>
          <w:tcPr>
            <w:tcW w:w="352" w:type="pct"/>
            <w:tcBorders>
              <w:top w:val="single" w:color="auto" w:sz="4" w:space="0"/>
              <w:left w:val="single" w:color="auto" w:sz="4" w:space="0"/>
              <w:bottom w:val="single" w:color="auto" w:sz="12" w:space="0"/>
              <w:right w:val="single" w:color="auto" w:sz="4" w:space="0"/>
            </w:tcBorders>
            <w:vAlign w:val="center"/>
          </w:tcPr>
          <w:p>
            <w:pPr>
              <w:spacing w:line="400" w:lineRule="exact"/>
              <w:ind w:firstLine="0" w:firstLineChars="0"/>
              <w:jc w:val="center"/>
              <w:rPr>
                <w:rFonts w:hint="default" w:ascii="Times New Roman" w:hAnsi="Times New Roman" w:cs="Times New Roman" w:eastAsiaTheme="minorEastAsia"/>
                <w:w w:val="99"/>
                <w:kern w:val="24"/>
                <w:sz w:val="24"/>
              </w:rPr>
            </w:pPr>
            <w:r>
              <w:rPr>
                <w:rFonts w:hint="default" w:ascii="Times New Roman" w:hAnsi="Times New Roman" w:cs="Times New Roman" w:eastAsiaTheme="minorEastAsia"/>
                <w:w w:val="99"/>
                <w:kern w:val="24"/>
                <w:sz w:val="24"/>
              </w:rPr>
              <w:t>3.5</w:t>
            </w:r>
          </w:p>
        </w:tc>
        <w:tc>
          <w:tcPr>
            <w:tcW w:w="352" w:type="pct"/>
            <w:tcBorders>
              <w:top w:val="single" w:color="auto" w:sz="4" w:space="0"/>
              <w:left w:val="single" w:color="auto" w:sz="4" w:space="0"/>
              <w:bottom w:val="single" w:color="auto" w:sz="12" w:space="0"/>
              <w:right w:val="single" w:color="auto" w:sz="4" w:space="0"/>
            </w:tcBorders>
            <w:vAlign w:val="center"/>
          </w:tcPr>
          <w:p>
            <w:pPr>
              <w:spacing w:line="400" w:lineRule="exact"/>
              <w:ind w:firstLine="0" w:firstLineChars="0"/>
              <w:jc w:val="center"/>
              <w:rPr>
                <w:rFonts w:hint="default" w:ascii="Times New Roman" w:hAnsi="Times New Roman" w:cs="Times New Roman" w:eastAsiaTheme="minorEastAsia"/>
                <w:w w:val="99"/>
                <w:kern w:val="24"/>
                <w:sz w:val="24"/>
              </w:rPr>
            </w:pPr>
            <w:r>
              <w:rPr>
                <w:rFonts w:hint="default" w:ascii="Times New Roman" w:hAnsi="Times New Roman" w:cs="Times New Roman" w:eastAsiaTheme="minorEastAsia"/>
                <w:w w:val="99"/>
                <w:kern w:val="24"/>
                <w:sz w:val="24"/>
              </w:rPr>
              <w:t>3.3</w:t>
            </w:r>
          </w:p>
        </w:tc>
        <w:tc>
          <w:tcPr>
            <w:tcW w:w="352" w:type="pct"/>
            <w:tcBorders>
              <w:top w:val="single" w:color="auto" w:sz="4" w:space="0"/>
              <w:left w:val="single" w:color="auto" w:sz="4" w:space="0"/>
              <w:bottom w:val="single" w:color="auto" w:sz="12" w:space="0"/>
              <w:right w:val="single" w:color="auto" w:sz="4" w:space="0"/>
            </w:tcBorders>
            <w:vAlign w:val="center"/>
          </w:tcPr>
          <w:p>
            <w:pPr>
              <w:spacing w:line="400" w:lineRule="exact"/>
              <w:ind w:firstLine="0" w:firstLineChars="0"/>
              <w:jc w:val="center"/>
              <w:rPr>
                <w:rFonts w:hint="default" w:ascii="Times New Roman" w:hAnsi="Times New Roman" w:cs="Times New Roman" w:eastAsiaTheme="minorEastAsia"/>
                <w:w w:val="99"/>
                <w:kern w:val="24"/>
                <w:sz w:val="24"/>
              </w:rPr>
            </w:pPr>
            <w:r>
              <w:rPr>
                <w:rFonts w:hint="default" w:ascii="Times New Roman" w:hAnsi="Times New Roman" w:cs="Times New Roman" w:eastAsiaTheme="minorEastAsia"/>
                <w:w w:val="99"/>
                <w:kern w:val="24"/>
                <w:sz w:val="24"/>
              </w:rPr>
              <w:t>2.7</w:t>
            </w:r>
          </w:p>
        </w:tc>
        <w:tc>
          <w:tcPr>
            <w:tcW w:w="352" w:type="pct"/>
            <w:tcBorders>
              <w:top w:val="single" w:color="auto" w:sz="4" w:space="0"/>
              <w:left w:val="single" w:color="auto" w:sz="4" w:space="0"/>
              <w:bottom w:val="single" w:color="auto" w:sz="12" w:space="0"/>
              <w:right w:val="single" w:color="auto" w:sz="4" w:space="0"/>
            </w:tcBorders>
            <w:vAlign w:val="center"/>
          </w:tcPr>
          <w:p>
            <w:pPr>
              <w:spacing w:line="400" w:lineRule="exact"/>
              <w:ind w:firstLine="0" w:firstLineChars="0"/>
              <w:jc w:val="center"/>
              <w:rPr>
                <w:rFonts w:hint="default" w:ascii="Times New Roman" w:hAnsi="Times New Roman" w:cs="Times New Roman" w:eastAsiaTheme="minorEastAsia"/>
                <w:w w:val="99"/>
                <w:kern w:val="24"/>
                <w:sz w:val="24"/>
              </w:rPr>
            </w:pPr>
            <w:r>
              <w:rPr>
                <w:rFonts w:hint="default" w:ascii="Times New Roman" w:hAnsi="Times New Roman" w:cs="Times New Roman" w:eastAsiaTheme="minorEastAsia"/>
                <w:w w:val="99"/>
                <w:kern w:val="24"/>
                <w:sz w:val="24"/>
              </w:rPr>
              <w:t>2.5</w:t>
            </w:r>
          </w:p>
        </w:tc>
        <w:tc>
          <w:tcPr>
            <w:tcW w:w="352" w:type="pct"/>
            <w:tcBorders>
              <w:top w:val="single" w:color="auto" w:sz="4" w:space="0"/>
              <w:left w:val="single" w:color="auto" w:sz="4" w:space="0"/>
              <w:bottom w:val="single" w:color="auto" w:sz="12" w:space="0"/>
              <w:right w:val="single" w:color="auto" w:sz="4" w:space="0"/>
            </w:tcBorders>
            <w:vAlign w:val="center"/>
          </w:tcPr>
          <w:p>
            <w:pPr>
              <w:spacing w:line="400" w:lineRule="exact"/>
              <w:ind w:firstLine="0" w:firstLineChars="0"/>
              <w:jc w:val="center"/>
              <w:rPr>
                <w:rFonts w:hint="default" w:ascii="Times New Roman" w:hAnsi="Times New Roman" w:cs="Times New Roman" w:eastAsiaTheme="minorEastAsia"/>
                <w:w w:val="99"/>
                <w:kern w:val="24"/>
                <w:sz w:val="24"/>
              </w:rPr>
            </w:pPr>
            <w:r>
              <w:rPr>
                <w:rFonts w:hint="default" w:ascii="Times New Roman" w:hAnsi="Times New Roman" w:cs="Times New Roman" w:eastAsiaTheme="minorEastAsia"/>
                <w:w w:val="99"/>
                <w:kern w:val="24"/>
                <w:sz w:val="24"/>
              </w:rPr>
              <w:t>2.3</w:t>
            </w:r>
          </w:p>
        </w:tc>
        <w:tc>
          <w:tcPr>
            <w:tcW w:w="352" w:type="pct"/>
            <w:tcBorders>
              <w:top w:val="single" w:color="auto" w:sz="4" w:space="0"/>
              <w:left w:val="single" w:color="auto" w:sz="4" w:space="0"/>
              <w:bottom w:val="single" w:color="auto" w:sz="12" w:space="0"/>
              <w:right w:val="single" w:color="auto" w:sz="4" w:space="0"/>
            </w:tcBorders>
            <w:vAlign w:val="center"/>
          </w:tcPr>
          <w:p>
            <w:pPr>
              <w:spacing w:line="400" w:lineRule="exact"/>
              <w:ind w:firstLine="0" w:firstLineChars="0"/>
              <w:jc w:val="center"/>
              <w:rPr>
                <w:rFonts w:hint="default" w:ascii="Times New Roman" w:hAnsi="Times New Roman" w:cs="Times New Roman" w:eastAsiaTheme="minorEastAsia"/>
                <w:w w:val="99"/>
                <w:kern w:val="24"/>
                <w:sz w:val="24"/>
              </w:rPr>
            </w:pPr>
            <w:r>
              <w:rPr>
                <w:rFonts w:hint="default" w:ascii="Times New Roman" w:hAnsi="Times New Roman" w:cs="Times New Roman" w:eastAsiaTheme="minorEastAsia"/>
                <w:w w:val="99"/>
                <w:kern w:val="24"/>
                <w:sz w:val="24"/>
              </w:rPr>
              <w:t>2.4</w:t>
            </w:r>
          </w:p>
        </w:tc>
        <w:tc>
          <w:tcPr>
            <w:tcW w:w="352" w:type="pct"/>
            <w:tcBorders>
              <w:top w:val="single" w:color="auto" w:sz="4" w:space="0"/>
              <w:left w:val="single" w:color="auto" w:sz="4" w:space="0"/>
              <w:bottom w:val="single" w:color="auto" w:sz="12" w:space="0"/>
              <w:right w:val="single" w:color="auto" w:sz="4" w:space="0"/>
            </w:tcBorders>
            <w:vAlign w:val="center"/>
          </w:tcPr>
          <w:p>
            <w:pPr>
              <w:spacing w:line="400" w:lineRule="exact"/>
              <w:ind w:firstLine="0" w:firstLineChars="0"/>
              <w:jc w:val="center"/>
              <w:rPr>
                <w:rFonts w:hint="default" w:ascii="Times New Roman" w:hAnsi="Times New Roman" w:cs="Times New Roman" w:eastAsiaTheme="minorEastAsia"/>
                <w:w w:val="99"/>
                <w:kern w:val="24"/>
                <w:sz w:val="24"/>
              </w:rPr>
            </w:pPr>
            <w:r>
              <w:rPr>
                <w:rFonts w:hint="default" w:ascii="Times New Roman" w:hAnsi="Times New Roman" w:cs="Times New Roman" w:eastAsiaTheme="minorEastAsia"/>
                <w:w w:val="99"/>
                <w:kern w:val="24"/>
                <w:sz w:val="24"/>
              </w:rPr>
              <w:t>2.7</w:t>
            </w:r>
          </w:p>
        </w:tc>
        <w:tc>
          <w:tcPr>
            <w:tcW w:w="352" w:type="pct"/>
            <w:tcBorders>
              <w:top w:val="single" w:color="auto" w:sz="4" w:space="0"/>
              <w:left w:val="single" w:color="auto" w:sz="4" w:space="0"/>
              <w:bottom w:val="single" w:color="auto" w:sz="12" w:space="0"/>
              <w:right w:val="single" w:color="auto" w:sz="4" w:space="0"/>
            </w:tcBorders>
            <w:vAlign w:val="center"/>
          </w:tcPr>
          <w:p>
            <w:pPr>
              <w:spacing w:line="400" w:lineRule="exact"/>
              <w:ind w:firstLine="0" w:firstLineChars="0"/>
              <w:jc w:val="center"/>
              <w:rPr>
                <w:rFonts w:hint="default" w:ascii="Times New Roman" w:hAnsi="Times New Roman" w:cs="Times New Roman" w:eastAsiaTheme="minorEastAsia"/>
                <w:w w:val="99"/>
                <w:kern w:val="24"/>
                <w:sz w:val="24"/>
              </w:rPr>
            </w:pPr>
            <w:r>
              <w:rPr>
                <w:rFonts w:hint="default" w:ascii="Times New Roman" w:hAnsi="Times New Roman" w:cs="Times New Roman" w:eastAsiaTheme="minorEastAsia"/>
                <w:w w:val="99"/>
                <w:kern w:val="24"/>
                <w:sz w:val="24"/>
              </w:rPr>
              <w:t>2.5</w:t>
            </w:r>
          </w:p>
        </w:tc>
        <w:tc>
          <w:tcPr>
            <w:tcW w:w="348" w:type="pct"/>
            <w:tcBorders>
              <w:top w:val="single" w:color="auto" w:sz="4" w:space="0"/>
              <w:left w:val="single" w:color="auto" w:sz="4" w:space="0"/>
              <w:bottom w:val="single" w:color="auto" w:sz="12" w:space="0"/>
              <w:right w:val="nil"/>
            </w:tcBorders>
            <w:vAlign w:val="center"/>
          </w:tcPr>
          <w:p>
            <w:pPr>
              <w:spacing w:line="400" w:lineRule="exact"/>
              <w:ind w:firstLine="0" w:firstLineChars="0"/>
              <w:jc w:val="center"/>
              <w:rPr>
                <w:rFonts w:hint="default" w:ascii="Times New Roman" w:hAnsi="Times New Roman" w:cs="Times New Roman" w:eastAsiaTheme="minorEastAsia"/>
                <w:w w:val="99"/>
                <w:kern w:val="24"/>
                <w:sz w:val="24"/>
              </w:rPr>
            </w:pPr>
            <w:r>
              <w:rPr>
                <w:rFonts w:hint="default" w:ascii="Times New Roman" w:hAnsi="Times New Roman" w:cs="Times New Roman" w:eastAsiaTheme="minorEastAsia"/>
                <w:w w:val="99"/>
                <w:kern w:val="24"/>
                <w:sz w:val="24"/>
              </w:rPr>
              <w:t>2.0</w:t>
            </w:r>
          </w:p>
        </w:tc>
      </w:tr>
    </w:tbl>
    <w:p>
      <w:pPr>
        <w:spacing w:line="480" w:lineRule="exact"/>
        <w:ind w:firstLine="551"/>
        <w:rPr>
          <w:rFonts w:hint="default" w:ascii="Times New Roman" w:hAnsi="Times New Roman" w:cs="Times New Roman" w:eastAsiaTheme="minorEastAsia"/>
          <w:w w:val="99"/>
          <w:kern w:val="24"/>
          <w:sz w:val="24"/>
          <w:szCs w:val="24"/>
        </w:rPr>
      </w:pPr>
      <w:r>
        <w:rPr>
          <w:rFonts w:hint="default" w:ascii="Times New Roman" w:hAnsi="Times New Roman" w:cs="Times New Roman" w:eastAsiaTheme="minorEastAsia"/>
          <w:w w:val="99"/>
          <w:kern w:val="24"/>
          <w:sz w:val="24"/>
          <w:szCs w:val="24"/>
        </w:rPr>
        <w:t>多年资料分析的风向玫瑰图见图</w:t>
      </w:r>
      <w:r>
        <w:rPr>
          <w:rFonts w:hint="default" w:ascii="Times New Roman" w:hAnsi="Times New Roman" w:cs="Times New Roman" w:eastAsiaTheme="minorEastAsia"/>
          <w:w w:val="99"/>
          <w:sz w:val="24"/>
          <w:szCs w:val="24"/>
        </w:rPr>
        <w:t>4-1-2</w:t>
      </w:r>
      <w:r>
        <w:rPr>
          <w:rFonts w:hint="default" w:ascii="Times New Roman" w:hAnsi="Times New Roman" w:cs="Times New Roman" w:eastAsiaTheme="minorEastAsia"/>
          <w:w w:val="99"/>
          <w:kern w:val="24"/>
          <w:sz w:val="24"/>
          <w:szCs w:val="24"/>
        </w:rPr>
        <w:t>，安达气象站主要风向为SW和WSW、SSW、NNW，占36.9％，其中以SW为主风向，占到全年10.2％左右。</w:t>
      </w:r>
    </w:p>
    <w:p>
      <w:pPr>
        <w:spacing w:line="480" w:lineRule="auto"/>
        <w:ind w:firstLine="475"/>
        <w:jc w:val="center"/>
        <w:rPr>
          <w:rFonts w:hint="default" w:ascii="Times New Roman" w:hAnsi="Times New Roman" w:cs="Times New Roman" w:eastAsiaTheme="minorEastAsia"/>
          <w:w w:val="99"/>
          <w:sz w:val="24"/>
        </w:rPr>
      </w:pPr>
      <w:r>
        <w:rPr>
          <w:rFonts w:hint="default" w:ascii="Times New Roman" w:hAnsi="Times New Roman" w:cs="Times New Roman" w:eastAsiaTheme="minorEastAsia"/>
          <w:w w:val="99"/>
          <w:sz w:val="24"/>
        </w:rPr>
        <w:drawing>
          <wp:inline distT="0" distB="0" distL="0" distR="0">
            <wp:extent cx="2439670" cy="2277745"/>
            <wp:effectExtent l="9525" t="9525" r="27305" b="17780"/>
            <wp:docPr id="10" name="图片 1" descr="NQ`1@_08%B4U}71UAU]BZ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NQ`1@_08%B4U}71UAU]BZHV"/>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439670" cy="2277745"/>
                    </a:xfrm>
                    <a:prstGeom prst="rect">
                      <a:avLst/>
                    </a:prstGeom>
                    <a:noFill/>
                    <a:ln>
                      <a:solidFill>
                        <a:schemeClr val="tx1"/>
                      </a:solidFill>
                    </a:ln>
                  </pic:spPr>
                </pic:pic>
              </a:graphicData>
            </a:graphic>
          </wp:inline>
        </w:drawing>
      </w:r>
    </w:p>
    <w:p>
      <w:pPr>
        <w:spacing w:line="480" w:lineRule="auto"/>
        <w:ind w:firstLine="473"/>
        <w:jc w:val="center"/>
        <w:rPr>
          <w:rFonts w:hint="default" w:ascii="Times New Roman" w:hAnsi="Times New Roman" w:cs="Times New Roman" w:eastAsiaTheme="minorEastAsia"/>
          <w:w w:val="99"/>
          <w:sz w:val="24"/>
        </w:rPr>
      </w:pPr>
      <w:r>
        <w:rPr>
          <w:rFonts w:hint="default" w:ascii="Times New Roman" w:hAnsi="Times New Roman" w:cs="Times New Roman" w:eastAsiaTheme="minorEastAsia"/>
          <w:w w:val="99"/>
          <w:sz w:val="24"/>
        </w:rPr>
        <w:t xml:space="preserve">    图4-1-2 安达市风向玫瑰图（静风频率5.0%）</w:t>
      </w:r>
    </w:p>
    <w:p>
      <w:pPr>
        <w:spacing w:line="480" w:lineRule="auto"/>
        <w:ind w:firstLine="475"/>
        <w:jc w:val="center"/>
        <w:rPr>
          <w:rFonts w:hint="default" w:ascii="Times New Roman" w:hAnsi="Times New Roman" w:cs="Times New Roman" w:eastAsiaTheme="minorEastAsia"/>
          <w:w w:val="99"/>
          <w:sz w:val="24"/>
        </w:rPr>
      </w:pPr>
      <w:r>
        <w:rPr>
          <w:rFonts w:hint="default" w:ascii="Times New Roman" w:hAnsi="Times New Roman" w:cs="Times New Roman" w:eastAsiaTheme="minorEastAsia"/>
          <w:w w:val="99"/>
          <w:sz w:val="24"/>
          <w:bdr w:val="single" w:color="auto" w:sz="4" w:space="0"/>
        </w:rPr>
        <w:drawing>
          <wp:inline distT="0" distB="0" distL="0" distR="0">
            <wp:extent cx="3832225" cy="2066925"/>
            <wp:effectExtent l="0" t="0" r="15875" b="9525"/>
            <wp:docPr id="1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spacing w:line="480" w:lineRule="auto"/>
        <w:ind w:firstLine="473"/>
        <w:jc w:val="center"/>
        <w:rPr>
          <w:rFonts w:hint="default" w:ascii="Times New Roman" w:hAnsi="Times New Roman" w:cs="Times New Roman" w:eastAsiaTheme="minorEastAsia"/>
          <w:w w:val="99"/>
          <w:sz w:val="24"/>
        </w:rPr>
      </w:pPr>
      <w:r>
        <w:rPr>
          <w:rFonts w:hint="default" w:ascii="Times New Roman" w:hAnsi="Times New Roman" w:cs="Times New Roman" w:eastAsiaTheme="minorEastAsia"/>
          <w:w w:val="99"/>
          <w:sz w:val="24"/>
        </w:rPr>
        <w:t>图4-1-3 累年平均降水量与气温分布图</w:t>
      </w:r>
    </w:p>
    <w:p>
      <w:pPr>
        <w:pStyle w:val="1167"/>
        <w:spacing w:line="480" w:lineRule="exact"/>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4.1.4 水文地质</w:t>
      </w:r>
    </w:p>
    <w:p>
      <w:pPr>
        <w:adjustRightInd/>
        <w:snapToGrid/>
        <w:spacing w:line="480" w:lineRule="exact"/>
        <w:ind w:firstLine="560"/>
        <w:rPr>
          <w:rFonts w:hint="default" w:ascii="Times New Roman" w:hAnsi="Times New Roman" w:cs="Times New Roman" w:eastAsiaTheme="minorEastAsia"/>
          <w:bCs/>
          <w:sz w:val="24"/>
          <w:szCs w:val="24"/>
        </w:rPr>
      </w:pPr>
      <w:bookmarkStart w:id="119" w:name="_Toc17898198"/>
      <w:bookmarkStart w:id="120" w:name="_Toc3121137"/>
      <w:bookmarkStart w:id="121" w:name="_Toc308182135"/>
      <w:bookmarkStart w:id="122" w:name="_Toc437331499"/>
      <w:bookmarkStart w:id="123" w:name="_Toc244420164"/>
      <w:bookmarkStart w:id="124" w:name="_Toc115455485"/>
      <w:bookmarkStart w:id="125" w:name="_Toc289433711"/>
      <w:bookmarkStart w:id="126" w:name="_Toc307832612"/>
      <w:r>
        <w:rPr>
          <w:rFonts w:hint="default" w:ascii="Times New Roman" w:hAnsi="Times New Roman" w:cs="Times New Roman" w:eastAsiaTheme="minorEastAsia"/>
          <w:bCs/>
          <w:sz w:val="24"/>
          <w:szCs w:val="24"/>
        </w:rPr>
        <w:t>安达市属松花江以北、嫩江以东的地势低洼地带。境内无自然江河，呈闭流状态。区内零星分布18个泡沼，其中3个泡沼改选为水库，有人工挖掘的安肇新河和东湖水库引渠各1条，全长124km，最大泄洪量30k m</w:t>
      </w:r>
      <w:r>
        <w:rPr>
          <w:rFonts w:hint="default" w:ascii="Times New Roman" w:hAnsi="Times New Roman" w:cs="Times New Roman" w:eastAsiaTheme="minorEastAsia"/>
          <w:bCs/>
          <w:sz w:val="24"/>
          <w:szCs w:val="24"/>
          <w:vertAlign w:val="superscript"/>
        </w:rPr>
        <w:t>3</w:t>
      </w:r>
      <w:r>
        <w:rPr>
          <w:rFonts w:hint="default" w:ascii="Times New Roman" w:hAnsi="Times New Roman" w:cs="Times New Roman" w:eastAsiaTheme="minorEastAsia"/>
          <w:bCs/>
          <w:sz w:val="24"/>
          <w:szCs w:val="24"/>
        </w:rPr>
        <w:t>/s。1976年，人工修筑任民引渠1条，全长41.8km，流量7.5m</w:t>
      </w:r>
      <w:r>
        <w:rPr>
          <w:rFonts w:hint="default" w:ascii="Times New Roman" w:hAnsi="Times New Roman" w:cs="Times New Roman" w:eastAsiaTheme="minorEastAsia"/>
          <w:bCs/>
          <w:sz w:val="24"/>
          <w:szCs w:val="24"/>
          <w:vertAlign w:val="superscript"/>
        </w:rPr>
        <w:t>3</w:t>
      </w:r>
      <w:r>
        <w:rPr>
          <w:rFonts w:hint="default" w:ascii="Times New Roman" w:hAnsi="Times New Roman" w:cs="Times New Roman" w:eastAsiaTheme="minorEastAsia"/>
          <w:bCs/>
          <w:sz w:val="24"/>
          <w:szCs w:val="24"/>
        </w:rPr>
        <w:t>/s。水资源总贮量约为2.7亿m</w:t>
      </w:r>
      <w:r>
        <w:rPr>
          <w:rFonts w:hint="default" w:ascii="Times New Roman" w:hAnsi="Times New Roman" w:cs="Times New Roman" w:eastAsiaTheme="minorEastAsia"/>
          <w:bCs/>
          <w:sz w:val="24"/>
          <w:szCs w:val="24"/>
          <w:vertAlign w:val="superscript"/>
        </w:rPr>
        <w:t>3</w:t>
      </w:r>
      <w:r>
        <w:rPr>
          <w:rFonts w:hint="default" w:ascii="Times New Roman" w:hAnsi="Times New Roman" w:cs="Times New Roman" w:eastAsiaTheme="minorEastAsia"/>
          <w:bCs/>
          <w:sz w:val="24"/>
          <w:szCs w:val="24"/>
        </w:rPr>
        <w:t>，年可开采量约为2.4亿m</w:t>
      </w:r>
      <w:r>
        <w:rPr>
          <w:rFonts w:hint="default" w:ascii="Times New Roman" w:hAnsi="Times New Roman" w:cs="Times New Roman" w:eastAsiaTheme="minorEastAsia"/>
          <w:bCs/>
          <w:sz w:val="24"/>
          <w:szCs w:val="24"/>
          <w:vertAlign w:val="superscript"/>
        </w:rPr>
        <w:t>3</w:t>
      </w:r>
      <w:r>
        <w:rPr>
          <w:rFonts w:hint="default" w:ascii="Times New Roman" w:hAnsi="Times New Roman" w:cs="Times New Roman" w:eastAsiaTheme="minorEastAsia"/>
          <w:bCs/>
          <w:sz w:val="24"/>
          <w:szCs w:val="24"/>
        </w:rPr>
        <w:t>。承压水含水层在20米上下，水质较好。</w:t>
      </w:r>
    </w:p>
    <w:p>
      <w:pPr>
        <w:adjustRightInd/>
        <w:snapToGrid/>
        <w:spacing w:line="480" w:lineRule="exact"/>
        <w:ind w:firstLine="560"/>
        <w:rPr>
          <w:rFonts w:hint="default" w:ascii="Times New Roman" w:hAnsi="Times New Roman" w:cs="Times New Roman" w:eastAsiaTheme="minorEastAsia"/>
          <w:bCs/>
          <w:sz w:val="24"/>
          <w:szCs w:val="24"/>
        </w:rPr>
      </w:pPr>
      <w:r>
        <w:rPr>
          <w:rFonts w:hint="default" w:ascii="Times New Roman" w:hAnsi="Times New Roman" w:cs="Times New Roman" w:eastAsiaTheme="minorEastAsia"/>
          <w:bCs/>
          <w:sz w:val="24"/>
          <w:szCs w:val="24"/>
        </w:rPr>
        <w:t>全市多年年平均水量为411.3mm，据市县8个观察站1956-1979年同步代表系列资料计算，折合水量15亿m</w:t>
      </w:r>
      <w:r>
        <w:rPr>
          <w:rFonts w:hint="default" w:ascii="Times New Roman" w:hAnsi="Times New Roman" w:cs="Times New Roman" w:eastAsiaTheme="minorEastAsia"/>
          <w:bCs/>
          <w:sz w:val="24"/>
          <w:szCs w:val="24"/>
          <w:vertAlign w:val="superscript"/>
        </w:rPr>
        <w:t>3</w:t>
      </w:r>
      <w:r>
        <w:rPr>
          <w:rFonts w:hint="default" w:ascii="Times New Roman" w:hAnsi="Times New Roman" w:cs="Times New Roman" w:eastAsiaTheme="minorEastAsia"/>
          <w:bCs/>
          <w:sz w:val="24"/>
          <w:szCs w:val="24"/>
        </w:rPr>
        <w:t>，产生地表径流。多年平均径流深3.9mm，径流量为1399万m</w:t>
      </w:r>
      <w:r>
        <w:rPr>
          <w:rFonts w:hint="default" w:ascii="Times New Roman" w:hAnsi="Times New Roman" w:cs="Times New Roman" w:eastAsiaTheme="minorEastAsia"/>
          <w:bCs/>
          <w:sz w:val="24"/>
          <w:szCs w:val="24"/>
          <w:vertAlign w:val="superscript"/>
        </w:rPr>
        <w:t>3</w:t>
      </w:r>
      <w:r>
        <w:rPr>
          <w:rFonts w:hint="default" w:ascii="Times New Roman" w:hAnsi="Times New Roman" w:cs="Times New Roman" w:eastAsiaTheme="minorEastAsia"/>
          <w:bCs/>
          <w:sz w:val="24"/>
          <w:szCs w:val="24"/>
        </w:rPr>
        <w:t>；两年一遇径流深1.99mm，径流量为714万m</w:t>
      </w:r>
      <w:r>
        <w:rPr>
          <w:rFonts w:hint="default" w:ascii="Times New Roman" w:hAnsi="Times New Roman" w:cs="Times New Roman" w:eastAsiaTheme="minorEastAsia"/>
          <w:bCs/>
          <w:sz w:val="24"/>
          <w:szCs w:val="24"/>
          <w:vertAlign w:val="superscript"/>
        </w:rPr>
        <w:t>3</w:t>
      </w:r>
      <w:r>
        <w:rPr>
          <w:rFonts w:hint="default" w:ascii="Times New Roman" w:hAnsi="Times New Roman" w:cs="Times New Roman" w:eastAsiaTheme="minorEastAsia"/>
          <w:bCs/>
          <w:sz w:val="24"/>
          <w:szCs w:val="24"/>
        </w:rPr>
        <w:t>；五年一遇径流深为6.44mm，径流量2320万m</w:t>
      </w:r>
      <w:r>
        <w:rPr>
          <w:rFonts w:hint="default" w:ascii="Times New Roman" w:hAnsi="Times New Roman" w:cs="Times New Roman" w:eastAsiaTheme="minorEastAsia"/>
          <w:bCs/>
          <w:sz w:val="24"/>
          <w:szCs w:val="24"/>
          <w:vertAlign w:val="superscript"/>
        </w:rPr>
        <w:t>3</w:t>
      </w:r>
      <w:r>
        <w:rPr>
          <w:rFonts w:hint="default" w:ascii="Times New Roman" w:hAnsi="Times New Roman" w:cs="Times New Roman" w:eastAsiaTheme="minorEastAsia"/>
          <w:bCs/>
          <w:sz w:val="24"/>
          <w:szCs w:val="24"/>
        </w:rPr>
        <w:t>。全市径流深区域分布不均，由东向西均减，东部地区多年平均径流深在25.0mm以上，西部为零，径流深零线基本上沿安达-青冈和安达-大同公路穿过市境。径流量年内分配不均，6-9月径流量占全年径流量的79.7%，10月-次年2月占5.8%。</w:t>
      </w:r>
    </w:p>
    <w:p>
      <w:pPr>
        <w:adjustRightInd/>
        <w:snapToGrid/>
        <w:spacing w:line="480" w:lineRule="exact"/>
        <w:ind w:firstLine="560"/>
        <w:rPr>
          <w:rFonts w:hint="default" w:ascii="Times New Roman" w:hAnsi="Times New Roman" w:cs="Times New Roman" w:eastAsiaTheme="minorEastAsia"/>
          <w:bCs/>
          <w:sz w:val="24"/>
          <w:szCs w:val="24"/>
        </w:rPr>
      </w:pPr>
      <w:r>
        <w:rPr>
          <w:rFonts w:hint="default" w:ascii="Times New Roman" w:hAnsi="Times New Roman" w:cs="Times New Roman" w:eastAsiaTheme="minorEastAsia"/>
          <w:bCs/>
          <w:sz w:val="24"/>
          <w:szCs w:val="24"/>
        </w:rPr>
        <w:t>安达市地下水常见开采的为第四纪潜水和承压水两种，总贮量约为74.13亿m</w:t>
      </w:r>
      <w:r>
        <w:rPr>
          <w:rFonts w:hint="default" w:ascii="Times New Roman" w:hAnsi="Times New Roman" w:cs="Times New Roman" w:eastAsiaTheme="minorEastAsia"/>
          <w:bCs/>
          <w:sz w:val="24"/>
          <w:szCs w:val="24"/>
          <w:vertAlign w:val="superscript"/>
        </w:rPr>
        <w:t>3</w:t>
      </w:r>
      <w:r>
        <w:rPr>
          <w:rFonts w:hint="default" w:ascii="Times New Roman" w:hAnsi="Times New Roman" w:cs="Times New Roman" w:eastAsiaTheme="minorEastAsia"/>
          <w:bCs/>
          <w:sz w:val="24"/>
          <w:szCs w:val="24"/>
        </w:rPr>
        <w:t>。年可开采量为5.86亿m</w:t>
      </w:r>
      <w:r>
        <w:rPr>
          <w:rFonts w:hint="default" w:ascii="Times New Roman" w:hAnsi="Times New Roman" w:cs="Times New Roman" w:eastAsiaTheme="minorEastAsia"/>
          <w:bCs/>
          <w:sz w:val="24"/>
          <w:szCs w:val="24"/>
          <w:vertAlign w:val="superscript"/>
        </w:rPr>
        <w:t>3</w:t>
      </w:r>
      <w:r>
        <w:rPr>
          <w:rFonts w:hint="default" w:ascii="Times New Roman" w:hAnsi="Times New Roman" w:cs="Times New Roman" w:eastAsiaTheme="minorEastAsia"/>
          <w:bCs/>
          <w:sz w:val="24"/>
          <w:szCs w:val="24"/>
        </w:rPr>
        <w:t>，其中潜水3.06亿m</w:t>
      </w:r>
      <w:r>
        <w:rPr>
          <w:rFonts w:hint="default" w:ascii="Times New Roman" w:hAnsi="Times New Roman" w:cs="Times New Roman" w:eastAsiaTheme="minorEastAsia"/>
          <w:bCs/>
          <w:sz w:val="24"/>
          <w:szCs w:val="24"/>
          <w:vertAlign w:val="superscript"/>
        </w:rPr>
        <w:t>3</w:t>
      </w:r>
      <w:r>
        <w:rPr>
          <w:rFonts w:hint="default" w:ascii="Times New Roman" w:hAnsi="Times New Roman" w:cs="Times New Roman" w:eastAsiaTheme="minorEastAsia"/>
          <w:bCs/>
          <w:sz w:val="24"/>
          <w:szCs w:val="24"/>
        </w:rPr>
        <w:t>，承压水2.8亿m</w:t>
      </w:r>
      <w:r>
        <w:rPr>
          <w:rFonts w:hint="default" w:ascii="Times New Roman" w:hAnsi="Times New Roman" w:cs="Times New Roman" w:eastAsiaTheme="minorEastAsia"/>
          <w:bCs/>
          <w:sz w:val="24"/>
          <w:szCs w:val="24"/>
          <w:vertAlign w:val="superscript"/>
        </w:rPr>
        <w:t>3</w:t>
      </w:r>
      <w:r>
        <w:rPr>
          <w:rFonts w:hint="default" w:ascii="Times New Roman" w:hAnsi="Times New Roman" w:cs="Times New Roman" w:eastAsiaTheme="minorEastAsia"/>
          <w:bCs/>
          <w:sz w:val="24"/>
          <w:szCs w:val="24"/>
        </w:rPr>
        <w:t>，潜水埋深2-8米，受污染，水质差，酸碱度6-8mm/L，总碱度7.6-19.0mm/L，含氟量2-4mm/L。承压水含水层顶板埋深在20m上下，水质好，酸碱度在7.2mm/L左右，总碱度6.3-1.5mm/L，含氟量0.67-1.5mm/L。</w:t>
      </w:r>
    </w:p>
    <w:p>
      <w:pPr>
        <w:adjustRightInd/>
        <w:snapToGrid/>
        <w:spacing w:line="480" w:lineRule="exact"/>
        <w:ind w:firstLine="560"/>
        <w:rPr>
          <w:rFonts w:hint="default" w:ascii="Times New Roman" w:hAnsi="Times New Roman" w:cs="Times New Roman" w:eastAsiaTheme="minorEastAsia"/>
          <w:bCs/>
          <w:sz w:val="24"/>
          <w:szCs w:val="24"/>
        </w:rPr>
      </w:pPr>
      <w:r>
        <w:rPr>
          <w:rFonts w:hint="default" w:ascii="Times New Roman" w:hAnsi="Times New Roman" w:cs="Times New Roman" w:eastAsiaTheme="minorEastAsia"/>
          <w:bCs/>
          <w:sz w:val="24"/>
          <w:szCs w:val="24"/>
        </w:rPr>
        <w:t>评价区地形坡降小于1%，平均径流深为112mm。地下水埋藏较浅，为砂砾石孔隙水，厚度3m-5m，局部具有承压性，富水性中等。前第四纪基岩裂隙水广泛分布于基岩区，地下水埋深一般大于10m。</w:t>
      </w:r>
    </w:p>
    <w:p>
      <w:pPr>
        <w:pStyle w:val="1167"/>
        <w:spacing w:line="480" w:lineRule="exact"/>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4.1.5 土壤</w:t>
      </w:r>
      <w:bookmarkEnd w:id="119"/>
      <w:r>
        <w:rPr>
          <w:rFonts w:hint="default" w:ascii="Times New Roman" w:hAnsi="Times New Roman" w:cs="Times New Roman" w:eastAsiaTheme="minorEastAsia"/>
          <w:color w:val="000000" w:themeColor="text1"/>
          <w:sz w:val="24"/>
          <w:szCs w:val="24"/>
          <w14:textFill>
            <w14:solidFill>
              <w14:schemeClr w14:val="tx1"/>
            </w14:solidFill>
          </w14:textFill>
        </w:rPr>
        <w:t>及植被</w:t>
      </w:r>
    </w:p>
    <w:p>
      <w:pPr>
        <w:adjustRightInd/>
        <w:snapToGrid/>
        <w:spacing w:line="480" w:lineRule="exact"/>
        <w:ind w:firstLine="560"/>
        <w:rPr>
          <w:rFonts w:hint="default" w:ascii="Times New Roman" w:hAnsi="Times New Roman" w:cs="Times New Roman" w:eastAsiaTheme="minorEastAsia"/>
          <w:bCs/>
          <w:sz w:val="24"/>
          <w:szCs w:val="24"/>
        </w:rPr>
      </w:pPr>
      <w:r>
        <w:rPr>
          <w:rFonts w:hint="default" w:ascii="Times New Roman" w:hAnsi="Times New Roman" w:cs="Times New Roman" w:eastAsiaTheme="minorEastAsia"/>
          <w:bCs/>
          <w:sz w:val="24"/>
          <w:szCs w:val="24"/>
        </w:rPr>
        <w:t>安达土壤处在东亚大陆地带性土壤-黑钙土带内。在形成过程中，受周围自然条件影响，在这一具有代表性的土壤带内，又发育了较大面积的隐域性土壤-盐碱化草甸土、沼泽土和风沙土。全市土壤面积33.36万公顷，大体上可分为6类。</w:t>
      </w:r>
    </w:p>
    <w:p>
      <w:pPr>
        <w:adjustRightInd/>
        <w:snapToGrid/>
        <w:spacing w:line="480" w:lineRule="exact"/>
        <w:ind w:firstLine="560"/>
        <w:rPr>
          <w:rFonts w:hint="default" w:ascii="Times New Roman" w:hAnsi="Times New Roman" w:cs="Times New Roman" w:eastAsiaTheme="minorEastAsia"/>
          <w:bCs/>
          <w:sz w:val="24"/>
          <w:szCs w:val="24"/>
        </w:rPr>
      </w:pPr>
      <w:r>
        <w:rPr>
          <w:rFonts w:hint="default" w:ascii="Times New Roman" w:hAnsi="Times New Roman" w:cs="Times New Roman" w:eastAsiaTheme="minorEastAsia"/>
          <w:bCs/>
          <w:sz w:val="24"/>
          <w:szCs w:val="24"/>
        </w:rPr>
        <w:t>①黑钙土类。俗称"黑土"，包括碳酸盐草甸黑钙土和粘底草甸黑钙土，面积为10.35万公顷，占全市土壤面积的31.03%，其中耕地7860公顷，是安达市主要的农业用地。全市各乡、镇、场均有分布。</w:t>
      </w:r>
    </w:p>
    <w:p>
      <w:pPr>
        <w:adjustRightInd/>
        <w:snapToGrid/>
        <w:spacing w:line="480" w:lineRule="exact"/>
        <w:ind w:firstLine="560"/>
        <w:rPr>
          <w:rFonts w:hint="default" w:ascii="Times New Roman" w:hAnsi="Times New Roman" w:cs="Times New Roman" w:eastAsiaTheme="minorEastAsia"/>
          <w:bCs/>
          <w:sz w:val="24"/>
          <w:szCs w:val="24"/>
        </w:rPr>
      </w:pPr>
      <w:r>
        <w:rPr>
          <w:rFonts w:hint="default" w:ascii="Times New Roman" w:hAnsi="Times New Roman" w:cs="Times New Roman" w:eastAsiaTheme="minorEastAsia"/>
          <w:bCs/>
          <w:sz w:val="24"/>
          <w:szCs w:val="24"/>
        </w:rPr>
        <w:t>②草甸土类。主要分布在冲积湖积平原低洼地带，面积为17.22万公顷，占全市土壤面积的51.62%，是地下水和地表水的汇集中心，土壤溶液中所含矿物质养分较丰富。这类土壤由于所处条件的不同，分别发育为碳酸盐草甸土、碳酸盐潜育草甸土、盐化草甸土和碱化草甸土。</w:t>
      </w:r>
    </w:p>
    <w:p>
      <w:pPr>
        <w:adjustRightInd/>
        <w:snapToGrid/>
        <w:spacing w:line="480" w:lineRule="exact"/>
        <w:ind w:firstLine="560"/>
        <w:rPr>
          <w:rFonts w:hint="default" w:ascii="Times New Roman" w:hAnsi="Times New Roman" w:cs="Times New Roman" w:eastAsiaTheme="minorEastAsia"/>
          <w:bCs/>
          <w:sz w:val="24"/>
          <w:szCs w:val="24"/>
        </w:rPr>
      </w:pPr>
      <w:r>
        <w:rPr>
          <w:rFonts w:hint="default" w:ascii="Times New Roman" w:hAnsi="Times New Roman" w:cs="Times New Roman" w:eastAsiaTheme="minorEastAsia"/>
          <w:bCs/>
          <w:sz w:val="24"/>
          <w:szCs w:val="24"/>
        </w:rPr>
        <w:t>③沼泽土类。主要分布在平原低洼地区或水泡子周围，与盐渍化土壤组成复区。面积为1.23万公顷，占全市总面积的3.09%。因地势低洼，雨季常有积水，排水不畅，盐分易于聚积；土壤水分过多，通气不良，不适宜耕作。</w:t>
      </w:r>
    </w:p>
    <w:p>
      <w:pPr>
        <w:adjustRightInd/>
        <w:snapToGrid/>
        <w:spacing w:line="480" w:lineRule="exact"/>
        <w:ind w:firstLine="560"/>
        <w:rPr>
          <w:rFonts w:hint="default" w:ascii="Times New Roman" w:hAnsi="Times New Roman" w:cs="Times New Roman" w:eastAsiaTheme="minorEastAsia"/>
          <w:bCs/>
          <w:sz w:val="24"/>
          <w:szCs w:val="24"/>
        </w:rPr>
      </w:pPr>
      <w:r>
        <w:rPr>
          <w:rFonts w:hint="default" w:ascii="Times New Roman" w:hAnsi="Times New Roman" w:cs="Times New Roman" w:eastAsiaTheme="minorEastAsia"/>
          <w:bCs/>
          <w:sz w:val="24"/>
          <w:szCs w:val="24"/>
        </w:rPr>
        <w:t>④盐土类。面积2.01万公顷，占全市土壤面积的6.03%，遍布全市各乡、镇、场。盐土类可分为草甸盐土、碱化盐土、沼泽化盐土。</w:t>
      </w:r>
    </w:p>
    <w:p>
      <w:pPr>
        <w:adjustRightInd/>
        <w:snapToGrid/>
        <w:spacing w:line="480" w:lineRule="exact"/>
        <w:ind w:firstLine="560"/>
        <w:rPr>
          <w:rFonts w:hint="default" w:ascii="Times New Roman" w:hAnsi="Times New Roman" w:cs="Times New Roman" w:eastAsiaTheme="minorEastAsia"/>
          <w:bCs/>
          <w:sz w:val="24"/>
          <w:szCs w:val="24"/>
        </w:rPr>
      </w:pPr>
      <w:r>
        <w:rPr>
          <w:rFonts w:hint="default" w:ascii="Times New Roman" w:hAnsi="Times New Roman" w:cs="Times New Roman" w:eastAsiaTheme="minorEastAsia"/>
          <w:bCs/>
          <w:sz w:val="24"/>
          <w:szCs w:val="24"/>
        </w:rPr>
        <w:t>⑤碱土类。面积1.81万公顷，占全市土壤面积的5.43%。广泛分布在平原低洼地带，与盐土、盐化草甸土呈复区分布。</w:t>
      </w:r>
    </w:p>
    <w:p>
      <w:pPr>
        <w:adjustRightInd/>
        <w:snapToGrid/>
        <w:spacing w:line="480" w:lineRule="exact"/>
        <w:ind w:firstLine="560"/>
        <w:rPr>
          <w:rFonts w:hint="default" w:ascii="Times New Roman" w:hAnsi="Times New Roman" w:cs="Times New Roman" w:eastAsiaTheme="minorEastAsia"/>
          <w:bCs/>
          <w:sz w:val="24"/>
          <w:szCs w:val="24"/>
        </w:rPr>
      </w:pPr>
      <w:r>
        <w:rPr>
          <w:rFonts w:hint="default" w:ascii="Times New Roman" w:hAnsi="Times New Roman" w:cs="Times New Roman" w:eastAsiaTheme="minorEastAsia"/>
          <w:bCs/>
          <w:sz w:val="24"/>
          <w:szCs w:val="24"/>
        </w:rPr>
        <w:t>⑥砂土类。砂土属黑钙土型，常见为固定已久的砂丘，面积4133公顷，占全市土壤面积的1.24%。主要分布在几个蓄水泡沼沿岸，土质瘠薄，风蚀严重。</w:t>
      </w:r>
    </w:p>
    <w:p>
      <w:pPr>
        <w:pStyle w:val="639"/>
        <w:rPr>
          <w:rFonts w:hint="default" w:ascii="Times New Roman" w:hAnsi="Times New Roman" w:cs="Times New Roman" w:eastAsiaTheme="minorEastAsia"/>
          <w:b/>
          <w:bCs w:val="0"/>
          <w:color w:val="000000" w:themeColor="text1"/>
          <w:sz w:val="28"/>
          <w:szCs w:val="28"/>
          <w14:textFill>
            <w14:solidFill>
              <w14:schemeClr w14:val="tx1"/>
            </w14:solidFill>
          </w14:textFill>
        </w:rPr>
      </w:pPr>
      <w:bookmarkStart w:id="127" w:name="_Toc15999"/>
      <w:r>
        <w:rPr>
          <w:rFonts w:hint="default" w:ascii="Times New Roman" w:hAnsi="Times New Roman" w:cs="Times New Roman" w:eastAsiaTheme="minorEastAsia"/>
          <w:b/>
          <w:bCs w:val="0"/>
          <w:color w:val="000000" w:themeColor="text1"/>
          <w:sz w:val="28"/>
          <w:szCs w:val="28"/>
          <w14:textFill>
            <w14:solidFill>
              <w14:schemeClr w14:val="tx1"/>
            </w14:solidFill>
          </w14:textFill>
        </w:rPr>
        <w:t>4.2 环境保护目标调查</w:t>
      </w:r>
      <w:bookmarkEnd w:id="120"/>
      <w:bookmarkEnd w:id="127"/>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根据《建设项目环境影响评价技术导则 总纲》（HJ2.1-2016）进行环境保护目标调查，调查评价范围内环境功能区划和主要环境敏感区，详细了解环境保护目标的地理位置、服务功能、四至范围、保护对象和要求等，本项目周围无国家、省、市级自然保护区、风景名胜区和文物保护单位等环境敏感区，具体见表4-2-1。</w:t>
      </w:r>
    </w:p>
    <w:p>
      <w:pPr>
        <w:tabs>
          <w:tab w:val="center" w:pos="4252"/>
        </w:tabs>
        <w:ind w:firstLine="0" w:firstLineChars="0"/>
        <w:rPr>
          <w:rFonts w:hint="default" w:ascii="Times New Roman" w:hAnsi="Times New Roman" w:cs="Times New Roman" w:eastAsiaTheme="minorEastAsia"/>
          <w:color w:val="000000" w:themeColor="text1"/>
          <w:sz w:val="24"/>
          <w:szCs w:val="24"/>
          <w14:textFill>
            <w14:solidFill>
              <w14:schemeClr w14:val="tx1"/>
            </w14:solidFill>
          </w14:textFill>
        </w:rPr>
        <w:sectPr>
          <w:footerReference r:id="rId31" w:type="default"/>
          <w:pgSz w:w="11907" w:h="16840"/>
          <w:pgMar w:top="1701" w:right="1701" w:bottom="1474" w:left="1701" w:header="1134" w:footer="1134" w:gutter="0"/>
          <w:pgBorders>
            <w:top w:val="none" w:sz="0" w:space="0"/>
            <w:left w:val="none" w:sz="0" w:space="0"/>
            <w:bottom w:val="none" w:sz="0" w:space="0"/>
            <w:right w:val="none" w:sz="0" w:space="0"/>
          </w:pgBorders>
          <w:cols w:space="720" w:num="1"/>
          <w:docGrid w:linePitch="312" w:charSpace="0"/>
        </w:sectPr>
      </w:pPr>
    </w:p>
    <w:p>
      <w:pPr>
        <w:ind w:firstLine="480"/>
        <w:jc w:val="center"/>
        <w:rPr>
          <w:rFonts w:hint="default" w:ascii="Times New Roman" w:hAnsi="Times New Roman" w:cs="Times New Roman" w:eastAsiaTheme="minorEastAsia"/>
          <w:bCs/>
          <w:iCs/>
          <w:color w:val="auto"/>
          <w:sz w:val="24"/>
          <w:highlight w:val="none"/>
        </w:rPr>
      </w:pPr>
      <w:r>
        <w:rPr>
          <w:rFonts w:hint="default" w:ascii="Times New Roman" w:hAnsi="Times New Roman" w:cs="Times New Roman" w:eastAsiaTheme="minorEastAsia"/>
          <w:bCs/>
          <w:iCs/>
          <w:color w:val="auto"/>
          <w:sz w:val="24"/>
          <w:highlight w:val="none"/>
        </w:rPr>
        <w:t>表4-2-1 主要环境保护目标调查情况</w:t>
      </w:r>
    </w:p>
    <w:tbl>
      <w:tblPr>
        <w:tblStyle w:val="9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300"/>
        <w:gridCol w:w="1112"/>
        <w:gridCol w:w="1276"/>
        <w:gridCol w:w="1236"/>
        <w:gridCol w:w="822"/>
        <w:gridCol w:w="1974"/>
        <w:gridCol w:w="1473"/>
        <w:gridCol w:w="1343"/>
        <w:gridCol w:w="26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3" w:type="dxa"/>
            <w:vMerge w:val="restart"/>
            <w:vAlign w:val="center"/>
          </w:tcPr>
          <w:p>
            <w:pPr>
              <w:pStyle w:val="666"/>
              <w:spacing w:line="30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序号</w:t>
            </w:r>
          </w:p>
        </w:tc>
        <w:tc>
          <w:tcPr>
            <w:tcW w:w="1300" w:type="dxa"/>
            <w:vMerge w:val="restart"/>
            <w:vAlign w:val="center"/>
          </w:tcPr>
          <w:p>
            <w:pPr>
              <w:pStyle w:val="666"/>
              <w:spacing w:line="30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环境要素</w:t>
            </w:r>
          </w:p>
        </w:tc>
        <w:tc>
          <w:tcPr>
            <w:tcW w:w="1112" w:type="dxa"/>
            <w:vMerge w:val="restart"/>
            <w:vAlign w:val="center"/>
          </w:tcPr>
          <w:p>
            <w:pPr>
              <w:pStyle w:val="666"/>
              <w:spacing w:line="30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保护对象</w:t>
            </w:r>
          </w:p>
        </w:tc>
        <w:tc>
          <w:tcPr>
            <w:tcW w:w="2512" w:type="dxa"/>
            <w:gridSpan w:val="2"/>
            <w:vAlign w:val="center"/>
          </w:tcPr>
          <w:p>
            <w:pPr>
              <w:pStyle w:val="666"/>
              <w:spacing w:line="30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地理位置</w:t>
            </w:r>
          </w:p>
        </w:tc>
        <w:tc>
          <w:tcPr>
            <w:tcW w:w="822" w:type="dxa"/>
            <w:vMerge w:val="restart"/>
            <w:vAlign w:val="center"/>
          </w:tcPr>
          <w:p>
            <w:pPr>
              <w:pStyle w:val="666"/>
              <w:spacing w:line="30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方位</w:t>
            </w:r>
          </w:p>
        </w:tc>
        <w:tc>
          <w:tcPr>
            <w:tcW w:w="1974" w:type="dxa"/>
            <w:vMerge w:val="restart"/>
            <w:vAlign w:val="center"/>
          </w:tcPr>
          <w:p>
            <w:pPr>
              <w:pStyle w:val="666"/>
              <w:spacing w:line="30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距厂界最近距离（m）</w:t>
            </w:r>
          </w:p>
        </w:tc>
        <w:tc>
          <w:tcPr>
            <w:tcW w:w="1473" w:type="dxa"/>
            <w:vMerge w:val="restart"/>
            <w:vAlign w:val="center"/>
          </w:tcPr>
          <w:p>
            <w:pPr>
              <w:pStyle w:val="666"/>
              <w:spacing w:line="30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服务功能</w:t>
            </w:r>
          </w:p>
        </w:tc>
        <w:tc>
          <w:tcPr>
            <w:tcW w:w="1343" w:type="dxa"/>
            <w:vMerge w:val="restart"/>
            <w:vAlign w:val="center"/>
          </w:tcPr>
          <w:p>
            <w:pPr>
              <w:pStyle w:val="666"/>
              <w:spacing w:line="30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功能区划</w:t>
            </w:r>
          </w:p>
        </w:tc>
        <w:tc>
          <w:tcPr>
            <w:tcW w:w="2672" w:type="dxa"/>
            <w:vMerge w:val="restart"/>
            <w:vAlign w:val="center"/>
          </w:tcPr>
          <w:p>
            <w:pPr>
              <w:pStyle w:val="666"/>
              <w:spacing w:line="30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保护要求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3" w:type="dxa"/>
            <w:vMerge w:val="continue"/>
            <w:vAlign w:val="center"/>
          </w:tcPr>
          <w:p>
            <w:pPr>
              <w:pStyle w:val="666"/>
              <w:spacing w:line="300" w:lineRule="exact"/>
              <w:rPr>
                <w:rFonts w:hint="default" w:ascii="Times New Roman" w:hAnsi="Times New Roman" w:cs="Times New Roman" w:eastAsiaTheme="minorEastAsia"/>
                <w:color w:val="auto"/>
                <w:highlight w:val="none"/>
              </w:rPr>
            </w:pPr>
          </w:p>
        </w:tc>
        <w:tc>
          <w:tcPr>
            <w:tcW w:w="1300" w:type="dxa"/>
            <w:vMerge w:val="continue"/>
            <w:vAlign w:val="center"/>
          </w:tcPr>
          <w:p>
            <w:pPr>
              <w:pStyle w:val="666"/>
              <w:spacing w:line="300" w:lineRule="exact"/>
              <w:rPr>
                <w:rFonts w:hint="default" w:ascii="Times New Roman" w:hAnsi="Times New Roman" w:cs="Times New Roman" w:eastAsiaTheme="minorEastAsia"/>
                <w:color w:val="auto"/>
                <w:highlight w:val="none"/>
              </w:rPr>
            </w:pPr>
          </w:p>
        </w:tc>
        <w:tc>
          <w:tcPr>
            <w:tcW w:w="1112" w:type="dxa"/>
            <w:vMerge w:val="continue"/>
            <w:vAlign w:val="center"/>
          </w:tcPr>
          <w:p>
            <w:pPr>
              <w:pStyle w:val="666"/>
              <w:spacing w:line="300" w:lineRule="exact"/>
              <w:rPr>
                <w:rFonts w:hint="default" w:ascii="Times New Roman" w:hAnsi="Times New Roman" w:cs="Times New Roman" w:eastAsiaTheme="minorEastAsia"/>
                <w:color w:val="auto"/>
                <w:highlight w:val="none"/>
              </w:rPr>
            </w:pPr>
          </w:p>
        </w:tc>
        <w:tc>
          <w:tcPr>
            <w:tcW w:w="1276" w:type="dxa"/>
            <w:vAlign w:val="center"/>
          </w:tcPr>
          <w:p>
            <w:pPr>
              <w:pStyle w:val="666"/>
              <w:spacing w:line="30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东经（°）</w:t>
            </w:r>
          </w:p>
        </w:tc>
        <w:tc>
          <w:tcPr>
            <w:tcW w:w="1236" w:type="dxa"/>
            <w:vAlign w:val="center"/>
          </w:tcPr>
          <w:p>
            <w:pPr>
              <w:pStyle w:val="666"/>
              <w:spacing w:line="30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北纬（°）</w:t>
            </w:r>
          </w:p>
        </w:tc>
        <w:tc>
          <w:tcPr>
            <w:tcW w:w="822" w:type="dxa"/>
            <w:vMerge w:val="continue"/>
            <w:vAlign w:val="center"/>
          </w:tcPr>
          <w:p>
            <w:pPr>
              <w:pStyle w:val="666"/>
              <w:spacing w:line="300" w:lineRule="exact"/>
              <w:rPr>
                <w:rFonts w:hint="default" w:ascii="Times New Roman" w:hAnsi="Times New Roman" w:cs="Times New Roman" w:eastAsiaTheme="minorEastAsia"/>
                <w:color w:val="auto"/>
                <w:highlight w:val="none"/>
              </w:rPr>
            </w:pPr>
          </w:p>
        </w:tc>
        <w:tc>
          <w:tcPr>
            <w:tcW w:w="1974" w:type="dxa"/>
            <w:vMerge w:val="continue"/>
            <w:vAlign w:val="center"/>
          </w:tcPr>
          <w:p>
            <w:pPr>
              <w:pStyle w:val="666"/>
              <w:spacing w:line="300" w:lineRule="exact"/>
              <w:rPr>
                <w:rFonts w:hint="default" w:ascii="Times New Roman" w:hAnsi="Times New Roman" w:cs="Times New Roman" w:eastAsiaTheme="minorEastAsia"/>
                <w:color w:val="auto"/>
                <w:highlight w:val="none"/>
              </w:rPr>
            </w:pPr>
          </w:p>
        </w:tc>
        <w:tc>
          <w:tcPr>
            <w:tcW w:w="1473" w:type="dxa"/>
            <w:vMerge w:val="continue"/>
            <w:vAlign w:val="center"/>
          </w:tcPr>
          <w:p>
            <w:pPr>
              <w:pStyle w:val="666"/>
              <w:spacing w:line="300" w:lineRule="exact"/>
              <w:rPr>
                <w:rFonts w:hint="default" w:ascii="Times New Roman" w:hAnsi="Times New Roman" w:cs="Times New Roman" w:eastAsiaTheme="minorEastAsia"/>
                <w:color w:val="auto"/>
                <w:highlight w:val="none"/>
              </w:rPr>
            </w:pPr>
          </w:p>
        </w:tc>
        <w:tc>
          <w:tcPr>
            <w:tcW w:w="1343" w:type="dxa"/>
            <w:vMerge w:val="continue"/>
            <w:vAlign w:val="center"/>
          </w:tcPr>
          <w:p>
            <w:pPr>
              <w:pStyle w:val="666"/>
              <w:spacing w:line="300" w:lineRule="exact"/>
              <w:rPr>
                <w:rFonts w:hint="default" w:ascii="Times New Roman" w:hAnsi="Times New Roman" w:cs="Times New Roman" w:eastAsiaTheme="minorEastAsia"/>
                <w:color w:val="auto"/>
                <w:highlight w:val="none"/>
              </w:rPr>
            </w:pPr>
          </w:p>
        </w:tc>
        <w:tc>
          <w:tcPr>
            <w:tcW w:w="2672" w:type="dxa"/>
            <w:vMerge w:val="continue"/>
            <w:vAlign w:val="center"/>
          </w:tcPr>
          <w:p>
            <w:pPr>
              <w:pStyle w:val="666"/>
              <w:spacing w:line="300" w:lineRule="exact"/>
              <w:rPr>
                <w:rFonts w:hint="default" w:ascii="Times New Roman" w:hAnsi="Times New Roman" w:cs="Times New Roman"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673" w:type="dxa"/>
            <w:vMerge w:val="restart"/>
            <w:vAlign w:val="center"/>
          </w:tcPr>
          <w:p>
            <w:pPr>
              <w:pStyle w:val="666"/>
              <w:spacing w:line="30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w:t>
            </w:r>
          </w:p>
        </w:tc>
        <w:tc>
          <w:tcPr>
            <w:tcW w:w="1300" w:type="dxa"/>
            <w:vMerge w:val="restart"/>
            <w:vAlign w:val="center"/>
          </w:tcPr>
          <w:p>
            <w:pPr>
              <w:pStyle w:val="666"/>
              <w:spacing w:line="30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环境空气</w:t>
            </w:r>
          </w:p>
        </w:tc>
        <w:tc>
          <w:tcPr>
            <w:tcW w:w="1112" w:type="dxa"/>
            <w:vAlign w:val="center"/>
          </w:tcPr>
          <w:p>
            <w:pPr>
              <w:adjustRightInd w:val="0"/>
              <w:snapToGrid w:val="0"/>
              <w:spacing w:after="0" w:line="400" w:lineRule="exact"/>
              <w:ind w:left="0" w:leftChars="0" w:firstLine="0" w:firstLine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eastAsiaTheme="minorEastAsia"/>
                <w:bCs/>
                <w:color w:val="auto"/>
                <w:sz w:val="21"/>
                <w:szCs w:val="21"/>
                <w:highlight w:val="none"/>
                <w:lang w:val="en-US" w:eastAsia="zh-CN" w:bidi="ar-SA"/>
              </w:rPr>
              <w:t>鞠家窑</w:t>
            </w:r>
          </w:p>
        </w:tc>
        <w:tc>
          <w:tcPr>
            <w:tcW w:w="1276" w:type="dxa"/>
            <w:vAlign w:val="center"/>
          </w:tcPr>
          <w:p>
            <w:pPr>
              <w:adjustRightInd w:val="0"/>
              <w:snapToGrid w:val="0"/>
              <w:spacing w:after="0" w:line="400" w:lineRule="exact"/>
              <w:ind w:left="0" w:leftChars="0" w:firstLine="0" w:firstLine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eastAsiaTheme="minorEastAsia"/>
                <w:bCs/>
                <w:color w:val="auto"/>
                <w:sz w:val="21"/>
                <w:szCs w:val="21"/>
                <w:highlight w:val="none"/>
                <w:lang w:val="en-US" w:eastAsia="zh-CN" w:bidi="ar-SA"/>
              </w:rPr>
              <w:t>125.47297</w:t>
            </w:r>
          </w:p>
        </w:tc>
        <w:tc>
          <w:tcPr>
            <w:tcW w:w="1236" w:type="dxa"/>
            <w:vAlign w:val="center"/>
          </w:tcPr>
          <w:p>
            <w:pPr>
              <w:adjustRightInd w:val="0"/>
              <w:snapToGrid w:val="0"/>
              <w:spacing w:after="0" w:line="400" w:lineRule="exact"/>
              <w:ind w:left="0" w:leftChars="0" w:firstLine="0" w:firstLine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eastAsiaTheme="minorEastAsia"/>
                <w:bCs/>
                <w:color w:val="auto"/>
                <w:sz w:val="21"/>
                <w:szCs w:val="21"/>
                <w:highlight w:val="none"/>
                <w:lang w:val="en-US" w:eastAsia="zh-CN" w:bidi="ar-SA"/>
              </w:rPr>
              <w:t>46.51824</w:t>
            </w:r>
          </w:p>
        </w:tc>
        <w:tc>
          <w:tcPr>
            <w:tcW w:w="822" w:type="dxa"/>
            <w:vAlign w:val="center"/>
          </w:tcPr>
          <w:p>
            <w:pPr>
              <w:pStyle w:val="666"/>
              <w:spacing w:line="400" w:lineRule="exact"/>
              <w:ind w:firstLine="0" w:firstLineChars="0"/>
              <w:rPr>
                <w:rFonts w:hint="default" w:ascii="Times New Roman" w:hAnsi="Times New Roman" w:cs="Times New Roman" w:eastAsiaTheme="minorEastAsia"/>
                <w:bCs/>
                <w:color w:val="auto"/>
                <w:spacing w:val="-20"/>
                <w:kern w:val="0"/>
                <w:sz w:val="21"/>
                <w:szCs w:val="21"/>
                <w:highlight w:val="none"/>
                <w:lang w:val="en-US" w:eastAsia="zh-CN" w:bidi="ar-SA"/>
              </w:rPr>
            </w:pPr>
            <w:r>
              <w:rPr>
                <w:rFonts w:hint="default" w:ascii="Times New Roman" w:hAnsi="Times New Roman" w:cs="Times New Roman" w:eastAsiaTheme="minorEastAsia"/>
                <w:color w:val="auto"/>
                <w:spacing w:val="-20"/>
                <w:highlight w:val="none"/>
              </w:rPr>
              <w:t>N</w:t>
            </w:r>
          </w:p>
        </w:tc>
        <w:tc>
          <w:tcPr>
            <w:tcW w:w="1974" w:type="dxa"/>
            <w:vAlign w:val="center"/>
          </w:tcPr>
          <w:p>
            <w:pPr>
              <w:pStyle w:val="666"/>
              <w:spacing w:line="400" w:lineRule="exact"/>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lang w:val="en-US" w:eastAsia="zh-CN"/>
              </w:rPr>
              <w:t>863</w:t>
            </w:r>
          </w:p>
        </w:tc>
        <w:tc>
          <w:tcPr>
            <w:tcW w:w="1473" w:type="dxa"/>
            <w:vMerge w:val="restart"/>
            <w:vAlign w:val="center"/>
          </w:tcPr>
          <w:p>
            <w:pPr>
              <w:pStyle w:val="666"/>
              <w:spacing w:line="30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居住</w:t>
            </w:r>
          </w:p>
        </w:tc>
        <w:tc>
          <w:tcPr>
            <w:tcW w:w="1343" w:type="dxa"/>
            <w:vMerge w:val="restart"/>
            <w:vAlign w:val="center"/>
          </w:tcPr>
          <w:p>
            <w:pPr>
              <w:pStyle w:val="666"/>
              <w:spacing w:line="30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二类</w:t>
            </w:r>
          </w:p>
        </w:tc>
        <w:tc>
          <w:tcPr>
            <w:tcW w:w="2672" w:type="dxa"/>
            <w:vMerge w:val="restart"/>
            <w:vAlign w:val="center"/>
          </w:tcPr>
          <w:p>
            <w:pPr>
              <w:pStyle w:val="666"/>
              <w:spacing w:line="30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《环境空气质量标准》（GB3095-2012）及其修改单中二级标准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673" w:type="dxa"/>
            <w:vMerge w:val="continue"/>
            <w:vAlign w:val="center"/>
          </w:tcPr>
          <w:p>
            <w:pPr>
              <w:pStyle w:val="666"/>
              <w:spacing w:line="300" w:lineRule="exact"/>
              <w:rPr>
                <w:rFonts w:hint="default" w:ascii="Times New Roman" w:hAnsi="Times New Roman" w:cs="Times New Roman" w:eastAsiaTheme="minorEastAsia"/>
                <w:color w:val="auto"/>
                <w:highlight w:val="none"/>
              </w:rPr>
            </w:pPr>
          </w:p>
        </w:tc>
        <w:tc>
          <w:tcPr>
            <w:tcW w:w="1300" w:type="dxa"/>
            <w:vMerge w:val="continue"/>
            <w:vAlign w:val="center"/>
          </w:tcPr>
          <w:p>
            <w:pPr>
              <w:pStyle w:val="666"/>
              <w:spacing w:line="300" w:lineRule="exact"/>
              <w:rPr>
                <w:rFonts w:hint="default" w:ascii="Times New Roman" w:hAnsi="Times New Roman" w:cs="Times New Roman" w:eastAsiaTheme="minorEastAsia"/>
                <w:color w:val="auto"/>
                <w:highlight w:val="none"/>
              </w:rPr>
            </w:pPr>
          </w:p>
        </w:tc>
        <w:tc>
          <w:tcPr>
            <w:tcW w:w="1112" w:type="dxa"/>
            <w:vAlign w:val="center"/>
          </w:tcPr>
          <w:p>
            <w:pPr>
              <w:adjustRightInd w:val="0"/>
              <w:snapToGrid w:val="0"/>
              <w:spacing w:after="0" w:line="400" w:lineRule="exact"/>
              <w:ind w:left="0" w:leftChars="0" w:firstLine="0" w:firstLine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eastAsiaTheme="minorEastAsia"/>
                <w:bCs/>
                <w:color w:val="auto"/>
                <w:sz w:val="21"/>
                <w:szCs w:val="21"/>
                <w:highlight w:val="none"/>
                <w:lang w:val="en-US" w:eastAsia="zh-CN" w:bidi="ar-SA"/>
              </w:rPr>
              <w:t>红星村</w:t>
            </w:r>
          </w:p>
        </w:tc>
        <w:tc>
          <w:tcPr>
            <w:tcW w:w="1276" w:type="dxa"/>
            <w:vAlign w:val="center"/>
          </w:tcPr>
          <w:p>
            <w:pPr>
              <w:adjustRightInd w:val="0"/>
              <w:snapToGrid w:val="0"/>
              <w:spacing w:after="0" w:line="400" w:lineRule="exact"/>
              <w:ind w:left="0" w:leftChars="0" w:firstLine="0" w:firstLine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eastAsiaTheme="minorEastAsia"/>
                <w:bCs/>
                <w:color w:val="auto"/>
                <w:sz w:val="21"/>
                <w:szCs w:val="21"/>
                <w:highlight w:val="none"/>
                <w:lang w:val="en-US" w:eastAsia="zh-CN" w:bidi="ar-SA"/>
              </w:rPr>
              <w:t>125.44506</w:t>
            </w:r>
          </w:p>
        </w:tc>
        <w:tc>
          <w:tcPr>
            <w:tcW w:w="1236" w:type="dxa"/>
            <w:vAlign w:val="center"/>
          </w:tcPr>
          <w:p>
            <w:pPr>
              <w:adjustRightInd w:val="0"/>
              <w:snapToGrid w:val="0"/>
              <w:spacing w:after="0" w:line="400" w:lineRule="exact"/>
              <w:ind w:left="0" w:leftChars="0" w:firstLine="0" w:firstLine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eastAsiaTheme="minorEastAsia"/>
                <w:bCs/>
                <w:color w:val="auto"/>
                <w:sz w:val="21"/>
                <w:szCs w:val="21"/>
                <w:highlight w:val="none"/>
                <w:lang w:val="en-US" w:eastAsia="zh-CN" w:bidi="ar-SA"/>
              </w:rPr>
              <w:t>46.48876</w:t>
            </w:r>
          </w:p>
        </w:tc>
        <w:tc>
          <w:tcPr>
            <w:tcW w:w="822" w:type="dxa"/>
            <w:vAlign w:val="center"/>
          </w:tcPr>
          <w:p>
            <w:pPr>
              <w:pStyle w:val="666"/>
              <w:spacing w:line="400" w:lineRule="exact"/>
              <w:ind w:firstLine="0" w:firstLineChars="0"/>
              <w:rPr>
                <w:rFonts w:hint="default" w:ascii="Times New Roman" w:hAnsi="Times New Roman" w:cs="Times New Roman" w:eastAsiaTheme="minorEastAsia"/>
                <w:bCs/>
                <w:color w:val="auto"/>
                <w:spacing w:val="-20"/>
                <w:kern w:val="0"/>
                <w:sz w:val="21"/>
                <w:szCs w:val="21"/>
                <w:highlight w:val="none"/>
                <w:lang w:val="en-US" w:eastAsia="zh-CN" w:bidi="ar-SA"/>
              </w:rPr>
            </w:pPr>
            <w:r>
              <w:rPr>
                <w:rFonts w:hint="default" w:ascii="Times New Roman" w:hAnsi="Times New Roman" w:cs="Times New Roman" w:eastAsiaTheme="minorEastAsia"/>
                <w:color w:val="auto"/>
                <w:spacing w:val="-20"/>
                <w:highlight w:val="none"/>
              </w:rPr>
              <w:t>W</w:t>
            </w:r>
          </w:p>
        </w:tc>
        <w:tc>
          <w:tcPr>
            <w:tcW w:w="1974" w:type="dxa"/>
            <w:vAlign w:val="center"/>
          </w:tcPr>
          <w:p>
            <w:pPr>
              <w:pStyle w:val="666"/>
              <w:spacing w:line="400" w:lineRule="exact"/>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lang w:val="en-US" w:eastAsia="zh-CN"/>
              </w:rPr>
              <w:t>2586</w:t>
            </w:r>
          </w:p>
        </w:tc>
        <w:tc>
          <w:tcPr>
            <w:tcW w:w="1473" w:type="dxa"/>
            <w:vMerge w:val="continue"/>
            <w:vAlign w:val="center"/>
          </w:tcPr>
          <w:p>
            <w:pPr>
              <w:pStyle w:val="666"/>
              <w:spacing w:line="300" w:lineRule="exact"/>
              <w:rPr>
                <w:rFonts w:hint="default" w:ascii="Times New Roman" w:hAnsi="Times New Roman" w:cs="Times New Roman" w:eastAsiaTheme="minorEastAsia"/>
                <w:color w:val="auto"/>
                <w:highlight w:val="none"/>
              </w:rPr>
            </w:pPr>
          </w:p>
        </w:tc>
        <w:tc>
          <w:tcPr>
            <w:tcW w:w="1343" w:type="dxa"/>
            <w:vMerge w:val="continue"/>
            <w:vAlign w:val="center"/>
          </w:tcPr>
          <w:p>
            <w:pPr>
              <w:pStyle w:val="666"/>
              <w:spacing w:line="300" w:lineRule="exact"/>
              <w:rPr>
                <w:rFonts w:hint="default" w:ascii="Times New Roman" w:hAnsi="Times New Roman" w:cs="Times New Roman" w:eastAsiaTheme="minorEastAsia"/>
                <w:color w:val="auto"/>
                <w:highlight w:val="none"/>
              </w:rPr>
            </w:pPr>
          </w:p>
        </w:tc>
        <w:tc>
          <w:tcPr>
            <w:tcW w:w="2672" w:type="dxa"/>
            <w:vMerge w:val="continue"/>
            <w:vAlign w:val="center"/>
          </w:tcPr>
          <w:p>
            <w:pPr>
              <w:pStyle w:val="666"/>
              <w:spacing w:line="300" w:lineRule="exact"/>
              <w:rPr>
                <w:rFonts w:hint="default" w:ascii="Times New Roman" w:hAnsi="Times New Roman" w:cs="Times New Roman"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73" w:type="dxa"/>
            <w:vMerge w:val="restart"/>
            <w:vAlign w:val="center"/>
          </w:tcPr>
          <w:p>
            <w:pPr>
              <w:pStyle w:val="666"/>
              <w:spacing w:line="30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w:t>
            </w:r>
          </w:p>
        </w:tc>
        <w:tc>
          <w:tcPr>
            <w:tcW w:w="1300" w:type="dxa"/>
            <w:vMerge w:val="restart"/>
            <w:vAlign w:val="center"/>
          </w:tcPr>
          <w:p>
            <w:pPr>
              <w:pStyle w:val="666"/>
              <w:spacing w:line="30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地下水环境</w:t>
            </w:r>
          </w:p>
        </w:tc>
        <w:tc>
          <w:tcPr>
            <w:tcW w:w="1112" w:type="dxa"/>
            <w:tcBorders>
              <w:bottom w:val="single" w:color="auto" w:sz="2" w:space="0"/>
            </w:tcBorders>
            <w:vAlign w:val="center"/>
          </w:tcPr>
          <w:p>
            <w:pPr>
              <w:pStyle w:val="666"/>
              <w:spacing w:line="400" w:lineRule="exact"/>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bCs/>
                <w:color w:val="auto"/>
                <w:sz w:val="21"/>
                <w:szCs w:val="21"/>
                <w:highlight w:val="none"/>
                <w:lang w:val="en-US" w:eastAsia="zh-CN" w:bidi="ar-SA"/>
              </w:rPr>
              <w:t>鞠家窑</w:t>
            </w:r>
          </w:p>
        </w:tc>
        <w:tc>
          <w:tcPr>
            <w:tcW w:w="1276" w:type="dxa"/>
            <w:tcBorders>
              <w:bottom w:val="single" w:color="auto" w:sz="2" w:space="0"/>
            </w:tcBorders>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lang w:val="en-US" w:eastAsia="zh-CN"/>
              </w:rPr>
              <w:t>125.474554</w:t>
            </w:r>
          </w:p>
        </w:tc>
        <w:tc>
          <w:tcPr>
            <w:tcW w:w="1236" w:type="dxa"/>
            <w:tcBorders>
              <w:bottom w:val="single" w:color="auto" w:sz="2" w:space="0"/>
            </w:tcBorders>
            <w:vAlign w:val="center"/>
          </w:tcPr>
          <w:p>
            <w:pPr>
              <w:pStyle w:val="666"/>
              <w:spacing w:line="400" w:lineRule="exact"/>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rPr>
              <w:t>4</w:t>
            </w:r>
            <w:r>
              <w:rPr>
                <w:rFonts w:hint="default" w:ascii="Times New Roman" w:hAnsi="Times New Roman" w:cs="Times New Roman" w:eastAsiaTheme="minorEastAsia"/>
                <w:color w:val="auto"/>
                <w:highlight w:val="none"/>
                <w:lang w:val="en-US" w:eastAsia="zh-CN"/>
              </w:rPr>
              <w:t>6.518133</w:t>
            </w:r>
          </w:p>
        </w:tc>
        <w:tc>
          <w:tcPr>
            <w:tcW w:w="822" w:type="dxa"/>
            <w:tcBorders>
              <w:bottom w:val="single" w:color="auto" w:sz="2" w:space="0"/>
            </w:tcBorders>
            <w:vAlign w:val="center"/>
          </w:tcPr>
          <w:p>
            <w:pPr>
              <w:pStyle w:val="666"/>
              <w:spacing w:line="400" w:lineRule="exact"/>
              <w:ind w:firstLine="0" w:firstLineChars="0"/>
              <w:rPr>
                <w:rFonts w:hint="default" w:ascii="Times New Roman" w:hAnsi="Times New Roman" w:cs="Times New Roman" w:eastAsiaTheme="minorEastAsia"/>
                <w:bCs/>
                <w:color w:val="auto"/>
                <w:spacing w:val="-20"/>
                <w:kern w:val="0"/>
                <w:sz w:val="21"/>
                <w:szCs w:val="21"/>
                <w:highlight w:val="none"/>
                <w:lang w:val="en-US" w:eastAsia="zh-CN" w:bidi="ar-SA"/>
              </w:rPr>
            </w:pPr>
            <w:r>
              <w:rPr>
                <w:rFonts w:hint="default" w:ascii="Times New Roman" w:hAnsi="Times New Roman" w:cs="Times New Roman" w:eastAsiaTheme="minorEastAsia"/>
                <w:color w:val="auto"/>
                <w:spacing w:val="-20"/>
                <w:highlight w:val="none"/>
              </w:rPr>
              <w:t>N</w:t>
            </w:r>
          </w:p>
        </w:tc>
        <w:tc>
          <w:tcPr>
            <w:tcW w:w="1974" w:type="dxa"/>
            <w:tcBorders>
              <w:bottom w:val="single" w:color="auto" w:sz="2" w:space="0"/>
            </w:tcBorders>
            <w:vAlign w:val="center"/>
          </w:tcPr>
          <w:p>
            <w:pPr>
              <w:pStyle w:val="666"/>
              <w:spacing w:line="400" w:lineRule="exact"/>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lang w:val="en-US" w:eastAsia="zh-CN"/>
              </w:rPr>
              <w:t>887</w:t>
            </w:r>
          </w:p>
        </w:tc>
        <w:tc>
          <w:tcPr>
            <w:tcW w:w="1473" w:type="dxa"/>
            <w:tcBorders>
              <w:bottom w:val="single" w:color="auto" w:sz="2" w:space="0"/>
            </w:tcBorders>
            <w:vAlign w:val="center"/>
          </w:tcPr>
          <w:p>
            <w:pPr>
              <w:pStyle w:val="666"/>
              <w:spacing w:line="360" w:lineRule="exact"/>
              <w:rPr>
                <w:rFonts w:hint="default" w:ascii="Times New Roman" w:hAnsi="Times New Roman" w:cs="Times New Roman" w:eastAsiaTheme="minorEastAsia"/>
                <w:color w:val="auto"/>
                <w:spacing w:val="-20"/>
                <w:highlight w:val="none"/>
              </w:rPr>
            </w:pPr>
            <w:r>
              <w:rPr>
                <w:rFonts w:hint="default" w:ascii="Times New Roman" w:hAnsi="Times New Roman" w:cs="Times New Roman" w:eastAsiaTheme="minorEastAsia"/>
                <w:color w:val="auto"/>
                <w:spacing w:val="-20"/>
                <w:highlight w:val="none"/>
              </w:rPr>
              <w:t>灌溉井</w:t>
            </w:r>
          </w:p>
        </w:tc>
        <w:tc>
          <w:tcPr>
            <w:tcW w:w="1343" w:type="dxa"/>
            <w:vMerge w:val="restart"/>
            <w:vAlign w:val="center"/>
          </w:tcPr>
          <w:p>
            <w:pPr>
              <w:pStyle w:val="666"/>
              <w:spacing w:line="30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Ⅲ类</w:t>
            </w:r>
          </w:p>
        </w:tc>
        <w:tc>
          <w:tcPr>
            <w:tcW w:w="2672" w:type="dxa"/>
            <w:vMerge w:val="restart"/>
            <w:vAlign w:val="center"/>
          </w:tcPr>
          <w:p>
            <w:pPr>
              <w:pStyle w:val="666"/>
              <w:spacing w:line="30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《地下水质量标准》（GB/T14848-2017）Ⅲ类标准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3" w:type="dxa"/>
            <w:vMerge w:val="continue"/>
            <w:vAlign w:val="center"/>
          </w:tcPr>
          <w:p>
            <w:pPr>
              <w:pStyle w:val="666"/>
              <w:spacing w:line="300" w:lineRule="exact"/>
              <w:rPr>
                <w:rFonts w:hint="default" w:ascii="Times New Roman" w:hAnsi="Times New Roman" w:cs="Times New Roman" w:eastAsiaTheme="minorEastAsia"/>
                <w:color w:val="auto"/>
                <w:highlight w:val="none"/>
              </w:rPr>
            </w:pPr>
          </w:p>
        </w:tc>
        <w:tc>
          <w:tcPr>
            <w:tcW w:w="1300" w:type="dxa"/>
            <w:vMerge w:val="continue"/>
            <w:vAlign w:val="center"/>
          </w:tcPr>
          <w:p>
            <w:pPr>
              <w:pStyle w:val="666"/>
              <w:spacing w:line="300" w:lineRule="exact"/>
              <w:rPr>
                <w:rFonts w:hint="default" w:ascii="Times New Roman" w:hAnsi="Times New Roman" w:cs="Times New Roman" w:eastAsiaTheme="minorEastAsia"/>
                <w:color w:val="auto"/>
                <w:highlight w:val="none"/>
              </w:rPr>
            </w:pPr>
          </w:p>
        </w:tc>
        <w:tc>
          <w:tcPr>
            <w:tcW w:w="1112" w:type="dxa"/>
            <w:tcBorders>
              <w:top w:val="single" w:color="auto" w:sz="2" w:space="0"/>
              <w:bottom w:val="single" w:color="auto" w:sz="2" w:space="0"/>
            </w:tcBorders>
            <w:vAlign w:val="center"/>
          </w:tcPr>
          <w:p>
            <w:pPr>
              <w:adjustRightInd w:val="0"/>
              <w:snapToGrid w:val="0"/>
              <w:spacing w:after="0" w:line="400" w:lineRule="exact"/>
              <w:ind w:left="0" w:leftChars="0" w:firstLine="0" w:firstLine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eastAsiaTheme="minorEastAsia"/>
                <w:bCs/>
                <w:color w:val="auto"/>
                <w:sz w:val="21"/>
                <w:szCs w:val="21"/>
                <w:highlight w:val="none"/>
                <w:lang w:val="en-US" w:eastAsia="zh-CN" w:bidi="ar-SA"/>
              </w:rPr>
              <w:t>鞠家窑</w:t>
            </w:r>
          </w:p>
        </w:tc>
        <w:tc>
          <w:tcPr>
            <w:tcW w:w="1276" w:type="dxa"/>
            <w:tcBorders>
              <w:top w:val="single" w:color="auto" w:sz="2" w:space="0"/>
              <w:bottom w:val="single" w:color="auto" w:sz="2" w:space="0"/>
            </w:tcBorders>
            <w:vAlign w:val="center"/>
          </w:tcPr>
          <w:p>
            <w:pPr>
              <w:adjustRightInd w:val="0"/>
              <w:snapToGrid w:val="0"/>
              <w:spacing w:after="0" w:line="400" w:lineRule="exact"/>
              <w:ind w:left="0" w:leftChars="0" w:firstLine="0" w:firstLine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eastAsiaTheme="minorEastAsia"/>
                <w:bCs/>
                <w:color w:val="auto"/>
                <w:sz w:val="21"/>
                <w:szCs w:val="21"/>
                <w:highlight w:val="none"/>
                <w:lang w:val="en-US" w:eastAsia="zh-CN" w:bidi="ar-SA"/>
              </w:rPr>
              <w:t>125.47297</w:t>
            </w:r>
          </w:p>
        </w:tc>
        <w:tc>
          <w:tcPr>
            <w:tcW w:w="1236" w:type="dxa"/>
            <w:tcBorders>
              <w:top w:val="single" w:color="auto" w:sz="2" w:space="0"/>
              <w:bottom w:val="single" w:color="auto" w:sz="2" w:space="0"/>
            </w:tcBorders>
            <w:vAlign w:val="center"/>
          </w:tcPr>
          <w:p>
            <w:pPr>
              <w:adjustRightInd w:val="0"/>
              <w:snapToGrid w:val="0"/>
              <w:spacing w:after="0" w:line="400" w:lineRule="exact"/>
              <w:ind w:left="0" w:leftChars="0" w:firstLine="0" w:firstLine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eastAsiaTheme="minorEastAsia"/>
                <w:bCs/>
                <w:color w:val="auto"/>
                <w:sz w:val="21"/>
                <w:szCs w:val="21"/>
                <w:highlight w:val="none"/>
                <w:lang w:val="en-US" w:eastAsia="zh-CN" w:bidi="ar-SA"/>
              </w:rPr>
              <w:t>46.51824</w:t>
            </w:r>
          </w:p>
        </w:tc>
        <w:tc>
          <w:tcPr>
            <w:tcW w:w="822" w:type="dxa"/>
            <w:tcBorders>
              <w:top w:val="single" w:color="auto" w:sz="2" w:space="0"/>
              <w:bottom w:val="single" w:color="auto" w:sz="2" w:space="0"/>
            </w:tcBorders>
            <w:vAlign w:val="center"/>
          </w:tcPr>
          <w:p>
            <w:pPr>
              <w:pStyle w:val="666"/>
              <w:spacing w:line="400" w:lineRule="exact"/>
              <w:ind w:firstLine="0" w:firstLineChars="0"/>
              <w:rPr>
                <w:rFonts w:hint="default" w:ascii="Times New Roman" w:hAnsi="Times New Roman" w:cs="Times New Roman" w:eastAsiaTheme="minorEastAsia"/>
                <w:bCs/>
                <w:color w:val="auto"/>
                <w:spacing w:val="-20"/>
                <w:kern w:val="0"/>
                <w:sz w:val="21"/>
                <w:szCs w:val="21"/>
                <w:highlight w:val="none"/>
                <w:lang w:val="en-US" w:eastAsia="zh-CN" w:bidi="ar-SA"/>
              </w:rPr>
            </w:pPr>
            <w:r>
              <w:rPr>
                <w:rFonts w:hint="default" w:ascii="Times New Roman" w:hAnsi="Times New Roman" w:cs="Times New Roman" w:eastAsiaTheme="minorEastAsia"/>
                <w:color w:val="auto"/>
                <w:spacing w:val="-20"/>
                <w:highlight w:val="none"/>
              </w:rPr>
              <w:t>W</w:t>
            </w:r>
          </w:p>
        </w:tc>
        <w:tc>
          <w:tcPr>
            <w:tcW w:w="1974" w:type="dxa"/>
            <w:tcBorders>
              <w:top w:val="single" w:color="auto" w:sz="2" w:space="0"/>
              <w:bottom w:val="single" w:color="auto" w:sz="2" w:space="0"/>
            </w:tcBorders>
            <w:vAlign w:val="center"/>
          </w:tcPr>
          <w:p>
            <w:pPr>
              <w:pStyle w:val="666"/>
              <w:spacing w:line="400" w:lineRule="exact"/>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lang w:val="en-US" w:eastAsia="zh-CN"/>
              </w:rPr>
              <w:t>886</w:t>
            </w:r>
          </w:p>
        </w:tc>
        <w:tc>
          <w:tcPr>
            <w:tcW w:w="1473" w:type="dxa"/>
            <w:tcBorders>
              <w:top w:val="single" w:color="auto" w:sz="2" w:space="0"/>
              <w:bottom w:val="single" w:color="auto" w:sz="2" w:space="0"/>
            </w:tcBorders>
            <w:vAlign w:val="center"/>
          </w:tcPr>
          <w:p>
            <w:pPr>
              <w:pStyle w:val="666"/>
              <w:spacing w:line="360" w:lineRule="exact"/>
              <w:rPr>
                <w:rFonts w:hint="default" w:ascii="Times New Roman" w:hAnsi="Times New Roman" w:cs="Times New Roman" w:eastAsiaTheme="minorEastAsia"/>
                <w:color w:val="auto"/>
                <w:spacing w:val="-20"/>
                <w:highlight w:val="none"/>
                <w:lang w:val="en-US" w:eastAsia="zh-CN"/>
              </w:rPr>
            </w:pPr>
            <w:r>
              <w:rPr>
                <w:rFonts w:hint="default" w:ascii="Times New Roman" w:hAnsi="Times New Roman" w:cs="Times New Roman" w:eastAsiaTheme="minorEastAsia"/>
                <w:color w:val="auto"/>
                <w:spacing w:val="-20"/>
                <w:highlight w:val="none"/>
                <w:lang w:val="en-US" w:eastAsia="zh-CN"/>
              </w:rPr>
              <w:t>灌溉井</w:t>
            </w:r>
          </w:p>
        </w:tc>
        <w:tc>
          <w:tcPr>
            <w:tcW w:w="1343" w:type="dxa"/>
            <w:vMerge w:val="continue"/>
            <w:vAlign w:val="center"/>
          </w:tcPr>
          <w:p>
            <w:pPr>
              <w:pStyle w:val="666"/>
              <w:spacing w:line="300" w:lineRule="exact"/>
              <w:rPr>
                <w:rFonts w:hint="default" w:ascii="Times New Roman" w:hAnsi="Times New Roman" w:cs="Times New Roman" w:eastAsiaTheme="minorEastAsia"/>
                <w:color w:val="auto"/>
                <w:highlight w:val="none"/>
              </w:rPr>
            </w:pPr>
          </w:p>
        </w:tc>
        <w:tc>
          <w:tcPr>
            <w:tcW w:w="2672" w:type="dxa"/>
            <w:vMerge w:val="continue"/>
            <w:vAlign w:val="center"/>
          </w:tcPr>
          <w:p>
            <w:pPr>
              <w:pStyle w:val="666"/>
              <w:spacing w:line="300" w:lineRule="exact"/>
              <w:rPr>
                <w:rFonts w:hint="default" w:ascii="Times New Roman" w:hAnsi="Times New Roman" w:cs="Times New Roman"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73" w:type="dxa"/>
            <w:vMerge w:val="continue"/>
            <w:vAlign w:val="center"/>
          </w:tcPr>
          <w:p>
            <w:pPr>
              <w:pStyle w:val="666"/>
              <w:spacing w:line="300" w:lineRule="exact"/>
              <w:rPr>
                <w:rFonts w:hint="default" w:ascii="Times New Roman" w:hAnsi="Times New Roman" w:cs="Times New Roman" w:eastAsiaTheme="minorEastAsia"/>
                <w:color w:val="auto"/>
                <w:highlight w:val="none"/>
              </w:rPr>
            </w:pPr>
          </w:p>
        </w:tc>
        <w:tc>
          <w:tcPr>
            <w:tcW w:w="1300" w:type="dxa"/>
            <w:vMerge w:val="continue"/>
            <w:vAlign w:val="center"/>
          </w:tcPr>
          <w:p>
            <w:pPr>
              <w:pStyle w:val="666"/>
              <w:spacing w:line="300" w:lineRule="exact"/>
              <w:rPr>
                <w:rFonts w:hint="default" w:ascii="Times New Roman" w:hAnsi="Times New Roman" w:cs="Times New Roman" w:eastAsiaTheme="minorEastAsia"/>
                <w:color w:val="auto"/>
                <w:highlight w:val="none"/>
              </w:rPr>
            </w:pPr>
          </w:p>
        </w:tc>
        <w:tc>
          <w:tcPr>
            <w:tcW w:w="1112" w:type="dxa"/>
            <w:tcBorders>
              <w:top w:val="single" w:color="auto" w:sz="2" w:space="0"/>
              <w:bottom w:val="single" w:color="auto" w:sz="6" w:space="0"/>
            </w:tcBorders>
            <w:vAlign w:val="center"/>
          </w:tcPr>
          <w:p>
            <w:pPr>
              <w:adjustRightInd w:val="0"/>
              <w:snapToGrid w:val="0"/>
              <w:spacing w:after="0" w:line="400" w:lineRule="exact"/>
              <w:ind w:left="0" w:leftChars="0" w:firstLine="0" w:firstLine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eastAsiaTheme="minorEastAsia"/>
                <w:bCs/>
                <w:color w:val="auto"/>
                <w:sz w:val="21"/>
                <w:szCs w:val="21"/>
                <w:highlight w:val="none"/>
                <w:lang w:val="en-US" w:eastAsia="zh-CN" w:bidi="ar-SA"/>
              </w:rPr>
              <w:t>红星村</w:t>
            </w:r>
          </w:p>
        </w:tc>
        <w:tc>
          <w:tcPr>
            <w:tcW w:w="1276" w:type="dxa"/>
            <w:tcBorders>
              <w:top w:val="single" w:color="auto" w:sz="2" w:space="0"/>
              <w:bottom w:val="single" w:color="auto" w:sz="6" w:space="0"/>
            </w:tcBorders>
            <w:vAlign w:val="center"/>
          </w:tcPr>
          <w:p>
            <w:pPr>
              <w:adjustRightInd w:val="0"/>
              <w:snapToGrid w:val="0"/>
              <w:spacing w:after="0" w:line="400" w:lineRule="exact"/>
              <w:ind w:left="0" w:leftChars="0" w:firstLine="0" w:firstLine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eastAsiaTheme="minorEastAsia"/>
                <w:bCs/>
                <w:color w:val="auto"/>
                <w:sz w:val="21"/>
                <w:szCs w:val="21"/>
                <w:highlight w:val="none"/>
                <w:lang w:val="en-US" w:eastAsia="zh-CN" w:bidi="ar-SA"/>
              </w:rPr>
              <w:t>125.445065</w:t>
            </w:r>
          </w:p>
        </w:tc>
        <w:tc>
          <w:tcPr>
            <w:tcW w:w="1236" w:type="dxa"/>
            <w:tcBorders>
              <w:top w:val="single" w:color="auto" w:sz="2" w:space="0"/>
              <w:bottom w:val="single" w:color="auto" w:sz="6" w:space="0"/>
            </w:tcBorders>
            <w:vAlign w:val="center"/>
          </w:tcPr>
          <w:p>
            <w:pPr>
              <w:adjustRightInd w:val="0"/>
              <w:snapToGrid w:val="0"/>
              <w:spacing w:after="0" w:line="400" w:lineRule="exact"/>
              <w:ind w:left="0" w:leftChars="0" w:firstLine="0" w:firstLine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eastAsiaTheme="minorEastAsia"/>
                <w:bCs/>
                <w:color w:val="auto"/>
                <w:sz w:val="21"/>
                <w:szCs w:val="21"/>
                <w:highlight w:val="none"/>
                <w:lang w:val="en-US" w:eastAsia="zh-CN" w:bidi="ar-SA"/>
              </w:rPr>
              <w:t>46.488759</w:t>
            </w:r>
          </w:p>
        </w:tc>
        <w:tc>
          <w:tcPr>
            <w:tcW w:w="822" w:type="dxa"/>
            <w:tcBorders>
              <w:top w:val="single" w:color="auto" w:sz="2" w:space="0"/>
              <w:bottom w:val="single" w:color="auto" w:sz="6" w:space="0"/>
            </w:tcBorders>
            <w:vAlign w:val="center"/>
          </w:tcPr>
          <w:p>
            <w:pPr>
              <w:pStyle w:val="666"/>
              <w:spacing w:line="400" w:lineRule="exact"/>
              <w:ind w:firstLine="0" w:firstLineChars="0"/>
              <w:rPr>
                <w:rFonts w:hint="default" w:ascii="Times New Roman" w:hAnsi="Times New Roman" w:cs="Times New Roman" w:eastAsiaTheme="minorEastAsia"/>
                <w:bCs/>
                <w:color w:val="auto"/>
                <w:spacing w:val="-20"/>
                <w:kern w:val="0"/>
                <w:sz w:val="21"/>
                <w:szCs w:val="21"/>
                <w:highlight w:val="none"/>
                <w:lang w:val="en-US" w:eastAsia="zh-CN" w:bidi="ar-SA"/>
              </w:rPr>
            </w:pPr>
            <w:r>
              <w:rPr>
                <w:rFonts w:hint="default" w:ascii="Times New Roman" w:hAnsi="Times New Roman" w:cs="Times New Roman" w:eastAsiaTheme="minorEastAsia"/>
                <w:color w:val="auto"/>
                <w:spacing w:val="-20"/>
                <w:highlight w:val="none"/>
              </w:rPr>
              <w:t>SW</w:t>
            </w:r>
          </w:p>
        </w:tc>
        <w:tc>
          <w:tcPr>
            <w:tcW w:w="1974" w:type="dxa"/>
            <w:tcBorders>
              <w:top w:val="single" w:color="auto" w:sz="2" w:space="0"/>
              <w:bottom w:val="single" w:color="auto" w:sz="6" w:space="0"/>
            </w:tcBorders>
            <w:vAlign w:val="center"/>
          </w:tcPr>
          <w:p>
            <w:pPr>
              <w:pStyle w:val="666"/>
              <w:spacing w:line="400" w:lineRule="exact"/>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lang w:val="en-US" w:eastAsia="zh-CN"/>
              </w:rPr>
              <w:t>2595</w:t>
            </w:r>
          </w:p>
        </w:tc>
        <w:tc>
          <w:tcPr>
            <w:tcW w:w="1473" w:type="dxa"/>
            <w:tcBorders>
              <w:top w:val="single" w:color="auto" w:sz="2" w:space="0"/>
              <w:bottom w:val="single" w:color="auto" w:sz="6" w:space="0"/>
            </w:tcBorders>
            <w:vAlign w:val="center"/>
          </w:tcPr>
          <w:p>
            <w:pPr>
              <w:pStyle w:val="666"/>
              <w:spacing w:line="360" w:lineRule="exact"/>
              <w:rPr>
                <w:rFonts w:hint="default" w:ascii="Times New Roman" w:hAnsi="Times New Roman" w:cs="Times New Roman" w:eastAsiaTheme="minorEastAsia"/>
                <w:color w:val="auto"/>
                <w:spacing w:val="-20"/>
                <w:highlight w:val="none"/>
                <w:lang w:eastAsia="zh-CN"/>
              </w:rPr>
            </w:pPr>
            <w:r>
              <w:rPr>
                <w:rFonts w:hint="default" w:ascii="Times New Roman" w:hAnsi="Times New Roman" w:cs="Times New Roman" w:eastAsiaTheme="minorEastAsia"/>
                <w:color w:val="auto"/>
                <w:spacing w:val="-20"/>
                <w:highlight w:val="none"/>
                <w:lang w:eastAsia="zh-CN"/>
              </w:rPr>
              <w:t>灌溉井</w:t>
            </w:r>
          </w:p>
        </w:tc>
        <w:tc>
          <w:tcPr>
            <w:tcW w:w="1343" w:type="dxa"/>
            <w:vMerge w:val="continue"/>
            <w:vAlign w:val="center"/>
          </w:tcPr>
          <w:p>
            <w:pPr>
              <w:pStyle w:val="666"/>
              <w:spacing w:line="300" w:lineRule="exact"/>
              <w:rPr>
                <w:rFonts w:hint="default" w:ascii="Times New Roman" w:hAnsi="Times New Roman" w:cs="Times New Roman" w:eastAsiaTheme="minorEastAsia"/>
                <w:color w:val="auto"/>
                <w:highlight w:val="none"/>
              </w:rPr>
            </w:pPr>
          </w:p>
        </w:tc>
        <w:tc>
          <w:tcPr>
            <w:tcW w:w="2672" w:type="dxa"/>
            <w:vMerge w:val="continue"/>
            <w:vAlign w:val="center"/>
          </w:tcPr>
          <w:p>
            <w:pPr>
              <w:pStyle w:val="666"/>
              <w:spacing w:line="300" w:lineRule="exact"/>
              <w:rPr>
                <w:rFonts w:hint="default" w:ascii="Times New Roman" w:hAnsi="Times New Roman" w:cs="Times New Roman"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673" w:type="dxa"/>
            <w:vMerge w:val="continue"/>
            <w:vAlign w:val="center"/>
          </w:tcPr>
          <w:p>
            <w:pPr>
              <w:pStyle w:val="666"/>
              <w:spacing w:line="300" w:lineRule="exact"/>
              <w:rPr>
                <w:rFonts w:hint="default" w:ascii="Times New Roman" w:hAnsi="Times New Roman" w:cs="Times New Roman" w:eastAsiaTheme="minorEastAsia"/>
                <w:color w:val="auto"/>
                <w:highlight w:val="none"/>
              </w:rPr>
            </w:pPr>
          </w:p>
        </w:tc>
        <w:tc>
          <w:tcPr>
            <w:tcW w:w="1300" w:type="dxa"/>
            <w:vMerge w:val="continue"/>
            <w:vAlign w:val="center"/>
          </w:tcPr>
          <w:p>
            <w:pPr>
              <w:pStyle w:val="666"/>
              <w:spacing w:line="300" w:lineRule="exact"/>
              <w:rPr>
                <w:rFonts w:hint="default" w:ascii="Times New Roman" w:hAnsi="Times New Roman" w:cs="Times New Roman" w:eastAsiaTheme="minorEastAsia"/>
                <w:color w:val="auto"/>
                <w:highlight w:val="none"/>
              </w:rPr>
            </w:pPr>
          </w:p>
        </w:tc>
        <w:tc>
          <w:tcPr>
            <w:tcW w:w="1112" w:type="dxa"/>
            <w:tcBorders>
              <w:top w:val="single" w:color="auto" w:sz="6"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厂区内饮用水井</w:t>
            </w:r>
          </w:p>
        </w:tc>
        <w:tc>
          <w:tcPr>
            <w:tcW w:w="1276" w:type="dxa"/>
            <w:tcBorders>
              <w:top w:val="single" w:color="auto" w:sz="6"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124.422655</w:t>
            </w:r>
          </w:p>
        </w:tc>
        <w:tc>
          <w:tcPr>
            <w:tcW w:w="1236" w:type="dxa"/>
            <w:tcBorders>
              <w:top w:val="single" w:color="auto" w:sz="6"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45.8487722</w:t>
            </w:r>
          </w:p>
        </w:tc>
        <w:tc>
          <w:tcPr>
            <w:tcW w:w="822" w:type="dxa"/>
            <w:tcBorders>
              <w:top w:val="single" w:color="auto" w:sz="6" w:space="0"/>
            </w:tcBorders>
            <w:vAlign w:val="center"/>
          </w:tcPr>
          <w:p>
            <w:pPr>
              <w:pStyle w:val="666"/>
              <w:spacing w:line="360" w:lineRule="exact"/>
              <w:rPr>
                <w:rFonts w:hint="default" w:ascii="Times New Roman" w:hAnsi="Times New Roman" w:cs="Times New Roman" w:eastAsiaTheme="minorEastAsia"/>
                <w:color w:val="auto"/>
                <w:spacing w:val="-20"/>
                <w:highlight w:val="none"/>
              </w:rPr>
            </w:pPr>
            <w:r>
              <w:rPr>
                <w:rFonts w:hint="default" w:ascii="Times New Roman" w:hAnsi="Times New Roman" w:cs="Times New Roman" w:eastAsiaTheme="minorEastAsia"/>
                <w:color w:val="auto"/>
                <w:spacing w:val="-20"/>
                <w:highlight w:val="none"/>
              </w:rPr>
              <w:t>/</w:t>
            </w:r>
          </w:p>
        </w:tc>
        <w:tc>
          <w:tcPr>
            <w:tcW w:w="1974" w:type="dxa"/>
            <w:tcBorders>
              <w:top w:val="single" w:color="auto" w:sz="6"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w:t>
            </w:r>
          </w:p>
        </w:tc>
        <w:tc>
          <w:tcPr>
            <w:tcW w:w="1473" w:type="dxa"/>
            <w:tcBorders>
              <w:top w:val="single" w:color="auto" w:sz="6" w:space="0"/>
            </w:tcBorders>
            <w:vAlign w:val="center"/>
          </w:tcPr>
          <w:p>
            <w:pPr>
              <w:pStyle w:val="666"/>
              <w:spacing w:line="360" w:lineRule="exact"/>
              <w:rPr>
                <w:rFonts w:hint="default" w:ascii="Times New Roman" w:hAnsi="Times New Roman" w:cs="Times New Roman" w:eastAsiaTheme="minorEastAsia"/>
                <w:color w:val="auto"/>
                <w:spacing w:val="-20"/>
                <w:highlight w:val="none"/>
                <w:lang w:eastAsia="zh-CN"/>
              </w:rPr>
            </w:pPr>
            <w:r>
              <w:rPr>
                <w:rFonts w:hint="default" w:ascii="Times New Roman" w:hAnsi="Times New Roman" w:cs="Times New Roman" w:eastAsiaTheme="minorEastAsia"/>
                <w:color w:val="auto"/>
                <w:spacing w:val="-20"/>
                <w:highlight w:val="none"/>
                <w:lang w:eastAsia="zh-CN"/>
              </w:rPr>
              <w:t>养殖和饮用</w:t>
            </w:r>
          </w:p>
        </w:tc>
        <w:tc>
          <w:tcPr>
            <w:tcW w:w="1343" w:type="dxa"/>
            <w:vMerge w:val="continue"/>
            <w:vAlign w:val="center"/>
          </w:tcPr>
          <w:p>
            <w:pPr>
              <w:pStyle w:val="666"/>
              <w:spacing w:line="300" w:lineRule="exact"/>
              <w:rPr>
                <w:rFonts w:hint="default" w:ascii="Times New Roman" w:hAnsi="Times New Roman" w:cs="Times New Roman" w:eastAsiaTheme="minorEastAsia"/>
                <w:color w:val="auto"/>
                <w:highlight w:val="none"/>
              </w:rPr>
            </w:pPr>
          </w:p>
        </w:tc>
        <w:tc>
          <w:tcPr>
            <w:tcW w:w="2672" w:type="dxa"/>
            <w:vMerge w:val="continue"/>
            <w:vAlign w:val="center"/>
          </w:tcPr>
          <w:p>
            <w:pPr>
              <w:pStyle w:val="666"/>
              <w:spacing w:line="300" w:lineRule="exact"/>
              <w:rPr>
                <w:rFonts w:hint="default" w:ascii="Times New Roman" w:hAnsi="Times New Roman" w:cs="Times New Roman"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73" w:type="dxa"/>
            <w:vAlign w:val="center"/>
          </w:tcPr>
          <w:p>
            <w:pPr>
              <w:pStyle w:val="666"/>
              <w:spacing w:line="30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4</w:t>
            </w:r>
          </w:p>
        </w:tc>
        <w:tc>
          <w:tcPr>
            <w:tcW w:w="1300" w:type="dxa"/>
            <w:vAlign w:val="center"/>
          </w:tcPr>
          <w:p>
            <w:pPr>
              <w:pStyle w:val="666"/>
              <w:spacing w:line="30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声环境</w:t>
            </w:r>
          </w:p>
        </w:tc>
        <w:tc>
          <w:tcPr>
            <w:tcW w:w="6420" w:type="dxa"/>
            <w:gridSpan w:val="5"/>
            <w:vAlign w:val="center"/>
          </w:tcPr>
          <w:p>
            <w:pPr>
              <w:pStyle w:val="666"/>
              <w:spacing w:line="30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厂界外200m范围内</w:t>
            </w:r>
          </w:p>
        </w:tc>
        <w:tc>
          <w:tcPr>
            <w:tcW w:w="1473" w:type="dxa"/>
            <w:vAlign w:val="center"/>
          </w:tcPr>
          <w:p>
            <w:pPr>
              <w:pStyle w:val="666"/>
              <w:spacing w:line="30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农村地区</w:t>
            </w:r>
          </w:p>
        </w:tc>
        <w:tc>
          <w:tcPr>
            <w:tcW w:w="1343" w:type="dxa"/>
            <w:vAlign w:val="center"/>
          </w:tcPr>
          <w:p>
            <w:pPr>
              <w:pStyle w:val="666"/>
              <w:spacing w:line="30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2类</w:t>
            </w:r>
          </w:p>
        </w:tc>
        <w:tc>
          <w:tcPr>
            <w:tcW w:w="2672" w:type="dxa"/>
            <w:vAlign w:val="center"/>
          </w:tcPr>
          <w:p>
            <w:pPr>
              <w:pStyle w:val="666"/>
              <w:spacing w:line="30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《声环境质量标准》（GB3096-2008）2类标准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73" w:type="dxa"/>
            <w:vAlign w:val="center"/>
          </w:tcPr>
          <w:p>
            <w:pPr>
              <w:pStyle w:val="666"/>
              <w:spacing w:line="30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5</w:t>
            </w:r>
          </w:p>
        </w:tc>
        <w:tc>
          <w:tcPr>
            <w:tcW w:w="1300" w:type="dxa"/>
            <w:vAlign w:val="center"/>
          </w:tcPr>
          <w:p>
            <w:pPr>
              <w:pStyle w:val="666"/>
              <w:spacing w:line="30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土壤环境</w:t>
            </w:r>
          </w:p>
        </w:tc>
        <w:tc>
          <w:tcPr>
            <w:tcW w:w="6420" w:type="dxa"/>
            <w:gridSpan w:val="5"/>
            <w:vAlign w:val="center"/>
          </w:tcPr>
          <w:p>
            <w:pPr>
              <w:pStyle w:val="666"/>
              <w:spacing w:line="30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占地范围外50m范围内</w:t>
            </w:r>
          </w:p>
        </w:tc>
        <w:tc>
          <w:tcPr>
            <w:tcW w:w="1473" w:type="dxa"/>
            <w:vAlign w:val="center"/>
          </w:tcPr>
          <w:p>
            <w:pPr>
              <w:pStyle w:val="666"/>
              <w:spacing w:line="30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农用地</w:t>
            </w:r>
          </w:p>
        </w:tc>
        <w:tc>
          <w:tcPr>
            <w:tcW w:w="1343" w:type="dxa"/>
            <w:vAlign w:val="center"/>
          </w:tcPr>
          <w:p>
            <w:pPr>
              <w:pStyle w:val="666"/>
              <w:spacing w:line="30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w:t>
            </w:r>
          </w:p>
        </w:tc>
        <w:tc>
          <w:tcPr>
            <w:tcW w:w="2672" w:type="dxa"/>
            <w:vAlign w:val="center"/>
          </w:tcPr>
          <w:p>
            <w:pPr>
              <w:pStyle w:val="666"/>
              <w:spacing w:line="30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《土壤环境质量 农用地土壤污染风险管控标准（试行）》（GB 15618-2018）</w:t>
            </w:r>
          </w:p>
        </w:tc>
      </w:tr>
    </w:tbl>
    <w:p>
      <w:pPr>
        <w:ind w:firstLine="560"/>
        <w:rPr>
          <w:rFonts w:hint="default" w:ascii="Times New Roman" w:hAnsi="Times New Roman" w:cs="Times New Roman" w:eastAsiaTheme="minorEastAsia"/>
          <w:color w:val="000000" w:themeColor="text1"/>
          <w:szCs w:val="28"/>
          <w14:textFill>
            <w14:solidFill>
              <w14:schemeClr w14:val="tx1"/>
            </w14:solidFill>
          </w14:textFill>
        </w:rPr>
      </w:pPr>
    </w:p>
    <w:p>
      <w:pPr>
        <w:ind w:firstLine="560"/>
        <w:rPr>
          <w:rFonts w:hint="default" w:ascii="Times New Roman" w:hAnsi="Times New Roman" w:cs="Times New Roman" w:eastAsiaTheme="minorEastAsia"/>
          <w:color w:val="000000" w:themeColor="text1"/>
          <w:szCs w:val="28"/>
          <w14:textFill>
            <w14:solidFill>
              <w14:schemeClr w14:val="tx1"/>
            </w14:solidFill>
          </w14:textFill>
        </w:rPr>
        <w:sectPr>
          <w:footerReference r:id="rId32" w:type="default"/>
          <w:pgSz w:w="16840" w:h="11907" w:orient="landscape"/>
          <w:pgMar w:top="1701" w:right="1701" w:bottom="1701" w:left="1474" w:header="1134" w:footer="1134" w:gutter="0"/>
          <w:pgBorders>
            <w:top w:val="none" w:sz="0" w:space="0"/>
            <w:left w:val="none" w:sz="0" w:space="0"/>
            <w:bottom w:val="none" w:sz="0" w:space="0"/>
            <w:right w:val="none" w:sz="0" w:space="0"/>
          </w:pgBorders>
          <w:cols w:space="720" w:num="1"/>
          <w:docGrid w:linePitch="312" w:charSpace="0"/>
        </w:sectPr>
      </w:pPr>
    </w:p>
    <w:bookmarkEnd w:id="121"/>
    <w:bookmarkEnd w:id="122"/>
    <w:bookmarkEnd w:id="123"/>
    <w:bookmarkEnd w:id="124"/>
    <w:bookmarkEnd w:id="125"/>
    <w:bookmarkEnd w:id="126"/>
    <w:p>
      <w:pPr>
        <w:pStyle w:val="639"/>
        <w:rPr>
          <w:rFonts w:hint="default" w:ascii="Times New Roman" w:hAnsi="Times New Roman" w:cs="Times New Roman" w:eastAsiaTheme="minorEastAsia"/>
          <w:b/>
          <w:bCs w:val="0"/>
          <w:color w:val="000000" w:themeColor="text1"/>
          <w14:textFill>
            <w14:solidFill>
              <w14:schemeClr w14:val="tx1"/>
            </w14:solidFill>
          </w14:textFill>
        </w:rPr>
      </w:pPr>
      <w:bookmarkStart w:id="128" w:name="_Toc3121138"/>
      <w:bookmarkStart w:id="129" w:name="_Toc5708"/>
      <w:r>
        <w:rPr>
          <w:rFonts w:hint="default" w:ascii="Times New Roman" w:hAnsi="Times New Roman" w:cs="Times New Roman" w:eastAsiaTheme="minorEastAsia"/>
          <w:b/>
          <w:bCs w:val="0"/>
          <w:color w:val="000000" w:themeColor="text1"/>
          <w14:textFill>
            <w14:solidFill>
              <w14:schemeClr w14:val="tx1"/>
            </w14:solidFill>
          </w14:textFill>
        </w:rPr>
        <w:t>4.3 环境质量现状调查与评价</w:t>
      </w:r>
      <w:bookmarkEnd w:id="128"/>
      <w:bookmarkEnd w:id="129"/>
    </w:p>
    <w:p>
      <w:pPr>
        <w:ind w:firstLine="0" w:firstLineChars="0"/>
        <w:outlineLvl w:val="2"/>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4.3.1 环境空气质量现状评价</w:t>
      </w:r>
    </w:p>
    <w:p>
      <w:pPr>
        <w:ind w:firstLine="0" w:firstLineChars="0"/>
        <w:outlineLvl w:val="3"/>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4.3.1.1 环境空气质量达标区判定</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sz w:val="24"/>
          <w:szCs w:val="22"/>
        </w:rPr>
        <w:t>因为项目区域与大庆毗邻接壤，区域环境质量现状采用</w:t>
      </w:r>
      <w:r>
        <w:rPr>
          <w:rFonts w:hint="default" w:ascii="Times New Roman" w:hAnsi="Times New Roman" w:cs="Times New Roman" w:eastAsiaTheme="minorEastAsia"/>
          <w:color w:val="000000" w:themeColor="text1"/>
          <w:sz w:val="24"/>
          <w:szCs w:val="22"/>
          <w14:textFill>
            <w14:solidFill>
              <w14:schemeClr w14:val="tx1"/>
            </w14:solidFill>
          </w14:textFill>
        </w:rPr>
        <w:t>《2020年大庆市生态环境状况公报》，2020年本区域SO</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2</w:t>
      </w:r>
      <w:r>
        <w:rPr>
          <w:rFonts w:hint="default" w:ascii="Times New Roman" w:hAnsi="Times New Roman" w:cs="Times New Roman" w:eastAsiaTheme="minorEastAsia"/>
          <w:color w:val="000000" w:themeColor="text1"/>
          <w:sz w:val="24"/>
          <w:szCs w:val="22"/>
          <w14:textFill>
            <w14:solidFill>
              <w14:schemeClr w14:val="tx1"/>
            </w14:solidFill>
          </w14:textFill>
        </w:rPr>
        <w:t>、NO</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2</w:t>
      </w:r>
      <w:r>
        <w:rPr>
          <w:rFonts w:hint="default" w:ascii="Times New Roman" w:hAnsi="Times New Roman" w:cs="Times New Roman" w:eastAsiaTheme="minorEastAsia"/>
          <w:color w:val="000000" w:themeColor="text1"/>
          <w:sz w:val="24"/>
          <w:szCs w:val="22"/>
          <w14:textFill>
            <w14:solidFill>
              <w14:schemeClr w14:val="tx1"/>
            </w14:solidFill>
          </w14:textFill>
        </w:rPr>
        <w:t>、PM</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10</w:t>
      </w:r>
      <w:r>
        <w:rPr>
          <w:rFonts w:hint="default" w:ascii="Times New Roman" w:hAnsi="Times New Roman" w:cs="Times New Roman" w:eastAsiaTheme="minorEastAsia"/>
          <w:color w:val="000000" w:themeColor="text1"/>
          <w:sz w:val="24"/>
          <w:szCs w:val="22"/>
          <w14:textFill>
            <w14:solidFill>
              <w14:schemeClr w14:val="tx1"/>
            </w14:solidFill>
          </w14:textFill>
        </w:rPr>
        <w:t>、PM</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2.5</w:t>
      </w:r>
      <w:r>
        <w:rPr>
          <w:rFonts w:hint="default" w:ascii="Times New Roman" w:hAnsi="Times New Roman" w:cs="Times New Roman" w:eastAsiaTheme="minorEastAsia"/>
          <w:color w:val="000000" w:themeColor="text1"/>
          <w:sz w:val="24"/>
          <w:szCs w:val="22"/>
          <w14:textFill>
            <w14:solidFill>
              <w14:schemeClr w14:val="tx1"/>
            </w14:solidFill>
          </w14:textFill>
        </w:rPr>
        <w:t>年均浓度分别为9μg/m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、18μg/m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、45μg/m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、28μg/m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；CO24小时平均第95百分位数为1.1mg/m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，O</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最大8小时平均第90百分位数为130ug/m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，均满足《环境空气质量标准》（GB3095-2012）及修改单中二级标准限值，因此本项目所在区域为环境空气质量达标区。基本污染物环境空气质量现状见表4-3-1。</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表4-3-1 环境空气质量现状监测分析统计结果（μg/m</w:t>
      </w:r>
      <w:r>
        <w:rPr>
          <w:rFonts w:hint="default" w:ascii="Times New Roman" w:hAnsi="Times New Roman" w:cs="Times New Roman" w:eastAsiaTheme="minorEastAsia"/>
          <w:color w:val="000000" w:themeColor="text1"/>
          <w:vertAlign w:val="superscript"/>
          <w14:textFill>
            <w14:solidFill>
              <w14:schemeClr w14:val="tx1"/>
            </w14:solidFill>
          </w14:textFill>
        </w:rPr>
        <w:t>3</w:t>
      </w:r>
      <w:r>
        <w:rPr>
          <w:rFonts w:hint="default" w:ascii="Times New Roman" w:hAnsi="Times New Roman" w:cs="Times New Roman" w:eastAsiaTheme="minorEastAsia"/>
          <w:color w:val="000000" w:themeColor="text1"/>
          <w14:textFill>
            <w14:solidFill>
              <w14:schemeClr w14:val="tx1"/>
            </w14:solidFill>
          </w14:textFill>
        </w:rPr>
        <w:t>）</w:t>
      </w:r>
    </w:p>
    <w:tbl>
      <w:tblPr>
        <w:tblStyle w:val="9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0"/>
        <w:gridCol w:w="2358"/>
        <w:gridCol w:w="1133"/>
        <w:gridCol w:w="1210"/>
        <w:gridCol w:w="1357"/>
        <w:gridCol w:w="837"/>
        <w:gridCol w:w="7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70"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污染物</w:t>
            </w:r>
          </w:p>
        </w:tc>
        <w:tc>
          <w:tcPr>
            <w:tcW w:w="2358"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年评价指标</w:t>
            </w:r>
          </w:p>
        </w:tc>
        <w:tc>
          <w:tcPr>
            <w:tcW w:w="1133"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评价标准</w:t>
            </w:r>
          </w:p>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μg/m</w:t>
            </w:r>
            <w:r>
              <w:rPr>
                <w:rFonts w:hint="default" w:ascii="Times New Roman" w:hAnsi="Times New Roman" w:cs="Times New Roman" w:eastAsiaTheme="minorEastAsia"/>
                <w:color w:val="000000" w:themeColor="text1"/>
                <w:vertAlign w:val="superscript"/>
                <w14:textFill>
                  <w14:solidFill>
                    <w14:schemeClr w14:val="tx1"/>
                  </w14:solidFill>
                </w14:textFill>
              </w:rPr>
              <w:t>3</w:t>
            </w:r>
          </w:p>
        </w:tc>
        <w:tc>
          <w:tcPr>
            <w:tcW w:w="1210"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现状浓度</w:t>
            </w:r>
          </w:p>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μg/m</w:t>
            </w:r>
            <w:r>
              <w:rPr>
                <w:rFonts w:hint="default" w:ascii="Times New Roman" w:hAnsi="Times New Roman" w:cs="Times New Roman" w:eastAsiaTheme="minorEastAsia"/>
                <w:color w:val="000000" w:themeColor="text1"/>
                <w:vertAlign w:val="superscript"/>
                <w14:textFill>
                  <w14:solidFill>
                    <w14:schemeClr w14:val="tx1"/>
                  </w14:solidFill>
                </w14:textFill>
              </w:rPr>
              <w:t>3</w:t>
            </w:r>
          </w:p>
        </w:tc>
        <w:tc>
          <w:tcPr>
            <w:tcW w:w="1357"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占标率%</w:t>
            </w:r>
          </w:p>
        </w:tc>
        <w:tc>
          <w:tcPr>
            <w:tcW w:w="837"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超标率%</w:t>
            </w:r>
          </w:p>
        </w:tc>
        <w:tc>
          <w:tcPr>
            <w:tcW w:w="757"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70"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2358"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133"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210"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357"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37"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757"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7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PM</w:t>
            </w:r>
            <w:r>
              <w:rPr>
                <w:rFonts w:hint="default" w:ascii="Times New Roman" w:hAnsi="Times New Roman" w:cs="Times New Roman" w:eastAsiaTheme="minorEastAsia"/>
                <w:color w:val="000000" w:themeColor="text1"/>
                <w:vertAlign w:val="subscript"/>
                <w14:textFill>
                  <w14:solidFill>
                    <w14:schemeClr w14:val="tx1"/>
                  </w14:solidFill>
                </w14:textFill>
              </w:rPr>
              <w:t>2.5</w:t>
            </w:r>
          </w:p>
        </w:tc>
        <w:tc>
          <w:tcPr>
            <w:tcW w:w="235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年平均质量浓度</w:t>
            </w:r>
          </w:p>
        </w:tc>
        <w:tc>
          <w:tcPr>
            <w:tcW w:w="113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35</w:t>
            </w:r>
          </w:p>
        </w:tc>
        <w:tc>
          <w:tcPr>
            <w:tcW w:w="121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28</w:t>
            </w:r>
          </w:p>
        </w:tc>
        <w:tc>
          <w:tcPr>
            <w:tcW w:w="135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80.0</w:t>
            </w:r>
          </w:p>
        </w:tc>
        <w:tc>
          <w:tcPr>
            <w:tcW w:w="83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w:t>
            </w:r>
          </w:p>
        </w:tc>
        <w:tc>
          <w:tcPr>
            <w:tcW w:w="75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7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PM</w:t>
            </w:r>
            <w:r>
              <w:rPr>
                <w:rFonts w:hint="default" w:ascii="Times New Roman" w:hAnsi="Times New Roman" w:cs="Times New Roman" w:eastAsiaTheme="minorEastAsia"/>
                <w:color w:val="000000" w:themeColor="text1"/>
                <w:vertAlign w:val="subscript"/>
                <w14:textFill>
                  <w14:solidFill>
                    <w14:schemeClr w14:val="tx1"/>
                  </w14:solidFill>
                </w14:textFill>
              </w:rPr>
              <w:t>10</w:t>
            </w:r>
          </w:p>
        </w:tc>
        <w:tc>
          <w:tcPr>
            <w:tcW w:w="235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年平均质量浓度</w:t>
            </w:r>
          </w:p>
        </w:tc>
        <w:tc>
          <w:tcPr>
            <w:tcW w:w="113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70</w:t>
            </w:r>
          </w:p>
        </w:tc>
        <w:tc>
          <w:tcPr>
            <w:tcW w:w="121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45</w:t>
            </w:r>
          </w:p>
        </w:tc>
        <w:tc>
          <w:tcPr>
            <w:tcW w:w="135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64.3</w:t>
            </w:r>
          </w:p>
        </w:tc>
        <w:tc>
          <w:tcPr>
            <w:tcW w:w="83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w:t>
            </w:r>
          </w:p>
        </w:tc>
        <w:tc>
          <w:tcPr>
            <w:tcW w:w="75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7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SO</w:t>
            </w:r>
            <w:r>
              <w:rPr>
                <w:rFonts w:hint="default" w:ascii="Times New Roman" w:hAnsi="Times New Roman" w:cs="Times New Roman" w:eastAsiaTheme="minorEastAsia"/>
                <w:color w:val="000000" w:themeColor="text1"/>
                <w:vertAlign w:val="subscript"/>
                <w14:textFill>
                  <w14:solidFill>
                    <w14:schemeClr w14:val="tx1"/>
                  </w14:solidFill>
                </w14:textFill>
              </w:rPr>
              <w:t>2</w:t>
            </w:r>
          </w:p>
        </w:tc>
        <w:tc>
          <w:tcPr>
            <w:tcW w:w="235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年平均质量浓度</w:t>
            </w:r>
          </w:p>
        </w:tc>
        <w:tc>
          <w:tcPr>
            <w:tcW w:w="113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60</w:t>
            </w:r>
          </w:p>
        </w:tc>
        <w:tc>
          <w:tcPr>
            <w:tcW w:w="121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w:t>
            </w:r>
          </w:p>
        </w:tc>
        <w:tc>
          <w:tcPr>
            <w:tcW w:w="135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15.0</w:t>
            </w:r>
          </w:p>
        </w:tc>
        <w:tc>
          <w:tcPr>
            <w:tcW w:w="83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w:t>
            </w:r>
          </w:p>
        </w:tc>
        <w:tc>
          <w:tcPr>
            <w:tcW w:w="75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87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NO</w:t>
            </w:r>
            <w:r>
              <w:rPr>
                <w:rFonts w:hint="default" w:ascii="Times New Roman" w:hAnsi="Times New Roman" w:cs="Times New Roman" w:eastAsiaTheme="minorEastAsia"/>
                <w:color w:val="000000" w:themeColor="text1"/>
                <w:vertAlign w:val="subscript"/>
                <w14:textFill>
                  <w14:solidFill>
                    <w14:schemeClr w14:val="tx1"/>
                  </w14:solidFill>
                </w14:textFill>
              </w:rPr>
              <w:t>2</w:t>
            </w:r>
          </w:p>
        </w:tc>
        <w:tc>
          <w:tcPr>
            <w:tcW w:w="235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年平均质量浓度</w:t>
            </w:r>
          </w:p>
        </w:tc>
        <w:tc>
          <w:tcPr>
            <w:tcW w:w="113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40</w:t>
            </w:r>
          </w:p>
        </w:tc>
        <w:tc>
          <w:tcPr>
            <w:tcW w:w="121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18</w:t>
            </w:r>
          </w:p>
        </w:tc>
        <w:tc>
          <w:tcPr>
            <w:tcW w:w="135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45.0</w:t>
            </w:r>
          </w:p>
        </w:tc>
        <w:tc>
          <w:tcPr>
            <w:tcW w:w="83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w:t>
            </w:r>
          </w:p>
        </w:tc>
        <w:tc>
          <w:tcPr>
            <w:tcW w:w="75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87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O</w:t>
            </w:r>
            <w:r>
              <w:rPr>
                <w:rFonts w:hint="default" w:ascii="Times New Roman" w:hAnsi="Times New Roman" w:cs="Times New Roman" w:eastAsiaTheme="minorEastAsia"/>
                <w:color w:val="000000" w:themeColor="text1"/>
                <w:vertAlign w:val="subscript"/>
                <w14:textFill>
                  <w14:solidFill>
                    <w14:schemeClr w14:val="tx1"/>
                  </w14:solidFill>
                </w14:textFill>
              </w:rPr>
              <w:t>3</w:t>
            </w:r>
          </w:p>
        </w:tc>
        <w:tc>
          <w:tcPr>
            <w:tcW w:w="235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8h平均第90百分位数</w:t>
            </w:r>
          </w:p>
        </w:tc>
        <w:tc>
          <w:tcPr>
            <w:tcW w:w="113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160</w:t>
            </w:r>
          </w:p>
        </w:tc>
        <w:tc>
          <w:tcPr>
            <w:tcW w:w="121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130</w:t>
            </w:r>
          </w:p>
        </w:tc>
        <w:tc>
          <w:tcPr>
            <w:tcW w:w="135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81.2</w:t>
            </w:r>
          </w:p>
        </w:tc>
        <w:tc>
          <w:tcPr>
            <w:tcW w:w="83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w:t>
            </w:r>
          </w:p>
        </w:tc>
        <w:tc>
          <w:tcPr>
            <w:tcW w:w="75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87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CO</w:t>
            </w:r>
          </w:p>
        </w:tc>
        <w:tc>
          <w:tcPr>
            <w:tcW w:w="235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24小时平均</w:t>
            </w:r>
          </w:p>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第95百分位数</w:t>
            </w:r>
          </w:p>
        </w:tc>
        <w:tc>
          <w:tcPr>
            <w:tcW w:w="113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4mg/m</w:t>
            </w:r>
            <w:r>
              <w:rPr>
                <w:rFonts w:hint="default" w:ascii="Times New Roman" w:hAnsi="Times New Roman" w:cs="Times New Roman" w:eastAsiaTheme="minorEastAsia"/>
                <w:color w:val="000000" w:themeColor="text1"/>
                <w:vertAlign w:val="superscript"/>
                <w14:textFill>
                  <w14:solidFill>
                    <w14:schemeClr w14:val="tx1"/>
                  </w14:solidFill>
                </w14:textFill>
              </w:rPr>
              <w:t>3</w:t>
            </w:r>
          </w:p>
        </w:tc>
        <w:tc>
          <w:tcPr>
            <w:tcW w:w="121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1.1mg/m</w:t>
            </w:r>
            <w:r>
              <w:rPr>
                <w:rFonts w:hint="default" w:ascii="Times New Roman" w:hAnsi="Times New Roman" w:cs="Times New Roman" w:eastAsiaTheme="minorEastAsia"/>
                <w:color w:val="000000" w:themeColor="text1"/>
                <w:vertAlign w:val="superscript"/>
                <w14:textFill>
                  <w14:solidFill>
                    <w14:schemeClr w14:val="tx1"/>
                  </w14:solidFill>
                </w14:textFill>
              </w:rPr>
              <w:t>3</w:t>
            </w:r>
          </w:p>
        </w:tc>
        <w:tc>
          <w:tcPr>
            <w:tcW w:w="135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27.5</w:t>
            </w:r>
          </w:p>
        </w:tc>
        <w:tc>
          <w:tcPr>
            <w:tcW w:w="83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w:t>
            </w:r>
          </w:p>
        </w:tc>
        <w:tc>
          <w:tcPr>
            <w:tcW w:w="75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达标</w:t>
            </w:r>
          </w:p>
        </w:tc>
      </w:tr>
    </w:tbl>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由上表可知，根据《2020年大庆市生态环境状况公报》，评价区域内基本污染物指标均满足《环境空气质量标准》（GB3095-2012）及其修改单二级标准。因此判断项目所在区域为环境空气质量达标区。</w:t>
      </w:r>
    </w:p>
    <w:p>
      <w:pPr>
        <w:ind w:firstLine="0" w:firstLineChars="0"/>
        <w:outlineLvl w:val="3"/>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4.3.1.2 环境空气质量现状</w:t>
      </w:r>
    </w:p>
    <w:p>
      <w:pPr>
        <w:widowControl w:val="0"/>
        <w:ind w:firstLine="560"/>
        <w:rPr>
          <w:rFonts w:hint="default" w:ascii="Times New Roman" w:hAnsi="Times New Roman" w:cs="Times New Roman" w:eastAsiaTheme="minorEastAsia"/>
          <w:snapToGrid w:val="0"/>
          <w:color w:val="auto"/>
          <w:kern w:val="0"/>
          <w:sz w:val="24"/>
          <w:szCs w:val="24"/>
          <w:highlight w:val="none"/>
        </w:rPr>
      </w:pPr>
      <w:r>
        <w:rPr>
          <w:rFonts w:hint="default" w:ascii="Times New Roman" w:hAnsi="Times New Roman" w:cs="Times New Roman" w:eastAsiaTheme="minorEastAsia"/>
          <w:snapToGrid w:val="0"/>
          <w:color w:val="auto"/>
          <w:kern w:val="0"/>
          <w:sz w:val="24"/>
          <w:szCs w:val="24"/>
          <w:highlight w:val="none"/>
        </w:rPr>
        <w:t>本项目其他污染物氨、硫化氢、TSP污染因子环境质量现状委托大庆中环评价检测有限公司进行现场监测，监测时间为2021年10月16日-22日。</w:t>
      </w:r>
    </w:p>
    <w:p>
      <w:pPr>
        <w:widowControl w:val="0"/>
        <w:ind w:firstLine="560"/>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t>（1）监测项目</w:t>
      </w:r>
    </w:p>
    <w:p>
      <w:pPr>
        <w:widowControl w:val="0"/>
        <w:ind w:firstLine="560"/>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t>氨、硫化氢、TSP</w:t>
      </w:r>
    </w:p>
    <w:p>
      <w:pPr>
        <w:widowControl w:val="0"/>
        <w:ind w:firstLine="560"/>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t>（2）监测点位</w:t>
      </w:r>
    </w:p>
    <w:p>
      <w:pPr>
        <w:widowControl w:val="0"/>
        <w:ind w:firstLine="560"/>
        <w:rPr>
          <w:rFonts w:hint="default" w:ascii="Times New Roman" w:hAnsi="Times New Roman" w:cs="Times New Roman" w:eastAsiaTheme="minorEastAsia"/>
          <w:snapToGrid w:val="0"/>
          <w:color w:val="auto"/>
          <w:kern w:val="0"/>
          <w:sz w:val="24"/>
          <w:szCs w:val="24"/>
          <w:highlight w:val="none"/>
        </w:rPr>
      </w:pPr>
      <w:r>
        <w:rPr>
          <w:rFonts w:hint="default" w:ascii="Times New Roman" w:hAnsi="Times New Roman" w:cs="Times New Roman" w:eastAsiaTheme="minorEastAsia"/>
          <w:snapToGrid w:val="0"/>
          <w:color w:val="auto"/>
          <w:kern w:val="0"/>
          <w:sz w:val="24"/>
          <w:szCs w:val="24"/>
          <w:highlight w:val="none"/>
        </w:rPr>
        <w:t>共2个补充监测点位，点位分布见表4-3-2，见图4-3-1。</w:t>
      </w:r>
    </w:p>
    <w:p>
      <w:pPr>
        <w:adjustRightInd/>
        <w:snapToGrid/>
        <w:spacing w:line="240" w:lineRule="auto"/>
        <w:ind w:firstLine="0" w:firstLineChars="0"/>
        <w:jc w:val="both"/>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drawing>
          <wp:inline distT="0" distB="0" distL="114300" distR="114300">
            <wp:extent cx="5394960" cy="5287010"/>
            <wp:effectExtent l="0" t="0" r="15240" b="8890"/>
            <wp:docPr id="43" name="图片 43" descr="9138654264c29fddb962415eaf4b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138654264c29fddb962415eaf4b244"/>
                    <pic:cNvPicPr>
                      <a:picLocks noChangeAspect="1"/>
                    </pic:cNvPicPr>
                  </pic:nvPicPr>
                  <pic:blipFill>
                    <a:blip r:embed="rId60"/>
                    <a:stretch>
                      <a:fillRect/>
                    </a:stretch>
                  </pic:blipFill>
                  <pic:spPr>
                    <a:xfrm>
                      <a:off x="0" y="0"/>
                      <a:ext cx="5394960" cy="5287010"/>
                    </a:xfrm>
                    <a:prstGeom prst="rect">
                      <a:avLst/>
                    </a:prstGeom>
                  </pic:spPr>
                </pic:pic>
              </a:graphicData>
            </a:graphic>
          </wp:inline>
        </w:drawing>
      </w:r>
      <w:r>
        <w:rPr>
          <w:rFonts w:hint="default" w:ascii="Times New Roman" w:hAnsi="Times New Roman" w:cs="Times New Roman" w:eastAsiaTheme="minorEastAsia"/>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66675</wp:posOffset>
                </wp:positionH>
                <wp:positionV relativeFrom="paragraph">
                  <wp:posOffset>3975100</wp:posOffset>
                </wp:positionV>
                <wp:extent cx="714375" cy="0"/>
                <wp:effectExtent l="0" t="0" r="0" b="0"/>
                <wp:wrapNone/>
                <wp:docPr id="1225" name="自选图形 1253"/>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straightConnector1">
                          <a:avLst/>
                        </a:prstGeom>
                        <a:noFill/>
                        <a:ln>
                          <a:noFill/>
                        </a:ln>
                        <a:effectLst/>
                      </wps:spPr>
                      <wps:bodyPr/>
                    </wps:wsp>
                  </a:graphicData>
                </a:graphic>
              </wp:anchor>
            </w:drawing>
          </mc:Choice>
          <mc:Fallback>
            <w:pict>
              <v:shape id="自选图形 1253" o:spid="_x0000_s1026" o:spt="32" type="#_x0000_t32" style="position:absolute;left:0pt;margin-left:5.25pt;margin-top:313pt;height:0pt;width:56.25pt;z-index:251665408;mso-width-relative:page;mso-height-relative:page;" filled="f" stroked="f" coordsize="21600,21600" o:gfxdata="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dA6671QAAAAoBAAAPAAAAAAAAAAEAIAAAACIA&#10;AABkcnMvZG93bnJldi54bWxQSwECFAAUAAAACACHTuJAKrmqa9MBAACMAwAADgAAAAAAAAABACAA&#10;AAAkAQAAZHJzL2Uyb0RvYy54bWxQSwUGAAAAAAYABgBZAQAAaQUAAAAA&#10;">
                <v:fill on="f" focussize="0,0"/>
                <v:stroke on="f"/>
                <v:imagedata o:title=""/>
                <o:lock v:ext="edit" aspectratio="f"/>
              </v:shape>
            </w:pict>
          </mc:Fallback>
        </mc:AlternateContent>
      </w:r>
    </w:p>
    <w:p>
      <w:pPr>
        <w:pStyle w:val="643"/>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图4-3-1 环境现状监测点位图</w:t>
      </w:r>
    </w:p>
    <w:p>
      <w:pPr>
        <w:widowControl w:val="0"/>
        <w:adjustRightInd/>
        <w:snapToGrid/>
        <w:ind w:firstLine="0" w:firstLineChars="0"/>
        <w:jc w:val="center"/>
        <w:rPr>
          <w:rFonts w:hint="default" w:ascii="Times New Roman" w:hAnsi="Times New Roman" w:cs="Times New Roman" w:eastAsiaTheme="minorEastAsia"/>
          <w:snapToGrid w:val="0"/>
          <w:color w:val="auto"/>
          <w:kern w:val="0"/>
          <w:sz w:val="24"/>
          <w:highlight w:val="none"/>
        </w:rPr>
      </w:pPr>
      <w:r>
        <w:rPr>
          <w:rFonts w:hint="default" w:ascii="Times New Roman" w:hAnsi="Times New Roman" w:cs="Times New Roman" w:eastAsiaTheme="minorEastAsia"/>
          <w:snapToGrid w:val="0"/>
          <w:color w:val="auto"/>
          <w:kern w:val="0"/>
          <w:sz w:val="24"/>
          <w:highlight w:val="none"/>
        </w:rPr>
        <w:t>表4-3-2  其他污染物补充监测点位基本信息</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842"/>
        <w:gridCol w:w="1560"/>
        <w:gridCol w:w="1561"/>
        <w:gridCol w:w="17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809" w:type="dxa"/>
            <w:vAlign w:val="center"/>
          </w:tcPr>
          <w:p>
            <w:pPr>
              <w:widowControl w:val="0"/>
              <w:adjustRightInd/>
              <w:snapToGrid/>
              <w:spacing w:line="440" w:lineRule="exact"/>
              <w:ind w:firstLine="0" w:firstLineChars="0"/>
              <w:jc w:val="center"/>
              <w:rPr>
                <w:rFonts w:hint="default" w:ascii="Times New Roman" w:hAnsi="Times New Roman" w:cs="Times New Roman" w:eastAsiaTheme="minorEastAsia"/>
                <w:bCs/>
                <w:snapToGrid w:val="0"/>
                <w:color w:val="auto"/>
                <w:sz w:val="21"/>
                <w:szCs w:val="21"/>
                <w:highlight w:val="none"/>
              </w:rPr>
            </w:pPr>
            <w:r>
              <w:rPr>
                <w:rFonts w:hint="default" w:ascii="Times New Roman" w:hAnsi="Times New Roman" w:cs="Times New Roman" w:eastAsiaTheme="minorEastAsia"/>
                <w:bCs/>
                <w:snapToGrid w:val="0"/>
                <w:color w:val="auto"/>
                <w:sz w:val="21"/>
                <w:szCs w:val="21"/>
                <w:highlight w:val="none"/>
              </w:rPr>
              <w:t>监测点名称</w:t>
            </w:r>
          </w:p>
        </w:tc>
        <w:tc>
          <w:tcPr>
            <w:tcW w:w="1842" w:type="dxa"/>
            <w:vAlign w:val="center"/>
          </w:tcPr>
          <w:p>
            <w:pPr>
              <w:widowControl w:val="0"/>
              <w:adjustRightInd/>
              <w:snapToGrid/>
              <w:spacing w:line="440" w:lineRule="exact"/>
              <w:ind w:firstLine="0" w:firstLineChars="0"/>
              <w:jc w:val="center"/>
              <w:rPr>
                <w:rFonts w:hint="default" w:ascii="Times New Roman" w:hAnsi="Times New Roman" w:cs="Times New Roman" w:eastAsiaTheme="minorEastAsia"/>
                <w:bCs/>
                <w:snapToGrid w:val="0"/>
                <w:color w:val="auto"/>
                <w:sz w:val="21"/>
                <w:szCs w:val="21"/>
                <w:highlight w:val="none"/>
              </w:rPr>
            </w:pPr>
            <w:r>
              <w:rPr>
                <w:rFonts w:hint="default" w:ascii="Times New Roman" w:hAnsi="Times New Roman" w:cs="Times New Roman" w:eastAsiaTheme="minorEastAsia"/>
                <w:bCs/>
                <w:snapToGrid w:val="0"/>
                <w:color w:val="auto"/>
                <w:sz w:val="21"/>
                <w:szCs w:val="21"/>
                <w:highlight w:val="none"/>
              </w:rPr>
              <w:t>监测因子</w:t>
            </w:r>
          </w:p>
        </w:tc>
        <w:tc>
          <w:tcPr>
            <w:tcW w:w="1560" w:type="dxa"/>
            <w:vAlign w:val="center"/>
          </w:tcPr>
          <w:p>
            <w:pPr>
              <w:widowControl w:val="0"/>
              <w:adjustRightInd/>
              <w:snapToGrid/>
              <w:spacing w:line="440" w:lineRule="exact"/>
              <w:ind w:firstLine="0" w:firstLineChars="0"/>
              <w:jc w:val="center"/>
              <w:rPr>
                <w:rFonts w:hint="default" w:ascii="Times New Roman" w:hAnsi="Times New Roman" w:cs="Times New Roman" w:eastAsiaTheme="minorEastAsia"/>
                <w:bCs/>
                <w:snapToGrid w:val="0"/>
                <w:color w:val="auto"/>
                <w:sz w:val="21"/>
                <w:szCs w:val="21"/>
                <w:highlight w:val="none"/>
              </w:rPr>
            </w:pPr>
            <w:r>
              <w:rPr>
                <w:rFonts w:hint="default" w:ascii="Times New Roman" w:hAnsi="Times New Roman" w:cs="Times New Roman" w:eastAsiaTheme="minorEastAsia"/>
                <w:bCs/>
                <w:snapToGrid w:val="0"/>
                <w:color w:val="auto"/>
                <w:sz w:val="21"/>
                <w:szCs w:val="21"/>
                <w:highlight w:val="none"/>
              </w:rPr>
              <w:t>检测时段</w:t>
            </w:r>
          </w:p>
        </w:tc>
        <w:tc>
          <w:tcPr>
            <w:tcW w:w="1561" w:type="dxa"/>
            <w:vAlign w:val="center"/>
          </w:tcPr>
          <w:p>
            <w:pPr>
              <w:widowControl w:val="0"/>
              <w:adjustRightInd/>
              <w:snapToGrid/>
              <w:spacing w:line="440" w:lineRule="exact"/>
              <w:ind w:firstLine="0" w:firstLineChars="0"/>
              <w:jc w:val="center"/>
              <w:rPr>
                <w:rFonts w:hint="default" w:ascii="Times New Roman" w:hAnsi="Times New Roman" w:cs="Times New Roman" w:eastAsiaTheme="minorEastAsia"/>
                <w:bCs/>
                <w:snapToGrid w:val="0"/>
                <w:color w:val="auto"/>
                <w:sz w:val="21"/>
                <w:szCs w:val="21"/>
                <w:highlight w:val="none"/>
              </w:rPr>
            </w:pPr>
            <w:r>
              <w:rPr>
                <w:rFonts w:hint="default" w:ascii="Times New Roman" w:hAnsi="Times New Roman" w:cs="Times New Roman" w:eastAsiaTheme="minorEastAsia"/>
                <w:bCs/>
                <w:snapToGrid w:val="0"/>
                <w:color w:val="auto"/>
                <w:sz w:val="21"/>
                <w:szCs w:val="21"/>
                <w:highlight w:val="none"/>
              </w:rPr>
              <w:t>相对厂址方位</w:t>
            </w:r>
          </w:p>
        </w:tc>
        <w:tc>
          <w:tcPr>
            <w:tcW w:w="1750" w:type="dxa"/>
            <w:vAlign w:val="center"/>
          </w:tcPr>
          <w:p>
            <w:pPr>
              <w:widowControl w:val="0"/>
              <w:adjustRightInd/>
              <w:snapToGrid/>
              <w:spacing w:line="440" w:lineRule="exact"/>
              <w:ind w:firstLine="0" w:firstLineChars="0"/>
              <w:jc w:val="center"/>
              <w:rPr>
                <w:rFonts w:hint="default" w:ascii="Times New Roman" w:hAnsi="Times New Roman" w:cs="Times New Roman" w:eastAsiaTheme="minorEastAsia"/>
                <w:bCs/>
                <w:snapToGrid w:val="0"/>
                <w:color w:val="auto"/>
                <w:sz w:val="21"/>
                <w:szCs w:val="21"/>
                <w:highlight w:val="none"/>
              </w:rPr>
            </w:pPr>
            <w:r>
              <w:rPr>
                <w:rFonts w:hint="default" w:ascii="Times New Roman" w:hAnsi="Times New Roman" w:cs="Times New Roman" w:eastAsiaTheme="minorEastAsia"/>
                <w:bCs/>
                <w:snapToGrid w:val="0"/>
                <w:color w:val="auto"/>
                <w:sz w:val="21"/>
                <w:szCs w:val="21"/>
                <w:highlight w:val="none"/>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809" w:type="dxa"/>
            <w:vMerge w:val="restart"/>
            <w:vAlign w:val="center"/>
          </w:tcPr>
          <w:p>
            <w:pPr>
              <w:widowControl w:val="0"/>
              <w:adjustRightInd/>
              <w:snapToGrid/>
              <w:spacing w:line="440" w:lineRule="exact"/>
              <w:ind w:firstLine="0" w:firstLineChars="0"/>
              <w:jc w:val="center"/>
              <w:rPr>
                <w:rFonts w:hint="default" w:ascii="Times New Roman" w:hAnsi="Times New Roman" w:cs="Times New Roman" w:eastAsiaTheme="minorEastAsia"/>
                <w:bCs/>
                <w:snapToGrid w:val="0"/>
                <w:color w:val="auto"/>
                <w:sz w:val="21"/>
                <w:szCs w:val="21"/>
                <w:highlight w:val="none"/>
              </w:rPr>
            </w:pPr>
            <w:r>
              <w:rPr>
                <w:rFonts w:hint="default" w:ascii="Times New Roman" w:hAnsi="Times New Roman" w:cs="Times New Roman" w:eastAsiaTheme="minorEastAsia"/>
                <w:bCs/>
                <w:snapToGrid w:val="0"/>
                <w:color w:val="auto"/>
                <w:sz w:val="21"/>
                <w:szCs w:val="21"/>
                <w:highlight w:val="none"/>
              </w:rPr>
              <w:t>项目场址</w:t>
            </w:r>
          </w:p>
          <w:p>
            <w:pPr>
              <w:widowControl w:val="0"/>
              <w:adjustRightInd/>
              <w:snapToGrid/>
              <w:spacing w:line="440" w:lineRule="exact"/>
              <w:ind w:firstLine="0" w:firstLineChars="0"/>
              <w:jc w:val="center"/>
              <w:rPr>
                <w:rFonts w:hint="default" w:ascii="Times New Roman" w:hAnsi="Times New Roman" w:cs="Times New Roman" w:eastAsiaTheme="minorEastAsia"/>
                <w:bCs/>
                <w:snapToGrid w:val="0"/>
                <w:color w:val="auto"/>
                <w:sz w:val="21"/>
                <w:szCs w:val="21"/>
                <w:highlight w:val="none"/>
              </w:rPr>
            </w:pPr>
          </w:p>
        </w:tc>
        <w:tc>
          <w:tcPr>
            <w:tcW w:w="1842" w:type="dxa"/>
            <w:vAlign w:val="center"/>
          </w:tcPr>
          <w:p>
            <w:pPr>
              <w:pStyle w:val="666"/>
              <w:rPr>
                <w:rFonts w:hint="default" w:ascii="Times New Roman" w:hAnsi="Times New Roman" w:cs="Times New Roman" w:eastAsiaTheme="minorEastAsia"/>
                <w:snapToGrid w:val="0"/>
                <w:color w:val="auto"/>
                <w:highlight w:val="none"/>
              </w:rPr>
            </w:pPr>
            <w:r>
              <w:rPr>
                <w:rFonts w:hint="default" w:ascii="Times New Roman" w:hAnsi="Times New Roman" w:cs="Times New Roman" w:eastAsiaTheme="minorEastAsia"/>
                <w:snapToGrid w:val="0"/>
                <w:color w:val="auto"/>
                <w:highlight w:val="none"/>
              </w:rPr>
              <w:t>氨、硫化氢</w:t>
            </w:r>
          </w:p>
        </w:tc>
        <w:tc>
          <w:tcPr>
            <w:tcW w:w="1560" w:type="dxa"/>
            <w:vAlign w:val="center"/>
          </w:tcPr>
          <w:p>
            <w:pPr>
              <w:pStyle w:val="666"/>
              <w:rPr>
                <w:rFonts w:hint="default" w:ascii="Times New Roman" w:hAnsi="Times New Roman" w:cs="Times New Roman" w:eastAsiaTheme="minorEastAsia"/>
                <w:snapToGrid w:val="0"/>
                <w:color w:val="auto"/>
                <w:highlight w:val="none"/>
              </w:rPr>
            </w:pPr>
            <w:r>
              <w:rPr>
                <w:rFonts w:hint="default" w:ascii="Times New Roman" w:hAnsi="Times New Roman" w:cs="Times New Roman" w:eastAsiaTheme="minorEastAsia"/>
                <w:snapToGrid w:val="0"/>
                <w:color w:val="auto"/>
                <w:highlight w:val="none"/>
              </w:rPr>
              <w:t>1h均值</w:t>
            </w:r>
          </w:p>
        </w:tc>
        <w:tc>
          <w:tcPr>
            <w:tcW w:w="1561" w:type="dxa"/>
            <w:vMerge w:val="restart"/>
            <w:vAlign w:val="center"/>
          </w:tcPr>
          <w:p>
            <w:pPr>
              <w:widowControl w:val="0"/>
              <w:adjustRightInd/>
              <w:snapToGrid/>
              <w:spacing w:line="440" w:lineRule="exact"/>
              <w:ind w:firstLine="0" w:firstLineChars="0"/>
              <w:jc w:val="center"/>
              <w:rPr>
                <w:rFonts w:hint="default" w:ascii="Times New Roman" w:hAnsi="Times New Roman" w:cs="Times New Roman" w:eastAsiaTheme="minorEastAsia"/>
                <w:bCs/>
                <w:snapToGrid w:val="0"/>
                <w:color w:val="auto"/>
                <w:sz w:val="21"/>
                <w:szCs w:val="21"/>
                <w:highlight w:val="none"/>
              </w:rPr>
            </w:pPr>
            <w:r>
              <w:rPr>
                <w:rFonts w:hint="default" w:ascii="Times New Roman" w:hAnsi="Times New Roman" w:cs="Times New Roman" w:eastAsiaTheme="minorEastAsia"/>
                <w:bCs/>
                <w:snapToGrid w:val="0"/>
                <w:color w:val="auto"/>
                <w:sz w:val="21"/>
                <w:szCs w:val="21"/>
                <w:highlight w:val="none"/>
              </w:rPr>
              <w:t>厂区内</w:t>
            </w:r>
          </w:p>
        </w:tc>
        <w:tc>
          <w:tcPr>
            <w:tcW w:w="1750" w:type="dxa"/>
            <w:vMerge w:val="restart"/>
            <w:vAlign w:val="center"/>
          </w:tcPr>
          <w:p>
            <w:pPr>
              <w:widowControl w:val="0"/>
              <w:adjustRightInd/>
              <w:snapToGrid/>
              <w:spacing w:line="440" w:lineRule="exact"/>
              <w:ind w:firstLine="0" w:firstLineChars="0"/>
              <w:jc w:val="center"/>
              <w:rPr>
                <w:rFonts w:hint="default" w:ascii="Times New Roman" w:hAnsi="Times New Roman" w:cs="Times New Roman" w:eastAsiaTheme="minorEastAsia"/>
                <w:bCs/>
                <w:snapToGrid w:val="0"/>
                <w:color w:val="auto"/>
                <w:sz w:val="21"/>
                <w:szCs w:val="21"/>
                <w:highlight w:val="none"/>
              </w:rPr>
            </w:pPr>
            <w:r>
              <w:rPr>
                <w:rFonts w:hint="default" w:ascii="Times New Roman" w:hAnsi="Times New Roman" w:cs="Times New Roman" w:eastAsiaTheme="minorEastAsia"/>
                <w:bCs/>
                <w:snapToGrid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809" w:type="dxa"/>
            <w:vMerge w:val="continue"/>
            <w:vAlign w:val="center"/>
          </w:tcPr>
          <w:p>
            <w:pPr>
              <w:widowControl w:val="0"/>
              <w:adjustRightInd/>
              <w:snapToGrid/>
              <w:spacing w:line="440" w:lineRule="exact"/>
              <w:ind w:firstLine="0" w:firstLineChars="0"/>
              <w:jc w:val="center"/>
              <w:rPr>
                <w:rFonts w:hint="default" w:ascii="Times New Roman" w:hAnsi="Times New Roman" w:cs="Times New Roman" w:eastAsiaTheme="minorEastAsia"/>
                <w:bCs/>
                <w:snapToGrid w:val="0"/>
                <w:color w:val="auto"/>
                <w:sz w:val="21"/>
                <w:szCs w:val="21"/>
                <w:highlight w:val="none"/>
              </w:rPr>
            </w:pPr>
          </w:p>
        </w:tc>
        <w:tc>
          <w:tcPr>
            <w:tcW w:w="1842" w:type="dxa"/>
            <w:vAlign w:val="center"/>
          </w:tcPr>
          <w:p>
            <w:pPr>
              <w:pStyle w:val="666"/>
              <w:rPr>
                <w:rFonts w:hint="default" w:ascii="Times New Roman" w:hAnsi="Times New Roman" w:cs="Times New Roman" w:eastAsiaTheme="minorEastAsia"/>
                <w:snapToGrid w:val="0"/>
                <w:color w:val="auto"/>
                <w:highlight w:val="none"/>
              </w:rPr>
            </w:pPr>
            <w:r>
              <w:rPr>
                <w:rFonts w:hint="default" w:ascii="Times New Roman" w:hAnsi="Times New Roman" w:cs="Times New Roman" w:eastAsiaTheme="minorEastAsia"/>
                <w:snapToGrid w:val="0"/>
                <w:color w:val="auto"/>
                <w:highlight w:val="none"/>
              </w:rPr>
              <w:t>TSP</w:t>
            </w:r>
          </w:p>
        </w:tc>
        <w:tc>
          <w:tcPr>
            <w:tcW w:w="1560" w:type="dxa"/>
            <w:vAlign w:val="center"/>
          </w:tcPr>
          <w:p>
            <w:pPr>
              <w:pStyle w:val="666"/>
              <w:rPr>
                <w:rFonts w:hint="default" w:ascii="Times New Roman" w:hAnsi="Times New Roman" w:cs="Times New Roman" w:eastAsiaTheme="minorEastAsia"/>
                <w:snapToGrid w:val="0"/>
                <w:color w:val="auto"/>
                <w:highlight w:val="none"/>
              </w:rPr>
            </w:pPr>
            <w:r>
              <w:rPr>
                <w:rFonts w:hint="default" w:ascii="Times New Roman" w:hAnsi="Times New Roman" w:cs="Times New Roman" w:eastAsiaTheme="minorEastAsia"/>
                <w:snapToGrid w:val="0"/>
                <w:color w:val="auto"/>
                <w:highlight w:val="none"/>
              </w:rPr>
              <w:t>24h均值</w:t>
            </w:r>
          </w:p>
        </w:tc>
        <w:tc>
          <w:tcPr>
            <w:tcW w:w="1561" w:type="dxa"/>
            <w:vMerge w:val="continue"/>
            <w:vAlign w:val="center"/>
          </w:tcPr>
          <w:p>
            <w:pPr>
              <w:widowControl w:val="0"/>
              <w:spacing w:line="440" w:lineRule="exact"/>
              <w:ind w:firstLine="0" w:firstLineChars="0"/>
              <w:rPr>
                <w:rFonts w:hint="default" w:ascii="Times New Roman" w:hAnsi="Times New Roman" w:cs="Times New Roman" w:eastAsiaTheme="minorEastAsia"/>
                <w:bCs/>
                <w:snapToGrid w:val="0"/>
                <w:color w:val="auto"/>
                <w:sz w:val="21"/>
                <w:szCs w:val="21"/>
                <w:highlight w:val="none"/>
              </w:rPr>
            </w:pPr>
          </w:p>
        </w:tc>
        <w:tc>
          <w:tcPr>
            <w:tcW w:w="1750" w:type="dxa"/>
            <w:vMerge w:val="continue"/>
            <w:vAlign w:val="center"/>
          </w:tcPr>
          <w:p>
            <w:pPr>
              <w:widowControl w:val="0"/>
              <w:spacing w:line="440" w:lineRule="exact"/>
              <w:ind w:firstLine="0" w:firstLineChars="0"/>
              <w:rPr>
                <w:rFonts w:hint="default" w:ascii="Times New Roman" w:hAnsi="Times New Roman" w:cs="Times New Roman" w:eastAsiaTheme="minorEastAsia"/>
                <w:bCs/>
                <w:snapToGrid w:val="0"/>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809" w:type="dxa"/>
            <w:vMerge w:val="restart"/>
            <w:vAlign w:val="center"/>
          </w:tcPr>
          <w:p>
            <w:pPr>
              <w:widowControl w:val="0"/>
              <w:adjustRightInd/>
              <w:snapToGrid/>
              <w:spacing w:line="440" w:lineRule="exact"/>
              <w:ind w:firstLine="0" w:firstLineChars="0"/>
              <w:jc w:val="center"/>
              <w:rPr>
                <w:rFonts w:hint="default" w:ascii="Times New Roman" w:hAnsi="Times New Roman" w:cs="Times New Roman" w:eastAsiaTheme="minorEastAsia"/>
                <w:bCs/>
                <w:snapToGrid w:val="0"/>
                <w:color w:val="auto"/>
                <w:sz w:val="21"/>
                <w:szCs w:val="21"/>
                <w:highlight w:val="none"/>
              </w:rPr>
            </w:pPr>
            <w:r>
              <w:rPr>
                <w:rFonts w:hint="default" w:ascii="Times New Roman" w:hAnsi="Times New Roman" w:cs="Times New Roman" w:eastAsiaTheme="minorEastAsia"/>
                <w:bCs/>
                <w:snapToGrid w:val="0"/>
                <w:color w:val="auto"/>
                <w:sz w:val="21"/>
                <w:szCs w:val="21"/>
                <w:highlight w:val="none"/>
              </w:rPr>
              <w:t>场址下风向</w:t>
            </w:r>
          </w:p>
        </w:tc>
        <w:tc>
          <w:tcPr>
            <w:tcW w:w="1842" w:type="dxa"/>
            <w:vAlign w:val="center"/>
          </w:tcPr>
          <w:p>
            <w:pPr>
              <w:pStyle w:val="666"/>
              <w:rPr>
                <w:rFonts w:hint="default" w:ascii="Times New Roman" w:hAnsi="Times New Roman" w:cs="Times New Roman" w:eastAsiaTheme="minorEastAsia"/>
                <w:snapToGrid w:val="0"/>
                <w:color w:val="auto"/>
                <w:highlight w:val="none"/>
              </w:rPr>
            </w:pPr>
            <w:r>
              <w:rPr>
                <w:rFonts w:hint="default" w:ascii="Times New Roman" w:hAnsi="Times New Roman" w:cs="Times New Roman" w:eastAsiaTheme="minorEastAsia"/>
                <w:snapToGrid w:val="0"/>
                <w:color w:val="auto"/>
                <w:highlight w:val="none"/>
              </w:rPr>
              <w:t>氨、硫化氢</w:t>
            </w:r>
          </w:p>
        </w:tc>
        <w:tc>
          <w:tcPr>
            <w:tcW w:w="1560" w:type="dxa"/>
            <w:vAlign w:val="center"/>
          </w:tcPr>
          <w:p>
            <w:pPr>
              <w:pStyle w:val="666"/>
              <w:rPr>
                <w:rFonts w:hint="default" w:ascii="Times New Roman" w:hAnsi="Times New Roman" w:cs="Times New Roman" w:eastAsiaTheme="minorEastAsia"/>
                <w:snapToGrid w:val="0"/>
                <w:color w:val="auto"/>
                <w:highlight w:val="none"/>
              </w:rPr>
            </w:pPr>
            <w:r>
              <w:rPr>
                <w:rFonts w:hint="default" w:ascii="Times New Roman" w:hAnsi="Times New Roman" w:cs="Times New Roman" w:eastAsiaTheme="minorEastAsia"/>
                <w:snapToGrid w:val="0"/>
                <w:color w:val="auto"/>
                <w:highlight w:val="none"/>
              </w:rPr>
              <w:t>1h均值</w:t>
            </w:r>
          </w:p>
        </w:tc>
        <w:tc>
          <w:tcPr>
            <w:tcW w:w="1561" w:type="dxa"/>
            <w:vMerge w:val="restart"/>
            <w:vAlign w:val="center"/>
          </w:tcPr>
          <w:p>
            <w:pPr>
              <w:widowControl w:val="0"/>
              <w:spacing w:line="440" w:lineRule="exact"/>
              <w:ind w:firstLine="0" w:firstLineChars="0"/>
              <w:jc w:val="center"/>
              <w:rPr>
                <w:rFonts w:hint="default" w:ascii="Times New Roman" w:hAnsi="Times New Roman" w:cs="Times New Roman" w:eastAsiaTheme="minorEastAsia"/>
                <w:bCs/>
                <w:snapToGrid w:val="0"/>
                <w:color w:val="auto"/>
                <w:sz w:val="21"/>
                <w:szCs w:val="21"/>
                <w:highlight w:val="none"/>
                <w:lang w:eastAsia="zh-CN"/>
              </w:rPr>
            </w:pPr>
            <w:r>
              <w:rPr>
                <w:rFonts w:hint="default" w:ascii="Times New Roman" w:hAnsi="Times New Roman" w:cs="Times New Roman" w:eastAsiaTheme="minorEastAsia"/>
                <w:bCs/>
                <w:snapToGrid w:val="0"/>
                <w:color w:val="auto"/>
                <w:sz w:val="21"/>
                <w:szCs w:val="21"/>
                <w:highlight w:val="none"/>
                <w:lang w:eastAsia="zh-CN"/>
              </w:rPr>
              <w:t>鞠家窑屯</w:t>
            </w:r>
          </w:p>
        </w:tc>
        <w:tc>
          <w:tcPr>
            <w:tcW w:w="1750" w:type="dxa"/>
            <w:vMerge w:val="restart"/>
            <w:vAlign w:val="center"/>
          </w:tcPr>
          <w:p>
            <w:pPr>
              <w:widowControl w:val="0"/>
              <w:spacing w:line="440" w:lineRule="exact"/>
              <w:ind w:firstLine="0" w:firstLineChars="0"/>
              <w:jc w:val="center"/>
              <w:rPr>
                <w:rFonts w:hint="default" w:ascii="Times New Roman" w:hAnsi="Times New Roman" w:cs="Times New Roman" w:eastAsiaTheme="minorEastAsia"/>
                <w:bCs/>
                <w:snapToGrid w:val="0"/>
                <w:color w:val="auto"/>
                <w:sz w:val="21"/>
                <w:szCs w:val="21"/>
                <w:highlight w:val="none"/>
                <w:lang w:val="en-US" w:eastAsia="zh-CN"/>
              </w:rPr>
            </w:pPr>
            <w:r>
              <w:rPr>
                <w:rFonts w:hint="default" w:ascii="Times New Roman" w:hAnsi="Times New Roman" w:cs="Times New Roman" w:eastAsiaTheme="minorEastAsia"/>
                <w:bCs/>
                <w:snapToGrid w:val="0"/>
                <w:color w:val="auto"/>
                <w:sz w:val="21"/>
                <w:szCs w:val="21"/>
                <w:highlight w:val="none"/>
                <w:lang w:val="en-US" w:eastAsia="zh-CN"/>
              </w:rPr>
              <w:t>863m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809" w:type="dxa"/>
            <w:vMerge w:val="continue"/>
            <w:vAlign w:val="center"/>
          </w:tcPr>
          <w:p>
            <w:pPr>
              <w:widowControl w:val="0"/>
              <w:adjustRightInd/>
              <w:snapToGrid/>
              <w:spacing w:line="440" w:lineRule="exact"/>
              <w:ind w:firstLine="0" w:firstLineChars="0"/>
              <w:jc w:val="center"/>
              <w:rPr>
                <w:rFonts w:hint="default" w:ascii="Times New Roman" w:hAnsi="Times New Roman" w:cs="Times New Roman" w:eastAsiaTheme="minorEastAsia"/>
                <w:bCs/>
                <w:snapToGrid w:val="0"/>
                <w:color w:val="FF0000"/>
                <w:sz w:val="21"/>
                <w:szCs w:val="21"/>
                <w:highlight w:val="yellow"/>
              </w:rPr>
            </w:pPr>
          </w:p>
        </w:tc>
        <w:tc>
          <w:tcPr>
            <w:tcW w:w="1842" w:type="dxa"/>
            <w:vAlign w:val="center"/>
          </w:tcPr>
          <w:p>
            <w:pPr>
              <w:pStyle w:val="666"/>
              <w:rPr>
                <w:rFonts w:hint="default" w:ascii="Times New Roman" w:hAnsi="Times New Roman" w:cs="Times New Roman" w:eastAsiaTheme="minorEastAsia"/>
                <w:snapToGrid w:val="0"/>
                <w:color w:val="auto"/>
                <w:highlight w:val="none"/>
              </w:rPr>
            </w:pPr>
            <w:r>
              <w:rPr>
                <w:rFonts w:hint="default" w:ascii="Times New Roman" w:hAnsi="Times New Roman" w:cs="Times New Roman" w:eastAsiaTheme="minorEastAsia"/>
                <w:snapToGrid w:val="0"/>
                <w:color w:val="auto"/>
                <w:highlight w:val="none"/>
              </w:rPr>
              <w:t>TSP</w:t>
            </w:r>
          </w:p>
        </w:tc>
        <w:tc>
          <w:tcPr>
            <w:tcW w:w="1560" w:type="dxa"/>
            <w:vAlign w:val="center"/>
          </w:tcPr>
          <w:p>
            <w:pPr>
              <w:pStyle w:val="666"/>
              <w:rPr>
                <w:rFonts w:hint="default" w:ascii="Times New Roman" w:hAnsi="Times New Roman" w:cs="Times New Roman" w:eastAsiaTheme="minorEastAsia"/>
                <w:snapToGrid w:val="0"/>
                <w:color w:val="auto"/>
                <w:highlight w:val="none"/>
              </w:rPr>
            </w:pPr>
            <w:r>
              <w:rPr>
                <w:rFonts w:hint="default" w:ascii="Times New Roman" w:hAnsi="Times New Roman" w:cs="Times New Roman" w:eastAsiaTheme="minorEastAsia"/>
                <w:snapToGrid w:val="0"/>
                <w:color w:val="auto"/>
                <w:highlight w:val="none"/>
              </w:rPr>
              <w:t>24h均值</w:t>
            </w:r>
          </w:p>
        </w:tc>
        <w:tc>
          <w:tcPr>
            <w:tcW w:w="1561" w:type="dxa"/>
            <w:vMerge w:val="continue"/>
            <w:vAlign w:val="center"/>
          </w:tcPr>
          <w:p>
            <w:pPr>
              <w:widowControl w:val="0"/>
              <w:spacing w:line="440" w:lineRule="exact"/>
              <w:ind w:firstLine="0" w:firstLineChars="0"/>
              <w:rPr>
                <w:rFonts w:hint="default" w:ascii="Times New Roman" w:hAnsi="Times New Roman" w:cs="Times New Roman" w:eastAsiaTheme="minorEastAsia"/>
                <w:bCs/>
                <w:snapToGrid w:val="0"/>
                <w:color w:val="000000" w:themeColor="text1"/>
                <w:sz w:val="21"/>
                <w:szCs w:val="21"/>
                <w14:textFill>
                  <w14:solidFill>
                    <w14:schemeClr w14:val="tx1"/>
                  </w14:solidFill>
                </w14:textFill>
              </w:rPr>
            </w:pPr>
          </w:p>
        </w:tc>
        <w:tc>
          <w:tcPr>
            <w:tcW w:w="1750" w:type="dxa"/>
            <w:vMerge w:val="continue"/>
            <w:vAlign w:val="center"/>
          </w:tcPr>
          <w:p>
            <w:pPr>
              <w:widowControl w:val="0"/>
              <w:spacing w:line="440" w:lineRule="exact"/>
              <w:ind w:firstLine="0" w:firstLineChars="0"/>
              <w:rPr>
                <w:rFonts w:hint="default" w:ascii="Times New Roman" w:hAnsi="Times New Roman" w:cs="Times New Roman" w:eastAsiaTheme="minorEastAsia"/>
                <w:bCs/>
                <w:snapToGrid w:val="0"/>
                <w:color w:val="000000" w:themeColor="text1"/>
                <w:sz w:val="21"/>
                <w:szCs w:val="21"/>
                <w14:textFill>
                  <w14:solidFill>
                    <w14:schemeClr w14:val="tx1"/>
                  </w14:solidFill>
                </w14:textFill>
              </w:rPr>
            </w:pPr>
          </w:p>
        </w:tc>
      </w:tr>
    </w:tbl>
    <w:p>
      <w:pPr>
        <w:ind w:firstLine="560"/>
        <w:rPr>
          <w:rFonts w:hint="default" w:ascii="Times New Roman" w:hAnsi="Times New Roman" w:cs="Times New Roman" w:eastAsiaTheme="minorEastAsia"/>
          <w:snapToGrid w:val="0"/>
          <w:color w:val="000000" w:themeColor="text1"/>
          <w:sz w:val="24"/>
          <w:szCs w:val="22"/>
          <w14:textFill>
            <w14:solidFill>
              <w14:schemeClr w14:val="tx1"/>
            </w14:solidFill>
          </w14:textFill>
        </w:rPr>
      </w:pPr>
    </w:p>
    <w:p>
      <w:pPr>
        <w:ind w:firstLine="560"/>
        <w:rPr>
          <w:rFonts w:hint="default" w:ascii="Times New Roman" w:hAnsi="Times New Roman" w:cs="Times New Roman" w:eastAsiaTheme="minorEastAsia"/>
          <w:snapToGrid w:val="0"/>
          <w:color w:val="000000" w:themeColor="text1"/>
          <w:sz w:val="24"/>
          <w:szCs w:val="22"/>
          <w14:textFill>
            <w14:solidFill>
              <w14:schemeClr w14:val="tx1"/>
            </w14:solidFill>
          </w14:textFill>
        </w:rPr>
      </w:pPr>
      <w:r>
        <w:rPr>
          <w:rFonts w:hint="default" w:ascii="Times New Roman" w:hAnsi="Times New Roman" w:cs="Times New Roman" w:eastAsiaTheme="minorEastAsia"/>
          <w:snapToGrid w:val="0"/>
          <w:color w:val="000000" w:themeColor="text1"/>
          <w:sz w:val="24"/>
          <w:szCs w:val="22"/>
          <w14:textFill>
            <w14:solidFill>
              <w14:schemeClr w14:val="tx1"/>
            </w14:solidFill>
          </w14:textFill>
        </w:rPr>
        <w:t>（3）监测频率</w:t>
      </w:r>
    </w:p>
    <w:p>
      <w:pPr>
        <w:widowControl w:val="0"/>
        <w:ind w:firstLine="560"/>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t>监测频率：</w:t>
      </w:r>
      <w:r>
        <w:rPr>
          <w:rFonts w:hint="default" w:ascii="Times New Roman" w:hAnsi="Times New Roman" w:cs="Times New Roman" w:eastAsiaTheme="minorEastAsia"/>
          <w:color w:val="000000" w:themeColor="text1"/>
          <w:sz w:val="24"/>
          <w:szCs w:val="22"/>
          <w14:textFill>
            <w14:solidFill>
              <w14:schemeClr w14:val="tx1"/>
            </w14:solidFill>
          </w14:textFill>
        </w:rPr>
        <w:t>氨、硫化氢的1</w:t>
      </w:r>
      <w:r>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t>小时平均浓度，采样7天，每天采样4次，每天采样时间为02:00、08:00、14:00、20:00，每小时至少有45分钟的采样时间。TSP的24小时平均浓度，采样7天。</w:t>
      </w:r>
    </w:p>
    <w:p>
      <w:pPr>
        <w:widowControl w:val="0"/>
        <w:ind w:firstLine="560"/>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t>（4）监测分析方法</w:t>
      </w:r>
    </w:p>
    <w:p>
      <w:pPr>
        <w:widowControl w:val="0"/>
        <w:ind w:firstLine="560"/>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t>监测分析方法按照《空气和废气监测方法》和《环境监测技术规范》中的有关规定执行。监测分析方法及使用仪器情况详见表4-3-3、4-3-4。</w:t>
      </w:r>
    </w:p>
    <w:p>
      <w:pPr>
        <w:widowControl w:val="0"/>
        <w:adjustRightInd/>
        <w:snapToGrid/>
        <w:ind w:firstLine="0" w:firstLineChars="0"/>
        <w:jc w:val="center"/>
        <w:rPr>
          <w:rFonts w:hint="default" w:ascii="Times New Roman" w:hAnsi="Times New Roman" w:cs="Times New Roman" w:eastAsiaTheme="minorEastAsia"/>
          <w:snapToGrid w:val="0"/>
          <w:color w:val="000000" w:themeColor="text1"/>
          <w:kern w:val="0"/>
          <w:sz w:val="24"/>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14:textFill>
            <w14:solidFill>
              <w14:schemeClr w14:val="tx1"/>
            </w14:solidFill>
          </w14:textFill>
        </w:rPr>
        <w:t>表4-3-3  环境空气监测分析方法一览表</w:t>
      </w:r>
    </w:p>
    <w:tbl>
      <w:tblPr>
        <w:tblStyle w:val="9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8"/>
        <w:gridCol w:w="1150"/>
        <w:gridCol w:w="5575"/>
        <w:gridCol w:w="12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dxa"/>
            <w:vAlign w:val="center"/>
          </w:tcPr>
          <w:p>
            <w:pPr>
              <w:spacing w:line="440" w:lineRule="exact"/>
              <w:ind w:firstLine="0" w:firstLineChars="0"/>
              <w:jc w:val="center"/>
              <w:rPr>
                <w:rFonts w:hint="default" w:ascii="Times New Roman" w:hAnsi="Times New Roman" w:cs="Times New Roman" w:eastAsiaTheme="minorEastAsia"/>
                <w:bCs/>
                <w:snapToGrid w:val="0"/>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snapToGrid w:val="0"/>
                <w:color w:val="000000" w:themeColor="text1"/>
                <w:kern w:val="0"/>
                <w:sz w:val="21"/>
                <w:szCs w:val="21"/>
                <w14:textFill>
                  <w14:solidFill>
                    <w14:schemeClr w14:val="tx1"/>
                  </w14:solidFill>
                </w14:textFill>
              </w:rPr>
              <w:t>序号</w:t>
            </w:r>
          </w:p>
        </w:tc>
        <w:tc>
          <w:tcPr>
            <w:tcW w:w="1150" w:type="dxa"/>
            <w:vAlign w:val="center"/>
          </w:tcPr>
          <w:p>
            <w:pPr>
              <w:spacing w:line="440" w:lineRule="exact"/>
              <w:ind w:firstLine="0" w:firstLineChars="0"/>
              <w:jc w:val="center"/>
              <w:rPr>
                <w:rFonts w:hint="default" w:ascii="Times New Roman" w:hAnsi="Times New Roman" w:cs="Times New Roman" w:eastAsiaTheme="minorEastAsia"/>
                <w:bCs/>
                <w:snapToGrid w:val="0"/>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snapToGrid w:val="0"/>
                <w:color w:val="000000" w:themeColor="text1"/>
                <w:kern w:val="0"/>
                <w:sz w:val="21"/>
                <w:szCs w:val="21"/>
                <w14:textFill>
                  <w14:solidFill>
                    <w14:schemeClr w14:val="tx1"/>
                  </w14:solidFill>
                </w14:textFill>
              </w:rPr>
              <w:t>检测项目</w:t>
            </w:r>
          </w:p>
        </w:tc>
        <w:tc>
          <w:tcPr>
            <w:tcW w:w="5575" w:type="dxa"/>
            <w:vAlign w:val="center"/>
          </w:tcPr>
          <w:p>
            <w:pPr>
              <w:spacing w:line="440" w:lineRule="exact"/>
              <w:ind w:firstLine="0" w:firstLineChars="0"/>
              <w:jc w:val="center"/>
              <w:rPr>
                <w:rFonts w:hint="default" w:ascii="Times New Roman" w:hAnsi="Times New Roman" w:cs="Times New Roman" w:eastAsiaTheme="minorEastAsia"/>
                <w:bCs/>
                <w:snapToGrid w:val="0"/>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snapToGrid w:val="0"/>
                <w:color w:val="000000" w:themeColor="text1"/>
                <w:kern w:val="0"/>
                <w:sz w:val="21"/>
                <w:szCs w:val="21"/>
                <w14:textFill>
                  <w14:solidFill>
                    <w14:schemeClr w14:val="tx1"/>
                  </w14:solidFill>
                </w14:textFill>
              </w:rPr>
              <w:t>检测依据</w:t>
            </w:r>
          </w:p>
        </w:tc>
        <w:tc>
          <w:tcPr>
            <w:tcW w:w="1249" w:type="dxa"/>
            <w:vAlign w:val="center"/>
          </w:tcPr>
          <w:p>
            <w:pPr>
              <w:spacing w:line="440" w:lineRule="exact"/>
              <w:ind w:firstLine="0" w:firstLineChars="0"/>
              <w:jc w:val="center"/>
              <w:rPr>
                <w:rFonts w:hint="default" w:ascii="Times New Roman" w:hAnsi="Times New Roman" w:cs="Times New Roman" w:eastAsiaTheme="minorEastAsia"/>
                <w:bCs/>
                <w:snapToGrid w:val="0"/>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snapToGrid w:val="0"/>
                <w:color w:val="000000" w:themeColor="text1"/>
                <w:kern w:val="0"/>
                <w:sz w:val="21"/>
                <w:szCs w:val="21"/>
                <w14:textFill>
                  <w14:solidFill>
                    <w14:schemeClr w14:val="tx1"/>
                  </w14:solidFill>
                </w14:textFill>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48" w:type="dxa"/>
            <w:vAlign w:val="center"/>
          </w:tcPr>
          <w:p>
            <w:pPr>
              <w:pStyle w:val="666"/>
              <w:rPr>
                <w:rFonts w:hint="default" w:ascii="Times New Roman" w:hAnsi="Times New Roman" w:cs="Times New Roman" w:eastAsiaTheme="minorEastAsia"/>
                <w:snapToGrid w:val="0"/>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14:textFill>
                  <w14:solidFill>
                    <w14:schemeClr w14:val="tx1"/>
                  </w14:solidFill>
                </w14:textFill>
              </w:rPr>
              <w:t>1</w:t>
            </w:r>
          </w:p>
        </w:tc>
        <w:tc>
          <w:tcPr>
            <w:tcW w:w="1150" w:type="dxa"/>
            <w:vAlign w:val="center"/>
          </w:tcPr>
          <w:p>
            <w:pPr>
              <w:spacing w:line="440" w:lineRule="exact"/>
              <w:ind w:firstLine="0" w:firstLineChars="0"/>
              <w:jc w:val="center"/>
              <w:rPr>
                <w:rFonts w:hint="default" w:ascii="Times New Roman" w:hAnsi="Times New Roman" w:cs="Times New Roman" w:eastAsiaTheme="minorEastAsia"/>
                <w:bCs/>
                <w:snapToGrid w:val="0"/>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snapToGrid w:val="0"/>
                <w:color w:val="000000" w:themeColor="text1"/>
                <w:kern w:val="0"/>
                <w:sz w:val="21"/>
                <w:szCs w:val="21"/>
                <w14:textFill>
                  <w14:solidFill>
                    <w14:schemeClr w14:val="tx1"/>
                  </w14:solidFill>
                </w14:textFill>
              </w:rPr>
              <w:t>氨</w:t>
            </w:r>
          </w:p>
        </w:tc>
        <w:tc>
          <w:tcPr>
            <w:tcW w:w="5575" w:type="dxa"/>
            <w:vAlign w:val="center"/>
          </w:tcPr>
          <w:p>
            <w:pPr>
              <w:spacing w:line="440" w:lineRule="exact"/>
              <w:ind w:firstLine="0" w:firstLineChars="0"/>
              <w:jc w:val="center"/>
              <w:rPr>
                <w:rFonts w:hint="default" w:ascii="Times New Roman" w:hAnsi="Times New Roman" w:cs="Times New Roman" w:eastAsiaTheme="minorEastAsia"/>
                <w:bCs/>
                <w:snapToGrid w:val="0"/>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snapToGrid w:val="0"/>
                <w:color w:val="000000" w:themeColor="text1"/>
                <w:kern w:val="0"/>
                <w:sz w:val="21"/>
                <w:szCs w:val="21"/>
                <w14:textFill>
                  <w14:solidFill>
                    <w14:schemeClr w14:val="tx1"/>
                  </w14:solidFill>
                </w14:textFill>
              </w:rPr>
              <w:t>环境空气和废气 氨的测定 纳氏试剂分光光度法HJ 533-2009</w:t>
            </w:r>
          </w:p>
        </w:tc>
        <w:tc>
          <w:tcPr>
            <w:tcW w:w="1249" w:type="dxa"/>
            <w:vAlign w:val="center"/>
          </w:tcPr>
          <w:p>
            <w:pPr>
              <w:spacing w:line="440" w:lineRule="exact"/>
              <w:ind w:firstLine="0" w:firstLineChars="0"/>
              <w:jc w:val="center"/>
              <w:rPr>
                <w:rFonts w:hint="default" w:ascii="Times New Roman" w:hAnsi="Times New Roman" w:cs="Times New Roman" w:eastAsiaTheme="minorEastAsia"/>
                <w:bCs/>
                <w:snapToGrid w:val="0"/>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snapToGrid w:val="0"/>
                <w:color w:val="000000" w:themeColor="text1"/>
                <w:kern w:val="0"/>
                <w:sz w:val="21"/>
                <w:szCs w:val="21"/>
                <w14:textFill>
                  <w14:solidFill>
                    <w14:schemeClr w14:val="tx1"/>
                  </w14:solidFill>
                </w14:textFill>
              </w:rPr>
              <w:t>0.01mg/m</w:t>
            </w:r>
            <w:r>
              <w:rPr>
                <w:rFonts w:hint="default" w:ascii="Times New Roman" w:hAnsi="Times New Roman" w:cs="Times New Roman" w:eastAsiaTheme="minorEastAsia"/>
                <w:bCs/>
                <w:snapToGrid w:val="0"/>
                <w:color w:val="000000" w:themeColor="text1"/>
                <w:kern w:val="0"/>
                <w:sz w:val="21"/>
                <w:szCs w:val="21"/>
                <w:vertAlign w:val="super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48" w:type="dxa"/>
            <w:vAlign w:val="center"/>
          </w:tcPr>
          <w:p>
            <w:pPr>
              <w:spacing w:line="440" w:lineRule="exact"/>
              <w:ind w:firstLine="0" w:firstLineChars="0"/>
              <w:jc w:val="center"/>
              <w:rPr>
                <w:rFonts w:hint="default" w:ascii="Times New Roman" w:hAnsi="Times New Roman" w:cs="Times New Roman" w:eastAsiaTheme="minorEastAsia"/>
                <w:bCs/>
                <w:snapToGrid w:val="0"/>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snapToGrid w:val="0"/>
                <w:color w:val="000000" w:themeColor="text1"/>
                <w:kern w:val="0"/>
                <w:sz w:val="21"/>
                <w:szCs w:val="21"/>
                <w14:textFill>
                  <w14:solidFill>
                    <w14:schemeClr w14:val="tx1"/>
                  </w14:solidFill>
                </w14:textFill>
              </w:rPr>
              <w:t>2</w:t>
            </w:r>
          </w:p>
        </w:tc>
        <w:tc>
          <w:tcPr>
            <w:tcW w:w="115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硫化氢</w:t>
            </w:r>
          </w:p>
        </w:tc>
        <w:tc>
          <w:tcPr>
            <w:tcW w:w="55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亚甲基蓝分光光度法《空气和废气监测分析方法》(第四版增补版)国家环境保护总局(2003年)P476</w:t>
            </w:r>
          </w:p>
        </w:tc>
        <w:tc>
          <w:tcPr>
            <w:tcW w:w="124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0.001mg/m</w:t>
            </w:r>
            <w:r>
              <w:rPr>
                <w:rFonts w:hint="default" w:ascii="Times New Roman" w:hAnsi="Times New Roman" w:cs="Times New Roman" w:eastAsiaTheme="minorEastAsia"/>
                <w:color w:val="000000" w:themeColor="text1"/>
                <w:vertAlign w:val="super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48" w:type="dxa"/>
            <w:vAlign w:val="center"/>
          </w:tcPr>
          <w:p>
            <w:pPr>
              <w:pStyle w:val="666"/>
              <w:rPr>
                <w:rFonts w:hint="default" w:ascii="Times New Roman" w:hAnsi="Times New Roman" w:cs="Times New Roman" w:eastAsiaTheme="minorEastAsia"/>
                <w:snapToGrid w:val="0"/>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14:textFill>
                  <w14:solidFill>
                    <w14:schemeClr w14:val="tx1"/>
                  </w14:solidFill>
                </w14:textFill>
              </w:rPr>
              <w:t>3</w:t>
            </w:r>
          </w:p>
        </w:tc>
        <w:tc>
          <w:tcPr>
            <w:tcW w:w="115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TSP</w:t>
            </w:r>
          </w:p>
        </w:tc>
        <w:tc>
          <w:tcPr>
            <w:tcW w:w="55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环境空气 总悬浮颗粒物的测定  重量法</w:t>
            </w:r>
            <w:r>
              <w:rPr>
                <w:rFonts w:hint="default" w:ascii="Times New Roman" w:hAnsi="Times New Roman" w:cs="Times New Roman" w:eastAsiaTheme="minorEastAsia"/>
                <w:color w:val="000000" w:themeColor="text1"/>
                <w14:textFill>
                  <w14:solidFill>
                    <w14:schemeClr w14:val="tx1"/>
                  </w14:solidFill>
                </w14:textFill>
              </w:rPr>
              <w:tab/>
            </w:r>
            <w:r>
              <w:rPr>
                <w:rFonts w:hint="default" w:ascii="Times New Roman" w:hAnsi="Times New Roman" w:cs="Times New Roman" w:eastAsiaTheme="minorEastAsia"/>
                <w:color w:val="000000" w:themeColor="text1"/>
                <w14:textFill>
                  <w14:solidFill>
                    <w14:schemeClr w14:val="tx1"/>
                  </w14:solidFill>
                </w14:textFill>
              </w:rPr>
              <w:t>GB/T 15432-1995</w:t>
            </w:r>
          </w:p>
        </w:tc>
        <w:tc>
          <w:tcPr>
            <w:tcW w:w="124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0.001mg/m</w:t>
            </w:r>
            <w:r>
              <w:rPr>
                <w:rFonts w:hint="default" w:ascii="Times New Roman" w:hAnsi="Times New Roman" w:cs="Times New Roman" w:eastAsiaTheme="minorEastAsia"/>
                <w:color w:val="000000" w:themeColor="text1"/>
                <w:vertAlign w:val="superscript"/>
                <w14:textFill>
                  <w14:solidFill>
                    <w14:schemeClr w14:val="tx1"/>
                  </w14:solidFill>
                </w14:textFill>
              </w:rPr>
              <w:t>3</w:t>
            </w:r>
          </w:p>
        </w:tc>
      </w:tr>
    </w:tbl>
    <w:p>
      <w:pPr>
        <w:widowControl w:val="0"/>
        <w:adjustRightInd/>
        <w:snapToGrid/>
        <w:ind w:firstLine="0" w:firstLineChars="0"/>
        <w:jc w:val="center"/>
        <w:rPr>
          <w:rFonts w:hint="default" w:ascii="Times New Roman" w:hAnsi="Times New Roman" w:cs="Times New Roman" w:eastAsiaTheme="minorEastAsia"/>
          <w:snapToGrid w:val="0"/>
          <w:color w:val="000000" w:themeColor="text1"/>
          <w:kern w:val="0"/>
          <w:sz w:val="24"/>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14:textFill>
            <w14:solidFill>
              <w14:schemeClr w14:val="tx1"/>
            </w14:solidFill>
          </w14:textFill>
        </w:rPr>
        <w:t>表4-3-4  环境空气监测使用仪器一览表</w:t>
      </w:r>
    </w:p>
    <w:tbl>
      <w:tblPr>
        <w:tblStyle w:val="9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713"/>
        <w:gridCol w:w="3375"/>
        <w:gridCol w:w="26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04" w:type="dxa"/>
            <w:vAlign w:val="center"/>
          </w:tcPr>
          <w:p>
            <w:pPr>
              <w:spacing w:line="440" w:lineRule="exact"/>
              <w:ind w:firstLine="0" w:firstLineChars="0"/>
              <w:jc w:val="center"/>
              <w:rPr>
                <w:rFonts w:hint="default" w:ascii="Times New Roman" w:hAnsi="Times New Roman" w:cs="Times New Roman" w:eastAsiaTheme="minorEastAsia"/>
                <w:bCs/>
                <w:snapToGrid w:val="0"/>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snapToGrid w:val="0"/>
                <w:color w:val="000000" w:themeColor="text1"/>
                <w:kern w:val="0"/>
                <w:sz w:val="21"/>
                <w:szCs w:val="21"/>
                <w14:textFill>
                  <w14:solidFill>
                    <w14:schemeClr w14:val="tx1"/>
                  </w14:solidFill>
                </w14:textFill>
              </w:rPr>
              <w:t>序号</w:t>
            </w:r>
          </w:p>
        </w:tc>
        <w:tc>
          <w:tcPr>
            <w:tcW w:w="1713" w:type="dxa"/>
            <w:vAlign w:val="center"/>
          </w:tcPr>
          <w:p>
            <w:pPr>
              <w:spacing w:line="440" w:lineRule="exact"/>
              <w:ind w:firstLine="0" w:firstLineChars="0"/>
              <w:jc w:val="center"/>
              <w:rPr>
                <w:rFonts w:hint="default" w:ascii="Times New Roman" w:hAnsi="Times New Roman" w:cs="Times New Roman" w:eastAsiaTheme="minorEastAsia"/>
                <w:bCs/>
                <w:snapToGrid w:val="0"/>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snapToGrid w:val="0"/>
                <w:color w:val="000000" w:themeColor="text1"/>
                <w:kern w:val="0"/>
                <w:sz w:val="21"/>
                <w:szCs w:val="21"/>
                <w14:textFill>
                  <w14:solidFill>
                    <w14:schemeClr w14:val="tx1"/>
                  </w14:solidFill>
                </w14:textFill>
              </w:rPr>
              <w:t>检测项目</w:t>
            </w:r>
          </w:p>
        </w:tc>
        <w:tc>
          <w:tcPr>
            <w:tcW w:w="3375" w:type="dxa"/>
            <w:vAlign w:val="center"/>
          </w:tcPr>
          <w:p>
            <w:pPr>
              <w:spacing w:line="440" w:lineRule="exact"/>
              <w:ind w:firstLine="0" w:firstLineChars="0"/>
              <w:jc w:val="center"/>
              <w:rPr>
                <w:rFonts w:hint="default" w:ascii="Times New Roman" w:hAnsi="Times New Roman" w:cs="Times New Roman" w:eastAsiaTheme="minorEastAsia"/>
                <w:bCs/>
                <w:snapToGrid w:val="0"/>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snapToGrid w:val="0"/>
                <w:color w:val="000000" w:themeColor="text1"/>
                <w:kern w:val="0"/>
                <w:sz w:val="21"/>
                <w:szCs w:val="21"/>
                <w14:textFill>
                  <w14:solidFill>
                    <w14:schemeClr w14:val="tx1"/>
                  </w14:solidFill>
                </w14:textFill>
              </w:rPr>
              <w:t>仪器名称</w:t>
            </w:r>
          </w:p>
        </w:tc>
        <w:tc>
          <w:tcPr>
            <w:tcW w:w="2630" w:type="dxa"/>
            <w:vAlign w:val="center"/>
          </w:tcPr>
          <w:p>
            <w:pPr>
              <w:spacing w:line="440" w:lineRule="exact"/>
              <w:ind w:firstLine="0" w:firstLineChars="0"/>
              <w:jc w:val="center"/>
              <w:rPr>
                <w:rFonts w:hint="default" w:ascii="Times New Roman" w:hAnsi="Times New Roman" w:cs="Times New Roman" w:eastAsiaTheme="minorEastAsia"/>
                <w:bCs/>
                <w:snapToGrid w:val="0"/>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snapToGrid w:val="0"/>
                <w:color w:val="000000" w:themeColor="text1"/>
                <w:kern w:val="0"/>
                <w:sz w:val="21"/>
                <w:szCs w:val="21"/>
                <w14:textFill>
                  <w14:solidFill>
                    <w14:schemeClr w14:val="tx1"/>
                  </w14:solidFill>
                </w14:textFill>
              </w:rPr>
              <w:t>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804" w:type="dxa"/>
            <w:vMerge w:val="restart"/>
            <w:vAlign w:val="center"/>
          </w:tcPr>
          <w:p>
            <w:pPr>
              <w:spacing w:line="440" w:lineRule="exact"/>
              <w:ind w:firstLine="0" w:firstLineChars="0"/>
              <w:jc w:val="center"/>
              <w:rPr>
                <w:rFonts w:hint="default" w:ascii="Times New Roman" w:hAnsi="Times New Roman" w:cs="Times New Roman" w:eastAsiaTheme="minorEastAsia"/>
                <w:bCs/>
                <w:snapToGrid w:val="0"/>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snapToGrid w:val="0"/>
                <w:color w:val="000000" w:themeColor="text1"/>
                <w:kern w:val="0"/>
                <w:sz w:val="21"/>
                <w:szCs w:val="21"/>
                <w14:textFill>
                  <w14:solidFill>
                    <w14:schemeClr w14:val="tx1"/>
                  </w14:solidFill>
                </w14:textFill>
              </w:rPr>
              <w:t>1</w:t>
            </w:r>
          </w:p>
        </w:tc>
        <w:tc>
          <w:tcPr>
            <w:tcW w:w="1713" w:type="dxa"/>
            <w:vMerge w:val="restart"/>
            <w:vAlign w:val="center"/>
          </w:tcPr>
          <w:p>
            <w:pPr>
              <w:spacing w:line="440" w:lineRule="exact"/>
              <w:ind w:firstLine="0" w:firstLineChars="0"/>
              <w:jc w:val="center"/>
              <w:rPr>
                <w:rFonts w:hint="default" w:ascii="Times New Roman" w:hAnsi="Times New Roman" w:cs="Times New Roman" w:eastAsiaTheme="minorEastAsia"/>
                <w:bCs/>
                <w:snapToGrid w:val="0"/>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snapToGrid w:val="0"/>
                <w:color w:val="000000" w:themeColor="text1"/>
                <w:kern w:val="0"/>
                <w:sz w:val="21"/>
                <w:szCs w:val="21"/>
                <w14:textFill>
                  <w14:solidFill>
                    <w14:schemeClr w14:val="tx1"/>
                  </w14:solidFill>
                </w14:textFill>
              </w:rPr>
              <w:t>氨</w:t>
            </w:r>
          </w:p>
        </w:tc>
        <w:tc>
          <w:tcPr>
            <w:tcW w:w="3375" w:type="dxa"/>
            <w:vAlign w:val="center"/>
          </w:tcPr>
          <w:p>
            <w:pPr>
              <w:spacing w:line="240" w:lineRule="auto"/>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auto"/>
                <w:sz w:val="21"/>
                <w:szCs w:val="21"/>
                <w:highlight w:val="none"/>
                <w:lang w:val="en-US" w:eastAsia="zh-CN"/>
              </w:rPr>
              <w:t>中流量颗物采样器</w:t>
            </w:r>
          </w:p>
        </w:tc>
        <w:tc>
          <w:tcPr>
            <w:tcW w:w="2630" w:type="dxa"/>
            <w:vAlign w:val="center"/>
          </w:tcPr>
          <w:p>
            <w:pPr>
              <w:spacing w:line="240" w:lineRule="auto"/>
              <w:ind w:firstLine="420" w:firstLineChars="20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auto"/>
                <w:sz w:val="21"/>
                <w:szCs w:val="21"/>
                <w:highlight w:val="none"/>
                <w:lang w:val="en-US" w:eastAsia="zh-CN"/>
              </w:rPr>
              <w:t>JCH-120F</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804" w:type="dxa"/>
            <w:vMerge w:val="continue"/>
            <w:vAlign w:val="center"/>
          </w:tcPr>
          <w:p>
            <w:pPr>
              <w:pStyle w:val="666"/>
              <w:rPr>
                <w:rFonts w:hint="default" w:ascii="Times New Roman" w:hAnsi="Times New Roman" w:cs="Times New Roman" w:eastAsiaTheme="minorEastAsia"/>
                <w:snapToGrid w:val="0"/>
                <w:color w:val="000000" w:themeColor="text1"/>
                <w14:textFill>
                  <w14:solidFill>
                    <w14:schemeClr w14:val="tx1"/>
                  </w14:solidFill>
                </w14:textFill>
              </w:rPr>
            </w:pPr>
          </w:p>
        </w:tc>
        <w:tc>
          <w:tcPr>
            <w:tcW w:w="1713" w:type="dxa"/>
            <w:vMerge w:val="continue"/>
            <w:vAlign w:val="center"/>
          </w:tcPr>
          <w:p>
            <w:pPr>
              <w:pStyle w:val="666"/>
              <w:rPr>
                <w:rFonts w:hint="default" w:ascii="Times New Roman" w:hAnsi="Times New Roman" w:cs="Times New Roman" w:eastAsiaTheme="minorEastAsia"/>
                <w:snapToGrid w:val="0"/>
                <w:color w:val="000000" w:themeColor="text1"/>
                <w14:textFill>
                  <w14:solidFill>
                    <w14:schemeClr w14:val="tx1"/>
                  </w14:solidFill>
                </w14:textFill>
              </w:rPr>
            </w:pPr>
          </w:p>
        </w:tc>
        <w:tc>
          <w:tcPr>
            <w:tcW w:w="33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可见分光光度计</w:t>
            </w:r>
          </w:p>
        </w:tc>
        <w:tc>
          <w:tcPr>
            <w:tcW w:w="2630" w:type="dxa"/>
            <w:vAlign w:val="center"/>
          </w:tcPr>
          <w:p>
            <w:pPr>
              <w:pStyle w:val="666"/>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722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dxa"/>
            <w:vMerge w:val="restart"/>
            <w:vAlign w:val="center"/>
          </w:tcPr>
          <w:p>
            <w:pPr>
              <w:pStyle w:val="666"/>
              <w:rPr>
                <w:rFonts w:hint="default" w:ascii="Times New Roman" w:hAnsi="Times New Roman" w:cs="Times New Roman" w:eastAsiaTheme="minorEastAsia"/>
                <w:snapToGrid w:val="0"/>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14:textFill>
                  <w14:solidFill>
                    <w14:schemeClr w14:val="tx1"/>
                  </w14:solidFill>
                </w14:textFill>
              </w:rPr>
              <w:t>2</w:t>
            </w:r>
          </w:p>
        </w:tc>
        <w:tc>
          <w:tcPr>
            <w:tcW w:w="1713"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硫化氢</w:t>
            </w:r>
          </w:p>
        </w:tc>
        <w:tc>
          <w:tcPr>
            <w:tcW w:w="3375" w:type="dxa"/>
            <w:vAlign w:val="center"/>
          </w:tcPr>
          <w:p>
            <w:pPr>
              <w:spacing w:line="240" w:lineRule="auto"/>
              <w:ind w:firstLine="420" w:firstLineChars="20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auto"/>
                <w:sz w:val="21"/>
                <w:szCs w:val="21"/>
                <w:highlight w:val="none"/>
                <w:lang w:val="en-US" w:eastAsia="zh-CN"/>
              </w:rPr>
              <w:t>中流量颗物采样器</w:t>
            </w:r>
          </w:p>
        </w:tc>
        <w:tc>
          <w:tcPr>
            <w:tcW w:w="2630" w:type="dxa"/>
            <w:vAlign w:val="center"/>
          </w:tcPr>
          <w:p>
            <w:pPr>
              <w:spacing w:line="240" w:lineRule="auto"/>
              <w:ind w:firstLine="420" w:firstLineChars="200"/>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auto"/>
                <w:sz w:val="21"/>
                <w:szCs w:val="21"/>
                <w:highlight w:val="none"/>
                <w:lang w:val="en-US" w:eastAsia="zh-CN"/>
              </w:rPr>
              <w:t>JCH-120F</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04" w:type="dxa"/>
            <w:vMerge w:val="continue"/>
            <w:vAlign w:val="center"/>
          </w:tcPr>
          <w:p>
            <w:pPr>
              <w:spacing w:line="440" w:lineRule="exact"/>
              <w:ind w:firstLine="0" w:firstLineChars="0"/>
              <w:jc w:val="center"/>
              <w:rPr>
                <w:rFonts w:hint="default" w:ascii="Times New Roman" w:hAnsi="Times New Roman" w:cs="Times New Roman" w:eastAsiaTheme="minorEastAsia"/>
                <w:bCs/>
                <w:snapToGrid w:val="0"/>
                <w:color w:val="000000" w:themeColor="text1"/>
                <w:kern w:val="0"/>
                <w:sz w:val="21"/>
                <w:szCs w:val="21"/>
                <w14:textFill>
                  <w14:solidFill>
                    <w14:schemeClr w14:val="tx1"/>
                  </w14:solidFill>
                </w14:textFill>
              </w:rPr>
            </w:pPr>
          </w:p>
        </w:tc>
        <w:tc>
          <w:tcPr>
            <w:tcW w:w="1713" w:type="dxa"/>
            <w:vMerge w:val="continue"/>
            <w:vAlign w:val="center"/>
          </w:tcPr>
          <w:p>
            <w:pPr>
              <w:pStyle w:val="666"/>
              <w:rPr>
                <w:rFonts w:hint="default" w:ascii="Times New Roman" w:hAnsi="Times New Roman" w:cs="Times New Roman" w:eastAsiaTheme="minorEastAsia"/>
                <w:snapToGrid w:val="0"/>
                <w:color w:val="000000" w:themeColor="text1"/>
                <w14:textFill>
                  <w14:solidFill>
                    <w14:schemeClr w14:val="tx1"/>
                  </w14:solidFill>
                </w14:textFill>
              </w:rPr>
            </w:pPr>
          </w:p>
        </w:tc>
        <w:tc>
          <w:tcPr>
            <w:tcW w:w="33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可见分光光度计</w:t>
            </w:r>
          </w:p>
        </w:tc>
        <w:tc>
          <w:tcPr>
            <w:tcW w:w="2630" w:type="dxa"/>
            <w:vAlign w:val="center"/>
          </w:tcPr>
          <w:p>
            <w:pPr>
              <w:pStyle w:val="666"/>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722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804" w:type="dxa"/>
            <w:vMerge w:val="restart"/>
            <w:vAlign w:val="center"/>
          </w:tcPr>
          <w:p>
            <w:pPr>
              <w:pStyle w:val="666"/>
              <w:rPr>
                <w:rFonts w:hint="default" w:ascii="Times New Roman" w:hAnsi="Times New Roman" w:cs="Times New Roman" w:eastAsiaTheme="minorEastAsia"/>
                <w:bCs w:val="0"/>
                <w:snapToGrid w:val="0"/>
                <w:color w:val="000000" w:themeColor="text1"/>
                <w14:textFill>
                  <w14:solidFill>
                    <w14:schemeClr w14:val="tx1"/>
                  </w14:solidFill>
                </w14:textFill>
              </w:rPr>
            </w:pPr>
            <w:r>
              <w:rPr>
                <w:rFonts w:hint="default" w:ascii="Times New Roman" w:hAnsi="Times New Roman" w:cs="Times New Roman" w:eastAsiaTheme="minorEastAsia"/>
                <w:bCs w:val="0"/>
                <w:snapToGrid w:val="0"/>
                <w:color w:val="000000" w:themeColor="text1"/>
                <w14:textFill>
                  <w14:solidFill>
                    <w14:schemeClr w14:val="tx1"/>
                  </w14:solidFill>
                </w14:textFill>
              </w:rPr>
              <w:t>3</w:t>
            </w:r>
          </w:p>
        </w:tc>
        <w:tc>
          <w:tcPr>
            <w:tcW w:w="1713" w:type="dxa"/>
            <w:vMerge w:val="restart"/>
            <w:vAlign w:val="center"/>
          </w:tcPr>
          <w:p>
            <w:pPr>
              <w:pStyle w:val="666"/>
              <w:rPr>
                <w:rFonts w:hint="default" w:ascii="Times New Roman" w:hAnsi="Times New Roman" w:cs="Times New Roman" w:eastAsiaTheme="minorEastAsia"/>
                <w:snapToGrid w:val="0"/>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14:textFill>
                  <w14:solidFill>
                    <w14:schemeClr w14:val="tx1"/>
                  </w14:solidFill>
                </w14:textFill>
              </w:rPr>
              <w:t>TSP</w:t>
            </w:r>
          </w:p>
        </w:tc>
        <w:tc>
          <w:tcPr>
            <w:tcW w:w="3375" w:type="dxa"/>
            <w:vAlign w:val="center"/>
          </w:tcPr>
          <w:p>
            <w:pPr>
              <w:spacing w:line="240" w:lineRule="auto"/>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auto"/>
                <w:sz w:val="21"/>
                <w:szCs w:val="21"/>
                <w:highlight w:val="none"/>
                <w:lang w:val="en-US" w:eastAsia="zh-CN"/>
              </w:rPr>
              <w:t>中流量颗物采样器</w:t>
            </w:r>
          </w:p>
        </w:tc>
        <w:tc>
          <w:tcPr>
            <w:tcW w:w="2630" w:type="dxa"/>
            <w:vAlign w:val="center"/>
          </w:tcPr>
          <w:p>
            <w:pPr>
              <w:spacing w:line="240" w:lineRule="auto"/>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auto"/>
                <w:sz w:val="21"/>
                <w:szCs w:val="21"/>
                <w:highlight w:val="none"/>
                <w:lang w:val="en-US" w:eastAsia="zh-CN"/>
              </w:rPr>
              <w:t>JCH-120F</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04" w:type="dxa"/>
            <w:vMerge w:val="continue"/>
            <w:vAlign w:val="center"/>
          </w:tcPr>
          <w:p>
            <w:pPr>
              <w:pStyle w:val="666"/>
              <w:rPr>
                <w:rFonts w:hint="default" w:ascii="Times New Roman" w:hAnsi="Times New Roman" w:cs="Times New Roman" w:eastAsiaTheme="minorEastAsia"/>
                <w:bCs w:val="0"/>
                <w:snapToGrid w:val="0"/>
                <w:color w:val="000000" w:themeColor="text1"/>
                <w14:textFill>
                  <w14:solidFill>
                    <w14:schemeClr w14:val="tx1"/>
                  </w14:solidFill>
                </w14:textFill>
              </w:rPr>
            </w:pPr>
          </w:p>
        </w:tc>
        <w:tc>
          <w:tcPr>
            <w:tcW w:w="1713" w:type="dxa"/>
            <w:vMerge w:val="continue"/>
            <w:vAlign w:val="center"/>
          </w:tcPr>
          <w:p>
            <w:pPr>
              <w:pStyle w:val="666"/>
              <w:rPr>
                <w:rFonts w:hint="default" w:ascii="Times New Roman" w:hAnsi="Times New Roman" w:cs="Times New Roman" w:eastAsiaTheme="minorEastAsia"/>
                <w:snapToGrid w:val="0"/>
                <w:color w:val="000000" w:themeColor="text1"/>
                <w14:textFill>
                  <w14:solidFill>
                    <w14:schemeClr w14:val="tx1"/>
                  </w14:solidFill>
                </w14:textFill>
              </w:rPr>
            </w:pPr>
          </w:p>
        </w:tc>
        <w:tc>
          <w:tcPr>
            <w:tcW w:w="33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十万分之一天平</w:t>
            </w:r>
          </w:p>
        </w:tc>
        <w:tc>
          <w:tcPr>
            <w:tcW w:w="263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auto"/>
                <w:sz w:val="21"/>
                <w:szCs w:val="21"/>
                <w:highlight w:val="none"/>
              </w:rPr>
              <w:t>FA2004</w:t>
            </w:r>
          </w:p>
        </w:tc>
      </w:tr>
    </w:tbl>
    <w:p>
      <w:pPr>
        <w:widowControl w:val="0"/>
        <w:ind w:firstLine="560"/>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t>（5）评价方法</w:t>
      </w:r>
    </w:p>
    <w:p>
      <w:pPr>
        <w:widowControl w:val="0"/>
        <w:ind w:firstLine="560"/>
        <w:rPr>
          <w:rFonts w:hint="default" w:ascii="Times New Roman" w:hAnsi="Times New Roman" w:cs="Times New Roman" w:eastAsiaTheme="minorEastAsia"/>
          <w:bCs/>
          <w:snapToGrid w:val="0"/>
          <w:color w:val="000000" w:themeColor="text1"/>
          <w:kern w:val="0"/>
          <w:sz w:val="24"/>
          <w:szCs w:val="24"/>
          <w14:textFill>
            <w14:solidFill>
              <w14:schemeClr w14:val="tx1"/>
            </w14:solidFill>
          </w14:textFill>
        </w:rPr>
      </w:pPr>
      <w:r>
        <w:rPr>
          <w:rFonts w:hint="default" w:ascii="Times New Roman" w:hAnsi="Times New Roman" w:cs="Times New Roman" w:eastAsiaTheme="minorEastAsia"/>
          <w:bCs/>
          <w:snapToGrid w:val="0"/>
          <w:color w:val="000000" w:themeColor="text1"/>
          <w:kern w:val="0"/>
          <w:sz w:val="24"/>
          <w:szCs w:val="24"/>
          <w14:textFill>
            <w14:solidFill>
              <w14:schemeClr w14:val="tx1"/>
            </w14:solidFill>
          </w14:textFill>
        </w:rPr>
        <w:t>本项目采用占标百分比对环境空气现状进行评价。计算公式：</w:t>
      </w:r>
    </w:p>
    <w:p>
      <w:pPr>
        <w:widowControl w:val="0"/>
        <w:spacing w:line="240" w:lineRule="auto"/>
        <w:ind w:firstLine="0" w:firstLineChars="0"/>
        <w:jc w:val="center"/>
        <w:rPr>
          <w:rFonts w:hint="default" w:ascii="Times New Roman" w:hAnsi="Times New Roman" w:cs="Times New Roman" w:eastAsiaTheme="minorEastAsia"/>
          <w:bCs/>
          <w:snapToGrid w:val="0"/>
          <w:color w:val="000000" w:themeColor="text1"/>
          <w:kern w:val="0"/>
          <w:sz w:val="24"/>
          <w:szCs w:val="24"/>
          <w14:textFill>
            <w14:solidFill>
              <w14:schemeClr w14:val="tx1"/>
            </w14:solidFill>
          </w14:textFill>
        </w:rPr>
      </w:pPr>
      <w:r>
        <w:rPr>
          <w:rFonts w:hint="default" w:ascii="Times New Roman" w:hAnsi="Times New Roman" w:cs="Times New Roman" w:eastAsiaTheme="minorEastAsia"/>
          <w:color w:val="000000" w:themeColor="text1"/>
          <w:kern w:val="0"/>
          <w:sz w:val="24"/>
          <w:szCs w:val="24"/>
          <w14:textFill>
            <w14:solidFill>
              <w14:schemeClr w14:val="tx1"/>
            </w14:solidFill>
          </w14:textFill>
        </w:rPr>
        <w:drawing>
          <wp:inline distT="0" distB="0" distL="0" distR="0">
            <wp:extent cx="1303655" cy="499745"/>
            <wp:effectExtent l="0" t="0" r="0" b="0"/>
            <wp:docPr id="13" name="图片 34" descr="说明: 34aabbbc-c2c0-4e01-9290-e26b60ff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4" descr="说明: 34aabbbc-c2c0-4e01-9290-e26b60ff108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303655" cy="499745"/>
                    </a:xfrm>
                    <a:prstGeom prst="rect">
                      <a:avLst/>
                    </a:prstGeom>
                    <a:noFill/>
                    <a:ln>
                      <a:noFill/>
                    </a:ln>
                  </pic:spPr>
                </pic:pic>
              </a:graphicData>
            </a:graphic>
          </wp:inline>
        </w:drawing>
      </w:r>
    </w:p>
    <w:p>
      <w:pPr>
        <w:widowControl w:val="0"/>
        <w:ind w:firstLine="560"/>
        <w:rPr>
          <w:rFonts w:hint="default" w:ascii="Times New Roman" w:hAnsi="Times New Roman" w:cs="Times New Roman" w:eastAsiaTheme="minorEastAsia"/>
          <w:bCs/>
          <w:snapToGrid w:val="0"/>
          <w:color w:val="000000" w:themeColor="text1"/>
          <w:kern w:val="0"/>
          <w:sz w:val="24"/>
          <w:szCs w:val="24"/>
          <w14:textFill>
            <w14:solidFill>
              <w14:schemeClr w14:val="tx1"/>
            </w14:solidFill>
          </w14:textFill>
        </w:rPr>
      </w:pPr>
      <w:r>
        <w:rPr>
          <w:rFonts w:hint="default" w:ascii="Times New Roman" w:hAnsi="Times New Roman" w:cs="Times New Roman" w:eastAsiaTheme="minorEastAsia"/>
          <w:bCs/>
          <w:snapToGrid w:val="0"/>
          <w:color w:val="000000" w:themeColor="text1"/>
          <w:kern w:val="0"/>
          <w:sz w:val="24"/>
          <w:szCs w:val="24"/>
          <w14:textFill>
            <w14:solidFill>
              <w14:schemeClr w14:val="tx1"/>
            </w14:solidFill>
          </w14:textFill>
        </w:rPr>
        <w:t>式中：S</w:t>
      </w:r>
      <w:r>
        <w:rPr>
          <w:rFonts w:hint="default" w:ascii="Times New Roman" w:hAnsi="Times New Roman" w:cs="Times New Roman" w:eastAsiaTheme="minorEastAsia"/>
          <w:bCs/>
          <w:snapToGrid w:val="0"/>
          <w:color w:val="000000" w:themeColor="text1"/>
          <w:kern w:val="0"/>
          <w:sz w:val="24"/>
          <w:szCs w:val="24"/>
          <w:vertAlign w:val="subscript"/>
          <w14:textFill>
            <w14:solidFill>
              <w14:schemeClr w14:val="tx1"/>
            </w14:solidFill>
          </w14:textFill>
        </w:rPr>
        <w:t>ij</w:t>
      </w:r>
      <w:r>
        <w:rPr>
          <w:rFonts w:hint="default" w:ascii="Times New Roman" w:hAnsi="Times New Roman" w:cs="Times New Roman" w:eastAsiaTheme="minorEastAsia"/>
          <w:bCs/>
          <w:snapToGrid w:val="0"/>
          <w:color w:val="000000" w:themeColor="text1"/>
          <w:kern w:val="0"/>
          <w:sz w:val="24"/>
          <w:szCs w:val="24"/>
          <w14:textFill>
            <w14:solidFill>
              <w14:schemeClr w14:val="tx1"/>
            </w14:solidFill>
          </w14:textFill>
        </w:rPr>
        <w:t>——代表单项大气参数i在第j点的占标百分比；</w:t>
      </w:r>
    </w:p>
    <w:p>
      <w:pPr>
        <w:widowControl w:val="0"/>
        <w:ind w:firstLine="560"/>
        <w:rPr>
          <w:rFonts w:hint="default" w:ascii="Times New Roman" w:hAnsi="Times New Roman" w:cs="Times New Roman" w:eastAsiaTheme="minorEastAsia"/>
          <w:bCs/>
          <w:snapToGrid w:val="0"/>
          <w:color w:val="000000" w:themeColor="text1"/>
          <w:kern w:val="0"/>
          <w:sz w:val="24"/>
          <w:szCs w:val="24"/>
          <w14:textFill>
            <w14:solidFill>
              <w14:schemeClr w14:val="tx1"/>
            </w14:solidFill>
          </w14:textFill>
        </w:rPr>
      </w:pPr>
      <w:r>
        <w:rPr>
          <w:rFonts w:hint="default" w:ascii="Times New Roman" w:hAnsi="Times New Roman" w:cs="Times New Roman" w:eastAsiaTheme="minorEastAsia"/>
          <w:bCs/>
          <w:snapToGrid w:val="0"/>
          <w:color w:val="000000" w:themeColor="text1"/>
          <w:kern w:val="0"/>
          <w:sz w:val="24"/>
          <w:szCs w:val="24"/>
          <w14:textFill>
            <w14:solidFill>
              <w14:schemeClr w14:val="tx1"/>
            </w14:solidFill>
          </w14:textFill>
        </w:rPr>
        <w:t>C</w:t>
      </w:r>
      <w:r>
        <w:rPr>
          <w:rFonts w:hint="default" w:ascii="Times New Roman" w:hAnsi="Times New Roman" w:cs="Times New Roman" w:eastAsiaTheme="minorEastAsia"/>
          <w:bCs/>
          <w:snapToGrid w:val="0"/>
          <w:color w:val="000000" w:themeColor="text1"/>
          <w:kern w:val="0"/>
          <w:sz w:val="24"/>
          <w:szCs w:val="24"/>
          <w:vertAlign w:val="subscript"/>
          <w14:textFill>
            <w14:solidFill>
              <w14:schemeClr w14:val="tx1"/>
            </w14:solidFill>
          </w14:textFill>
        </w:rPr>
        <w:t>ij</w:t>
      </w:r>
      <w:r>
        <w:rPr>
          <w:rFonts w:hint="default" w:ascii="Times New Roman" w:hAnsi="Times New Roman" w:cs="Times New Roman" w:eastAsiaTheme="minorEastAsia"/>
          <w:bCs/>
          <w:snapToGrid w:val="0"/>
          <w:color w:val="000000" w:themeColor="text1"/>
          <w:kern w:val="0"/>
          <w:sz w:val="24"/>
          <w:szCs w:val="24"/>
          <w14:textFill>
            <w14:solidFill>
              <w14:schemeClr w14:val="tx1"/>
            </w14:solidFill>
          </w14:textFill>
        </w:rPr>
        <w:t>——代表第i中大气污染物监测结果，mg/Nm</w:t>
      </w:r>
      <w:r>
        <w:rPr>
          <w:rFonts w:hint="default" w:ascii="Times New Roman" w:hAnsi="Times New Roman" w:cs="Times New Roman" w:eastAsiaTheme="minorEastAsia"/>
          <w:bCs/>
          <w:snapToGrid w:val="0"/>
          <w:color w:val="000000" w:themeColor="text1"/>
          <w:kern w:val="0"/>
          <w:sz w:val="24"/>
          <w:szCs w:val="24"/>
          <w:vertAlign w:val="superscript"/>
          <w14:textFill>
            <w14:solidFill>
              <w14:schemeClr w14:val="tx1"/>
            </w14:solidFill>
          </w14:textFill>
        </w:rPr>
        <w:t>3</w:t>
      </w:r>
      <w:r>
        <w:rPr>
          <w:rFonts w:hint="default" w:ascii="Times New Roman" w:hAnsi="Times New Roman" w:cs="Times New Roman" w:eastAsiaTheme="minorEastAsia"/>
          <w:bCs/>
          <w:snapToGrid w:val="0"/>
          <w:color w:val="000000" w:themeColor="text1"/>
          <w:kern w:val="0"/>
          <w:sz w:val="24"/>
          <w:szCs w:val="24"/>
          <w14:textFill>
            <w14:solidFill>
              <w14:schemeClr w14:val="tx1"/>
            </w14:solidFill>
          </w14:textFill>
        </w:rPr>
        <w:t>；</w:t>
      </w:r>
    </w:p>
    <w:p>
      <w:pPr>
        <w:widowControl w:val="0"/>
        <w:ind w:firstLine="560"/>
        <w:rPr>
          <w:rFonts w:hint="default" w:ascii="Times New Roman" w:hAnsi="Times New Roman" w:cs="Times New Roman" w:eastAsiaTheme="minorEastAsia"/>
          <w:bCs/>
          <w:snapToGrid w:val="0"/>
          <w:color w:val="000000" w:themeColor="text1"/>
          <w:kern w:val="0"/>
          <w:sz w:val="24"/>
          <w:szCs w:val="24"/>
          <w14:textFill>
            <w14:solidFill>
              <w14:schemeClr w14:val="tx1"/>
            </w14:solidFill>
          </w14:textFill>
        </w:rPr>
      </w:pPr>
      <w:r>
        <w:rPr>
          <w:rFonts w:hint="default" w:ascii="Times New Roman" w:hAnsi="Times New Roman" w:cs="Times New Roman" w:eastAsiaTheme="minorEastAsia"/>
          <w:bCs/>
          <w:snapToGrid w:val="0"/>
          <w:color w:val="000000" w:themeColor="text1"/>
          <w:kern w:val="0"/>
          <w:sz w:val="24"/>
          <w:szCs w:val="24"/>
          <w14:textFill>
            <w14:solidFill>
              <w14:schemeClr w14:val="tx1"/>
            </w14:solidFill>
          </w14:textFill>
        </w:rPr>
        <w:t>C</w:t>
      </w:r>
      <w:r>
        <w:rPr>
          <w:rFonts w:hint="default" w:ascii="Times New Roman" w:hAnsi="Times New Roman" w:cs="Times New Roman" w:eastAsiaTheme="minorEastAsia"/>
          <w:bCs/>
          <w:snapToGrid w:val="0"/>
          <w:color w:val="000000" w:themeColor="text1"/>
          <w:kern w:val="0"/>
          <w:sz w:val="24"/>
          <w:szCs w:val="24"/>
          <w:vertAlign w:val="subscript"/>
          <w14:textFill>
            <w14:solidFill>
              <w14:schemeClr w14:val="tx1"/>
            </w14:solidFill>
          </w14:textFill>
        </w:rPr>
        <w:t>o</w:t>
      </w:r>
      <w:r>
        <w:rPr>
          <w:rFonts w:hint="default" w:ascii="Times New Roman" w:hAnsi="Times New Roman" w:cs="Times New Roman" w:eastAsiaTheme="minorEastAsia"/>
          <w:bCs/>
          <w:snapToGrid w:val="0"/>
          <w:color w:val="000000" w:themeColor="text1"/>
          <w:kern w:val="0"/>
          <w:sz w:val="24"/>
          <w:szCs w:val="24"/>
          <w14:textFill>
            <w14:solidFill>
              <w14:schemeClr w14:val="tx1"/>
            </w14:solidFill>
          </w14:textFill>
        </w:rPr>
        <w:t>——代表第i中大气污染物评价标准，mg/m</w:t>
      </w:r>
      <w:r>
        <w:rPr>
          <w:rFonts w:hint="default" w:ascii="Times New Roman" w:hAnsi="Times New Roman" w:cs="Times New Roman" w:eastAsiaTheme="minorEastAsia"/>
          <w:bCs/>
          <w:snapToGrid w:val="0"/>
          <w:color w:val="000000" w:themeColor="text1"/>
          <w:kern w:val="0"/>
          <w:sz w:val="24"/>
          <w:szCs w:val="24"/>
          <w:vertAlign w:val="superscript"/>
          <w14:textFill>
            <w14:solidFill>
              <w14:schemeClr w14:val="tx1"/>
            </w14:solidFill>
          </w14:textFill>
        </w:rPr>
        <w:t>3</w:t>
      </w:r>
      <w:r>
        <w:rPr>
          <w:rFonts w:hint="default" w:ascii="Times New Roman" w:hAnsi="Times New Roman" w:cs="Times New Roman" w:eastAsiaTheme="minorEastAsia"/>
          <w:bCs/>
          <w:snapToGrid w:val="0"/>
          <w:color w:val="000000" w:themeColor="text1"/>
          <w:kern w:val="0"/>
          <w:sz w:val="24"/>
          <w:szCs w:val="24"/>
          <w14:textFill>
            <w14:solidFill>
              <w14:schemeClr w14:val="tx1"/>
            </w14:solidFill>
          </w14:textFill>
        </w:rPr>
        <w:t>。</w:t>
      </w:r>
    </w:p>
    <w:p>
      <w:pPr>
        <w:widowControl w:val="0"/>
        <w:ind w:firstLine="560"/>
        <w:rPr>
          <w:rFonts w:hint="default" w:ascii="Times New Roman" w:hAnsi="Times New Roman" w:cs="Times New Roman" w:eastAsiaTheme="minorEastAsia"/>
          <w:bCs/>
          <w:snapToGrid w:val="0"/>
          <w:color w:val="000000" w:themeColor="text1"/>
          <w:kern w:val="0"/>
          <w:sz w:val="24"/>
          <w:szCs w:val="24"/>
          <w14:textFill>
            <w14:solidFill>
              <w14:schemeClr w14:val="tx1"/>
            </w14:solidFill>
          </w14:textFill>
        </w:rPr>
      </w:pPr>
      <w:r>
        <w:rPr>
          <w:rFonts w:hint="default" w:ascii="Times New Roman" w:hAnsi="Times New Roman" w:cs="Times New Roman" w:eastAsiaTheme="minorEastAsia"/>
          <w:bCs/>
          <w:snapToGrid w:val="0"/>
          <w:color w:val="000000" w:themeColor="text1"/>
          <w:kern w:val="0"/>
          <w:sz w:val="24"/>
          <w:szCs w:val="24"/>
          <w14:textFill>
            <w14:solidFill>
              <w14:schemeClr w14:val="tx1"/>
            </w14:solidFill>
          </w14:textFill>
        </w:rPr>
        <w:t>当评价因子的占标百分比S</w:t>
      </w:r>
      <w:r>
        <w:rPr>
          <w:rFonts w:hint="default" w:ascii="Times New Roman" w:hAnsi="Times New Roman" w:cs="Times New Roman" w:eastAsiaTheme="minorEastAsia"/>
          <w:bCs/>
          <w:snapToGrid w:val="0"/>
          <w:color w:val="000000" w:themeColor="text1"/>
          <w:kern w:val="0"/>
          <w:sz w:val="24"/>
          <w:szCs w:val="24"/>
          <w:vertAlign w:val="subscript"/>
          <w14:textFill>
            <w14:solidFill>
              <w14:schemeClr w14:val="tx1"/>
            </w14:solidFill>
          </w14:textFill>
        </w:rPr>
        <w:t>ij</w:t>
      </w:r>
      <w:r>
        <w:rPr>
          <w:rFonts w:hint="default" w:ascii="Times New Roman" w:hAnsi="Times New Roman" w:cs="Times New Roman" w:eastAsiaTheme="minorEastAsia"/>
          <w:bCs/>
          <w:snapToGrid w:val="0"/>
          <w:color w:val="000000" w:themeColor="text1"/>
          <w:kern w:val="0"/>
          <w:sz w:val="24"/>
          <w:szCs w:val="24"/>
          <w14:textFill>
            <w14:solidFill>
              <w14:schemeClr w14:val="tx1"/>
            </w14:solidFill>
          </w14:textFill>
        </w:rPr>
        <w:t>＞100%时，表明该参数超过了规定的环境空气标准，已不能满足使用要求；当S</w:t>
      </w:r>
      <w:r>
        <w:rPr>
          <w:rFonts w:hint="default" w:ascii="Times New Roman" w:hAnsi="Times New Roman" w:cs="Times New Roman" w:eastAsiaTheme="minorEastAsia"/>
          <w:bCs/>
          <w:snapToGrid w:val="0"/>
          <w:color w:val="000000" w:themeColor="text1"/>
          <w:kern w:val="0"/>
          <w:sz w:val="24"/>
          <w:szCs w:val="24"/>
          <w:vertAlign w:val="subscript"/>
          <w14:textFill>
            <w14:solidFill>
              <w14:schemeClr w14:val="tx1"/>
            </w14:solidFill>
          </w14:textFill>
        </w:rPr>
        <w:t>ij</w:t>
      </w:r>
      <w:r>
        <w:rPr>
          <w:rFonts w:hint="default" w:ascii="Times New Roman" w:hAnsi="Times New Roman" w:cs="Times New Roman" w:eastAsiaTheme="minorEastAsia"/>
          <w:bCs/>
          <w:snapToGrid w:val="0"/>
          <w:color w:val="000000" w:themeColor="text1"/>
          <w:kern w:val="0"/>
          <w:sz w:val="24"/>
          <w:szCs w:val="24"/>
          <w14:textFill>
            <w14:solidFill>
              <w14:schemeClr w14:val="tx1"/>
            </w14:solidFill>
          </w14:textFill>
        </w:rPr>
        <w:t>≤100%时，表明该参数未超过规定的环境空气标准。</w:t>
      </w:r>
    </w:p>
    <w:p>
      <w:pPr>
        <w:widowControl w:val="0"/>
        <w:ind w:firstLine="560"/>
        <w:rPr>
          <w:rFonts w:hint="default" w:ascii="Times New Roman" w:hAnsi="Times New Roman" w:cs="Times New Roman" w:eastAsiaTheme="minorEastAsia"/>
          <w:snapToGrid w:val="0"/>
          <w:color w:val="auto"/>
          <w:kern w:val="0"/>
          <w:sz w:val="24"/>
          <w:szCs w:val="24"/>
          <w:highlight w:val="none"/>
        </w:rPr>
      </w:pPr>
      <w:r>
        <w:rPr>
          <w:rFonts w:hint="default" w:ascii="Times New Roman" w:hAnsi="Times New Roman" w:cs="Times New Roman" w:eastAsiaTheme="minorEastAsia"/>
          <w:snapToGrid w:val="0"/>
          <w:color w:val="auto"/>
          <w:kern w:val="0"/>
          <w:sz w:val="24"/>
          <w:szCs w:val="24"/>
          <w:highlight w:val="none"/>
        </w:rPr>
        <w:t>（6）监测结果</w:t>
      </w:r>
    </w:p>
    <w:p>
      <w:pPr>
        <w:widowControl w:val="0"/>
        <w:ind w:firstLine="560"/>
        <w:rPr>
          <w:rFonts w:hint="default" w:ascii="Times New Roman" w:hAnsi="Times New Roman" w:cs="Times New Roman" w:eastAsiaTheme="minorEastAsia"/>
          <w:snapToGrid w:val="0"/>
          <w:color w:val="auto"/>
          <w:kern w:val="0"/>
          <w:sz w:val="24"/>
          <w:szCs w:val="24"/>
          <w:highlight w:val="none"/>
        </w:rPr>
      </w:pPr>
      <w:r>
        <w:rPr>
          <w:rFonts w:hint="default" w:ascii="Times New Roman" w:hAnsi="Times New Roman" w:cs="Times New Roman" w:eastAsiaTheme="minorEastAsia"/>
          <w:snapToGrid w:val="0"/>
          <w:color w:val="auto"/>
          <w:kern w:val="0"/>
          <w:sz w:val="24"/>
          <w:szCs w:val="24"/>
          <w:highlight w:val="none"/>
        </w:rPr>
        <w:t>空气质量现状监测统计结果见表4-3-5。</w:t>
      </w:r>
    </w:p>
    <w:p>
      <w:pPr>
        <w:widowControl w:val="0"/>
        <w:adjustRightInd/>
        <w:snapToGrid/>
        <w:ind w:firstLine="0" w:firstLineChars="0"/>
        <w:jc w:val="center"/>
        <w:rPr>
          <w:rFonts w:hint="default" w:ascii="Times New Roman" w:hAnsi="Times New Roman" w:cs="Times New Roman" w:eastAsiaTheme="minorEastAsia"/>
          <w:snapToGrid w:val="0"/>
          <w:color w:val="auto"/>
          <w:kern w:val="0"/>
          <w:sz w:val="24"/>
          <w:highlight w:val="none"/>
        </w:rPr>
      </w:pPr>
      <w:r>
        <w:rPr>
          <w:rFonts w:hint="default" w:ascii="Times New Roman" w:hAnsi="Times New Roman" w:cs="Times New Roman" w:eastAsiaTheme="minorEastAsia"/>
          <w:snapToGrid w:val="0"/>
          <w:color w:val="auto"/>
          <w:kern w:val="0"/>
          <w:sz w:val="24"/>
          <w:highlight w:val="none"/>
        </w:rPr>
        <w:t>表4-3-5  环境空气质量现状监测统计分析结果  单位：mg/m</w:t>
      </w:r>
      <w:r>
        <w:rPr>
          <w:rFonts w:hint="default" w:ascii="Times New Roman" w:hAnsi="Times New Roman" w:cs="Times New Roman" w:eastAsiaTheme="minorEastAsia"/>
          <w:snapToGrid w:val="0"/>
          <w:color w:val="auto"/>
          <w:kern w:val="0"/>
          <w:sz w:val="24"/>
          <w:highlight w:val="none"/>
          <w:vertAlign w:val="superscript"/>
        </w:rPr>
        <w:t>3</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6"/>
        <w:gridCol w:w="766"/>
        <w:gridCol w:w="768"/>
        <w:gridCol w:w="788"/>
        <w:gridCol w:w="778"/>
        <w:gridCol w:w="1146"/>
        <w:gridCol w:w="1172"/>
        <w:gridCol w:w="756"/>
        <w:gridCol w:w="783"/>
        <w:gridCol w:w="7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6" w:type="dxa"/>
            <w:vMerge w:val="restart"/>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监测点位</w:t>
            </w:r>
          </w:p>
        </w:tc>
        <w:tc>
          <w:tcPr>
            <w:tcW w:w="1534" w:type="dxa"/>
            <w:gridSpan w:val="2"/>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监测点坐标/m</w:t>
            </w:r>
          </w:p>
        </w:tc>
        <w:tc>
          <w:tcPr>
            <w:tcW w:w="788" w:type="dxa"/>
            <w:vMerge w:val="restart"/>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污染物</w:t>
            </w:r>
          </w:p>
        </w:tc>
        <w:tc>
          <w:tcPr>
            <w:tcW w:w="778" w:type="dxa"/>
            <w:vMerge w:val="restart"/>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平均时间</w:t>
            </w:r>
          </w:p>
        </w:tc>
        <w:tc>
          <w:tcPr>
            <w:tcW w:w="1146" w:type="dxa"/>
            <w:vMerge w:val="restart"/>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评价标准/（μg/m</w:t>
            </w:r>
            <w:r>
              <w:rPr>
                <w:rFonts w:hint="default" w:ascii="Times New Roman" w:hAnsi="Times New Roman" w:cs="Times New Roman" w:eastAsiaTheme="minorEastAsia"/>
                <w:color w:val="auto"/>
                <w:sz w:val="21"/>
                <w:szCs w:val="21"/>
                <w:highlight w:val="none"/>
                <w:vertAlign w:val="superscript"/>
              </w:rPr>
              <w:t>3</w:t>
            </w:r>
            <w:r>
              <w:rPr>
                <w:rFonts w:hint="default" w:ascii="Times New Roman" w:hAnsi="Times New Roman" w:cs="Times New Roman" w:eastAsiaTheme="minorEastAsia"/>
                <w:color w:val="auto"/>
                <w:sz w:val="21"/>
                <w:szCs w:val="21"/>
                <w:highlight w:val="none"/>
              </w:rPr>
              <w:t>）</w:t>
            </w:r>
          </w:p>
        </w:tc>
        <w:tc>
          <w:tcPr>
            <w:tcW w:w="1172" w:type="dxa"/>
            <w:vMerge w:val="restart"/>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监测浓度范围/（μg/m</w:t>
            </w:r>
            <w:r>
              <w:rPr>
                <w:rFonts w:hint="default" w:ascii="Times New Roman" w:hAnsi="Times New Roman" w:cs="Times New Roman" w:eastAsiaTheme="minorEastAsia"/>
                <w:color w:val="auto"/>
                <w:sz w:val="21"/>
                <w:szCs w:val="21"/>
                <w:highlight w:val="none"/>
                <w:vertAlign w:val="superscript"/>
              </w:rPr>
              <w:t>3</w:t>
            </w:r>
            <w:r>
              <w:rPr>
                <w:rFonts w:hint="default" w:ascii="Times New Roman" w:hAnsi="Times New Roman" w:cs="Times New Roman" w:eastAsiaTheme="minorEastAsia"/>
                <w:color w:val="auto"/>
                <w:sz w:val="21"/>
                <w:szCs w:val="21"/>
                <w:highlight w:val="none"/>
              </w:rPr>
              <w:t>）</w:t>
            </w:r>
          </w:p>
        </w:tc>
        <w:tc>
          <w:tcPr>
            <w:tcW w:w="756" w:type="dxa"/>
            <w:vMerge w:val="restart"/>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最大浓度占标率/%</w:t>
            </w:r>
          </w:p>
        </w:tc>
        <w:tc>
          <w:tcPr>
            <w:tcW w:w="783" w:type="dxa"/>
            <w:vMerge w:val="restart"/>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超标率/%</w:t>
            </w:r>
          </w:p>
        </w:tc>
        <w:tc>
          <w:tcPr>
            <w:tcW w:w="779" w:type="dxa"/>
            <w:vMerge w:val="restart"/>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snapToGrid w:val="0"/>
                <w:color w:val="auto"/>
                <w:sz w:val="21"/>
                <w:szCs w:val="21"/>
                <w:highlight w:val="none"/>
                <w:vertAlign w:val="superscript"/>
              </w:rPr>
            </w:pPr>
          </w:p>
        </w:tc>
        <w:tc>
          <w:tcPr>
            <w:tcW w:w="766" w:type="dxa"/>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X</w:t>
            </w:r>
          </w:p>
        </w:tc>
        <w:tc>
          <w:tcPr>
            <w:tcW w:w="768" w:type="dxa"/>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Y</w:t>
            </w:r>
          </w:p>
        </w:tc>
        <w:tc>
          <w:tcPr>
            <w:tcW w:w="788" w:type="dxa"/>
            <w:vMerge w:val="continue"/>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p>
        </w:tc>
        <w:tc>
          <w:tcPr>
            <w:tcW w:w="778" w:type="dxa"/>
            <w:vMerge w:val="continue"/>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p>
        </w:tc>
        <w:tc>
          <w:tcPr>
            <w:tcW w:w="1146" w:type="dxa"/>
            <w:vMerge w:val="continue"/>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p>
        </w:tc>
        <w:tc>
          <w:tcPr>
            <w:tcW w:w="1172" w:type="dxa"/>
            <w:vMerge w:val="continue"/>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p>
        </w:tc>
        <w:tc>
          <w:tcPr>
            <w:tcW w:w="756" w:type="dxa"/>
            <w:vMerge w:val="continue"/>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p>
        </w:tc>
        <w:tc>
          <w:tcPr>
            <w:tcW w:w="783" w:type="dxa"/>
            <w:vMerge w:val="continue"/>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p>
        </w:tc>
        <w:tc>
          <w:tcPr>
            <w:tcW w:w="779" w:type="dxa"/>
            <w:vMerge w:val="continue"/>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6" w:type="dxa"/>
            <w:vMerge w:val="restart"/>
            <w:tcBorders>
              <w:top w:val="single" w:color="auto" w:sz="2" w:space="0"/>
            </w:tcBorders>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eastAsia="zh-CN"/>
              </w:rPr>
              <w:t>场</w:t>
            </w:r>
            <w:r>
              <w:rPr>
                <w:rFonts w:hint="default" w:ascii="Times New Roman" w:hAnsi="Times New Roman" w:cs="Times New Roman" w:eastAsiaTheme="minorEastAsia"/>
                <w:color w:val="auto"/>
                <w:sz w:val="21"/>
                <w:szCs w:val="21"/>
                <w:highlight w:val="none"/>
              </w:rPr>
              <w:t>址</w:t>
            </w:r>
          </w:p>
        </w:tc>
        <w:tc>
          <w:tcPr>
            <w:tcW w:w="766" w:type="dxa"/>
            <w:vMerge w:val="restart"/>
            <w:tcBorders>
              <w:top w:val="single" w:color="auto" w:sz="2" w:space="0"/>
            </w:tcBorders>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125.47590</w:t>
            </w:r>
          </w:p>
        </w:tc>
        <w:tc>
          <w:tcPr>
            <w:tcW w:w="768" w:type="dxa"/>
            <w:vMerge w:val="restart"/>
            <w:tcBorders>
              <w:top w:val="single" w:color="auto" w:sz="2" w:space="0"/>
            </w:tcBorders>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46.50718</w:t>
            </w:r>
          </w:p>
        </w:tc>
        <w:tc>
          <w:tcPr>
            <w:tcW w:w="788" w:type="dxa"/>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氨</w:t>
            </w:r>
          </w:p>
        </w:tc>
        <w:tc>
          <w:tcPr>
            <w:tcW w:w="778" w:type="dxa"/>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cs="Times New Roman" w:eastAsiaTheme="minorEastAsia"/>
                <w:bCs/>
                <w:snapToGrid w:val="0"/>
                <w:color w:val="auto"/>
                <w:sz w:val="21"/>
                <w:szCs w:val="21"/>
                <w:highlight w:val="none"/>
              </w:rPr>
            </w:pPr>
            <w:r>
              <w:rPr>
                <w:rFonts w:hint="default" w:ascii="Times New Roman" w:hAnsi="Times New Roman" w:cs="Times New Roman" w:eastAsiaTheme="minorEastAsia"/>
                <w:bCs/>
                <w:snapToGrid w:val="0"/>
                <w:color w:val="auto"/>
                <w:sz w:val="21"/>
                <w:szCs w:val="21"/>
                <w:highlight w:val="none"/>
              </w:rPr>
              <w:t>1h均值</w:t>
            </w:r>
          </w:p>
        </w:tc>
        <w:tc>
          <w:tcPr>
            <w:tcW w:w="1146" w:type="dxa"/>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200</w:t>
            </w:r>
          </w:p>
        </w:tc>
        <w:tc>
          <w:tcPr>
            <w:tcW w:w="1172" w:type="dxa"/>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26</w:t>
            </w:r>
            <w:r>
              <w:rPr>
                <w:rFonts w:hint="default" w:ascii="Times New Roman" w:hAnsi="Times New Roman" w:cs="Times New Roman" w:eastAsiaTheme="minorEastAsia"/>
                <w:color w:val="auto"/>
                <w:sz w:val="21"/>
                <w:szCs w:val="21"/>
                <w:highlight w:val="none"/>
              </w:rPr>
              <w:t>~</w:t>
            </w:r>
            <w:r>
              <w:rPr>
                <w:rFonts w:hint="default" w:ascii="Times New Roman" w:hAnsi="Times New Roman" w:cs="Times New Roman" w:eastAsiaTheme="minorEastAsia"/>
                <w:color w:val="auto"/>
                <w:sz w:val="21"/>
                <w:szCs w:val="21"/>
                <w:highlight w:val="none"/>
                <w:lang w:val="en-US" w:eastAsia="zh-CN"/>
              </w:rPr>
              <w:t>44</w:t>
            </w:r>
          </w:p>
        </w:tc>
        <w:tc>
          <w:tcPr>
            <w:tcW w:w="756" w:type="dxa"/>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22</w:t>
            </w:r>
          </w:p>
        </w:tc>
        <w:tc>
          <w:tcPr>
            <w:tcW w:w="783" w:type="dxa"/>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w:t>
            </w:r>
          </w:p>
        </w:tc>
        <w:tc>
          <w:tcPr>
            <w:tcW w:w="779" w:type="dxa"/>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786" w:type="dxa"/>
            <w:vMerge w:val="continue"/>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p>
        </w:tc>
        <w:tc>
          <w:tcPr>
            <w:tcW w:w="766" w:type="dxa"/>
            <w:vMerge w:val="continue"/>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p>
        </w:tc>
        <w:tc>
          <w:tcPr>
            <w:tcW w:w="768" w:type="dxa"/>
            <w:vMerge w:val="continue"/>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p>
        </w:tc>
        <w:tc>
          <w:tcPr>
            <w:tcW w:w="788" w:type="dxa"/>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硫化氢</w:t>
            </w:r>
          </w:p>
        </w:tc>
        <w:tc>
          <w:tcPr>
            <w:tcW w:w="77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Cs/>
                <w:snapToGrid w:val="0"/>
                <w:color w:val="auto"/>
                <w:sz w:val="21"/>
                <w:szCs w:val="21"/>
                <w:highlight w:val="none"/>
              </w:rPr>
            </w:pPr>
            <w:r>
              <w:rPr>
                <w:rFonts w:hint="default" w:ascii="Times New Roman" w:hAnsi="Times New Roman" w:cs="Times New Roman" w:eastAsiaTheme="minorEastAsia"/>
                <w:bCs/>
                <w:snapToGrid w:val="0"/>
                <w:color w:val="auto"/>
                <w:sz w:val="21"/>
                <w:szCs w:val="21"/>
                <w:highlight w:val="none"/>
              </w:rPr>
              <w:t>1h均值</w:t>
            </w:r>
          </w:p>
        </w:tc>
        <w:tc>
          <w:tcPr>
            <w:tcW w:w="1146" w:type="dxa"/>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10</w:t>
            </w:r>
          </w:p>
        </w:tc>
        <w:tc>
          <w:tcPr>
            <w:tcW w:w="1172" w:type="dxa"/>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0.001L</w:t>
            </w:r>
          </w:p>
        </w:tc>
        <w:tc>
          <w:tcPr>
            <w:tcW w:w="756" w:type="dxa"/>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val="en-US" w:eastAsia="zh-CN"/>
              </w:rPr>
              <w:t>0</w:t>
            </w:r>
          </w:p>
        </w:tc>
        <w:tc>
          <w:tcPr>
            <w:tcW w:w="783" w:type="dxa"/>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w:t>
            </w:r>
          </w:p>
        </w:tc>
        <w:tc>
          <w:tcPr>
            <w:tcW w:w="779" w:type="dxa"/>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86" w:type="dxa"/>
            <w:vMerge w:val="continue"/>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p>
        </w:tc>
        <w:tc>
          <w:tcPr>
            <w:tcW w:w="766" w:type="dxa"/>
            <w:vMerge w:val="continue"/>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p>
        </w:tc>
        <w:tc>
          <w:tcPr>
            <w:tcW w:w="768" w:type="dxa"/>
            <w:vMerge w:val="continue"/>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p>
        </w:tc>
        <w:tc>
          <w:tcPr>
            <w:tcW w:w="788" w:type="dxa"/>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TSP</w:t>
            </w:r>
          </w:p>
        </w:tc>
        <w:tc>
          <w:tcPr>
            <w:tcW w:w="778" w:type="dxa"/>
            <w:vAlign w:val="center"/>
          </w:tcPr>
          <w:p>
            <w:pPr>
              <w:keepNext w:val="0"/>
              <w:keepLines w:val="0"/>
              <w:pageBreakBefore w:val="0"/>
              <w:widowControl w:val="0"/>
              <w:kinsoku/>
              <w:wordWrap/>
              <w:overflowPunct/>
              <w:topLinePunct w:val="0"/>
              <w:autoSpaceDE/>
              <w:autoSpaceDN/>
              <w:bidi w:val="0"/>
              <w:spacing w:line="320" w:lineRule="exact"/>
              <w:ind w:firstLine="0" w:firstLineChars="0"/>
              <w:textAlignment w:val="auto"/>
              <w:rPr>
                <w:rFonts w:hint="default" w:ascii="Times New Roman" w:hAnsi="Times New Roman" w:cs="Times New Roman" w:eastAsiaTheme="minorEastAsia"/>
                <w:bCs/>
                <w:snapToGrid w:val="0"/>
                <w:color w:val="auto"/>
                <w:sz w:val="21"/>
                <w:szCs w:val="21"/>
                <w:highlight w:val="none"/>
              </w:rPr>
            </w:pPr>
            <w:r>
              <w:rPr>
                <w:rFonts w:hint="default" w:ascii="Times New Roman" w:hAnsi="Times New Roman" w:cs="Times New Roman" w:eastAsiaTheme="minorEastAsia"/>
                <w:bCs/>
                <w:snapToGrid w:val="0"/>
                <w:color w:val="auto"/>
                <w:sz w:val="21"/>
                <w:szCs w:val="21"/>
                <w:highlight w:val="none"/>
              </w:rPr>
              <w:t>24h均值</w:t>
            </w:r>
          </w:p>
        </w:tc>
        <w:tc>
          <w:tcPr>
            <w:tcW w:w="1146" w:type="dxa"/>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300</w:t>
            </w:r>
          </w:p>
        </w:tc>
        <w:tc>
          <w:tcPr>
            <w:tcW w:w="1172" w:type="dxa"/>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67</w:t>
            </w:r>
            <w:r>
              <w:rPr>
                <w:rFonts w:hint="default" w:ascii="Times New Roman" w:hAnsi="Times New Roman" w:cs="Times New Roman" w:eastAsiaTheme="minorEastAsia"/>
                <w:color w:val="auto"/>
                <w:sz w:val="21"/>
                <w:szCs w:val="21"/>
                <w:highlight w:val="none"/>
              </w:rPr>
              <w:t>~</w:t>
            </w:r>
            <w:r>
              <w:rPr>
                <w:rFonts w:hint="default" w:ascii="Times New Roman" w:hAnsi="Times New Roman" w:cs="Times New Roman" w:eastAsiaTheme="minorEastAsia"/>
                <w:color w:val="auto"/>
                <w:sz w:val="21"/>
                <w:szCs w:val="21"/>
                <w:highlight w:val="none"/>
                <w:lang w:val="en-US" w:eastAsia="zh-CN"/>
              </w:rPr>
              <w:t>99</w:t>
            </w:r>
          </w:p>
        </w:tc>
        <w:tc>
          <w:tcPr>
            <w:tcW w:w="756" w:type="dxa"/>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34</w:t>
            </w:r>
          </w:p>
        </w:tc>
        <w:tc>
          <w:tcPr>
            <w:tcW w:w="783" w:type="dxa"/>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w:t>
            </w:r>
          </w:p>
        </w:tc>
        <w:tc>
          <w:tcPr>
            <w:tcW w:w="779" w:type="dxa"/>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786" w:type="dxa"/>
            <w:vMerge w:val="restart"/>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场址下风向</w:t>
            </w:r>
          </w:p>
        </w:tc>
        <w:tc>
          <w:tcPr>
            <w:tcW w:w="766" w:type="dxa"/>
            <w:vMerge w:val="restart"/>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125.47297</w:t>
            </w:r>
          </w:p>
        </w:tc>
        <w:tc>
          <w:tcPr>
            <w:tcW w:w="768" w:type="dxa"/>
            <w:vMerge w:val="restart"/>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46.51824</w:t>
            </w:r>
          </w:p>
        </w:tc>
        <w:tc>
          <w:tcPr>
            <w:tcW w:w="788" w:type="dxa"/>
            <w:vAlign w:val="center"/>
          </w:tcPr>
          <w:p>
            <w:pPr>
              <w:pStyle w:val="666"/>
              <w:keepNext w:val="0"/>
              <w:keepLines w:val="0"/>
              <w:pageBreakBefore w:val="0"/>
              <w:kinsoku/>
              <w:wordWrap/>
              <w:overflowPunct/>
              <w:topLinePunct w:val="0"/>
              <w:autoSpaceDE/>
              <w:autoSpaceDN/>
              <w:bidi w:val="0"/>
              <w:spacing w:line="320" w:lineRule="exact"/>
              <w:ind w:firstLine="0" w:firstLineChars="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氨</w:t>
            </w:r>
          </w:p>
        </w:tc>
        <w:tc>
          <w:tcPr>
            <w:tcW w:w="778" w:type="dxa"/>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cs="Times New Roman" w:eastAsiaTheme="minorEastAsia"/>
                <w:bCs/>
                <w:snapToGrid w:val="0"/>
                <w:color w:val="auto"/>
                <w:sz w:val="21"/>
                <w:szCs w:val="21"/>
                <w:highlight w:val="none"/>
              </w:rPr>
            </w:pPr>
            <w:r>
              <w:rPr>
                <w:rFonts w:hint="default" w:ascii="Times New Roman" w:hAnsi="Times New Roman" w:cs="Times New Roman" w:eastAsiaTheme="minorEastAsia"/>
                <w:bCs/>
                <w:snapToGrid w:val="0"/>
                <w:color w:val="auto"/>
                <w:sz w:val="21"/>
                <w:szCs w:val="21"/>
                <w:highlight w:val="none"/>
              </w:rPr>
              <w:t>1h均值</w:t>
            </w:r>
          </w:p>
        </w:tc>
        <w:tc>
          <w:tcPr>
            <w:tcW w:w="1146" w:type="dxa"/>
            <w:vAlign w:val="center"/>
          </w:tcPr>
          <w:p>
            <w:pPr>
              <w:pStyle w:val="666"/>
              <w:keepNext w:val="0"/>
              <w:keepLines w:val="0"/>
              <w:pageBreakBefore w:val="0"/>
              <w:kinsoku/>
              <w:wordWrap/>
              <w:overflowPunct/>
              <w:topLinePunct w:val="0"/>
              <w:autoSpaceDE/>
              <w:autoSpaceDN/>
              <w:bidi w:val="0"/>
              <w:spacing w:line="320" w:lineRule="exact"/>
              <w:ind w:firstLine="0" w:firstLineChars="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200</w:t>
            </w:r>
          </w:p>
        </w:tc>
        <w:tc>
          <w:tcPr>
            <w:tcW w:w="1172" w:type="dxa"/>
            <w:vAlign w:val="center"/>
          </w:tcPr>
          <w:p>
            <w:pPr>
              <w:pStyle w:val="666"/>
              <w:keepNext w:val="0"/>
              <w:keepLines w:val="0"/>
              <w:pageBreakBefore w:val="0"/>
              <w:kinsoku/>
              <w:wordWrap/>
              <w:overflowPunct/>
              <w:topLinePunct w:val="0"/>
              <w:autoSpaceDE/>
              <w:autoSpaceDN/>
              <w:bidi w:val="0"/>
              <w:spacing w:line="320" w:lineRule="exact"/>
              <w:ind w:firstLine="0" w:firstLineChars="0"/>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26</w:t>
            </w:r>
            <w:r>
              <w:rPr>
                <w:rFonts w:hint="default" w:ascii="Times New Roman" w:hAnsi="Times New Roman" w:cs="Times New Roman" w:eastAsiaTheme="minorEastAsia"/>
                <w:color w:val="auto"/>
                <w:sz w:val="21"/>
                <w:szCs w:val="21"/>
                <w:highlight w:val="none"/>
              </w:rPr>
              <w:t>~</w:t>
            </w:r>
            <w:r>
              <w:rPr>
                <w:rFonts w:hint="default" w:ascii="Times New Roman" w:hAnsi="Times New Roman" w:cs="Times New Roman" w:eastAsiaTheme="minorEastAsia"/>
                <w:color w:val="auto"/>
                <w:sz w:val="21"/>
                <w:szCs w:val="21"/>
                <w:highlight w:val="none"/>
                <w:lang w:val="en-US" w:eastAsia="zh-CN"/>
              </w:rPr>
              <w:t>45</w:t>
            </w:r>
          </w:p>
        </w:tc>
        <w:tc>
          <w:tcPr>
            <w:tcW w:w="756" w:type="dxa"/>
            <w:vAlign w:val="center"/>
          </w:tcPr>
          <w:p>
            <w:pPr>
              <w:pStyle w:val="666"/>
              <w:keepNext w:val="0"/>
              <w:keepLines w:val="0"/>
              <w:pageBreakBefore w:val="0"/>
              <w:kinsoku/>
              <w:wordWrap/>
              <w:overflowPunct/>
              <w:topLinePunct w:val="0"/>
              <w:autoSpaceDE/>
              <w:autoSpaceDN/>
              <w:bidi w:val="0"/>
              <w:spacing w:line="320" w:lineRule="exact"/>
              <w:ind w:firstLine="0" w:firstLineChars="0"/>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23</w:t>
            </w:r>
          </w:p>
        </w:tc>
        <w:tc>
          <w:tcPr>
            <w:tcW w:w="783" w:type="dxa"/>
            <w:vAlign w:val="center"/>
          </w:tcPr>
          <w:p>
            <w:pPr>
              <w:pStyle w:val="666"/>
              <w:keepNext w:val="0"/>
              <w:keepLines w:val="0"/>
              <w:pageBreakBefore w:val="0"/>
              <w:kinsoku/>
              <w:wordWrap/>
              <w:overflowPunct/>
              <w:topLinePunct w:val="0"/>
              <w:autoSpaceDE/>
              <w:autoSpaceDN/>
              <w:bidi w:val="0"/>
              <w:spacing w:line="320" w:lineRule="exact"/>
              <w:ind w:firstLine="0" w:firstLineChars="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w:t>
            </w:r>
          </w:p>
        </w:tc>
        <w:tc>
          <w:tcPr>
            <w:tcW w:w="779" w:type="dxa"/>
            <w:vAlign w:val="center"/>
          </w:tcPr>
          <w:p>
            <w:pPr>
              <w:pStyle w:val="666"/>
              <w:keepNext w:val="0"/>
              <w:keepLines w:val="0"/>
              <w:pageBreakBefore w:val="0"/>
              <w:kinsoku/>
              <w:wordWrap/>
              <w:overflowPunct/>
              <w:topLinePunct w:val="0"/>
              <w:autoSpaceDE/>
              <w:autoSpaceDN/>
              <w:bidi w:val="0"/>
              <w:spacing w:line="320" w:lineRule="exact"/>
              <w:ind w:firstLine="0" w:firstLineChars="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786" w:type="dxa"/>
            <w:vMerge w:val="continue"/>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lang w:eastAsia="zh-CN"/>
              </w:rPr>
            </w:pPr>
          </w:p>
        </w:tc>
        <w:tc>
          <w:tcPr>
            <w:tcW w:w="766" w:type="dxa"/>
            <w:vMerge w:val="continue"/>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p>
        </w:tc>
        <w:tc>
          <w:tcPr>
            <w:tcW w:w="768" w:type="dxa"/>
            <w:vMerge w:val="continue"/>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p>
        </w:tc>
        <w:tc>
          <w:tcPr>
            <w:tcW w:w="788" w:type="dxa"/>
            <w:vAlign w:val="center"/>
          </w:tcPr>
          <w:p>
            <w:pPr>
              <w:pStyle w:val="666"/>
              <w:keepNext w:val="0"/>
              <w:keepLines w:val="0"/>
              <w:pageBreakBefore w:val="0"/>
              <w:kinsoku/>
              <w:wordWrap/>
              <w:overflowPunct/>
              <w:topLinePunct w:val="0"/>
              <w:autoSpaceDE/>
              <w:autoSpaceDN/>
              <w:bidi w:val="0"/>
              <w:spacing w:line="320" w:lineRule="exact"/>
              <w:ind w:firstLine="0" w:firstLineChars="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硫化氢</w:t>
            </w:r>
          </w:p>
        </w:tc>
        <w:tc>
          <w:tcPr>
            <w:tcW w:w="778"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Cs/>
                <w:snapToGrid w:val="0"/>
                <w:color w:val="auto"/>
                <w:sz w:val="21"/>
                <w:szCs w:val="21"/>
                <w:highlight w:val="none"/>
              </w:rPr>
            </w:pPr>
            <w:r>
              <w:rPr>
                <w:rFonts w:hint="default" w:ascii="Times New Roman" w:hAnsi="Times New Roman" w:cs="Times New Roman" w:eastAsiaTheme="minorEastAsia"/>
                <w:bCs/>
                <w:snapToGrid w:val="0"/>
                <w:color w:val="auto"/>
                <w:sz w:val="21"/>
                <w:szCs w:val="21"/>
                <w:highlight w:val="none"/>
              </w:rPr>
              <w:t>1h均值</w:t>
            </w:r>
          </w:p>
        </w:tc>
        <w:tc>
          <w:tcPr>
            <w:tcW w:w="1146" w:type="dxa"/>
            <w:vAlign w:val="center"/>
          </w:tcPr>
          <w:p>
            <w:pPr>
              <w:pStyle w:val="666"/>
              <w:keepNext w:val="0"/>
              <w:keepLines w:val="0"/>
              <w:pageBreakBefore w:val="0"/>
              <w:kinsoku/>
              <w:wordWrap/>
              <w:overflowPunct/>
              <w:topLinePunct w:val="0"/>
              <w:autoSpaceDE/>
              <w:autoSpaceDN/>
              <w:bidi w:val="0"/>
              <w:spacing w:line="320" w:lineRule="exact"/>
              <w:ind w:firstLine="0" w:firstLineChars="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10</w:t>
            </w:r>
          </w:p>
        </w:tc>
        <w:tc>
          <w:tcPr>
            <w:tcW w:w="1172" w:type="dxa"/>
            <w:vAlign w:val="center"/>
          </w:tcPr>
          <w:p>
            <w:pPr>
              <w:pStyle w:val="666"/>
              <w:keepNext w:val="0"/>
              <w:keepLines w:val="0"/>
              <w:pageBreakBefore w:val="0"/>
              <w:kinsoku/>
              <w:wordWrap/>
              <w:overflowPunct/>
              <w:topLinePunct w:val="0"/>
              <w:autoSpaceDE/>
              <w:autoSpaceDN/>
              <w:bidi w:val="0"/>
              <w:spacing w:line="320" w:lineRule="exact"/>
              <w:ind w:firstLine="0" w:firstLineChars="0"/>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0.001L</w:t>
            </w:r>
          </w:p>
        </w:tc>
        <w:tc>
          <w:tcPr>
            <w:tcW w:w="756" w:type="dxa"/>
            <w:vAlign w:val="center"/>
          </w:tcPr>
          <w:p>
            <w:pPr>
              <w:pStyle w:val="666"/>
              <w:keepNext w:val="0"/>
              <w:keepLines w:val="0"/>
              <w:pageBreakBefore w:val="0"/>
              <w:kinsoku/>
              <w:wordWrap/>
              <w:overflowPunct/>
              <w:topLinePunct w:val="0"/>
              <w:autoSpaceDE/>
              <w:autoSpaceDN/>
              <w:bidi w:val="0"/>
              <w:spacing w:line="320" w:lineRule="exact"/>
              <w:ind w:firstLine="0" w:firstLineChars="0"/>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0</w:t>
            </w:r>
          </w:p>
        </w:tc>
        <w:tc>
          <w:tcPr>
            <w:tcW w:w="783" w:type="dxa"/>
            <w:vAlign w:val="center"/>
          </w:tcPr>
          <w:p>
            <w:pPr>
              <w:pStyle w:val="666"/>
              <w:keepNext w:val="0"/>
              <w:keepLines w:val="0"/>
              <w:pageBreakBefore w:val="0"/>
              <w:kinsoku/>
              <w:wordWrap/>
              <w:overflowPunct/>
              <w:topLinePunct w:val="0"/>
              <w:autoSpaceDE/>
              <w:autoSpaceDN/>
              <w:bidi w:val="0"/>
              <w:spacing w:line="320" w:lineRule="exact"/>
              <w:ind w:firstLine="0" w:firstLineChars="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w:t>
            </w:r>
          </w:p>
        </w:tc>
        <w:tc>
          <w:tcPr>
            <w:tcW w:w="779" w:type="dxa"/>
            <w:vAlign w:val="center"/>
          </w:tcPr>
          <w:p>
            <w:pPr>
              <w:pStyle w:val="666"/>
              <w:keepNext w:val="0"/>
              <w:keepLines w:val="0"/>
              <w:pageBreakBefore w:val="0"/>
              <w:kinsoku/>
              <w:wordWrap/>
              <w:overflowPunct/>
              <w:topLinePunct w:val="0"/>
              <w:autoSpaceDE/>
              <w:autoSpaceDN/>
              <w:bidi w:val="0"/>
              <w:spacing w:line="320" w:lineRule="exact"/>
              <w:ind w:firstLine="0" w:firstLineChars="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786" w:type="dxa"/>
            <w:vMerge w:val="continue"/>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lang w:eastAsia="zh-CN"/>
              </w:rPr>
            </w:pPr>
          </w:p>
        </w:tc>
        <w:tc>
          <w:tcPr>
            <w:tcW w:w="766" w:type="dxa"/>
            <w:vMerge w:val="continue"/>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p>
        </w:tc>
        <w:tc>
          <w:tcPr>
            <w:tcW w:w="768" w:type="dxa"/>
            <w:vMerge w:val="continue"/>
            <w:vAlign w:val="center"/>
          </w:tcPr>
          <w:p>
            <w:pPr>
              <w:pStyle w:val="666"/>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eastAsiaTheme="minorEastAsia"/>
                <w:color w:val="auto"/>
                <w:sz w:val="21"/>
                <w:szCs w:val="21"/>
                <w:highlight w:val="none"/>
              </w:rPr>
            </w:pPr>
          </w:p>
        </w:tc>
        <w:tc>
          <w:tcPr>
            <w:tcW w:w="788" w:type="dxa"/>
            <w:vAlign w:val="center"/>
          </w:tcPr>
          <w:p>
            <w:pPr>
              <w:pStyle w:val="666"/>
              <w:keepNext w:val="0"/>
              <w:keepLines w:val="0"/>
              <w:pageBreakBefore w:val="0"/>
              <w:kinsoku/>
              <w:wordWrap/>
              <w:overflowPunct/>
              <w:topLinePunct w:val="0"/>
              <w:autoSpaceDE/>
              <w:autoSpaceDN/>
              <w:bidi w:val="0"/>
              <w:spacing w:line="320" w:lineRule="exact"/>
              <w:ind w:firstLine="0" w:firstLineChars="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TSP</w:t>
            </w:r>
          </w:p>
        </w:tc>
        <w:tc>
          <w:tcPr>
            <w:tcW w:w="778" w:type="dxa"/>
            <w:vAlign w:val="center"/>
          </w:tcPr>
          <w:p>
            <w:pPr>
              <w:keepNext w:val="0"/>
              <w:keepLines w:val="0"/>
              <w:pageBreakBefore w:val="0"/>
              <w:widowControl w:val="0"/>
              <w:kinsoku/>
              <w:wordWrap/>
              <w:overflowPunct/>
              <w:topLinePunct w:val="0"/>
              <w:autoSpaceDE/>
              <w:autoSpaceDN/>
              <w:bidi w:val="0"/>
              <w:spacing w:line="320" w:lineRule="exact"/>
              <w:ind w:firstLine="0" w:firstLineChars="0"/>
              <w:textAlignment w:val="auto"/>
              <w:rPr>
                <w:rFonts w:hint="default" w:ascii="Times New Roman" w:hAnsi="Times New Roman" w:cs="Times New Roman" w:eastAsiaTheme="minorEastAsia"/>
                <w:bCs/>
                <w:snapToGrid w:val="0"/>
                <w:color w:val="auto"/>
                <w:sz w:val="21"/>
                <w:szCs w:val="21"/>
                <w:highlight w:val="none"/>
              </w:rPr>
            </w:pPr>
            <w:r>
              <w:rPr>
                <w:rFonts w:hint="default" w:ascii="Times New Roman" w:hAnsi="Times New Roman" w:cs="Times New Roman" w:eastAsiaTheme="minorEastAsia"/>
                <w:bCs/>
                <w:snapToGrid w:val="0"/>
                <w:color w:val="auto"/>
                <w:sz w:val="21"/>
                <w:szCs w:val="21"/>
                <w:highlight w:val="none"/>
              </w:rPr>
              <w:t>24h均值</w:t>
            </w:r>
          </w:p>
        </w:tc>
        <w:tc>
          <w:tcPr>
            <w:tcW w:w="1146" w:type="dxa"/>
            <w:vAlign w:val="center"/>
          </w:tcPr>
          <w:p>
            <w:pPr>
              <w:pStyle w:val="666"/>
              <w:keepNext w:val="0"/>
              <w:keepLines w:val="0"/>
              <w:pageBreakBefore w:val="0"/>
              <w:kinsoku/>
              <w:wordWrap/>
              <w:overflowPunct/>
              <w:topLinePunct w:val="0"/>
              <w:autoSpaceDE/>
              <w:autoSpaceDN/>
              <w:bidi w:val="0"/>
              <w:spacing w:line="320" w:lineRule="exact"/>
              <w:ind w:firstLine="0" w:firstLineChars="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300</w:t>
            </w:r>
          </w:p>
        </w:tc>
        <w:tc>
          <w:tcPr>
            <w:tcW w:w="1172" w:type="dxa"/>
            <w:vAlign w:val="center"/>
          </w:tcPr>
          <w:p>
            <w:pPr>
              <w:pStyle w:val="666"/>
              <w:keepNext w:val="0"/>
              <w:keepLines w:val="0"/>
              <w:pageBreakBefore w:val="0"/>
              <w:kinsoku/>
              <w:wordWrap/>
              <w:overflowPunct/>
              <w:topLinePunct w:val="0"/>
              <w:autoSpaceDE/>
              <w:autoSpaceDN/>
              <w:bidi w:val="0"/>
              <w:spacing w:line="320" w:lineRule="exact"/>
              <w:ind w:firstLine="0" w:firstLineChars="0"/>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70</w:t>
            </w:r>
            <w:r>
              <w:rPr>
                <w:rFonts w:hint="default" w:ascii="Times New Roman" w:hAnsi="Times New Roman" w:cs="Times New Roman" w:eastAsiaTheme="minorEastAsia"/>
                <w:color w:val="auto"/>
                <w:sz w:val="21"/>
                <w:szCs w:val="21"/>
                <w:highlight w:val="none"/>
              </w:rPr>
              <w:t>~</w:t>
            </w:r>
            <w:r>
              <w:rPr>
                <w:rFonts w:hint="default" w:ascii="Times New Roman" w:hAnsi="Times New Roman" w:cs="Times New Roman" w:eastAsiaTheme="minorEastAsia"/>
                <w:color w:val="auto"/>
                <w:sz w:val="21"/>
                <w:szCs w:val="21"/>
                <w:highlight w:val="none"/>
                <w:lang w:val="en-US" w:eastAsia="zh-CN"/>
              </w:rPr>
              <w:t>101</w:t>
            </w:r>
          </w:p>
        </w:tc>
        <w:tc>
          <w:tcPr>
            <w:tcW w:w="756" w:type="dxa"/>
            <w:vAlign w:val="center"/>
          </w:tcPr>
          <w:p>
            <w:pPr>
              <w:pStyle w:val="666"/>
              <w:keepNext w:val="0"/>
              <w:keepLines w:val="0"/>
              <w:pageBreakBefore w:val="0"/>
              <w:kinsoku/>
              <w:wordWrap/>
              <w:overflowPunct/>
              <w:topLinePunct w:val="0"/>
              <w:autoSpaceDE/>
              <w:autoSpaceDN/>
              <w:bidi w:val="0"/>
              <w:spacing w:line="320" w:lineRule="exact"/>
              <w:ind w:firstLine="0" w:firstLineChars="0"/>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34</w:t>
            </w:r>
          </w:p>
        </w:tc>
        <w:tc>
          <w:tcPr>
            <w:tcW w:w="783" w:type="dxa"/>
            <w:vAlign w:val="center"/>
          </w:tcPr>
          <w:p>
            <w:pPr>
              <w:pStyle w:val="666"/>
              <w:keepNext w:val="0"/>
              <w:keepLines w:val="0"/>
              <w:pageBreakBefore w:val="0"/>
              <w:kinsoku/>
              <w:wordWrap/>
              <w:overflowPunct/>
              <w:topLinePunct w:val="0"/>
              <w:autoSpaceDE/>
              <w:autoSpaceDN/>
              <w:bidi w:val="0"/>
              <w:spacing w:line="320" w:lineRule="exact"/>
              <w:ind w:firstLine="0" w:firstLineChars="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w:t>
            </w:r>
          </w:p>
        </w:tc>
        <w:tc>
          <w:tcPr>
            <w:tcW w:w="779" w:type="dxa"/>
            <w:vAlign w:val="center"/>
          </w:tcPr>
          <w:p>
            <w:pPr>
              <w:pStyle w:val="666"/>
              <w:keepNext w:val="0"/>
              <w:keepLines w:val="0"/>
              <w:pageBreakBefore w:val="0"/>
              <w:kinsoku/>
              <w:wordWrap/>
              <w:overflowPunct/>
              <w:topLinePunct w:val="0"/>
              <w:autoSpaceDE/>
              <w:autoSpaceDN/>
              <w:bidi w:val="0"/>
              <w:spacing w:line="320" w:lineRule="exact"/>
              <w:ind w:firstLine="0" w:firstLineChars="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bl>
    <w:p>
      <w:pPr>
        <w:widowControl w:val="0"/>
        <w:ind w:firstLine="560"/>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t>由表4-3-5可知，本项目所在区域在监测时段内氨、硫化氢的1小时浓度满足《环境影响评价技术导则 大气环境》（HJ2.2-2018）中的附录D浓度参考限值要求，TSP的24小时平均浓度满足《环境空气质量标准》（GB3095-2012）及其修改单二级标准，其他污染物氨、硫化氢、TSP的环境质量现状达标。</w:t>
      </w:r>
    </w:p>
    <w:p>
      <w:pPr>
        <w:ind w:firstLine="0" w:firstLineChars="0"/>
        <w:outlineLvl w:val="3"/>
        <w:rPr>
          <w:rFonts w:hint="default" w:ascii="Times New Roman" w:hAnsi="Times New Roman" w:cs="Times New Roman" w:eastAsiaTheme="minorEastAsia"/>
          <w:color w:val="000000" w:themeColor="text1"/>
          <w:sz w:val="24"/>
          <w:szCs w:val="22"/>
          <w14:textFill>
            <w14:solidFill>
              <w14:schemeClr w14:val="tx1"/>
            </w14:solidFill>
          </w14:textFill>
        </w:rPr>
      </w:pPr>
      <w:bookmarkStart w:id="130" w:name="_Toc289863622"/>
      <w:bookmarkStart w:id="131" w:name="_Toc198039475"/>
      <w:bookmarkStart w:id="132" w:name="_Toc200521843"/>
      <w:bookmarkStart w:id="133" w:name="_Toc534561196"/>
      <w:bookmarkStart w:id="134" w:name="_Toc203379361"/>
      <w:r>
        <w:rPr>
          <w:rFonts w:hint="default" w:ascii="Times New Roman" w:hAnsi="Times New Roman" w:cs="Times New Roman" w:eastAsiaTheme="minorEastAsia"/>
          <w:color w:val="000000" w:themeColor="text1"/>
          <w:sz w:val="24"/>
          <w:szCs w:val="22"/>
          <w14:textFill>
            <w14:solidFill>
              <w14:schemeClr w14:val="tx1"/>
            </w14:solidFill>
          </w14:textFill>
        </w:rPr>
        <w:t>4.3.1.3 现状评价结论</w:t>
      </w:r>
      <w:bookmarkEnd w:id="130"/>
      <w:bookmarkEnd w:id="131"/>
      <w:bookmarkEnd w:id="132"/>
      <w:bookmarkEnd w:id="133"/>
      <w:bookmarkEnd w:id="134"/>
    </w:p>
    <w:p>
      <w:pPr>
        <w:widowControl w:val="0"/>
        <w:adjustRightInd/>
        <w:snapToGrid/>
        <w:spacing w:line="500" w:lineRule="exact"/>
        <w:ind w:firstLine="560"/>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t>1、根据《2020年大庆市生态环境状况公报》，评价区域内基本污染物指标均满足《环境空气质量标准》（GB3095-2012）及其修改单二级标准，因此本项目所在区域为环境空气质量达标区。</w:t>
      </w:r>
    </w:p>
    <w:p>
      <w:pPr>
        <w:widowControl w:val="0"/>
        <w:adjustRightInd/>
        <w:snapToGrid/>
        <w:spacing w:line="500" w:lineRule="exact"/>
        <w:ind w:firstLine="560"/>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t>2、根据补充监测单项污染指数评价结果表明，评价区其他污染物单项污染指数均小于1，其他污染物氨、硫化氢、TSP环境质量现状达标。</w:t>
      </w:r>
    </w:p>
    <w:p>
      <w:pPr>
        <w:keepNext w:val="0"/>
        <w:keepLines w:val="0"/>
        <w:pageBreakBefore w:val="0"/>
        <w:widowControl/>
        <w:kinsoku/>
        <w:wordWrap/>
        <w:overflowPunct/>
        <w:topLinePunct w:val="0"/>
        <w:autoSpaceDE/>
        <w:autoSpaceDN/>
        <w:bidi w:val="0"/>
        <w:adjustRightInd w:val="0"/>
        <w:snapToGrid w:val="0"/>
        <w:spacing w:line="500" w:lineRule="exact"/>
        <w:ind w:firstLine="0" w:firstLineChars="0"/>
        <w:textAlignment w:val="auto"/>
        <w:outlineLvl w:val="2"/>
        <w:rPr>
          <w:rFonts w:hint="default" w:ascii="Times New Roman" w:hAnsi="Times New Roman" w:cs="Times New Roman" w:eastAsiaTheme="minorEastAsia"/>
          <w:b/>
          <w:color w:val="auto"/>
          <w:sz w:val="24"/>
          <w:szCs w:val="24"/>
          <w:highlight w:val="none"/>
        </w:rPr>
      </w:pPr>
      <w:r>
        <w:rPr>
          <w:rFonts w:hint="default" w:ascii="Times New Roman" w:hAnsi="Times New Roman" w:cs="Times New Roman" w:eastAsiaTheme="minorEastAsia"/>
          <w:b/>
          <w:color w:val="auto"/>
          <w:sz w:val="24"/>
          <w:szCs w:val="24"/>
          <w:highlight w:val="none"/>
        </w:rPr>
        <w:t xml:space="preserve">4.3.2 地表水环境质量现状评价 </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color w:val="auto"/>
          <w:sz w:val="24"/>
          <w:szCs w:val="24"/>
          <w:lang w:val="en-US"/>
        </w:rPr>
      </w:pPr>
      <w:r>
        <w:rPr>
          <w:rFonts w:hint="default" w:ascii="Times New Roman" w:hAnsi="Times New Roman" w:cs="Times New Roman" w:eastAsiaTheme="minorEastAsia"/>
          <w:color w:val="auto"/>
          <w:sz w:val="24"/>
          <w:szCs w:val="24"/>
          <w:lang w:val="en-US"/>
        </w:rPr>
        <w:t>根据《2019年度绥化市环境质量状况》，全市主要河流总体水质状况为中度污染，2019年我市国控地表水监测断面水质监测达标率为40%。Ⅰ—Ⅲ类水质比例为40%，Ⅳ类水质、Ⅴ类水质和劣Ⅴ类水质比例均为20</w:t>
      </w:r>
      <w:bookmarkStart w:id="135" w:name="_1544190290"/>
      <w:bookmarkEnd w:id="135"/>
      <w:r>
        <w:rPr>
          <w:rFonts w:hint="default" w:ascii="Times New Roman" w:hAnsi="Times New Roman" w:cs="Times New Roman" w:eastAsiaTheme="minorEastAsia"/>
          <w:color w:val="auto"/>
          <w:sz w:val="24"/>
          <w:szCs w:val="24"/>
          <w:lang w:val="en-US"/>
        </w:rPr>
        <w:t>。</w:t>
      </w:r>
    </w:p>
    <w:p>
      <w:pPr>
        <w:pStyle w:val="8"/>
        <w:pageBreakBefore w:val="0"/>
        <w:widowControl/>
        <w:kinsoku/>
        <w:wordWrap/>
        <w:overflowPunct/>
        <w:topLinePunct w:val="0"/>
        <w:autoSpaceDE/>
        <w:autoSpaceDN/>
        <w:bidi w:val="0"/>
        <w:adjustRightInd w:val="0"/>
        <w:snapToGrid w:val="0"/>
        <w:spacing w:line="480" w:lineRule="auto"/>
        <w:ind w:left="0" w:leftChars="0" w:firstLine="0" w:firstLineChars="0"/>
        <w:textAlignment w:val="auto"/>
        <w:rPr>
          <w:rFonts w:hint="default" w:ascii="Times New Roman" w:hAnsi="Times New Roman" w:cs="Times New Roman" w:eastAsiaTheme="minorEastAsia"/>
          <w:color w:val="FF0000"/>
          <w:sz w:val="28"/>
          <w:szCs w:val="28"/>
          <w:lang w:val="en-US"/>
        </w:rPr>
      </w:pPr>
      <w:r>
        <w:rPr>
          <w:rFonts w:hint="default" w:ascii="Times New Roman" w:hAnsi="Times New Roman" w:cs="Times New Roman" w:eastAsiaTheme="minorEastAsia"/>
          <w:i/>
          <w:spacing w:val="-20"/>
          <w:sz w:val="32"/>
          <w:szCs w:val="32"/>
          <w:u w:val="single"/>
        </w:rPr>
        <w:drawing>
          <wp:inline distT="0" distB="0" distL="0" distR="0">
            <wp:extent cx="5200650" cy="2362200"/>
            <wp:effectExtent l="0" t="0" r="0" b="0"/>
            <wp:docPr id="338" name="图表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pStyle w:val="8"/>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呼兰河干流入境断面（庆红大桥）水质类别为Ⅲ类；出境断面（榆林镇鞍山屯）的水质类别为Ⅲ类，呼兰河干流流经我市境内的全部断面均达到或优于其功能区水质目标要求。</w:t>
      </w:r>
    </w:p>
    <w:p>
      <w:pPr>
        <w:pStyle w:val="8"/>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肇兰新河流经我市出境断面（肇东金山村）水质类别为劣Ⅴ类，主要污染物为化学需氧量、氨氮和高锰酸盐指数，未达到其Ⅴ类水质目标要求。</w:t>
      </w:r>
    </w:p>
    <w:p>
      <w:pPr>
        <w:pStyle w:val="8"/>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通肯河的东方红水库断面水质类别为Ⅴ类，东方红水库断面主要污染物为高锰酸盐指数、化学需氧量，未达到其Ⅲ类水质目标要求。</w:t>
      </w:r>
    </w:p>
    <w:p>
      <w:pPr>
        <w:pStyle w:val="8"/>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泥河的泥河水库断面水质类别为Ⅳ类，泥河水库断面主要污染物为化学需氧量、高锰酸盐指数，未达到其Ⅲ类水质目标要求。</w:t>
      </w:r>
    </w:p>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default" w:ascii="Times New Roman" w:hAnsi="Times New Roman" w:cs="Times New Roman" w:eastAsiaTheme="minorEastAsia"/>
          <w:color w:val="auto"/>
          <w:kern w:val="0"/>
          <w:sz w:val="24"/>
          <w:szCs w:val="24"/>
          <w:lang w:val="zh-CN"/>
        </w:rPr>
      </w:pPr>
    </w:p>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default" w:ascii="Times New Roman" w:hAnsi="Times New Roman" w:cs="Times New Roman" w:eastAsiaTheme="minorEastAsia"/>
          <w:color w:val="auto"/>
          <w:kern w:val="0"/>
          <w:sz w:val="24"/>
          <w:szCs w:val="24"/>
          <w:lang w:val="zh-CN"/>
        </w:rPr>
      </w:pPr>
    </w:p>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default" w:ascii="Times New Roman" w:hAnsi="Times New Roman" w:cs="Times New Roman" w:eastAsiaTheme="minorEastAsia"/>
          <w:color w:val="auto"/>
          <w:kern w:val="0"/>
          <w:sz w:val="28"/>
          <w:szCs w:val="28"/>
          <w:lang w:val="zh-CN"/>
        </w:rPr>
      </w:pPr>
      <w:r>
        <w:rPr>
          <w:rFonts w:hint="default" w:ascii="Times New Roman" w:hAnsi="Times New Roman" w:cs="Times New Roman" w:eastAsiaTheme="minorEastAsia"/>
          <w:color w:val="auto"/>
          <w:kern w:val="0"/>
          <w:sz w:val="24"/>
          <w:szCs w:val="24"/>
          <w:lang w:val="zh-CN"/>
        </w:rPr>
        <w:t>表4-</w:t>
      </w:r>
      <w:r>
        <w:rPr>
          <w:rFonts w:hint="default" w:ascii="Times New Roman" w:hAnsi="Times New Roman" w:cs="Times New Roman" w:eastAsiaTheme="minorEastAsia"/>
          <w:color w:val="auto"/>
          <w:kern w:val="0"/>
          <w:sz w:val="24"/>
          <w:szCs w:val="24"/>
          <w:lang w:val="en-US" w:eastAsia="zh-CN"/>
        </w:rPr>
        <w:t>3</w:t>
      </w:r>
      <w:r>
        <w:rPr>
          <w:rFonts w:hint="default" w:ascii="Times New Roman" w:hAnsi="Times New Roman" w:cs="Times New Roman" w:eastAsiaTheme="minorEastAsia"/>
          <w:color w:val="auto"/>
          <w:kern w:val="0"/>
          <w:sz w:val="24"/>
          <w:szCs w:val="24"/>
          <w:lang w:val="zh-CN"/>
        </w:rPr>
        <w:t>-</w:t>
      </w:r>
      <w:r>
        <w:rPr>
          <w:rFonts w:hint="default" w:ascii="Times New Roman" w:hAnsi="Times New Roman" w:cs="Times New Roman" w:eastAsiaTheme="minorEastAsia"/>
          <w:color w:val="auto"/>
          <w:kern w:val="0"/>
          <w:sz w:val="24"/>
          <w:szCs w:val="24"/>
          <w:lang w:val="en-US" w:eastAsia="zh-CN"/>
        </w:rPr>
        <w:t>5</w:t>
      </w:r>
      <w:r>
        <w:rPr>
          <w:rFonts w:hint="default" w:ascii="Times New Roman" w:hAnsi="Times New Roman" w:cs="Times New Roman" w:eastAsiaTheme="minorEastAsia"/>
          <w:color w:val="auto"/>
          <w:kern w:val="0"/>
          <w:sz w:val="24"/>
          <w:szCs w:val="24"/>
          <w:lang w:val="zh-CN"/>
        </w:rPr>
        <w:t>地表水国/省控断面水质状况统计表</w:t>
      </w:r>
    </w:p>
    <w:tbl>
      <w:tblPr>
        <w:tblStyle w:val="92"/>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8"/>
        <w:gridCol w:w="1369"/>
        <w:gridCol w:w="1088"/>
        <w:gridCol w:w="956"/>
        <w:gridCol w:w="962"/>
        <w:gridCol w:w="1369"/>
        <w:gridCol w:w="188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8" w:type="dxa"/>
            <w:vAlign w:val="top"/>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河流</w:t>
            </w:r>
          </w:p>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名称</w:t>
            </w:r>
          </w:p>
        </w:tc>
        <w:tc>
          <w:tcPr>
            <w:tcW w:w="1369" w:type="dxa"/>
            <w:vAlign w:val="top"/>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监测</w:t>
            </w:r>
          </w:p>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断面</w:t>
            </w:r>
          </w:p>
        </w:tc>
        <w:tc>
          <w:tcPr>
            <w:tcW w:w="1088" w:type="dxa"/>
            <w:vAlign w:val="top"/>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断面</w:t>
            </w:r>
          </w:p>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性质</w:t>
            </w:r>
          </w:p>
        </w:tc>
        <w:tc>
          <w:tcPr>
            <w:tcW w:w="956" w:type="dxa"/>
            <w:vAlign w:val="top"/>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功能</w:t>
            </w:r>
          </w:p>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类别</w:t>
            </w:r>
          </w:p>
        </w:tc>
        <w:tc>
          <w:tcPr>
            <w:tcW w:w="962" w:type="dxa"/>
            <w:vAlign w:val="top"/>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水质</w:t>
            </w:r>
          </w:p>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状况</w:t>
            </w:r>
          </w:p>
        </w:tc>
        <w:tc>
          <w:tcPr>
            <w:tcW w:w="1369" w:type="dxa"/>
            <w:vAlign w:val="top"/>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与2018年相比</w:t>
            </w:r>
          </w:p>
        </w:tc>
        <w:tc>
          <w:tcPr>
            <w:tcW w:w="1888" w:type="dxa"/>
            <w:vAlign w:val="top"/>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主要污染物及超标倍数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8" w:type="dxa"/>
            <w:vMerge w:val="restart"/>
            <w:vAlign w:val="center"/>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呼兰河</w:t>
            </w:r>
          </w:p>
        </w:tc>
        <w:tc>
          <w:tcPr>
            <w:tcW w:w="1369" w:type="dxa"/>
            <w:vAlign w:val="center"/>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庆红大桥（入境）</w:t>
            </w:r>
          </w:p>
        </w:tc>
        <w:tc>
          <w:tcPr>
            <w:tcW w:w="1088" w:type="dxa"/>
            <w:vAlign w:val="center"/>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省控</w:t>
            </w:r>
          </w:p>
        </w:tc>
        <w:tc>
          <w:tcPr>
            <w:tcW w:w="956" w:type="dxa"/>
            <w:vAlign w:val="center"/>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0"/>
                <w:sz w:val="21"/>
                <w:szCs w:val="21"/>
              </w:rPr>
              <w:t>Ⅲ</w:t>
            </w:r>
          </w:p>
        </w:tc>
        <w:tc>
          <w:tcPr>
            <w:tcW w:w="962" w:type="dxa"/>
            <w:vAlign w:val="center"/>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0"/>
                <w:sz w:val="21"/>
                <w:szCs w:val="21"/>
              </w:rPr>
              <w:t>Ⅲ</w:t>
            </w:r>
          </w:p>
        </w:tc>
        <w:tc>
          <w:tcPr>
            <w:tcW w:w="1369" w:type="dxa"/>
            <w:vAlign w:val="center"/>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无变化</w:t>
            </w:r>
          </w:p>
        </w:tc>
        <w:tc>
          <w:tcPr>
            <w:tcW w:w="1888" w:type="dxa"/>
            <w:vAlign w:val="center"/>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8" w:type="dxa"/>
            <w:vMerge w:val="continue"/>
            <w:vAlign w:val="center"/>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p>
        </w:tc>
        <w:tc>
          <w:tcPr>
            <w:tcW w:w="1369" w:type="dxa"/>
            <w:vAlign w:val="center"/>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绥望桥</w:t>
            </w:r>
          </w:p>
        </w:tc>
        <w:tc>
          <w:tcPr>
            <w:tcW w:w="1088" w:type="dxa"/>
            <w:vAlign w:val="center"/>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国控</w:t>
            </w:r>
          </w:p>
        </w:tc>
        <w:tc>
          <w:tcPr>
            <w:tcW w:w="956" w:type="dxa"/>
            <w:vAlign w:val="center"/>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0"/>
                <w:sz w:val="21"/>
                <w:szCs w:val="21"/>
              </w:rPr>
              <w:t>Ⅲ</w:t>
            </w:r>
          </w:p>
        </w:tc>
        <w:tc>
          <w:tcPr>
            <w:tcW w:w="962" w:type="dxa"/>
            <w:vAlign w:val="center"/>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0"/>
                <w:sz w:val="21"/>
                <w:szCs w:val="21"/>
              </w:rPr>
              <w:t>Ⅲ</w:t>
            </w:r>
          </w:p>
        </w:tc>
        <w:tc>
          <w:tcPr>
            <w:tcW w:w="1369" w:type="dxa"/>
            <w:vAlign w:val="center"/>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无变化</w:t>
            </w:r>
          </w:p>
        </w:tc>
        <w:tc>
          <w:tcPr>
            <w:tcW w:w="1888" w:type="dxa"/>
            <w:vAlign w:val="center"/>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8" w:type="dxa"/>
            <w:vMerge w:val="continue"/>
            <w:vAlign w:val="center"/>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p>
        </w:tc>
        <w:tc>
          <w:tcPr>
            <w:tcW w:w="1369" w:type="dxa"/>
            <w:vAlign w:val="center"/>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榆林镇鞍山屯（出境）</w:t>
            </w:r>
          </w:p>
        </w:tc>
        <w:tc>
          <w:tcPr>
            <w:tcW w:w="1088" w:type="dxa"/>
            <w:vAlign w:val="center"/>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国控</w:t>
            </w:r>
          </w:p>
        </w:tc>
        <w:tc>
          <w:tcPr>
            <w:tcW w:w="956" w:type="dxa"/>
            <w:vAlign w:val="center"/>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Ⅳ</w:t>
            </w:r>
          </w:p>
        </w:tc>
        <w:tc>
          <w:tcPr>
            <w:tcW w:w="962" w:type="dxa"/>
            <w:vAlign w:val="center"/>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Ⅲ</w:t>
            </w:r>
          </w:p>
        </w:tc>
        <w:tc>
          <w:tcPr>
            <w:tcW w:w="1369" w:type="dxa"/>
            <w:vAlign w:val="center"/>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变好</w:t>
            </w:r>
          </w:p>
        </w:tc>
        <w:tc>
          <w:tcPr>
            <w:tcW w:w="1888" w:type="dxa"/>
            <w:vAlign w:val="center"/>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8" w:type="dxa"/>
            <w:vAlign w:val="center"/>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肇兰新河</w:t>
            </w:r>
          </w:p>
        </w:tc>
        <w:tc>
          <w:tcPr>
            <w:tcW w:w="1369" w:type="dxa"/>
            <w:vAlign w:val="center"/>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肇东金山村</w:t>
            </w:r>
          </w:p>
        </w:tc>
        <w:tc>
          <w:tcPr>
            <w:tcW w:w="1088" w:type="dxa"/>
            <w:vAlign w:val="center"/>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国控</w:t>
            </w:r>
          </w:p>
        </w:tc>
        <w:tc>
          <w:tcPr>
            <w:tcW w:w="956" w:type="dxa"/>
            <w:vAlign w:val="center"/>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0"/>
                <w:sz w:val="21"/>
                <w:szCs w:val="21"/>
              </w:rPr>
              <w:t>Ⅴ</w:t>
            </w:r>
          </w:p>
        </w:tc>
        <w:tc>
          <w:tcPr>
            <w:tcW w:w="962" w:type="dxa"/>
            <w:vAlign w:val="center"/>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0"/>
                <w:sz w:val="21"/>
                <w:szCs w:val="21"/>
              </w:rPr>
              <w:t>劣Ⅴ</w:t>
            </w:r>
          </w:p>
        </w:tc>
        <w:tc>
          <w:tcPr>
            <w:tcW w:w="1369" w:type="dxa"/>
            <w:vAlign w:val="center"/>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无变化</w:t>
            </w:r>
          </w:p>
        </w:tc>
        <w:tc>
          <w:tcPr>
            <w:tcW w:w="1888" w:type="dxa"/>
            <w:vAlign w:val="center"/>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化学需氧（5.87）</w:t>
            </w:r>
          </w:p>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氨氮（3.24）</w:t>
            </w:r>
          </w:p>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高锰酸盐指数（1.63）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8" w:type="dxa"/>
            <w:vAlign w:val="center"/>
          </w:tcPr>
          <w:p>
            <w:pPr>
              <w:pStyle w:val="8"/>
              <w:widowControl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通肯河</w:t>
            </w:r>
          </w:p>
        </w:tc>
        <w:tc>
          <w:tcPr>
            <w:tcW w:w="1369" w:type="dxa"/>
            <w:vAlign w:val="center"/>
          </w:tcPr>
          <w:p>
            <w:pPr>
              <w:pStyle w:val="8"/>
              <w:widowControl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东方红水库</w:t>
            </w:r>
          </w:p>
        </w:tc>
        <w:tc>
          <w:tcPr>
            <w:tcW w:w="1088" w:type="dxa"/>
            <w:vAlign w:val="center"/>
          </w:tcPr>
          <w:p>
            <w:pPr>
              <w:pStyle w:val="8"/>
              <w:widowControl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国控</w:t>
            </w:r>
          </w:p>
        </w:tc>
        <w:tc>
          <w:tcPr>
            <w:tcW w:w="956" w:type="dxa"/>
            <w:vAlign w:val="center"/>
          </w:tcPr>
          <w:p>
            <w:pPr>
              <w:pStyle w:val="8"/>
              <w:widowControl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0"/>
                <w:sz w:val="21"/>
                <w:szCs w:val="21"/>
              </w:rPr>
              <w:t>Ⅲ</w:t>
            </w:r>
          </w:p>
        </w:tc>
        <w:tc>
          <w:tcPr>
            <w:tcW w:w="962" w:type="dxa"/>
            <w:vAlign w:val="center"/>
          </w:tcPr>
          <w:p>
            <w:pPr>
              <w:pStyle w:val="8"/>
              <w:widowControl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0"/>
                <w:sz w:val="21"/>
                <w:szCs w:val="21"/>
              </w:rPr>
              <w:t>Ⅴ</w:t>
            </w:r>
          </w:p>
        </w:tc>
        <w:tc>
          <w:tcPr>
            <w:tcW w:w="1369" w:type="dxa"/>
            <w:vAlign w:val="center"/>
          </w:tcPr>
          <w:p>
            <w:pPr>
              <w:pStyle w:val="8"/>
              <w:widowControl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无变化</w:t>
            </w:r>
          </w:p>
        </w:tc>
        <w:tc>
          <w:tcPr>
            <w:tcW w:w="1888" w:type="dxa"/>
            <w:vAlign w:val="center"/>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高锰酸盐指数（0.97）</w:t>
            </w:r>
          </w:p>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化学需氧量(0.59)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8" w:type="dxa"/>
            <w:vAlign w:val="center"/>
          </w:tcPr>
          <w:p>
            <w:pPr>
              <w:pStyle w:val="8"/>
              <w:widowControl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泥河</w:t>
            </w:r>
          </w:p>
        </w:tc>
        <w:tc>
          <w:tcPr>
            <w:tcW w:w="1369" w:type="dxa"/>
            <w:vAlign w:val="center"/>
          </w:tcPr>
          <w:p>
            <w:pPr>
              <w:pStyle w:val="8"/>
              <w:widowControl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泥河水库</w:t>
            </w:r>
          </w:p>
        </w:tc>
        <w:tc>
          <w:tcPr>
            <w:tcW w:w="1088" w:type="dxa"/>
            <w:vAlign w:val="center"/>
          </w:tcPr>
          <w:p>
            <w:pPr>
              <w:pStyle w:val="8"/>
              <w:widowControl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国控</w:t>
            </w:r>
          </w:p>
        </w:tc>
        <w:tc>
          <w:tcPr>
            <w:tcW w:w="956" w:type="dxa"/>
            <w:vAlign w:val="center"/>
          </w:tcPr>
          <w:p>
            <w:pPr>
              <w:pStyle w:val="8"/>
              <w:widowControl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0"/>
                <w:sz w:val="21"/>
                <w:szCs w:val="21"/>
              </w:rPr>
              <w:t>Ⅲ</w:t>
            </w:r>
          </w:p>
        </w:tc>
        <w:tc>
          <w:tcPr>
            <w:tcW w:w="962" w:type="dxa"/>
            <w:vAlign w:val="center"/>
          </w:tcPr>
          <w:p>
            <w:pPr>
              <w:pStyle w:val="8"/>
              <w:widowControl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Ⅳ</w:t>
            </w:r>
          </w:p>
        </w:tc>
        <w:tc>
          <w:tcPr>
            <w:tcW w:w="1369" w:type="dxa"/>
            <w:vAlign w:val="center"/>
          </w:tcPr>
          <w:p>
            <w:pPr>
              <w:pStyle w:val="8"/>
              <w:widowControl w:val="0"/>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明显变好</w:t>
            </w:r>
          </w:p>
        </w:tc>
        <w:tc>
          <w:tcPr>
            <w:tcW w:w="1888" w:type="dxa"/>
            <w:vAlign w:val="center"/>
          </w:tcPr>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化学需氧量(0.48)</w:t>
            </w:r>
          </w:p>
          <w:p>
            <w:pPr>
              <w:pStyle w:val="8"/>
              <w:widowControl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高锰酸盐指数（0.22）</w:t>
            </w:r>
          </w:p>
        </w:tc>
      </w:tr>
    </w:tbl>
    <w:p>
      <w:pPr>
        <w:pStyle w:val="8"/>
        <w:rPr>
          <w:rFonts w:hint="default" w:ascii="Times New Roman" w:hAnsi="Times New Roman" w:cs="Times New Roman" w:eastAsiaTheme="minorEastAsia"/>
          <w:color w:val="auto"/>
          <w:sz w:val="24"/>
          <w:szCs w:val="24"/>
          <w:lang w:val="en-US"/>
        </w:rPr>
      </w:pPr>
      <w:r>
        <w:rPr>
          <w:rFonts w:hint="default" w:ascii="Times New Roman" w:hAnsi="Times New Roman" w:cs="Times New Roman" w:eastAsiaTheme="minorEastAsia"/>
          <w:color w:val="auto"/>
          <w:sz w:val="24"/>
          <w:szCs w:val="24"/>
          <w:lang w:val="en-US"/>
        </w:rPr>
        <w:t>县域地表水共布设4个监测断面，其中庆安县、绥棱县每县监测地表水出、入境断面水质情况见下表4-2-5</w:t>
      </w:r>
    </w:p>
    <w:p>
      <w:pPr>
        <w:pStyle w:val="8"/>
        <w:ind w:firstLine="482"/>
        <w:jc w:val="center"/>
        <w:rPr>
          <w:rFonts w:hint="default" w:ascii="Times New Roman" w:hAnsi="Times New Roman" w:cs="Times New Roman" w:eastAsiaTheme="minorEastAsia"/>
          <w:b w:val="0"/>
          <w:bCs/>
          <w:color w:val="auto"/>
          <w:sz w:val="24"/>
          <w:szCs w:val="24"/>
          <w:lang w:val="en-US"/>
        </w:rPr>
      </w:pPr>
      <w:r>
        <w:rPr>
          <w:rFonts w:hint="default" w:ascii="Times New Roman" w:hAnsi="Times New Roman" w:cs="Times New Roman" w:eastAsiaTheme="minorEastAsia"/>
          <w:b w:val="0"/>
          <w:bCs/>
          <w:color w:val="auto"/>
          <w:sz w:val="24"/>
          <w:szCs w:val="24"/>
          <w:lang w:val="en-US"/>
        </w:rPr>
        <w:t>表4-</w:t>
      </w:r>
      <w:r>
        <w:rPr>
          <w:rFonts w:hint="default" w:ascii="Times New Roman" w:hAnsi="Times New Roman" w:cs="Times New Roman" w:eastAsiaTheme="minorEastAsia"/>
          <w:b w:val="0"/>
          <w:bCs/>
          <w:color w:val="auto"/>
          <w:sz w:val="24"/>
          <w:szCs w:val="24"/>
          <w:lang w:val="en-US" w:eastAsia="zh-CN"/>
        </w:rPr>
        <w:t>3</w:t>
      </w:r>
      <w:r>
        <w:rPr>
          <w:rFonts w:hint="default" w:ascii="Times New Roman" w:hAnsi="Times New Roman" w:cs="Times New Roman" w:eastAsiaTheme="minorEastAsia"/>
          <w:b w:val="0"/>
          <w:bCs/>
          <w:color w:val="auto"/>
          <w:sz w:val="24"/>
          <w:szCs w:val="24"/>
          <w:lang w:val="en-US"/>
        </w:rPr>
        <w:t>-</w:t>
      </w:r>
      <w:r>
        <w:rPr>
          <w:rFonts w:hint="default" w:ascii="Times New Roman" w:hAnsi="Times New Roman" w:cs="Times New Roman" w:eastAsiaTheme="minorEastAsia"/>
          <w:b w:val="0"/>
          <w:bCs/>
          <w:color w:val="auto"/>
          <w:sz w:val="24"/>
          <w:szCs w:val="24"/>
          <w:lang w:val="en-US" w:eastAsia="zh-CN"/>
        </w:rPr>
        <w:t>6</w:t>
      </w:r>
      <w:r>
        <w:rPr>
          <w:rFonts w:hint="default" w:ascii="Times New Roman" w:hAnsi="Times New Roman" w:cs="Times New Roman" w:eastAsiaTheme="minorEastAsia"/>
          <w:b w:val="0"/>
          <w:bCs/>
          <w:color w:val="auto"/>
          <w:sz w:val="24"/>
          <w:szCs w:val="24"/>
          <w:lang w:val="en-US"/>
        </w:rPr>
        <w:t xml:space="preserve"> 县域地表水断面水质监测结果</w:t>
      </w:r>
    </w:p>
    <w:tbl>
      <w:tblPr>
        <w:tblStyle w:val="91"/>
        <w:tblW w:w="91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9"/>
        <w:gridCol w:w="2693"/>
        <w:gridCol w:w="1276"/>
        <w:gridCol w:w="1134"/>
        <w:gridCol w:w="1134"/>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exact"/>
          <w:jc w:val="center"/>
        </w:trPr>
        <w:tc>
          <w:tcPr>
            <w:tcW w:w="1759" w:type="dxa"/>
            <w:tcBorders>
              <w:left w:val="nil"/>
            </w:tcBorders>
            <w:vAlign w:val="center"/>
          </w:tcPr>
          <w:p>
            <w:pPr>
              <w:pStyle w:val="8"/>
              <w:ind w:firstLine="420"/>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rPr>
              <w:t>县（河流）</w:t>
            </w:r>
          </w:p>
        </w:tc>
        <w:tc>
          <w:tcPr>
            <w:tcW w:w="2693" w:type="dxa"/>
            <w:vAlign w:val="center"/>
          </w:tcPr>
          <w:p>
            <w:pPr>
              <w:pStyle w:val="8"/>
              <w:ind w:firstLine="420"/>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rPr>
              <w:t>断面</w:t>
            </w:r>
          </w:p>
        </w:tc>
        <w:tc>
          <w:tcPr>
            <w:tcW w:w="1276" w:type="dxa"/>
            <w:vAlign w:val="center"/>
          </w:tcPr>
          <w:p>
            <w:pPr>
              <w:pStyle w:val="8"/>
              <w:ind w:firstLine="0" w:firstLineChars="0"/>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rPr>
              <w:t>一季度</w:t>
            </w:r>
          </w:p>
        </w:tc>
        <w:tc>
          <w:tcPr>
            <w:tcW w:w="1134" w:type="dxa"/>
            <w:vAlign w:val="center"/>
          </w:tcPr>
          <w:p>
            <w:pPr>
              <w:pStyle w:val="8"/>
              <w:ind w:firstLine="0" w:firstLineChars="0"/>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rPr>
              <w:t>二季度</w:t>
            </w:r>
          </w:p>
        </w:tc>
        <w:tc>
          <w:tcPr>
            <w:tcW w:w="1134" w:type="dxa"/>
            <w:vAlign w:val="center"/>
          </w:tcPr>
          <w:p>
            <w:pPr>
              <w:pStyle w:val="8"/>
              <w:ind w:firstLine="0" w:firstLineChars="0"/>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rPr>
              <w:t>三季度</w:t>
            </w:r>
          </w:p>
        </w:tc>
        <w:tc>
          <w:tcPr>
            <w:tcW w:w="1190" w:type="dxa"/>
            <w:tcBorders>
              <w:right w:val="nil"/>
            </w:tcBorders>
            <w:vAlign w:val="center"/>
          </w:tcPr>
          <w:p>
            <w:pPr>
              <w:pStyle w:val="8"/>
              <w:ind w:firstLine="0" w:firstLineChars="0"/>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rPr>
              <w:t>四季度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759" w:type="dxa"/>
            <w:vMerge w:val="restart"/>
            <w:tcBorders>
              <w:left w:val="nil"/>
            </w:tcBorders>
            <w:vAlign w:val="center"/>
          </w:tcPr>
          <w:p>
            <w:pPr>
              <w:pStyle w:val="8"/>
              <w:ind w:firstLine="420"/>
              <w:jc w:val="both"/>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rPr>
              <w:t>庆安</w:t>
            </w:r>
          </w:p>
          <w:p>
            <w:pPr>
              <w:pStyle w:val="8"/>
              <w:ind w:firstLine="0" w:firstLineChars="0"/>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rPr>
              <w:t>（呼兰河）</w:t>
            </w:r>
          </w:p>
        </w:tc>
        <w:tc>
          <w:tcPr>
            <w:tcW w:w="2693" w:type="dxa"/>
            <w:vAlign w:val="center"/>
          </w:tcPr>
          <w:p>
            <w:pPr>
              <w:pStyle w:val="8"/>
              <w:ind w:firstLine="420"/>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rPr>
              <w:t>双河渠首（入境）</w:t>
            </w:r>
          </w:p>
        </w:tc>
        <w:tc>
          <w:tcPr>
            <w:tcW w:w="1276" w:type="dxa"/>
            <w:vAlign w:val="center"/>
          </w:tcPr>
          <w:p>
            <w:pPr>
              <w:pStyle w:val="8"/>
              <w:ind w:firstLine="420"/>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rPr>
              <w:t>Ⅲ</w:t>
            </w:r>
          </w:p>
        </w:tc>
        <w:tc>
          <w:tcPr>
            <w:tcW w:w="1134" w:type="dxa"/>
            <w:vAlign w:val="center"/>
          </w:tcPr>
          <w:p>
            <w:pPr>
              <w:pStyle w:val="8"/>
              <w:ind w:firstLine="420"/>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rPr>
              <w:t>Ⅲ</w:t>
            </w:r>
          </w:p>
        </w:tc>
        <w:tc>
          <w:tcPr>
            <w:tcW w:w="1134" w:type="dxa"/>
            <w:vAlign w:val="center"/>
          </w:tcPr>
          <w:p>
            <w:pPr>
              <w:pStyle w:val="8"/>
              <w:ind w:firstLine="420"/>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rPr>
              <w:t>Ⅲ</w:t>
            </w:r>
          </w:p>
        </w:tc>
        <w:tc>
          <w:tcPr>
            <w:tcW w:w="1190" w:type="dxa"/>
            <w:tcBorders>
              <w:right w:val="nil"/>
            </w:tcBorders>
            <w:vAlign w:val="center"/>
          </w:tcPr>
          <w:p>
            <w:pPr>
              <w:pStyle w:val="8"/>
              <w:ind w:firstLine="420"/>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759" w:type="dxa"/>
            <w:vMerge w:val="continue"/>
            <w:tcBorders>
              <w:left w:val="nil"/>
            </w:tcBorders>
            <w:vAlign w:val="center"/>
          </w:tcPr>
          <w:p>
            <w:pPr>
              <w:pStyle w:val="8"/>
              <w:ind w:firstLine="420"/>
              <w:jc w:val="center"/>
              <w:rPr>
                <w:rFonts w:hint="default" w:ascii="Times New Roman" w:hAnsi="Times New Roman" w:cs="Times New Roman" w:eastAsiaTheme="minorEastAsia"/>
                <w:color w:val="auto"/>
                <w:sz w:val="21"/>
                <w:szCs w:val="21"/>
                <w:lang w:val="en-US"/>
              </w:rPr>
            </w:pPr>
          </w:p>
        </w:tc>
        <w:tc>
          <w:tcPr>
            <w:tcW w:w="2693" w:type="dxa"/>
            <w:vAlign w:val="center"/>
          </w:tcPr>
          <w:p>
            <w:pPr>
              <w:pStyle w:val="8"/>
              <w:ind w:firstLine="420"/>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rPr>
              <w:t>绥庆桥（出境）</w:t>
            </w:r>
          </w:p>
        </w:tc>
        <w:tc>
          <w:tcPr>
            <w:tcW w:w="1276" w:type="dxa"/>
            <w:vAlign w:val="center"/>
          </w:tcPr>
          <w:p>
            <w:pPr>
              <w:pStyle w:val="8"/>
              <w:ind w:firstLine="420"/>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rPr>
              <w:t>Ⅲ</w:t>
            </w:r>
          </w:p>
        </w:tc>
        <w:tc>
          <w:tcPr>
            <w:tcW w:w="1134" w:type="dxa"/>
            <w:vAlign w:val="center"/>
          </w:tcPr>
          <w:p>
            <w:pPr>
              <w:pStyle w:val="8"/>
              <w:ind w:firstLine="420"/>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rPr>
              <w:t>Ⅲ</w:t>
            </w:r>
          </w:p>
        </w:tc>
        <w:tc>
          <w:tcPr>
            <w:tcW w:w="1134" w:type="dxa"/>
            <w:vAlign w:val="center"/>
          </w:tcPr>
          <w:p>
            <w:pPr>
              <w:pStyle w:val="8"/>
              <w:ind w:firstLine="420"/>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rPr>
              <w:t>Ⅲ</w:t>
            </w:r>
          </w:p>
        </w:tc>
        <w:tc>
          <w:tcPr>
            <w:tcW w:w="1190" w:type="dxa"/>
            <w:tcBorders>
              <w:right w:val="nil"/>
            </w:tcBorders>
            <w:vAlign w:val="center"/>
          </w:tcPr>
          <w:p>
            <w:pPr>
              <w:pStyle w:val="8"/>
              <w:ind w:firstLine="420"/>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759" w:type="dxa"/>
            <w:vMerge w:val="restart"/>
            <w:tcBorders>
              <w:left w:val="nil"/>
            </w:tcBorders>
            <w:vAlign w:val="center"/>
          </w:tcPr>
          <w:p>
            <w:pPr>
              <w:pStyle w:val="8"/>
              <w:ind w:firstLine="420"/>
              <w:jc w:val="both"/>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rPr>
              <w:t>绥棱</w:t>
            </w:r>
          </w:p>
          <w:p>
            <w:pPr>
              <w:pStyle w:val="8"/>
              <w:ind w:firstLine="0" w:firstLineChars="0"/>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rPr>
              <w:t>（努敏河）</w:t>
            </w:r>
          </w:p>
        </w:tc>
        <w:tc>
          <w:tcPr>
            <w:tcW w:w="2693" w:type="dxa"/>
            <w:vAlign w:val="center"/>
          </w:tcPr>
          <w:p>
            <w:pPr>
              <w:pStyle w:val="8"/>
              <w:ind w:firstLine="420"/>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rPr>
              <w:t>阁山桥（入境）</w:t>
            </w:r>
          </w:p>
        </w:tc>
        <w:tc>
          <w:tcPr>
            <w:tcW w:w="1276" w:type="dxa"/>
            <w:vAlign w:val="center"/>
          </w:tcPr>
          <w:p>
            <w:pPr>
              <w:pStyle w:val="8"/>
              <w:ind w:firstLine="420"/>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rPr>
              <w:t>Ⅲ</w:t>
            </w:r>
          </w:p>
        </w:tc>
        <w:tc>
          <w:tcPr>
            <w:tcW w:w="1134" w:type="dxa"/>
            <w:vAlign w:val="center"/>
          </w:tcPr>
          <w:p>
            <w:pPr>
              <w:pStyle w:val="8"/>
              <w:ind w:firstLine="420"/>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rPr>
              <w:t>Ⅲ</w:t>
            </w:r>
          </w:p>
        </w:tc>
        <w:tc>
          <w:tcPr>
            <w:tcW w:w="1134" w:type="dxa"/>
            <w:vAlign w:val="center"/>
          </w:tcPr>
          <w:p>
            <w:pPr>
              <w:pStyle w:val="8"/>
              <w:ind w:firstLine="420"/>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rPr>
              <w:t>Ⅲ</w:t>
            </w:r>
          </w:p>
        </w:tc>
        <w:tc>
          <w:tcPr>
            <w:tcW w:w="1190" w:type="dxa"/>
            <w:tcBorders>
              <w:right w:val="nil"/>
            </w:tcBorders>
            <w:vAlign w:val="center"/>
          </w:tcPr>
          <w:p>
            <w:pPr>
              <w:pStyle w:val="8"/>
              <w:ind w:firstLine="420"/>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759" w:type="dxa"/>
            <w:vMerge w:val="continue"/>
            <w:tcBorders>
              <w:left w:val="nil"/>
            </w:tcBorders>
            <w:vAlign w:val="center"/>
          </w:tcPr>
          <w:p>
            <w:pPr>
              <w:pStyle w:val="8"/>
              <w:ind w:firstLine="420"/>
              <w:jc w:val="center"/>
              <w:rPr>
                <w:rFonts w:hint="default" w:ascii="Times New Roman" w:hAnsi="Times New Roman" w:cs="Times New Roman" w:eastAsiaTheme="minorEastAsia"/>
                <w:color w:val="auto"/>
                <w:sz w:val="21"/>
                <w:szCs w:val="21"/>
                <w:lang w:val="en-US"/>
              </w:rPr>
            </w:pPr>
          </w:p>
        </w:tc>
        <w:tc>
          <w:tcPr>
            <w:tcW w:w="2693" w:type="dxa"/>
            <w:vAlign w:val="center"/>
          </w:tcPr>
          <w:p>
            <w:pPr>
              <w:pStyle w:val="8"/>
              <w:ind w:firstLine="420"/>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rPr>
              <w:t>上集桥（出境）</w:t>
            </w:r>
          </w:p>
        </w:tc>
        <w:tc>
          <w:tcPr>
            <w:tcW w:w="1276" w:type="dxa"/>
            <w:vAlign w:val="center"/>
          </w:tcPr>
          <w:p>
            <w:pPr>
              <w:pStyle w:val="8"/>
              <w:ind w:firstLine="420"/>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rPr>
              <w:t>Ⅲ</w:t>
            </w:r>
          </w:p>
        </w:tc>
        <w:tc>
          <w:tcPr>
            <w:tcW w:w="1134" w:type="dxa"/>
            <w:vAlign w:val="center"/>
          </w:tcPr>
          <w:p>
            <w:pPr>
              <w:pStyle w:val="8"/>
              <w:ind w:firstLine="420"/>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rPr>
              <w:t>Ⅲ</w:t>
            </w:r>
          </w:p>
        </w:tc>
        <w:tc>
          <w:tcPr>
            <w:tcW w:w="1134" w:type="dxa"/>
            <w:vAlign w:val="center"/>
          </w:tcPr>
          <w:p>
            <w:pPr>
              <w:pStyle w:val="8"/>
              <w:ind w:firstLine="420"/>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rPr>
              <w:t>Ⅲ</w:t>
            </w:r>
          </w:p>
        </w:tc>
        <w:tc>
          <w:tcPr>
            <w:tcW w:w="1190" w:type="dxa"/>
            <w:tcBorders>
              <w:right w:val="nil"/>
            </w:tcBorders>
            <w:vAlign w:val="center"/>
          </w:tcPr>
          <w:p>
            <w:pPr>
              <w:pStyle w:val="8"/>
              <w:ind w:firstLine="420"/>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rPr>
              <w:t>Ⅲ</w:t>
            </w:r>
          </w:p>
        </w:tc>
      </w:tr>
    </w:tbl>
    <w:p>
      <w:pPr>
        <w:pStyle w:val="8"/>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全市地表水国控断面总体水质状况为中度污染。</w:t>
      </w:r>
    </w:p>
    <w:p>
      <w:pPr>
        <w:pStyle w:val="8"/>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主要污染指标为化学需氧量、高锰酸盐指数和氨氮。</w:t>
      </w:r>
    </w:p>
    <w:p>
      <w:pPr>
        <w:pStyle w:val="8"/>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40%的地表水断面能够达到其功能区水质目标要求，同比无变化。</w:t>
      </w:r>
    </w:p>
    <w:p>
      <w:pPr>
        <w:pStyle w:val="8"/>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地表水Ⅰ-Ⅲ类水质比例无变化，肇东金山村、泥河水库、东方红水库三个断面未达到其Ⅲ类水质目标要求。</w:t>
      </w:r>
    </w:p>
    <w:p>
      <w:pPr>
        <w:ind w:firstLine="56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距离本项目最近地表水体为东湖水库，位于本项目东侧8km，</w:t>
      </w:r>
      <w:r>
        <w:rPr>
          <w:rFonts w:hint="default" w:ascii="Times New Roman" w:hAnsi="Times New Roman" w:cs="Times New Roman" w:eastAsiaTheme="minorEastAsia"/>
          <w:color w:val="auto"/>
          <w:sz w:val="24"/>
          <w:szCs w:val="24"/>
          <w:highlight w:val="none"/>
          <w:shd w:val="clear" w:color="auto" w:fill="FFFFFF"/>
        </w:rPr>
        <w:t>东湖水库(N46°33′,E125°32′),位于黑龙江省松嫩平原中部安达市境内,为古松辽大湖淤积后的残遗子湖,后经引嫩工程将嫩江水引入湖中,并在下游建闸,四周修坝,为引嫩干渠水库。面积2700hm</w:t>
      </w:r>
      <w:r>
        <w:rPr>
          <w:rFonts w:hint="default" w:ascii="Times New Roman" w:hAnsi="Times New Roman" w:cs="Times New Roman" w:eastAsiaTheme="minorEastAsia"/>
          <w:color w:val="auto"/>
          <w:sz w:val="24"/>
          <w:szCs w:val="24"/>
          <w:highlight w:val="none"/>
          <w:shd w:val="clear" w:color="auto" w:fill="FFFFFF"/>
          <w:vertAlign w:val="superscript"/>
        </w:rPr>
        <w:t>2,</w:t>
      </w:r>
      <w:r>
        <w:rPr>
          <w:rFonts w:hint="default" w:ascii="Times New Roman" w:hAnsi="Times New Roman" w:cs="Times New Roman" w:eastAsiaTheme="minorEastAsia"/>
          <w:color w:val="auto"/>
          <w:sz w:val="24"/>
          <w:szCs w:val="24"/>
          <w:highlight w:val="none"/>
          <w:shd w:val="clear" w:color="auto" w:fill="FFFFFF"/>
        </w:rPr>
        <w:t>平均水深1.8m(最大水深2.7m),年平均气温3.5℃,最高气温35℃,最低气温-38℃,无霜期130d,冬季冰厚90—120cm。日照时数2570h,年降水量410mm,年蒸发量1626mm。水体为弱碱性,pH值8.0,透明度16cm,总碱度4.8×10-4mol/dm3,总硬度3.5×10-4mol/dm3,总氮2.693mg/L,总磷0.125mg/L。东湖水库为寒温带大陆季风气候,库区周围地势平缓,均为耕地或草原,水面开阔,水位较浅,底质平坦,无外泻河流,水生植被丰富。土壤以黑钙土、草甸土为主，东湖水库</w:t>
      </w:r>
      <w:r>
        <w:rPr>
          <w:rFonts w:hint="default" w:ascii="Times New Roman" w:hAnsi="Times New Roman" w:cs="Times New Roman" w:eastAsiaTheme="minorEastAsia"/>
          <w:color w:val="auto"/>
          <w:sz w:val="24"/>
          <w:szCs w:val="24"/>
          <w:highlight w:val="none"/>
          <w:shd w:val="clear" w:color="auto" w:fill="FFFFFF"/>
          <w:lang w:eastAsia="zh-CN"/>
        </w:rPr>
        <w:t>中总氮指标不</w:t>
      </w:r>
      <w:r>
        <w:rPr>
          <w:rFonts w:hint="default" w:ascii="Times New Roman" w:hAnsi="Times New Roman" w:cs="Times New Roman" w:eastAsiaTheme="minorEastAsia"/>
          <w:color w:val="auto"/>
          <w:sz w:val="24"/>
          <w:szCs w:val="24"/>
          <w:highlight w:val="none"/>
        </w:rPr>
        <w:t>满足《地表水环境质量标准》（GB3838-2002）Ⅴ类标准</w:t>
      </w:r>
      <w:r>
        <w:rPr>
          <w:rFonts w:hint="default" w:ascii="Times New Roman" w:hAnsi="Times New Roman" w:cs="Times New Roman" w:eastAsiaTheme="minorEastAsia"/>
          <w:color w:val="auto"/>
          <w:sz w:val="24"/>
          <w:szCs w:val="24"/>
          <w:highlight w:val="none"/>
          <w:lang w:eastAsia="zh-CN"/>
        </w:rPr>
        <w:t>，其余指标</w:t>
      </w:r>
      <w:r>
        <w:rPr>
          <w:rFonts w:hint="default" w:ascii="Times New Roman" w:hAnsi="Times New Roman" w:cs="Times New Roman" w:eastAsiaTheme="minorEastAsia"/>
          <w:color w:val="auto"/>
          <w:sz w:val="24"/>
          <w:szCs w:val="24"/>
          <w:highlight w:val="none"/>
        </w:rPr>
        <w:t>满足《地表水环境质量标准》（GB3838-2002）Ⅴ类标准。</w:t>
      </w:r>
    </w:p>
    <w:p>
      <w:pPr>
        <w:ind w:firstLine="0" w:firstLineChars="0"/>
        <w:outlineLvl w:val="2"/>
        <w:rPr>
          <w:rFonts w:hint="default" w:ascii="Times New Roman" w:hAnsi="Times New Roman" w:cs="Times New Roman" w:eastAsiaTheme="minorEastAsia"/>
          <w:b/>
          <w:color w:val="auto"/>
          <w:sz w:val="24"/>
          <w:szCs w:val="24"/>
          <w:highlight w:val="none"/>
        </w:rPr>
      </w:pPr>
      <w:r>
        <w:rPr>
          <w:rFonts w:hint="default" w:ascii="Times New Roman" w:hAnsi="Times New Roman" w:cs="Times New Roman" w:eastAsiaTheme="minorEastAsia"/>
          <w:b/>
          <w:color w:val="auto"/>
          <w:sz w:val="24"/>
          <w:szCs w:val="24"/>
          <w:highlight w:val="none"/>
        </w:rPr>
        <w:t>4.3.3 地下水环境质量现状评价</w:t>
      </w:r>
    </w:p>
    <w:p>
      <w:pPr>
        <w:ind w:firstLine="560"/>
        <w:rPr>
          <w:rFonts w:hint="default" w:ascii="Times New Roman" w:hAnsi="Times New Roman" w:cs="Times New Roman" w:eastAsiaTheme="minorEastAsia"/>
          <w:color w:val="auto"/>
          <w:sz w:val="24"/>
          <w:szCs w:val="22"/>
        </w:rPr>
      </w:pPr>
      <w:r>
        <w:rPr>
          <w:rFonts w:hint="default" w:ascii="Times New Roman" w:hAnsi="Times New Roman" w:cs="Times New Roman" w:eastAsiaTheme="minorEastAsia"/>
          <w:color w:val="auto"/>
          <w:sz w:val="24"/>
          <w:szCs w:val="22"/>
        </w:rPr>
        <w:t>本项目地下水环境质量现状数据委托</w:t>
      </w:r>
      <w:r>
        <w:rPr>
          <w:rFonts w:hint="default" w:ascii="Times New Roman" w:hAnsi="Times New Roman" w:cs="Times New Roman" w:eastAsiaTheme="minorEastAsia"/>
          <w:snapToGrid w:val="0"/>
          <w:color w:val="auto"/>
          <w:kern w:val="0"/>
          <w:sz w:val="24"/>
          <w:szCs w:val="24"/>
        </w:rPr>
        <w:t>大庆中环评价检测有限公司</w:t>
      </w:r>
      <w:r>
        <w:rPr>
          <w:rFonts w:hint="default" w:ascii="Times New Roman" w:hAnsi="Times New Roman" w:cs="Times New Roman" w:eastAsiaTheme="minorEastAsia"/>
          <w:color w:val="auto"/>
          <w:sz w:val="24"/>
          <w:szCs w:val="22"/>
        </w:rPr>
        <w:t>于2021年</w:t>
      </w:r>
      <w:r>
        <w:rPr>
          <w:rFonts w:hint="default" w:ascii="Times New Roman" w:hAnsi="Times New Roman" w:cs="Times New Roman" w:eastAsiaTheme="minorEastAsia"/>
          <w:color w:val="auto"/>
          <w:sz w:val="24"/>
          <w:szCs w:val="22"/>
          <w:lang w:val="en-US" w:eastAsia="zh-CN"/>
        </w:rPr>
        <w:t>10</w:t>
      </w:r>
      <w:r>
        <w:rPr>
          <w:rFonts w:hint="default" w:ascii="Times New Roman" w:hAnsi="Times New Roman" w:cs="Times New Roman" w:eastAsiaTheme="minorEastAsia"/>
          <w:color w:val="auto"/>
          <w:sz w:val="24"/>
          <w:szCs w:val="22"/>
        </w:rPr>
        <w:t>月</w:t>
      </w:r>
      <w:r>
        <w:rPr>
          <w:rFonts w:hint="default" w:ascii="Times New Roman" w:hAnsi="Times New Roman" w:cs="Times New Roman" w:eastAsiaTheme="minorEastAsia"/>
          <w:color w:val="auto"/>
          <w:sz w:val="24"/>
          <w:szCs w:val="22"/>
          <w:lang w:val="en-US" w:eastAsia="zh-CN"/>
        </w:rPr>
        <w:t>29</w:t>
      </w:r>
      <w:r>
        <w:rPr>
          <w:rFonts w:hint="default" w:ascii="Times New Roman" w:hAnsi="Times New Roman" w:cs="Times New Roman" w:eastAsiaTheme="minorEastAsia"/>
          <w:color w:val="auto"/>
          <w:sz w:val="24"/>
          <w:szCs w:val="22"/>
        </w:rPr>
        <w:t>日进行监测。</w:t>
      </w:r>
    </w:p>
    <w:p>
      <w:pPr>
        <w:ind w:firstLine="0" w:firstLineChars="0"/>
        <w:outlineLvl w:val="3"/>
        <w:rPr>
          <w:rFonts w:hint="default" w:ascii="Times New Roman" w:hAnsi="Times New Roman" w:cs="Times New Roman" w:eastAsiaTheme="minorEastAsia"/>
          <w:color w:val="000000" w:themeColor="text1"/>
          <w:sz w:val="24"/>
          <w:szCs w:val="22"/>
          <w14:textFill>
            <w14:solidFill>
              <w14:schemeClr w14:val="tx1"/>
            </w14:solidFill>
          </w14:textFill>
        </w:rPr>
      </w:pPr>
      <w:bookmarkStart w:id="136" w:name="_Toc534561191"/>
      <w:r>
        <w:rPr>
          <w:rFonts w:hint="default" w:ascii="Times New Roman" w:hAnsi="Times New Roman" w:cs="Times New Roman" w:eastAsiaTheme="minorEastAsia"/>
          <w:color w:val="000000" w:themeColor="text1"/>
          <w:sz w:val="24"/>
          <w:szCs w:val="22"/>
          <w14:textFill>
            <w14:solidFill>
              <w14:schemeClr w14:val="tx1"/>
            </w14:solidFill>
          </w14:textFill>
        </w:rPr>
        <w:t>4.3.3.1 地下水环境现状监测</w:t>
      </w:r>
      <w:bookmarkEnd w:id="136"/>
    </w:p>
    <w:p>
      <w:pPr>
        <w:ind w:firstLine="560"/>
        <w:rPr>
          <w:rFonts w:hint="default" w:ascii="Times New Roman" w:hAnsi="Times New Roman" w:cs="Times New Roman" w:eastAsiaTheme="minorEastAsia"/>
          <w:color w:val="auto"/>
          <w:sz w:val="24"/>
          <w:szCs w:val="22"/>
          <w:highlight w:val="none"/>
        </w:rPr>
      </w:pPr>
      <w:bookmarkStart w:id="137" w:name="_Toc7129"/>
      <w:bookmarkStart w:id="138" w:name="_Toc294357674"/>
      <w:bookmarkStart w:id="139" w:name="_Toc343255176"/>
      <w:bookmarkStart w:id="140" w:name="_Toc344376178"/>
      <w:r>
        <w:rPr>
          <w:rFonts w:hint="default" w:ascii="Times New Roman" w:hAnsi="Times New Roman" w:cs="Times New Roman" w:eastAsiaTheme="minorEastAsia"/>
          <w:color w:val="auto"/>
          <w:sz w:val="24"/>
          <w:szCs w:val="22"/>
          <w:highlight w:val="none"/>
        </w:rPr>
        <w:t>（1）监测点布设</w:t>
      </w:r>
      <w:bookmarkEnd w:id="137"/>
      <w:bookmarkEnd w:id="138"/>
    </w:p>
    <w:p>
      <w:pPr>
        <w:widowControl w:val="0"/>
        <w:adjustRightInd/>
        <w:snapToGrid/>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调查评价区内设置4个地下水水质监测点（潜水层3个，承压水层1个），8个地下水水位监测点。监测点概况见表4-3-</w:t>
      </w:r>
      <w:r>
        <w:rPr>
          <w:rFonts w:hint="default" w:ascii="Times New Roman" w:hAnsi="Times New Roman" w:cs="Times New Roman" w:eastAsiaTheme="minorEastAsia"/>
          <w:color w:val="auto"/>
          <w:sz w:val="24"/>
          <w:szCs w:val="22"/>
          <w:highlight w:val="none"/>
          <w:lang w:val="en-US" w:eastAsia="zh-CN"/>
        </w:rPr>
        <w:t>7</w:t>
      </w:r>
      <w:r>
        <w:rPr>
          <w:rFonts w:hint="default" w:ascii="Times New Roman" w:hAnsi="Times New Roman" w:cs="Times New Roman" w:eastAsiaTheme="minorEastAsia"/>
          <w:color w:val="auto"/>
          <w:sz w:val="24"/>
          <w:szCs w:val="22"/>
          <w:highlight w:val="none"/>
        </w:rPr>
        <w:t>，监测点位置见图4-3-</w:t>
      </w:r>
      <w:r>
        <w:rPr>
          <w:rFonts w:hint="default" w:ascii="Times New Roman" w:hAnsi="Times New Roman" w:cs="Times New Roman" w:eastAsiaTheme="minorEastAsia"/>
          <w:color w:val="auto"/>
          <w:sz w:val="24"/>
          <w:szCs w:val="22"/>
          <w:highlight w:val="none"/>
          <w:lang w:val="en-US" w:eastAsia="zh-CN"/>
        </w:rPr>
        <w:t>1</w:t>
      </w:r>
      <w:r>
        <w:rPr>
          <w:rFonts w:hint="default" w:ascii="Times New Roman" w:hAnsi="Times New Roman" w:cs="Times New Roman" w:eastAsiaTheme="minorEastAsia"/>
          <w:color w:val="auto"/>
          <w:sz w:val="24"/>
          <w:szCs w:val="22"/>
          <w:highlight w:val="none"/>
        </w:rPr>
        <w:t>。</w:t>
      </w:r>
    </w:p>
    <w:p>
      <w:pPr>
        <w:widowControl w:val="0"/>
        <w:adjustRightInd/>
        <w:snapToGrid/>
        <w:ind w:firstLine="0" w:firstLineChars="0"/>
        <w:jc w:val="center"/>
        <w:rPr>
          <w:rFonts w:hint="default" w:ascii="Times New Roman" w:hAnsi="Times New Roman" w:cs="Times New Roman" w:eastAsiaTheme="minorEastAsia"/>
          <w:bCs/>
          <w:color w:val="auto"/>
          <w:sz w:val="24"/>
          <w:highlight w:val="none"/>
        </w:rPr>
      </w:pPr>
      <w:r>
        <w:rPr>
          <w:rFonts w:hint="default" w:ascii="Times New Roman" w:hAnsi="Times New Roman" w:cs="Times New Roman" w:eastAsiaTheme="minorEastAsia"/>
          <w:bCs/>
          <w:color w:val="auto"/>
          <w:sz w:val="24"/>
          <w:highlight w:val="none"/>
        </w:rPr>
        <w:t>表4-3-</w:t>
      </w:r>
      <w:r>
        <w:rPr>
          <w:rFonts w:hint="default" w:ascii="Times New Roman" w:hAnsi="Times New Roman" w:cs="Times New Roman" w:eastAsiaTheme="minorEastAsia"/>
          <w:bCs/>
          <w:color w:val="auto"/>
          <w:sz w:val="24"/>
          <w:highlight w:val="none"/>
          <w:lang w:val="en-US" w:eastAsia="zh-CN"/>
        </w:rPr>
        <w:t>7</w:t>
      </w:r>
      <w:r>
        <w:rPr>
          <w:rFonts w:hint="default" w:ascii="Times New Roman" w:hAnsi="Times New Roman" w:cs="Times New Roman" w:eastAsiaTheme="minorEastAsia"/>
          <w:bCs/>
          <w:color w:val="auto"/>
          <w:sz w:val="24"/>
          <w:highlight w:val="none"/>
        </w:rPr>
        <w:t xml:space="preserve"> 地下水监测点概况表</w:t>
      </w:r>
    </w:p>
    <w:tbl>
      <w:tblPr>
        <w:tblStyle w:val="9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08"/>
        <w:gridCol w:w="1158"/>
        <w:gridCol w:w="870"/>
        <w:gridCol w:w="1019"/>
        <w:gridCol w:w="1597"/>
        <w:gridCol w:w="1162"/>
        <w:gridCol w:w="728"/>
        <w:gridCol w:w="913"/>
        <w:gridCol w:w="5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41" w:hRule="atLeast"/>
          <w:jc w:val="center"/>
        </w:trPr>
        <w:tc>
          <w:tcPr>
            <w:tcW w:w="355" w:type="pct"/>
            <w:vMerge w:val="restar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序号</w:t>
            </w:r>
          </w:p>
        </w:tc>
        <w:tc>
          <w:tcPr>
            <w:tcW w:w="676" w:type="pct"/>
            <w:vMerge w:val="restart"/>
            <w:tcBorders>
              <w:right w:val="single" w:color="auto" w:sz="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位置</w:t>
            </w:r>
          </w:p>
        </w:tc>
        <w:tc>
          <w:tcPr>
            <w:tcW w:w="508"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井深</w:t>
            </w:r>
          </w:p>
        </w:tc>
        <w:tc>
          <w:tcPr>
            <w:tcW w:w="595" w:type="pct"/>
            <w:tcBorders>
              <w:right w:val="single" w:color="auto" w:sz="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水位埋深</w:t>
            </w:r>
          </w:p>
        </w:tc>
        <w:tc>
          <w:tcPr>
            <w:tcW w:w="932" w:type="pct"/>
            <w:vMerge w:val="restar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坐标（°）</w:t>
            </w:r>
          </w:p>
        </w:tc>
        <w:tc>
          <w:tcPr>
            <w:tcW w:w="678" w:type="pct"/>
            <w:vMerge w:val="restart"/>
            <w:tcBorders>
              <w:right w:val="single" w:color="auto" w:sz="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调查功能</w:t>
            </w:r>
          </w:p>
        </w:tc>
        <w:tc>
          <w:tcPr>
            <w:tcW w:w="425" w:type="pct"/>
            <w:vMerge w:val="restart"/>
            <w:tcBorders>
              <w:left w:val="single" w:color="auto" w:sz="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水层</w:t>
            </w:r>
          </w:p>
        </w:tc>
        <w:tc>
          <w:tcPr>
            <w:tcW w:w="533" w:type="pct"/>
            <w:vMerge w:val="restar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距离（m）</w:t>
            </w:r>
          </w:p>
        </w:tc>
        <w:tc>
          <w:tcPr>
            <w:tcW w:w="294" w:type="pct"/>
            <w:vMerge w:val="restar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方位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5" w:hRule="atLeast"/>
          <w:jc w:val="center"/>
        </w:trPr>
        <w:tc>
          <w:tcPr>
            <w:tcW w:w="355" w:type="pct"/>
            <w:vMerge w:val="continue"/>
            <w:vAlign w:val="center"/>
          </w:tcPr>
          <w:p>
            <w:pPr>
              <w:pStyle w:val="666"/>
              <w:rPr>
                <w:rFonts w:hint="default" w:ascii="Times New Roman" w:hAnsi="Times New Roman" w:cs="Times New Roman" w:eastAsiaTheme="minorEastAsia"/>
                <w:color w:val="auto"/>
                <w:highlight w:val="none"/>
              </w:rPr>
            </w:pPr>
          </w:p>
        </w:tc>
        <w:tc>
          <w:tcPr>
            <w:tcW w:w="676" w:type="pct"/>
            <w:vMerge w:val="continue"/>
            <w:tcBorders>
              <w:right w:val="single" w:color="auto" w:sz="2" w:space="0"/>
            </w:tcBorders>
            <w:vAlign w:val="center"/>
          </w:tcPr>
          <w:p>
            <w:pPr>
              <w:pStyle w:val="666"/>
              <w:rPr>
                <w:rFonts w:hint="default" w:ascii="Times New Roman" w:hAnsi="Times New Roman" w:cs="Times New Roman" w:eastAsiaTheme="minorEastAsia"/>
                <w:color w:val="auto"/>
                <w:highlight w:val="none"/>
              </w:rPr>
            </w:pPr>
          </w:p>
        </w:tc>
        <w:tc>
          <w:tcPr>
            <w:tcW w:w="1103" w:type="pct"/>
            <w:gridSpan w:val="2"/>
            <w:tcBorders>
              <w:right w:val="single" w:color="auto" w:sz="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w:t>
            </w:r>
          </w:p>
        </w:tc>
        <w:tc>
          <w:tcPr>
            <w:tcW w:w="932" w:type="pct"/>
            <w:vMerge w:val="continue"/>
            <w:vAlign w:val="center"/>
          </w:tcPr>
          <w:p>
            <w:pPr>
              <w:pStyle w:val="666"/>
              <w:rPr>
                <w:rFonts w:hint="default" w:ascii="Times New Roman" w:hAnsi="Times New Roman" w:cs="Times New Roman" w:eastAsiaTheme="minorEastAsia"/>
                <w:color w:val="auto"/>
                <w:highlight w:val="none"/>
              </w:rPr>
            </w:pPr>
          </w:p>
        </w:tc>
        <w:tc>
          <w:tcPr>
            <w:tcW w:w="678" w:type="pct"/>
            <w:vMerge w:val="continue"/>
            <w:tcBorders>
              <w:right w:val="single" w:color="auto" w:sz="2" w:space="0"/>
            </w:tcBorders>
            <w:vAlign w:val="center"/>
          </w:tcPr>
          <w:p>
            <w:pPr>
              <w:pStyle w:val="666"/>
              <w:rPr>
                <w:rFonts w:hint="default" w:ascii="Times New Roman" w:hAnsi="Times New Roman" w:cs="Times New Roman" w:eastAsiaTheme="minorEastAsia"/>
                <w:color w:val="auto"/>
                <w:highlight w:val="none"/>
              </w:rPr>
            </w:pPr>
          </w:p>
        </w:tc>
        <w:tc>
          <w:tcPr>
            <w:tcW w:w="425" w:type="pct"/>
            <w:vMerge w:val="continue"/>
            <w:tcBorders>
              <w:left w:val="single" w:color="auto" w:sz="2" w:space="0"/>
            </w:tcBorders>
            <w:vAlign w:val="center"/>
          </w:tcPr>
          <w:p>
            <w:pPr>
              <w:pStyle w:val="666"/>
              <w:rPr>
                <w:rFonts w:hint="default" w:ascii="Times New Roman" w:hAnsi="Times New Roman" w:cs="Times New Roman" w:eastAsiaTheme="minorEastAsia"/>
                <w:color w:val="auto"/>
                <w:highlight w:val="none"/>
              </w:rPr>
            </w:pPr>
          </w:p>
        </w:tc>
        <w:tc>
          <w:tcPr>
            <w:tcW w:w="533" w:type="pct"/>
            <w:vMerge w:val="continue"/>
            <w:vAlign w:val="center"/>
          </w:tcPr>
          <w:p>
            <w:pPr>
              <w:pStyle w:val="666"/>
              <w:rPr>
                <w:rFonts w:hint="default" w:ascii="Times New Roman" w:hAnsi="Times New Roman" w:cs="Times New Roman" w:eastAsiaTheme="minorEastAsia"/>
                <w:color w:val="auto"/>
                <w:highlight w:val="none"/>
              </w:rPr>
            </w:pPr>
          </w:p>
        </w:tc>
        <w:tc>
          <w:tcPr>
            <w:tcW w:w="294" w:type="pct"/>
            <w:vMerge w:val="continue"/>
            <w:vAlign w:val="center"/>
          </w:tcPr>
          <w:p>
            <w:pPr>
              <w:pStyle w:val="666"/>
              <w:rPr>
                <w:rFonts w:hint="default" w:ascii="Times New Roman" w:hAnsi="Times New Roman" w:cs="Times New Roman" w:eastAsiaTheme="minor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355"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w:t>
            </w:r>
          </w:p>
        </w:tc>
        <w:tc>
          <w:tcPr>
            <w:tcW w:w="676" w:type="pct"/>
            <w:tcBorders>
              <w:right w:val="single" w:color="auto" w:sz="2" w:space="0"/>
            </w:tcBorders>
            <w:vAlign w:val="center"/>
          </w:tcPr>
          <w:p>
            <w:pPr>
              <w:pStyle w:val="666"/>
              <w:rPr>
                <w:rFonts w:hint="default" w:ascii="Times New Roman" w:hAnsi="Times New Roman" w:cs="Times New Roman" w:eastAsiaTheme="minorEastAsia"/>
                <w:snapToGrid w:val="0"/>
                <w:color w:val="auto"/>
                <w:highlight w:val="none"/>
                <w:lang w:val="en-US" w:eastAsia="zh-CN"/>
              </w:rPr>
            </w:pPr>
            <w:r>
              <w:rPr>
                <w:rFonts w:hint="default" w:ascii="Times New Roman" w:hAnsi="Times New Roman" w:cs="Times New Roman" w:eastAsiaTheme="minorEastAsia"/>
                <w:color w:val="auto"/>
                <w:highlight w:val="none"/>
                <w:lang w:eastAsia="zh-CN"/>
              </w:rPr>
              <w:t>鞠家窑屯</w:t>
            </w:r>
            <w:r>
              <w:rPr>
                <w:rFonts w:hint="default" w:ascii="Times New Roman" w:hAnsi="Times New Roman" w:cs="Times New Roman" w:eastAsiaTheme="minorEastAsia"/>
                <w:color w:val="auto"/>
                <w:highlight w:val="none"/>
                <w:lang w:val="en-US" w:eastAsia="zh-CN"/>
              </w:rPr>
              <w:t>1#</w:t>
            </w:r>
          </w:p>
        </w:tc>
        <w:tc>
          <w:tcPr>
            <w:tcW w:w="508" w:type="pct"/>
            <w:tcBorders>
              <w:bottom w:val="single" w:color="auto" w:sz="4" w:space="0"/>
            </w:tcBorders>
            <w:vAlign w:val="center"/>
          </w:tcPr>
          <w:p>
            <w:pPr>
              <w:pStyle w:val="666"/>
              <w:rPr>
                <w:rFonts w:hint="default" w:ascii="Times New Roman" w:hAnsi="Times New Roman" w:cs="Times New Roman" w:eastAsiaTheme="minorEastAsia"/>
                <w:snapToGrid w:val="0"/>
                <w:color w:val="auto"/>
                <w:highlight w:val="none"/>
                <w:lang w:val="en-US" w:eastAsia="zh-CN"/>
              </w:rPr>
            </w:pPr>
            <w:r>
              <w:rPr>
                <w:rFonts w:hint="default" w:ascii="Times New Roman" w:hAnsi="Times New Roman" w:cs="Times New Roman" w:eastAsiaTheme="minorEastAsia"/>
                <w:snapToGrid w:val="0"/>
                <w:color w:val="auto"/>
                <w:highlight w:val="none"/>
                <w:lang w:val="en-US" w:eastAsia="zh-CN"/>
              </w:rPr>
              <w:t>20</w:t>
            </w:r>
          </w:p>
        </w:tc>
        <w:tc>
          <w:tcPr>
            <w:tcW w:w="595" w:type="pct"/>
            <w:tcBorders>
              <w:bottom w:val="single" w:color="auto" w:sz="4" w:space="0"/>
              <w:right w:val="single" w:color="auto" w:sz="2" w:space="0"/>
            </w:tcBorders>
            <w:vAlign w:val="center"/>
          </w:tcPr>
          <w:p>
            <w:pPr>
              <w:pStyle w:val="666"/>
              <w:rPr>
                <w:rFonts w:hint="default" w:ascii="Times New Roman" w:hAnsi="Times New Roman" w:cs="Times New Roman" w:eastAsiaTheme="minorEastAsia"/>
                <w:snapToGrid w:val="0"/>
                <w:color w:val="auto"/>
                <w:highlight w:val="none"/>
                <w:lang w:val="en-US" w:eastAsia="zh-CN"/>
              </w:rPr>
            </w:pPr>
            <w:r>
              <w:rPr>
                <w:rFonts w:hint="default" w:ascii="Times New Roman" w:hAnsi="Times New Roman" w:cs="Times New Roman" w:eastAsiaTheme="minorEastAsia"/>
                <w:color w:val="auto"/>
                <w:highlight w:val="none"/>
                <w:lang w:val="en-US" w:eastAsia="zh-CN"/>
              </w:rPr>
              <w:t>12</w:t>
            </w:r>
          </w:p>
        </w:tc>
        <w:tc>
          <w:tcPr>
            <w:tcW w:w="932" w:type="pct"/>
            <w:tcBorders>
              <w:bottom w:val="single" w:color="auto" w:sz="4" w:space="0"/>
            </w:tcBorders>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rPr>
              <w:t>E</w:t>
            </w:r>
            <w:r>
              <w:rPr>
                <w:rFonts w:hint="default" w:ascii="Times New Roman" w:hAnsi="Times New Roman" w:cs="Times New Roman" w:eastAsiaTheme="minorEastAsia"/>
                <w:color w:val="auto"/>
                <w:highlight w:val="none"/>
                <w:lang w:val="en-US" w:eastAsia="zh-CN"/>
              </w:rPr>
              <w:t>125.474554</w:t>
            </w:r>
          </w:p>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rPr>
              <w:t>N4</w:t>
            </w:r>
            <w:r>
              <w:rPr>
                <w:rFonts w:hint="default" w:ascii="Times New Roman" w:hAnsi="Times New Roman" w:cs="Times New Roman" w:eastAsiaTheme="minorEastAsia"/>
                <w:color w:val="auto"/>
                <w:highlight w:val="none"/>
                <w:lang w:val="en-US" w:eastAsia="zh-CN"/>
              </w:rPr>
              <w:t>6.518133</w:t>
            </w:r>
          </w:p>
        </w:tc>
        <w:tc>
          <w:tcPr>
            <w:tcW w:w="678" w:type="pct"/>
            <w:tcBorders>
              <w:bottom w:val="single" w:color="auto" w:sz="4" w:space="0"/>
              <w:right w:val="single" w:color="auto" w:sz="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水质、水位</w:t>
            </w:r>
          </w:p>
        </w:tc>
        <w:tc>
          <w:tcPr>
            <w:tcW w:w="425" w:type="pct"/>
            <w:tcBorders>
              <w:left w:val="single" w:color="auto" w:sz="2"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lang w:eastAsia="zh-CN"/>
              </w:rPr>
              <w:t>潜</w:t>
            </w:r>
            <w:r>
              <w:rPr>
                <w:rFonts w:hint="default" w:ascii="Times New Roman" w:hAnsi="Times New Roman" w:cs="Times New Roman" w:eastAsiaTheme="minorEastAsia"/>
                <w:color w:val="auto"/>
                <w:highlight w:val="none"/>
              </w:rPr>
              <w:t>水</w:t>
            </w:r>
          </w:p>
        </w:tc>
        <w:tc>
          <w:tcPr>
            <w:tcW w:w="533" w:type="pct"/>
            <w:tcBorders>
              <w:bottom w:val="single" w:color="auto" w:sz="4" w:space="0"/>
            </w:tcBorders>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eastAsia="zh-CN"/>
              </w:rPr>
              <w:t>8</w:t>
            </w:r>
            <w:r>
              <w:rPr>
                <w:rFonts w:hint="default" w:ascii="Times New Roman" w:hAnsi="Times New Roman" w:cs="Times New Roman" w:eastAsiaTheme="minorEastAsia"/>
                <w:color w:val="auto"/>
                <w:highlight w:val="none"/>
                <w:lang w:val="en-US" w:eastAsia="zh-CN"/>
              </w:rPr>
              <w:t>87</w:t>
            </w:r>
          </w:p>
        </w:tc>
        <w:tc>
          <w:tcPr>
            <w:tcW w:w="294" w:type="pct"/>
            <w:tcBorders>
              <w:bottom w:val="single" w:color="auto" w:sz="4" w:space="0"/>
            </w:tcBorders>
            <w:vAlign w:val="center"/>
          </w:tcPr>
          <w:p>
            <w:pPr>
              <w:pStyle w:val="666"/>
              <w:rPr>
                <w:rFonts w:hint="default" w:ascii="Times New Roman" w:hAnsi="Times New Roman" w:cs="Times New Roman" w:eastAsiaTheme="minorEastAsia"/>
                <w:color w:val="auto"/>
                <w:highlight w:val="none"/>
                <w:lang w:eastAsia="zh-CN"/>
              </w:rPr>
            </w:pPr>
            <w:r>
              <w:rPr>
                <w:rFonts w:hint="default" w:ascii="Times New Roman" w:hAnsi="Times New Roman" w:cs="Times New Roman" w:eastAsiaTheme="minorEastAsia"/>
                <w:color w:val="auto"/>
                <w:highlight w:val="none"/>
                <w:lang w:val="en-US" w:eastAsia="zh-CN"/>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36" w:hRule="atLeast"/>
          <w:jc w:val="center"/>
        </w:trPr>
        <w:tc>
          <w:tcPr>
            <w:tcW w:w="355"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w:t>
            </w:r>
          </w:p>
        </w:tc>
        <w:tc>
          <w:tcPr>
            <w:tcW w:w="676" w:type="pct"/>
            <w:tcBorders>
              <w:right w:val="single" w:color="auto" w:sz="2" w:space="0"/>
            </w:tcBorders>
            <w:vAlign w:val="center"/>
          </w:tcPr>
          <w:p>
            <w:pPr>
              <w:pStyle w:val="666"/>
              <w:rPr>
                <w:rFonts w:hint="default" w:ascii="Times New Roman" w:hAnsi="Times New Roman" w:cs="Times New Roman" w:eastAsiaTheme="minorEastAsia"/>
                <w:snapToGrid w:val="0"/>
                <w:color w:val="auto"/>
                <w:highlight w:val="none"/>
              </w:rPr>
            </w:pPr>
            <w:r>
              <w:rPr>
                <w:rFonts w:hint="default" w:ascii="Times New Roman" w:hAnsi="Times New Roman" w:cs="Times New Roman" w:eastAsiaTheme="minorEastAsia"/>
                <w:color w:val="auto"/>
                <w:highlight w:val="none"/>
                <w:lang w:eastAsia="zh-CN"/>
              </w:rPr>
              <w:t>鞠家窑屯</w:t>
            </w:r>
            <w:r>
              <w:rPr>
                <w:rFonts w:hint="default" w:ascii="Times New Roman" w:hAnsi="Times New Roman" w:cs="Times New Roman" w:eastAsiaTheme="minorEastAsia"/>
                <w:color w:val="auto"/>
                <w:highlight w:val="none"/>
                <w:lang w:val="en-US" w:eastAsia="zh-CN"/>
              </w:rPr>
              <w:t>2#</w:t>
            </w:r>
          </w:p>
        </w:tc>
        <w:tc>
          <w:tcPr>
            <w:tcW w:w="508" w:type="pct"/>
            <w:tcBorders>
              <w:bottom w:val="single" w:color="auto" w:sz="4" w:space="0"/>
            </w:tcBorders>
            <w:vAlign w:val="center"/>
          </w:tcPr>
          <w:p>
            <w:pPr>
              <w:pStyle w:val="666"/>
              <w:rPr>
                <w:rFonts w:hint="default" w:ascii="Times New Roman" w:hAnsi="Times New Roman" w:cs="Times New Roman" w:eastAsiaTheme="minorEastAsia"/>
                <w:snapToGrid w:val="0"/>
                <w:color w:val="auto"/>
                <w:highlight w:val="none"/>
                <w:lang w:val="en-US" w:eastAsia="zh-CN"/>
              </w:rPr>
            </w:pPr>
            <w:r>
              <w:rPr>
                <w:rFonts w:hint="default" w:ascii="Times New Roman" w:hAnsi="Times New Roman" w:cs="Times New Roman" w:eastAsiaTheme="minorEastAsia"/>
                <w:snapToGrid w:val="0"/>
                <w:color w:val="auto"/>
                <w:highlight w:val="none"/>
                <w:lang w:val="en-US" w:eastAsia="zh-CN"/>
              </w:rPr>
              <w:t>18</w:t>
            </w:r>
          </w:p>
        </w:tc>
        <w:tc>
          <w:tcPr>
            <w:tcW w:w="595" w:type="pct"/>
            <w:tcBorders>
              <w:bottom w:val="single" w:color="auto" w:sz="4" w:space="0"/>
              <w:right w:val="single" w:color="auto" w:sz="2" w:space="0"/>
            </w:tcBorders>
            <w:vAlign w:val="center"/>
          </w:tcPr>
          <w:p>
            <w:pPr>
              <w:pStyle w:val="666"/>
              <w:rPr>
                <w:rFonts w:hint="default" w:ascii="Times New Roman" w:hAnsi="Times New Roman" w:cs="Times New Roman" w:eastAsiaTheme="minorEastAsia"/>
                <w:snapToGrid w:val="0"/>
                <w:color w:val="auto"/>
                <w:highlight w:val="none"/>
                <w:lang w:val="en-US" w:eastAsia="zh-CN"/>
              </w:rPr>
            </w:pPr>
            <w:r>
              <w:rPr>
                <w:rFonts w:hint="default" w:ascii="Times New Roman" w:hAnsi="Times New Roman" w:cs="Times New Roman" w:eastAsiaTheme="minorEastAsia"/>
                <w:color w:val="auto"/>
                <w:highlight w:val="none"/>
                <w:lang w:val="en-US" w:eastAsia="zh-CN"/>
              </w:rPr>
              <w:t>12</w:t>
            </w:r>
          </w:p>
        </w:tc>
        <w:tc>
          <w:tcPr>
            <w:tcW w:w="932" w:type="pct"/>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rPr>
              <w:t>E12</w:t>
            </w:r>
            <w:r>
              <w:rPr>
                <w:rFonts w:hint="default" w:ascii="Times New Roman" w:hAnsi="Times New Roman" w:cs="Times New Roman" w:eastAsiaTheme="minorEastAsia"/>
                <w:color w:val="auto"/>
                <w:highlight w:val="none"/>
                <w:lang w:val="en-US" w:eastAsia="zh-CN"/>
              </w:rPr>
              <w:t>5.47297</w:t>
            </w:r>
          </w:p>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rPr>
              <w:t>N</w:t>
            </w:r>
            <w:r>
              <w:rPr>
                <w:rFonts w:hint="default" w:ascii="Times New Roman" w:hAnsi="Times New Roman" w:cs="Times New Roman" w:eastAsiaTheme="minorEastAsia"/>
                <w:color w:val="auto"/>
                <w:highlight w:val="none"/>
                <w:lang w:val="en-US" w:eastAsia="zh-CN"/>
              </w:rPr>
              <w:t>46.51824</w:t>
            </w:r>
          </w:p>
        </w:tc>
        <w:tc>
          <w:tcPr>
            <w:tcW w:w="678" w:type="pct"/>
            <w:tcBorders>
              <w:right w:val="single" w:color="auto" w:sz="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水质、水位</w:t>
            </w:r>
          </w:p>
        </w:tc>
        <w:tc>
          <w:tcPr>
            <w:tcW w:w="425" w:type="pct"/>
            <w:tcBorders>
              <w:left w:val="single" w:color="auto" w:sz="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潜水</w:t>
            </w:r>
          </w:p>
        </w:tc>
        <w:tc>
          <w:tcPr>
            <w:tcW w:w="533" w:type="pct"/>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886</w:t>
            </w:r>
          </w:p>
        </w:tc>
        <w:tc>
          <w:tcPr>
            <w:tcW w:w="294" w:type="pct"/>
            <w:vAlign w:val="center"/>
          </w:tcPr>
          <w:p>
            <w:pPr>
              <w:pStyle w:val="666"/>
              <w:rPr>
                <w:rFonts w:hint="default" w:ascii="Times New Roman" w:hAnsi="Times New Roman" w:cs="Times New Roman" w:eastAsiaTheme="minorEastAsia"/>
                <w:color w:val="auto"/>
                <w:highlight w:val="none"/>
                <w:lang w:eastAsia="zh-CN"/>
              </w:rPr>
            </w:pPr>
            <w:r>
              <w:rPr>
                <w:rFonts w:hint="default" w:ascii="Times New Roman" w:hAnsi="Times New Roman" w:cs="Times New Roman" w:eastAsiaTheme="minorEastAsia"/>
                <w:color w:val="auto"/>
                <w:highlight w:val="none"/>
                <w:lang w:val="en-US" w:eastAsia="zh-CN"/>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40" w:hRule="atLeast"/>
          <w:jc w:val="center"/>
        </w:trPr>
        <w:tc>
          <w:tcPr>
            <w:tcW w:w="355"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w:t>
            </w:r>
          </w:p>
        </w:tc>
        <w:tc>
          <w:tcPr>
            <w:tcW w:w="676" w:type="pct"/>
            <w:tcBorders>
              <w:right w:val="single" w:color="auto" w:sz="2" w:space="0"/>
            </w:tcBorders>
            <w:vAlign w:val="center"/>
          </w:tcPr>
          <w:p>
            <w:pPr>
              <w:pStyle w:val="666"/>
              <w:rPr>
                <w:rFonts w:hint="default" w:ascii="Times New Roman" w:hAnsi="Times New Roman" w:cs="Times New Roman" w:eastAsiaTheme="minorEastAsia"/>
                <w:snapToGrid w:val="0"/>
                <w:color w:val="auto"/>
                <w:highlight w:val="none"/>
              </w:rPr>
            </w:pPr>
            <w:r>
              <w:rPr>
                <w:rFonts w:hint="default" w:ascii="Times New Roman" w:hAnsi="Times New Roman" w:cs="Times New Roman" w:eastAsiaTheme="minorEastAsia"/>
                <w:snapToGrid w:val="0"/>
                <w:color w:val="auto"/>
                <w:highlight w:val="none"/>
                <w:lang w:eastAsia="zh-CN"/>
              </w:rPr>
              <w:t>红星</w:t>
            </w:r>
            <w:r>
              <w:rPr>
                <w:rFonts w:hint="default" w:ascii="Times New Roman" w:hAnsi="Times New Roman" w:cs="Times New Roman" w:eastAsiaTheme="minorEastAsia"/>
                <w:snapToGrid w:val="0"/>
                <w:color w:val="auto"/>
                <w:highlight w:val="none"/>
              </w:rPr>
              <w:t>村（潜水）</w:t>
            </w:r>
          </w:p>
        </w:tc>
        <w:tc>
          <w:tcPr>
            <w:tcW w:w="508"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snapToGrid w:val="0"/>
                <w:color w:val="auto"/>
                <w:highlight w:val="none"/>
                <w:lang w:val="en-US" w:eastAsia="zh-CN"/>
              </w:rPr>
            </w:pPr>
            <w:r>
              <w:rPr>
                <w:rFonts w:hint="default" w:ascii="Times New Roman" w:hAnsi="Times New Roman" w:cs="Times New Roman" w:eastAsiaTheme="minorEastAsia"/>
                <w:color w:val="auto"/>
                <w:highlight w:val="none"/>
                <w:lang w:val="en-US" w:eastAsia="zh-CN"/>
              </w:rPr>
              <w:t>18</w:t>
            </w:r>
          </w:p>
        </w:tc>
        <w:tc>
          <w:tcPr>
            <w:tcW w:w="595" w:type="pct"/>
            <w:tcBorders>
              <w:top w:val="single" w:color="auto" w:sz="4" w:space="0"/>
              <w:bottom w:val="single" w:color="auto" w:sz="4" w:space="0"/>
              <w:right w:val="single" w:color="auto" w:sz="2" w:space="0"/>
            </w:tcBorders>
            <w:vAlign w:val="center"/>
          </w:tcPr>
          <w:p>
            <w:pPr>
              <w:pStyle w:val="666"/>
              <w:rPr>
                <w:rFonts w:hint="default" w:ascii="Times New Roman" w:hAnsi="Times New Roman" w:cs="Times New Roman" w:eastAsiaTheme="minorEastAsia"/>
                <w:snapToGrid w:val="0"/>
                <w:color w:val="auto"/>
                <w:highlight w:val="none"/>
                <w:lang w:val="en-US" w:eastAsia="zh-CN"/>
              </w:rPr>
            </w:pPr>
            <w:r>
              <w:rPr>
                <w:rFonts w:hint="default" w:ascii="Times New Roman" w:hAnsi="Times New Roman" w:cs="Times New Roman" w:eastAsiaTheme="minorEastAsia"/>
                <w:color w:val="auto"/>
                <w:highlight w:val="none"/>
                <w:lang w:val="en-US" w:eastAsia="zh-CN"/>
              </w:rPr>
              <w:t>11</w:t>
            </w:r>
          </w:p>
        </w:tc>
        <w:tc>
          <w:tcPr>
            <w:tcW w:w="932" w:type="pct"/>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rPr>
              <w:t>E12</w:t>
            </w:r>
            <w:r>
              <w:rPr>
                <w:rFonts w:hint="default" w:ascii="Times New Roman" w:hAnsi="Times New Roman" w:cs="Times New Roman" w:eastAsiaTheme="minorEastAsia"/>
                <w:color w:val="auto"/>
                <w:highlight w:val="none"/>
                <w:lang w:val="en-US" w:eastAsia="zh-CN"/>
              </w:rPr>
              <w:t>5.445065</w:t>
            </w:r>
          </w:p>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rPr>
              <w:t>N4</w:t>
            </w:r>
            <w:r>
              <w:rPr>
                <w:rFonts w:hint="default" w:ascii="Times New Roman" w:hAnsi="Times New Roman" w:cs="Times New Roman" w:eastAsiaTheme="minorEastAsia"/>
                <w:color w:val="auto"/>
                <w:highlight w:val="none"/>
                <w:lang w:val="en-US" w:eastAsia="zh-CN"/>
              </w:rPr>
              <w:t>6.488759</w:t>
            </w:r>
          </w:p>
        </w:tc>
        <w:tc>
          <w:tcPr>
            <w:tcW w:w="678" w:type="pct"/>
            <w:tcBorders>
              <w:right w:val="single" w:color="auto" w:sz="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水质、水位</w:t>
            </w:r>
          </w:p>
        </w:tc>
        <w:tc>
          <w:tcPr>
            <w:tcW w:w="425" w:type="pct"/>
            <w:tcBorders>
              <w:left w:val="single" w:color="auto" w:sz="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潜水</w:t>
            </w:r>
          </w:p>
        </w:tc>
        <w:tc>
          <w:tcPr>
            <w:tcW w:w="533" w:type="pct"/>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2595</w:t>
            </w:r>
          </w:p>
        </w:tc>
        <w:tc>
          <w:tcPr>
            <w:tcW w:w="294"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SE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35" w:hRule="atLeast"/>
          <w:jc w:val="center"/>
        </w:trPr>
        <w:tc>
          <w:tcPr>
            <w:tcW w:w="355" w:type="pct"/>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rPr>
              <w:t>4#</w:t>
            </w:r>
          </w:p>
        </w:tc>
        <w:tc>
          <w:tcPr>
            <w:tcW w:w="676" w:type="pct"/>
            <w:tcBorders>
              <w:right w:val="single" w:color="auto" w:sz="2" w:space="0"/>
            </w:tcBorders>
            <w:vAlign w:val="center"/>
          </w:tcPr>
          <w:p>
            <w:pPr>
              <w:pStyle w:val="666"/>
              <w:ind w:firstLine="0" w:firstLineChars="0"/>
              <w:rPr>
                <w:rFonts w:hint="default" w:ascii="Times New Roman" w:hAnsi="Times New Roman" w:cs="Times New Roman" w:eastAsiaTheme="minorEastAsia"/>
                <w:bCs/>
                <w:snapToGrid w:val="0"/>
                <w:color w:val="auto"/>
                <w:kern w:val="0"/>
                <w:sz w:val="21"/>
                <w:szCs w:val="21"/>
                <w:highlight w:val="none"/>
                <w:lang w:val="en-US" w:eastAsia="zh-CN" w:bidi="ar-SA"/>
              </w:rPr>
            </w:pPr>
            <w:r>
              <w:rPr>
                <w:rFonts w:hint="default" w:ascii="Times New Roman" w:hAnsi="Times New Roman" w:cs="Times New Roman" w:eastAsiaTheme="minorEastAsia"/>
                <w:snapToGrid w:val="0"/>
                <w:color w:val="auto"/>
                <w:highlight w:val="none"/>
                <w:lang w:eastAsia="zh-CN"/>
              </w:rPr>
              <w:t>场区内地下水</w:t>
            </w:r>
            <w:r>
              <w:rPr>
                <w:rFonts w:hint="default" w:ascii="Times New Roman" w:hAnsi="Times New Roman" w:cs="Times New Roman" w:eastAsiaTheme="minorEastAsia"/>
                <w:snapToGrid w:val="0"/>
                <w:color w:val="auto"/>
                <w:highlight w:val="none"/>
              </w:rPr>
              <w:t>（</w:t>
            </w:r>
            <w:r>
              <w:rPr>
                <w:rFonts w:hint="default" w:ascii="Times New Roman" w:hAnsi="Times New Roman" w:cs="Times New Roman" w:eastAsiaTheme="minorEastAsia"/>
                <w:snapToGrid w:val="0"/>
                <w:color w:val="auto"/>
                <w:highlight w:val="none"/>
                <w:lang w:eastAsia="zh-CN"/>
              </w:rPr>
              <w:t>承压水</w:t>
            </w:r>
            <w:r>
              <w:rPr>
                <w:rFonts w:hint="default" w:ascii="Times New Roman" w:hAnsi="Times New Roman" w:cs="Times New Roman" w:eastAsiaTheme="minorEastAsia"/>
                <w:snapToGrid w:val="0"/>
                <w:color w:val="auto"/>
                <w:highlight w:val="none"/>
              </w:rPr>
              <w:t>）</w:t>
            </w:r>
          </w:p>
        </w:tc>
        <w:tc>
          <w:tcPr>
            <w:tcW w:w="508" w:type="pct"/>
            <w:tcBorders>
              <w:top w:val="single" w:color="auto" w:sz="4" w:space="0"/>
              <w:bottom w:val="single" w:color="auto" w:sz="4" w:space="0"/>
            </w:tcBorders>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lang w:val="en-US" w:eastAsia="zh-CN"/>
              </w:rPr>
              <w:t>80</w:t>
            </w:r>
          </w:p>
        </w:tc>
        <w:tc>
          <w:tcPr>
            <w:tcW w:w="595" w:type="pct"/>
            <w:tcBorders>
              <w:top w:val="single" w:color="auto" w:sz="4" w:space="0"/>
              <w:bottom w:val="single" w:color="auto" w:sz="4" w:space="0"/>
              <w:right w:val="single" w:color="auto" w:sz="2" w:space="0"/>
            </w:tcBorders>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lang w:val="en-US" w:eastAsia="zh-CN"/>
              </w:rPr>
              <w:t>12</w:t>
            </w:r>
          </w:p>
        </w:tc>
        <w:tc>
          <w:tcPr>
            <w:tcW w:w="932" w:type="pct"/>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rPr>
              <w:t>E12</w:t>
            </w:r>
            <w:r>
              <w:rPr>
                <w:rFonts w:hint="default" w:ascii="Times New Roman" w:hAnsi="Times New Roman" w:cs="Times New Roman" w:eastAsiaTheme="minorEastAsia"/>
                <w:color w:val="auto"/>
                <w:highlight w:val="none"/>
                <w:lang w:val="en-US" w:eastAsia="zh-CN"/>
              </w:rPr>
              <w:t>5.475497</w:t>
            </w:r>
          </w:p>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rPr>
              <w:t>N</w:t>
            </w:r>
            <w:r>
              <w:rPr>
                <w:rFonts w:hint="default" w:ascii="Times New Roman" w:hAnsi="Times New Roman" w:cs="Times New Roman" w:eastAsiaTheme="minorEastAsia"/>
                <w:color w:val="auto"/>
                <w:highlight w:val="none"/>
                <w:lang w:val="en-US" w:eastAsia="zh-CN"/>
              </w:rPr>
              <w:t>46.509084</w:t>
            </w:r>
          </w:p>
        </w:tc>
        <w:tc>
          <w:tcPr>
            <w:tcW w:w="678" w:type="pct"/>
            <w:tcBorders>
              <w:right w:val="single" w:color="auto" w:sz="2" w:space="0"/>
            </w:tcBorders>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rPr>
              <w:t>水质、水位</w:t>
            </w:r>
          </w:p>
        </w:tc>
        <w:tc>
          <w:tcPr>
            <w:tcW w:w="425" w:type="pct"/>
            <w:tcBorders>
              <w:left w:val="single" w:color="auto" w:sz="2" w:space="0"/>
            </w:tcBorders>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lang w:eastAsia="zh-CN"/>
              </w:rPr>
              <w:t>承压水</w:t>
            </w:r>
          </w:p>
        </w:tc>
        <w:tc>
          <w:tcPr>
            <w:tcW w:w="533" w:type="pct"/>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rPr>
              <w:t>0</w:t>
            </w:r>
          </w:p>
        </w:tc>
        <w:tc>
          <w:tcPr>
            <w:tcW w:w="294" w:type="pct"/>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70" w:hRule="atLeast"/>
          <w:jc w:val="center"/>
        </w:trPr>
        <w:tc>
          <w:tcPr>
            <w:tcW w:w="355" w:type="pct"/>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5#</w:t>
            </w:r>
          </w:p>
        </w:tc>
        <w:tc>
          <w:tcPr>
            <w:tcW w:w="676" w:type="pct"/>
            <w:tcBorders>
              <w:right w:val="single" w:color="auto" w:sz="2" w:space="0"/>
            </w:tcBorders>
            <w:vAlign w:val="center"/>
          </w:tcPr>
          <w:p>
            <w:pPr>
              <w:pStyle w:val="666"/>
              <w:rPr>
                <w:rFonts w:hint="default" w:ascii="Times New Roman" w:hAnsi="Times New Roman" w:cs="Times New Roman" w:eastAsiaTheme="minorEastAsia"/>
                <w:snapToGrid w:val="0"/>
                <w:color w:val="auto"/>
                <w:highlight w:val="none"/>
              </w:rPr>
            </w:pPr>
            <w:r>
              <w:rPr>
                <w:rFonts w:hint="default" w:ascii="Times New Roman" w:hAnsi="Times New Roman" w:cs="Times New Roman" w:eastAsiaTheme="minorEastAsia"/>
                <w:color w:val="auto"/>
                <w:highlight w:val="none"/>
                <w:lang w:eastAsia="zh-CN"/>
              </w:rPr>
              <w:t>鞠家窑屯</w:t>
            </w:r>
          </w:p>
        </w:tc>
        <w:tc>
          <w:tcPr>
            <w:tcW w:w="508" w:type="pct"/>
            <w:tcBorders>
              <w:top w:val="single" w:color="auto" w:sz="4" w:space="0"/>
              <w:bottom w:val="single" w:color="auto" w:sz="4" w:space="0"/>
            </w:tcBorders>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bCs/>
                <w:color w:val="auto"/>
                <w:kern w:val="0"/>
                <w:sz w:val="21"/>
                <w:szCs w:val="21"/>
                <w:highlight w:val="none"/>
                <w:lang w:val="en-US" w:eastAsia="zh-CN" w:bidi="ar-SA"/>
              </w:rPr>
              <w:t>20</w:t>
            </w:r>
          </w:p>
        </w:tc>
        <w:tc>
          <w:tcPr>
            <w:tcW w:w="595" w:type="pct"/>
            <w:tcBorders>
              <w:top w:val="single" w:color="auto" w:sz="4" w:space="0"/>
              <w:bottom w:val="single" w:color="auto" w:sz="4" w:space="0"/>
              <w:right w:val="single" w:color="auto" w:sz="2" w:space="0"/>
            </w:tcBorders>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bCs/>
                <w:color w:val="auto"/>
                <w:kern w:val="0"/>
                <w:sz w:val="21"/>
                <w:szCs w:val="21"/>
                <w:highlight w:val="none"/>
                <w:lang w:val="en-US" w:eastAsia="zh-CN" w:bidi="ar-SA"/>
              </w:rPr>
              <w:t>12</w:t>
            </w:r>
          </w:p>
        </w:tc>
        <w:tc>
          <w:tcPr>
            <w:tcW w:w="932"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E12</w:t>
            </w:r>
            <w:r>
              <w:rPr>
                <w:rFonts w:hint="default" w:ascii="Times New Roman" w:hAnsi="Times New Roman" w:cs="Times New Roman" w:eastAsiaTheme="minorEastAsia"/>
                <w:color w:val="auto"/>
                <w:highlight w:val="none"/>
                <w:lang w:val="en-US" w:eastAsia="zh-CN"/>
              </w:rPr>
              <w:t>5</w:t>
            </w:r>
            <w:r>
              <w:rPr>
                <w:rFonts w:hint="default" w:ascii="Times New Roman" w:hAnsi="Times New Roman" w:cs="Times New Roman" w:eastAsiaTheme="minorEastAsia"/>
                <w:color w:val="auto"/>
                <w:highlight w:val="none"/>
              </w:rPr>
              <w:t>.</w:t>
            </w:r>
            <w:r>
              <w:rPr>
                <w:rFonts w:hint="default" w:ascii="Times New Roman" w:hAnsi="Times New Roman" w:cs="Times New Roman" w:eastAsiaTheme="minorEastAsia"/>
                <w:color w:val="auto"/>
                <w:highlight w:val="none"/>
                <w:lang w:val="en-US" w:eastAsia="zh-CN"/>
              </w:rPr>
              <w:t>475</w:t>
            </w:r>
            <w:r>
              <w:rPr>
                <w:rFonts w:hint="default" w:ascii="Times New Roman" w:hAnsi="Times New Roman" w:cs="Times New Roman" w:eastAsiaTheme="minorEastAsia"/>
                <w:color w:val="auto"/>
                <w:highlight w:val="none"/>
              </w:rPr>
              <w:t>030</w:t>
            </w:r>
          </w:p>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rPr>
              <w:t>N4</w:t>
            </w:r>
            <w:r>
              <w:rPr>
                <w:rFonts w:hint="default" w:ascii="Times New Roman" w:hAnsi="Times New Roman" w:cs="Times New Roman" w:eastAsiaTheme="minorEastAsia"/>
                <w:color w:val="auto"/>
                <w:highlight w:val="none"/>
                <w:lang w:val="en-US" w:eastAsia="zh-CN"/>
              </w:rPr>
              <w:t>6</w:t>
            </w:r>
            <w:r>
              <w:rPr>
                <w:rFonts w:hint="default" w:ascii="Times New Roman" w:hAnsi="Times New Roman" w:cs="Times New Roman" w:eastAsiaTheme="minorEastAsia"/>
                <w:color w:val="auto"/>
                <w:highlight w:val="none"/>
              </w:rPr>
              <w:t>.</w:t>
            </w:r>
            <w:r>
              <w:rPr>
                <w:rFonts w:hint="default" w:ascii="Times New Roman" w:hAnsi="Times New Roman" w:cs="Times New Roman" w:eastAsiaTheme="minorEastAsia"/>
                <w:color w:val="auto"/>
                <w:highlight w:val="none"/>
                <w:lang w:val="en-US" w:eastAsia="zh-CN"/>
              </w:rPr>
              <w:t>517990</w:t>
            </w:r>
          </w:p>
        </w:tc>
        <w:tc>
          <w:tcPr>
            <w:tcW w:w="678" w:type="pct"/>
            <w:tcBorders>
              <w:right w:val="single" w:color="auto" w:sz="2" w:space="0"/>
            </w:tcBorders>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rPr>
              <w:t>水位</w:t>
            </w:r>
          </w:p>
        </w:tc>
        <w:tc>
          <w:tcPr>
            <w:tcW w:w="425" w:type="pct"/>
            <w:tcBorders>
              <w:left w:val="single" w:color="auto" w:sz="2" w:space="0"/>
            </w:tcBorders>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rPr>
              <w:t>潜水</w:t>
            </w:r>
          </w:p>
        </w:tc>
        <w:tc>
          <w:tcPr>
            <w:tcW w:w="533" w:type="pct"/>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lang w:val="en-US" w:eastAsia="zh-CN"/>
              </w:rPr>
              <w:t>877</w:t>
            </w:r>
          </w:p>
        </w:tc>
        <w:tc>
          <w:tcPr>
            <w:tcW w:w="294" w:type="pct"/>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lang w:val="en-US" w:eastAsia="zh-CN"/>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70" w:hRule="atLeast"/>
          <w:jc w:val="center"/>
        </w:trPr>
        <w:tc>
          <w:tcPr>
            <w:tcW w:w="355" w:type="pct"/>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6#</w:t>
            </w:r>
          </w:p>
        </w:tc>
        <w:tc>
          <w:tcPr>
            <w:tcW w:w="676" w:type="pct"/>
            <w:tcBorders>
              <w:right w:val="single" w:color="auto" w:sz="2" w:space="0"/>
            </w:tcBorders>
            <w:vAlign w:val="center"/>
          </w:tcPr>
          <w:p>
            <w:pPr>
              <w:pStyle w:val="666"/>
              <w:rPr>
                <w:rFonts w:hint="default" w:ascii="Times New Roman" w:hAnsi="Times New Roman" w:cs="Times New Roman" w:eastAsiaTheme="minorEastAsia"/>
                <w:snapToGrid w:val="0"/>
                <w:color w:val="auto"/>
                <w:highlight w:val="none"/>
              </w:rPr>
            </w:pPr>
            <w:r>
              <w:rPr>
                <w:rFonts w:hint="default" w:ascii="Times New Roman" w:hAnsi="Times New Roman" w:cs="Times New Roman" w:eastAsiaTheme="minorEastAsia"/>
                <w:color w:val="auto"/>
                <w:highlight w:val="none"/>
                <w:lang w:eastAsia="zh-CN"/>
              </w:rPr>
              <w:t>鞠家窑屯</w:t>
            </w:r>
          </w:p>
        </w:tc>
        <w:tc>
          <w:tcPr>
            <w:tcW w:w="508" w:type="pct"/>
            <w:tcBorders>
              <w:top w:val="single" w:color="auto" w:sz="4" w:space="0"/>
              <w:bottom w:val="single" w:color="auto" w:sz="4" w:space="0"/>
            </w:tcBorders>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bCs/>
                <w:color w:val="auto"/>
                <w:kern w:val="0"/>
                <w:sz w:val="21"/>
                <w:szCs w:val="21"/>
                <w:highlight w:val="none"/>
                <w:lang w:val="en-US" w:eastAsia="zh-CN" w:bidi="ar-SA"/>
              </w:rPr>
              <w:t>18</w:t>
            </w:r>
          </w:p>
        </w:tc>
        <w:tc>
          <w:tcPr>
            <w:tcW w:w="595" w:type="pct"/>
            <w:tcBorders>
              <w:top w:val="single" w:color="auto" w:sz="4" w:space="0"/>
              <w:bottom w:val="single" w:color="auto" w:sz="4" w:space="0"/>
              <w:right w:val="single" w:color="auto" w:sz="2" w:space="0"/>
            </w:tcBorders>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bCs/>
                <w:color w:val="auto"/>
                <w:kern w:val="0"/>
                <w:sz w:val="21"/>
                <w:szCs w:val="21"/>
                <w:highlight w:val="none"/>
                <w:lang w:val="en-US" w:eastAsia="zh-CN" w:bidi="ar-SA"/>
              </w:rPr>
              <w:t>12</w:t>
            </w:r>
          </w:p>
        </w:tc>
        <w:tc>
          <w:tcPr>
            <w:tcW w:w="932" w:type="pct"/>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rPr>
              <w:t>E 12</w:t>
            </w:r>
            <w:r>
              <w:rPr>
                <w:rFonts w:hint="default" w:ascii="Times New Roman" w:hAnsi="Times New Roman" w:cs="Times New Roman" w:eastAsiaTheme="minorEastAsia"/>
                <w:color w:val="auto"/>
                <w:highlight w:val="none"/>
                <w:lang w:val="en-US" w:eastAsia="zh-CN"/>
              </w:rPr>
              <w:t>5.474998</w:t>
            </w:r>
          </w:p>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rPr>
              <w:t xml:space="preserve">N </w:t>
            </w:r>
            <w:r>
              <w:rPr>
                <w:rFonts w:hint="default" w:ascii="Times New Roman" w:hAnsi="Times New Roman" w:cs="Times New Roman" w:eastAsiaTheme="minorEastAsia"/>
                <w:color w:val="auto"/>
                <w:highlight w:val="none"/>
                <w:lang w:val="en-US" w:eastAsia="zh-CN"/>
              </w:rPr>
              <w:t>46.51729</w:t>
            </w:r>
          </w:p>
        </w:tc>
        <w:tc>
          <w:tcPr>
            <w:tcW w:w="678" w:type="pct"/>
            <w:tcBorders>
              <w:right w:val="single" w:color="auto" w:sz="2" w:space="0"/>
            </w:tcBorders>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rPr>
              <w:t>水位</w:t>
            </w:r>
          </w:p>
        </w:tc>
        <w:tc>
          <w:tcPr>
            <w:tcW w:w="425" w:type="pct"/>
            <w:tcBorders>
              <w:left w:val="single" w:color="auto" w:sz="2" w:space="0"/>
            </w:tcBorders>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rPr>
              <w:t>潜水</w:t>
            </w:r>
          </w:p>
        </w:tc>
        <w:tc>
          <w:tcPr>
            <w:tcW w:w="533" w:type="pct"/>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bCs/>
                <w:color w:val="auto"/>
                <w:kern w:val="0"/>
                <w:sz w:val="21"/>
                <w:szCs w:val="21"/>
                <w:highlight w:val="none"/>
                <w:lang w:val="en-US" w:eastAsia="zh-CN" w:bidi="ar-SA"/>
              </w:rPr>
              <w:t>882</w:t>
            </w:r>
          </w:p>
        </w:tc>
        <w:tc>
          <w:tcPr>
            <w:tcW w:w="294" w:type="pct"/>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lang w:val="en-US" w:eastAsia="zh-CN"/>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70" w:hRule="atLeast"/>
          <w:jc w:val="center"/>
        </w:trPr>
        <w:tc>
          <w:tcPr>
            <w:tcW w:w="355" w:type="pct"/>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7#</w:t>
            </w:r>
          </w:p>
        </w:tc>
        <w:tc>
          <w:tcPr>
            <w:tcW w:w="676" w:type="pct"/>
            <w:tcBorders>
              <w:right w:val="single" w:color="auto" w:sz="2" w:space="0"/>
            </w:tcBorders>
            <w:vAlign w:val="center"/>
          </w:tcPr>
          <w:p>
            <w:pPr>
              <w:pStyle w:val="666"/>
              <w:rPr>
                <w:rFonts w:hint="default" w:ascii="Times New Roman" w:hAnsi="Times New Roman" w:cs="Times New Roman" w:eastAsiaTheme="minorEastAsia"/>
                <w:color w:val="auto"/>
                <w:highlight w:val="none"/>
                <w:lang w:eastAsia="zh-CN"/>
              </w:rPr>
            </w:pPr>
            <w:r>
              <w:rPr>
                <w:rFonts w:hint="default" w:ascii="Times New Roman" w:hAnsi="Times New Roman" w:cs="Times New Roman" w:eastAsiaTheme="minorEastAsia"/>
                <w:snapToGrid w:val="0"/>
                <w:color w:val="auto"/>
                <w:highlight w:val="none"/>
                <w:lang w:eastAsia="zh-CN"/>
              </w:rPr>
              <w:t>红星</w:t>
            </w:r>
            <w:r>
              <w:rPr>
                <w:rFonts w:hint="default" w:ascii="Times New Roman" w:hAnsi="Times New Roman" w:cs="Times New Roman" w:eastAsiaTheme="minorEastAsia"/>
                <w:snapToGrid w:val="0"/>
                <w:color w:val="auto"/>
                <w:highlight w:val="none"/>
              </w:rPr>
              <w:t>村</w:t>
            </w:r>
          </w:p>
        </w:tc>
        <w:tc>
          <w:tcPr>
            <w:tcW w:w="508" w:type="pct"/>
            <w:tcBorders>
              <w:top w:val="single" w:color="auto" w:sz="4" w:space="0"/>
              <w:bottom w:val="single" w:color="auto" w:sz="4" w:space="0"/>
            </w:tcBorders>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bCs/>
                <w:color w:val="auto"/>
                <w:kern w:val="0"/>
                <w:sz w:val="21"/>
                <w:szCs w:val="21"/>
                <w:highlight w:val="none"/>
                <w:lang w:val="en-US" w:eastAsia="zh-CN" w:bidi="ar-SA"/>
              </w:rPr>
              <w:t>20</w:t>
            </w:r>
          </w:p>
        </w:tc>
        <w:tc>
          <w:tcPr>
            <w:tcW w:w="595" w:type="pct"/>
            <w:tcBorders>
              <w:top w:val="single" w:color="auto" w:sz="4" w:space="0"/>
              <w:bottom w:val="single" w:color="auto" w:sz="4" w:space="0"/>
              <w:right w:val="single" w:color="auto" w:sz="2" w:space="0"/>
            </w:tcBorders>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bCs/>
                <w:color w:val="auto"/>
                <w:kern w:val="0"/>
                <w:sz w:val="21"/>
                <w:szCs w:val="21"/>
                <w:highlight w:val="none"/>
                <w:lang w:val="en-US" w:eastAsia="zh-CN" w:bidi="ar-SA"/>
              </w:rPr>
              <w:t>11</w:t>
            </w:r>
          </w:p>
        </w:tc>
        <w:tc>
          <w:tcPr>
            <w:tcW w:w="932" w:type="pct"/>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rPr>
              <w:t>E 12</w:t>
            </w:r>
            <w:r>
              <w:rPr>
                <w:rFonts w:hint="default" w:ascii="Times New Roman" w:hAnsi="Times New Roman" w:cs="Times New Roman" w:eastAsiaTheme="minorEastAsia"/>
                <w:color w:val="auto"/>
                <w:highlight w:val="none"/>
                <w:lang w:val="en-US" w:eastAsia="zh-CN"/>
              </w:rPr>
              <w:t>5.445123</w:t>
            </w:r>
          </w:p>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rPr>
              <w:t xml:space="preserve">N </w:t>
            </w:r>
            <w:r>
              <w:rPr>
                <w:rFonts w:hint="default" w:ascii="Times New Roman" w:hAnsi="Times New Roman" w:cs="Times New Roman" w:eastAsiaTheme="minorEastAsia"/>
                <w:color w:val="auto"/>
                <w:highlight w:val="none"/>
                <w:lang w:val="en-US" w:eastAsia="zh-CN"/>
              </w:rPr>
              <w:t>46.488718</w:t>
            </w:r>
          </w:p>
        </w:tc>
        <w:tc>
          <w:tcPr>
            <w:tcW w:w="678" w:type="pct"/>
            <w:tcBorders>
              <w:right w:val="single" w:color="auto" w:sz="2" w:space="0"/>
            </w:tcBorders>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rPr>
              <w:t>水位</w:t>
            </w:r>
          </w:p>
        </w:tc>
        <w:tc>
          <w:tcPr>
            <w:tcW w:w="425" w:type="pct"/>
            <w:tcBorders>
              <w:left w:val="single" w:color="auto" w:sz="2" w:space="0"/>
            </w:tcBorders>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rPr>
              <w:t>潜水</w:t>
            </w:r>
          </w:p>
        </w:tc>
        <w:tc>
          <w:tcPr>
            <w:tcW w:w="533" w:type="pct"/>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bCs/>
                <w:color w:val="auto"/>
                <w:kern w:val="0"/>
                <w:sz w:val="21"/>
                <w:szCs w:val="21"/>
                <w:highlight w:val="none"/>
                <w:lang w:val="en-US" w:eastAsia="zh-CN" w:bidi="ar-SA"/>
              </w:rPr>
              <w:t>2589</w:t>
            </w:r>
          </w:p>
        </w:tc>
        <w:tc>
          <w:tcPr>
            <w:tcW w:w="294" w:type="pct"/>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rPr>
              <w:t>SE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70" w:hRule="atLeast"/>
          <w:jc w:val="center"/>
        </w:trPr>
        <w:tc>
          <w:tcPr>
            <w:tcW w:w="355" w:type="pct"/>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8#</w:t>
            </w:r>
          </w:p>
        </w:tc>
        <w:tc>
          <w:tcPr>
            <w:tcW w:w="676" w:type="pct"/>
            <w:tcBorders>
              <w:right w:val="single" w:color="auto" w:sz="2" w:space="0"/>
            </w:tcBorders>
            <w:vAlign w:val="center"/>
          </w:tcPr>
          <w:p>
            <w:pPr>
              <w:pStyle w:val="666"/>
              <w:rPr>
                <w:rFonts w:hint="default" w:ascii="Times New Roman" w:hAnsi="Times New Roman" w:cs="Times New Roman" w:eastAsiaTheme="minorEastAsia"/>
                <w:color w:val="auto"/>
                <w:highlight w:val="none"/>
                <w:lang w:eastAsia="zh-CN"/>
              </w:rPr>
            </w:pPr>
            <w:r>
              <w:rPr>
                <w:rFonts w:hint="default" w:ascii="Times New Roman" w:hAnsi="Times New Roman" w:cs="Times New Roman" w:eastAsiaTheme="minorEastAsia"/>
                <w:snapToGrid w:val="0"/>
                <w:color w:val="auto"/>
                <w:highlight w:val="none"/>
                <w:lang w:eastAsia="zh-CN"/>
              </w:rPr>
              <w:t>红星</w:t>
            </w:r>
            <w:r>
              <w:rPr>
                <w:rFonts w:hint="default" w:ascii="Times New Roman" w:hAnsi="Times New Roman" w:cs="Times New Roman" w:eastAsiaTheme="minorEastAsia"/>
                <w:snapToGrid w:val="0"/>
                <w:color w:val="auto"/>
                <w:highlight w:val="none"/>
              </w:rPr>
              <w:t>村</w:t>
            </w:r>
          </w:p>
        </w:tc>
        <w:tc>
          <w:tcPr>
            <w:tcW w:w="508" w:type="pct"/>
            <w:tcBorders>
              <w:top w:val="single" w:color="auto" w:sz="4" w:space="0"/>
            </w:tcBorders>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bCs/>
                <w:color w:val="auto"/>
                <w:kern w:val="0"/>
                <w:sz w:val="21"/>
                <w:szCs w:val="21"/>
                <w:highlight w:val="none"/>
                <w:lang w:val="en-US" w:eastAsia="zh-CN" w:bidi="ar-SA"/>
              </w:rPr>
              <w:t>18</w:t>
            </w:r>
          </w:p>
        </w:tc>
        <w:tc>
          <w:tcPr>
            <w:tcW w:w="595" w:type="pct"/>
            <w:tcBorders>
              <w:top w:val="single" w:color="auto" w:sz="4" w:space="0"/>
              <w:right w:val="single" w:color="auto" w:sz="2" w:space="0"/>
            </w:tcBorders>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bCs/>
                <w:color w:val="auto"/>
                <w:kern w:val="0"/>
                <w:sz w:val="21"/>
                <w:szCs w:val="21"/>
                <w:highlight w:val="none"/>
                <w:lang w:val="en-US" w:eastAsia="zh-CN" w:bidi="ar-SA"/>
              </w:rPr>
              <w:t>11</w:t>
            </w:r>
          </w:p>
        </w:tc>
        <w:tc>
          <w:tcPr>
            <w:tcW w:w="932" w:type="pct"/>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rPr>
              <w:t>E 12</w:t>
            </w:r>
            <w:r>
              <w:rPr>
                <w:rFonts w:hint="default" w:ascii="Times New Roman" w:hAnsi="Times New Roman" w:cs="Times New Roman" w:eastAsiaTheme="minorEastAsia"/>
                <w:color w:val="auto"/>
                <w:highlight w:val="none"/>
                <w:lang w:val="en-US" w:eastAsia="zh-CN"/>
              </w:rPr>
              <w:t>5.445065</w:t>
            </w:r>
          </w:p>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rPr>
              <w:t xml:space="preserve">N </w:t>
            </w:r>
            <w:r>
              <w:rPr>
                <w:rFonts w:hint="default" w:ascii="Times New Roman" w:hAnsi="Times New Roman" w:cs="Times New Roman" w:eastAsiaTheme="minorEastAsia"/>
                <w:color w:val="auto"/>
                <w:highlight w:val="none"/>
                <w:lang w:val="en-US" w:eastAsia="zh-CN"/>
              </w:rPr>
              <w:t>46.4885532</w:t>
            </w:r>
          </w:p>
        </w:tc>
        <w:tc>
          <w:tcPr>
            <w:tcW w:w="678" w:type="pct"/>
            <w:tcBorders>
              <w:right w:val="single" w:color="auto" w:sz="2" w:space="0"/>
            </w:tcBorders>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rPr>
              <w:t>水位</w:t>
            </w:r>
          </w:p>
        </w:tc>
        <w:tc>
          <w:tcPr>
            <w:tcW w:w="425" w:type="pct"/>
            <w:tcBorders>
              <w:left w:val="single" w:color="auto" w:sz="2" w:space="0"/>
            </w:tcBorders>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color w:val="auto"/>
                <w:highlight w:val="none"/>
              </w:rPr>
              <w:t>潜水</w:t>
            </w:r>
          </w:p>
        </w:tc>
        <w:tc>
          <w:tcPr>
            <w:tcW w:w="533" w:type="pct"/>
            <w:vAlign w:val="center"/>
          </w:tcPr>
          <w:p>
            <w:pPr>
              <w:pStyle w:val="666"/>
              <w:ind w:firstLine="0" w:firstLineChars="0"/>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bCs/>
                <w:color w:val="auto"/>
                <w:kern w:val="0"/>
                <w:sz w:val="21"/>
                <w:szCs w:val="21"/>
                <w:highlight w:val="none"/>
                <w:lang w:val="en-US" w:eastAsia="zh-CN" w:bidi="ar-SA"/>
              </w:rPr>
              <w:t>2603</w:t>
            </w:r>
          </w:p>
        </w:tc>
        <w:tc>
          <w:tcPr>
            <w:tcW w:w="294" w:type="pct"/>
            <w:vAlign w:val="center"/>
          </w:tcPr>
          <w:p>
            <w:pPr>
              <w:pStyle w:val="666"/>
              <w:ind w:firstLine="0" w:firstLineChars="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SE</w:t>
            </w:r>
          </w:p>
        </w:tc>
      </w:tr>
      <w:bookmarkEnd w:id="139"/>
    </w:tbl>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bookmarkStart w:id="141" w:name="_Toc2886"/>
      <w:r>
        <w:rPr>
          <w:rFonts w:hint="default" w:ascii="Times New Roman" w:hAnsi="Times New Roman" w:cs="Times New Roman" w:eastAsiaTheme="minorEastAsia"/>
          <w:color w:val="000000" w:themeColor="text1"/>
          <w:sz w:val="24"/>
          <w:szCs w:val="24"/>
          <w14:textFill>
            <w14:solidFill>
              <w14:schemeClr w14:val="tx1"/>
            </w14:solidFill>
          </w14:textFill>
        </w:rPr>
        <w:t>（2）评价标准</w:t>
      </w:r>
      <w:bookmarkEnd w:id="140"/>
      <w:bookmarkEnd w:id="141"/>
    </w:p>
    <w:p>
      <w:pPr>
        <w:widowControl w:val="0"/>
        <w:adjustRightInd/>
        <w:snapToGrid/>
        <w:ind w:firstLine="560"/>
        <w:rPr>
          <w:rFonts w:hint="default" w:ascii="Times New Roman" w:hAnsi="Times New Roman" w:cs="Times New Roman" w:eastAsiaTheme="minorEastAsia"/>
          <w:bCs/>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根据评价区地下水水质状况和使用功能，地下水评价执行《地下水质量标准》(GB/T14848-2017)Ⅲ类标准。</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bookmarkStart w:id="142" w:name="_Toc1593"/>
      <w:r>
        <w:rPr>
          <w:rFonts w:hint="default" w:ascii="Times New Roman" w:hAnsi="Times New Roman" w:cs="Times New Roman" w:eastAsiaTheme="minorEastAsia"/>
          <w:color w:val="000000" w:themeColor="text1"/>
          <w:sz w:val="24"/>
          <w:szCs w:val="24"/>
          <w14:textFill>
            <w14:solidFill>
              <w14:schemeClr w14:val="tx1"/>
            </w14:solidFill>
          </w14:textFill>
        </w:rPr>
        <w:t>（3）水质监测项目及分析方法</w:t>
      </w:r>
      <w:bookmarkEnd w:id="142"/>
    </w:p>
    <w:p>
      <w:pPr>
        <w:widowControl w:val="0"/>
        <w:adjustRightInd/>
        <w:snapToGrid/>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钾离子、钠离子、钙离子、镁离子、碳酸根离子、碳酸氢根离子、氯离子、硫酸根、pH、总硬度、溶解性总固体、耗氧量、挥发酚、氰化物、氟化物、硝酸盐、亚硝酸盐、氨氮、六价铬、砷、铅、铁、汞、锰、镉、石油类、总大肠菌群、菌落总数、氯化物、硫酸盐共30项。</w:t>
      </w:r>
    </w:p>
    <w:p>
      <w:pPr>
        <w:widowControl w:val="0"/>
        <w:adjustRightInd/>
        <w:snapToGrid/>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采样和分析方法按照《地下水环境监测技术规范》（HJ164-2020）和《生活饮用水标准检验方法》（GB5750-2006）执行。</w:t>
      </w:r>
    </w:p>
    <w:p>
      <w:pPr>
        <w:widowControl w:val="0"/>
        <w:adjustRightInd/>
        <w:snapToGrid/>
        <w:ind w:firstLine="560"/>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（4）监测时间： 2021年</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10</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月</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29</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日。</w:t>
      </w:r>
    </w:p>
    <w:p>
      <w:pPr>
        <w:ind w:firstLine="0" w:firstLineChars="0"/>
        <w:outlineLvl w:val="3"/>
        <w:rPr>
          <w:rFonts w:hint="default" w:ascii="Times New Roman" w:hAnsi="Times New Roman" w:cs="Times New Roman" w:eastAsiaTheme="minorEastAsia"/>
          <w:color w:val="000000" w:themeColor="text1"/>
          <w:sz w:val="24"/>
          <w:szCs w:val="24"/>
          <w14:textFill>
            <w14:solidFill>
              <w14:schemeClr w14:val="tx1"/>
            </w14:solidFill>
          </w14:textFill>
        </w:rPr>
      </w:pPr>
      <w:bookmarkStart w:id="143" w:name="_Toc343255177"/>
      <w:bookmarkStart w:id="144" w:name="_Toc344376180"/>
      <w:bookmarkStart w:id="145" w:name="_Toc19999"/>
      <w:bookmarkStart w:id="146" w:name="_Toc26431"/>
      <w:bookmarkStart w:id="147" w:name="_Toc534561192"/>
      <w:r>
        <w:rPr>
          <w:rFonts w:hint="default" w:ascii="Times New Roman" w:hAnsi="Times New Roman" w:cs="Times New Roman" w:eastAsiaTheme="minorEastAsia"/>
          <w:color w:val="000000" w:themeColor="text1"/>
          <w:sz w:val="24"/>
          <w:szCs w:val="24"/>
          <w14:textFill>
            <w14:solidFill>
              <w14:schemeClr w14:val="tx1"/>
            </w14:solidFill>
          </w14:textFill>
        </w:rPr>
        <w:t>4.3.3.2 地下水现状评价</w:t>
      </w:r>
      <w:bookmarkEnd w:id="143"/>
      <w:bookmarkEnd w:id="144"/>
      <w:bookmarkEnd w:id="145"/>
      <w:bookmarkEnd w:id="146"/>
      <w:bookmarkEnd w:id="147"/>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（1）评价方法</w:t>
      </w:r>
    </w:p>
    <w:p>
      <w:pPr>
        <w:widowControl w:val="0"/>
        <w:adjustRightInd/>
        <w:snapToGrid/>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根据《环境影响评价技术导则 地下水环境》（HJ610-2016），本次地下水现状评价以评价区域地下水水体各监测点位的水质单项指标测定值作为水质评价参数，对照《地下水质量标准》（GB/T14848-2017）Ⅲ类标准，采用标准指数法进行水质参数的评价。</w:t>
      </w:r>
    </w:p>
    <w:p>
      <w:pPr>
        <w:widowControl w:val="0"/>
        <w:adjustRightInd/>
        <w:snapToGrid/>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对于评价标准为定值的水质因子，其标准指数计算公式：</w:t>
      </w:r>
    </w:p>
    <w:p>
      <w:pPr>
        <w:widowControl w:val="0"/>
        <w:adjustRightInd/>
        <w:snapToGrid/>
        <w:spacing w:line="240" w:lineRule="auto"/>
        <w:ind w:firstLine="560"/>
        <w:jc w:val="center"/>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drawing>
          <wp:inline distT="0" distB="0" distL="0" distR="0">
            <wp:extent cx="660400" cy="508000"/>
            <wp:effectExtent l="0" t="0" r="0" b="6350"/>
            <wp:docPr id="14" name="对象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对象 7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60400" cy="508000"/>
                    </a:xfrm>
                    <a:prstGeom prst="rect">
                      <a:avLst/>
                    </a:prstGeom>
                    <a:noFill/>
                    <a:ln>
                      <a:noFill/>
                    </a:ln>
                  </pic:spPr>
                </pic:pic>
              </a:graphicData>
            </a:graphic>
          </wp:inline>
        </w:drawing>
      </w:r>
    </w:p>
    <w:p>
      <w:pPr>
        <w:widowControl w:val="0"/>
        <w:adjustRightInd/>
        <w:snapToGrid/>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式中：</w:t>
      </w:r>
    </w:p>
    <w:p>
      <w:pPr>
        <w:widowControl w:val="0"/>
        <w:adjustRightInd/>
        <w:snapToGrid/>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P</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i</w:t>
      </w:r>
      <w:r>
        <w:rPr>
          <w:rFonts w:hint="default" w:ascii="Times New Roman" w:hAnsi="Times New Roman" w:cs="Times New Roman" w:eastAsiaTheme="minorEastAsia"/>
          <w:color w:val="000000" w:themeColor="text1"/>
          <w:sz w:val="24"/>
          <w:szCs w:val="24"/>
          <w14:textFill>
            <w14:solidFill>
              <w14:schemeClr w14:val="tx1"/>
            </w14:solidFill>
          </w14:textFill>
        </w:rPr>
        <w:t xml:space="preserve"> —第 i个水质因子的标准指数，无量纲；</w:t>
      </w:r>
    </w:p>
    <w:p>
      <w:pPr>
        <w:widowControl w:val="0"/>
        <w:adjustRightInd/>
        <w:snapToGrid/>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C</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i</w:t>
      </w:r>
      <w:r>
        <w:rPr>
          <w:rFonts w:hint="default" w:ascii="Times New Roman" w:hAnsi="Times New Roman" w:cs="Times New Roman" w:eastAsiaTheme="minorEastAsia"/>
          <w:color w:val="000000" w:themeColor="text1"/>
          <w:sz w:val="24"/>
          <w:szCs w:val="24"/>
          <w14:textFill>
            <w14:solidFill>
              <w14:schemeClr w14:val="tx1"/>
            </w14:solidFill>
          </w14:textFill>
        </w:rPr>
        <w:t>—第 i个水质因子的监测浓度值，mg/L；</w:t>
      </w:r>
    </w:p>
    <w:p>
      <w:pPr>
        <w:widowControl w:val="0"/>
        <w:adjustRightInd/>
        <w:snapToGrid/>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C</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si</w:t>
      </w:r>
      <w:r>
        <w:rPr>
          <w:rFonts w:hint="default" w:ascii="Times New Roman" w:hAnsi="Times New Roman" w:cs="Times New Roman" w:eastAsiaTheme="minorEastAsia"/>
          <w:color w:val="000000" w:themeColor="text1"/>
          <w:sz w:val="24"/>
          <w:szCs w:val="24"/>
          <w14:textFill>
            <w14:solidFill>
              <w14:schemeClr w14:val="tx1"/>
            </w14:solidFill>
          </w14:textFill>
        </w:rPr>
        <w:t>—第 i个水质因子的标准浓度值，mg/L。</w:t>
      </w:r>
    </w:p>
    <w:p>
      <w:pPr>
        <w:widowControl w:val="0"/>
        <w:adjustRightInd/>
        <w:snapToGrid/>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（2）对于评价标准为区间值的水质因子（如pH值），其标准指数计算公式：</w:t>
      </w:r>
    </w:p>
    <w:p>
      <w:pPr>
        <w:widowControl w:val="0"/>
        <w:adjustRightInd/>
        <w:snapToGrid/>
        <w:spacing w:line="240" w:lineRule="auto"/>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drawing>
          <wp:inline distT="0" distB="0" distL="0" distR="0">
            <wp:extent cx="1185545" cy="465455"/>
            <wp:effectExtent l="0" t="0" r="0" b="0"/>
            <wp:docPr id="15" name="对象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对象 7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185545" cy="465455"/>
                    </a:xfrm>
                    <a:prstGeom prst="rect">
                      <a:avLst/>
                    </a:prstGeom>
                    <a:noFill/>
                    <a:ln>
                      <a:noFill/>
                    </a:ln>
                  </pic:spPr>
                </pic:pic>
              </a:graphicData>
            </a:graphic>
          </wp:inline>
        </w:drawing>
      </w:r>
      <w:r>
        <w:rPr>
          <w:rFonts w:hint="default" w:ascii="Times New Roman" w:hAnsi="Times New Roman" w:cs="Times New Roman" w:eastAsiaTheme="minorEastAsia"/>
          <w:color w:val="000000" w:themeColor="text1"/>
          <w:sz w:val="24"/>
          <w:szCs w:val="24"/>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14:textFill>
            <w14:solidFill>
              <w14:schemeClr w14:val="tx1"/>
            </w14:solidFill>
          </w14:textFill>
        </w:rPr>
        <w:drawing>
          <wp:inline distT="0" distB="0" distL="0" distR="0">
            <wp:extent cx="652145" cy="228600"/>
            <wp:effectExtent l="0" t="0" r="0" b="0"/>
            <wp:docPr id="16" name="对象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对象 7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652145" cy="228600"/>
                    </a:xfrm>
                    <a:prstGeom prst="rect">
                      <a:avLst/>
                    </a:prstGeom>
                    <a:noFill/>
                    <a:ln>
                      <a:noFill/>
                    </a:ln>
                  </pic:spPr>
                </pic:pic>
              </a:graphicData>
            </a:graphic>
          </wp:inline>
        </w:drawing>
      </w:r>
    </w:p>
    <w:p>
      <w:pPr>
        <w:widowControl w:val="0"/>
        <w:adjustRightInd/>
        <w:snapToGrid/>
        <w:spacing w:line="240" w:lineRule="auto"/>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drawing>
          <wp:inline distT="0" distB="0" distL="0" distR="0">
            <wp:extent cx="1295400" cy="508000"/>
            <wp:effectExtent l="0" t="0" r="0" b="6350"/>
            <wp:docPr id="17" name="对象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对象 7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295400" cy="508000"/>
                    </a:xfrm>
                    <a:prstGeom prst="rect">
                      <a:avLst/>
                    </a:prstGeom>
                    <a:noFill/>
                    <a:ln>
                      <a:noFill/>
                    </a:ln>
                  </pic:spPr>
                </pic:pic>
              </a:graphicData>
            </a:graphic>
          </wp:inline>
        </w:drawing>
      </w:r>
      <w:r>
        <w:rPr>
          <w:rFonts w:hint="default" w:ascii="Times New Roman" w:hAnsi="Times New Roman" w:cs="Times New Roman" w:eastAsiaTheme="minorEastAsia"/>
          <w:color w:val="000000" w:themeColor="text1"/>
          <w:sz w:val="24"/>
          <w:szCs w:val="24"/>
          <w14:textFill>
            <w14:solidFill>
              <w14:schemeClr w14:val="tx1"/>
            </w14:solidFill>
          </w14:textFill>
        </w:rPr>
        <w:drawing>
          <wp:inline distT="0" distB="0" distL="0" distR="0">
            <wp:extent cx="652145" cy="228600"/>
            <wp:effectExtent l="0" t="0" r="0" b="0"/>
            <wp:docPr id="18" name="对象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对象 7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652145" cy="228600"/>
                    </a:xfrm>
                    <a:prstGeom prst="rect">
                      <a:avLst/>
                    </a:prstGeom>
                    <a:noFill/>
                    <a:ln>
                      <a:noFill/>
                    </a:ln>
                  </pic:spPr>
                </pic:pic>
              </a:graphicData>
            </a:graphic>
          </wp:inline>
        </w:drawing>
      </w:r>
    </w:p>
    <w:p>
      <w:pPr>
        <w:widowControl w:val="0"/>
        <w:adjustRightInd/>
        <w:snapToGrid/>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式中：</w:t>
      </w:r>
    </w:p>
    <w:p>
      <w:pPr>
        <w:widowControl w:val="0"/>
        <w:adjustRightInd/>
        <w:snapToGrid/>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P</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pH</w:t>
      </w:r>
      <w:r>
        <w:rPr>
          <w:rFonts w:hint="default" w:ascii="Times New Roman" w:hAnsi="Times New Roman" w:cs="Times New Roman" w:eastAsiaTheme="minorEastAsia"/>
          <w:color w:val="000000" w:themeColor="text1"/>
          <w:sz w:val="24"/>
          <w:szCs w:val="24"/>
          <w14:textFill>
            <w14:solidFill>
              <w14:schemeClr w14:val="tx1"/>
            </w14:solidFill>
          </w14:textFill>
        </w:rPr>
        <w:t>—pH的标准指数，无量纲；</w:t>
      </w:r>
    </w:p>
    <w:p>
      <w:pPr>
        <w:widowControl w:val="0"/>
        <w:adjustRightInd/>
        <w:snapToGrid/>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pH—pH监测值；</w:t>
      </w:r>
    </w:p>
    <w:p>
      <w:pPr>
        <w:widowControl w:val="0"/>
        <w:adjustRightInd/>
        <w:snapToGrid/>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pH</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su</w:t>
      </w:r>
      <w:r>
        <w:rPr>
          <w:rFonts w:hint="default" w:ascii="Times New Roman" w:hAnsi="Times New Roman" w:cs="Times New Roman" w:eastAsiaTheme="minorEastAsia"/>
          <w:color w:val="000000" w:themeColor="text1"/>
          <w:sz w:val="24"/>
          <w:szCs w:val="24"/>
          <w14:textFill>
            <w14:solidFill>
              <w14:schemeClr w14:val="tx1"/>
            </w14:solidFill>
          </w14:textFill>
        </w:rPr>
        <w:t>—标准中pH的上限值；</w:t>
      </w:r>
    </w:p>
    <w:p>
      <w:pPr>
        <w:widowControl w:val="0"/>
        <w:adjustRightInd/>
        <w:snapToGrid/>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pH</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sd</w:t>
      </w:r>
      <w:r>
        <w:rPr>
          <w:rFonts w:hint="default" w:ascii="Times New Roman" w:hAnsi="Times New Roman" w:cs="Times New Roman" w:eastAsiaTheme="minorEastAsia"/>
          <w:color w:val="000000" w:themeColor="text1"/>
          <w:sz w:val="24"/>
          <w:szCs w:val="24"/>
          <w14:textFill>
            <w14:solidFill>
              <w14:schemeClr w14:val="tx1"/>
            </w14:solidFill>
          </w14:textFill>
        </w:rPr>
        <w:t>—标准中 pH的下限值。</w:t>
      </w:r>
    </w:p>
    <w:p>
      <w:pPr>
        <w:widowControl w:val="0"/>
        <w:adjustRightInd/>
        <w:snapToGrid/>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标准指数P&gt;1时，即表明该水质因子已经超过了规定的水质标准，且指数越大，超标越严重。</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（2）监测结果与评价</w:t>
      </w:r>
    </w:p>
    <w:p>
      <w:pPr>
        <w:pStyle w:val="2"/>
        <w:spacing w:before="156"/>
        <w:ind w:firstLine="1088" w:firstLineChars="400"/>
        <w:jc w:val="both"/>
        <w:rPr>
          <w:rFonts w:hint="default" w:ascii="Times New Roman" w:hAnsi="Times New Roman" w:cs="Times New Roman" w:eastAsiaTheme="minorEastAsia"/>
          <w:b w:val="0"/>
          <w:bCs/>
          <w:color w:val="auto"/>
          <w:highlight w:val="none"/>
        </w:rPr>
      </w:pPr>
      <w:r>
        <w:rPr>
          <w:rFonts w:hint="default" w:ascii="Times New Roman" w:hAnsi="Times New Roman" w:cs="Times New Roman" w:eastAsiaTheme="minorEastAsia"/>
          <w:b w:val="0"/>
          <w:bCs/>
          <w:color w:val="auto"/>
          <w:highlight w:val="none"/>
        </w:rPr>
        <w:t>表4-3-</w:t>
      </w:r>
      <w:r>
        <w:rPr>
          <w:rFonts w:hint="default" w:ascii="Times New Roman" w:hAnsi="Times New Roman" w:cs="Times New Roman" w:eastAsiaTheme="minorEastAsia"/>
          <w:b w:val="0"/>
          <w:bCs/>
          <w:color w:val="auto"/>
          <w:highlight w:val="none"/>
          <w:lang w:val="en-US" w:eastAsia="zh-CN"/>
        </w:rPr>
        <w:t>8</w:t>
      </w:r>
      <w:r>
        <w:rPr>
          <w:rFonts w:hint="default" w:ascii="Times New Roman" w:hAnsi="Times New Roman" w:cs="Times New Roman" w:eastAsiaTheme="minorEastAsia"/>
          <w:b w:val="0"/>
          <w:bCs/>
          <w:color w:val="auto"/>
          <w:highlight w:val="none"/>
        </w:rPr>
        <w:t xml:space="preserve">  地下水水质监测与评价结果表  单位：mg/L</w:t>
      </w:r>
    </w:p>
    <w:p>
      <w:pPr>
        <w:pStyle w:val="2"/>
        <w:spacing w:before="156"/>
        <w:jc w:val="right"/>
        <w:rPr>
          <w:rFonts w:hint="default" w:ascii="Times New Roman" w:hAnsi="Times New Roman" w:cs="Times New Roman" w:eastAsiaTheme="minorEastAsia"/>
          <w:b w:val="0"/>
          <w:bCs/>
          <w:color w:val="auto"/>
          <w:sz w:val="18"/>
          <w:szCs w:val="18"/>
        </w:rPr>
      </w:pPr>
      <w:r>
        <w:rPr>
          <w:rFonts w:hint="default" w:ascii="Times New Roman" w:hAnsi="Times New Roman" w:cs="Times New Roman" w:eastAsiaTheme="minorEastAsia"/>
          <w:b w:val="0"/>
          <w:bCs/>
          <w:color w:val="auto"/>
          <w:sz w:val="18"/>
          <w:szCs w:val="18"/>
          <w:highlight w:val="none"/>
        </w:rPr>
        <w:t>（pH无量纲</w:t>
      </w:r>
      <w:r>
        <w:rPr>
          <w:rFonts w:hint="default" w:ascii="Times New Roman" w:hAnsi="Times New Roman" w:cs="Times New Roman" w:eastAsiaTheme="minorEastAsia"/>
          <w:b w:val="0"/>
          <w:bCs/>
          <w:color w:val="auto"/>
          <w:sz w:val="18"/>
          <w:szCs w:val="18"/>
          <w:highlight w:val="none"/>
          <w:lang w:eastAsia="zh-CN"/>
        </w:rPr>
        <w:t>、</w:t>
      </w:r>
      <w:r>
        <w:rPr>
          <w:rFonts w:hint="default" w:ascii="Times New Roman" w:hAnsi="Times New Roman" w:cs="Times New Roman" w:eastAsiaTheme="minorEastAsia"/>
          <w:b w:val="0"/>
          <w:bCs/>
          <w:color w:val="auto"/>
          <w:sz w:val="18"/>
          <w:szCs w:val="18"/>
          <w:highlight w:val="none"/>
        </w:rPr>
        <w:t>总大肠</w:t>
      </w:r>
      <w:r>
        <w:rPr>
          <w:rFonts w:hint="default" w:ascii="Times New Roman" w:hAnsi="Times New Roman" w:cs="Times New Roman" w:eastAsiaTheme="minorEastAsia"/>
          <w:b w:val="0"/>
          <w:bCs/>
          <w:color w:val="auto"/>
          <w:sz w:val="18"/>
          <w:szCs w:val="18"/>
        </w:rPr>
        <w:t>菌群MPN/100mL、菌落总数CFU/mL)</w:t>
      </w:r>
    </w:p>
    <w:tbl>
      <w:tblPr>
        <w:tblStyle w:val="91"/>
        <w:tblW w:w="88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59"/>
        <w:gridCol w:w="3130"/>
        <w:gridCol w:w="31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8"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监测日期</w:t>
            </w:r>
          </w:p>
        </w:tc>
        <w:tc>
          <w:tcPr>
            <w:tcW w:w="626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lang w:val="en-US"/>
              </w:rPr>
            </w:pPr>
            <w:r>
              <w:rPr>
                <w:rFonts w:hint="default" w:ascii="Times New Roman" w:hAnsi="Times New Roman" w:cs="Times New Roman" w:eastAsiaTheme="minorEastAsia"/>
                <w:color w:val="000000"/>
                <w:kern w:val="0"/>
                <w:sz w:val="21"/>
                <w:szCs w:val="21"/>
              </w:rPr>
              <w:t>202</w:t>
            </w:r>
            <w:r>
              <w:rPr>
                <w:rFonts w:hint="default" w:ascii="Times New Roman" w:hAnsi="Times New Roman" w:cs="Times New Roman" w:eastAsiaTheme="minorEastAsia"/>
                <w:color w:val="000000"/>
                <w:kern w:val="0"/>
                <w:sz w:val="21"/>
                <w:szCs w:val="21"/>
                <w:lang w:val="en-US" w:eastAsia="zh-CN"/>
              </w:rPr>
              <w:t>1</w:t>
            </w:r>
            <w:r>
              <w:rPr>
                <w:rFonts w:hint="default" w:ascii="Times New Roman" w:hAnsi="Times New Roman" w:cs="Times New Roman" w:eastAsiaTheme="minorEastAsia"/>
                <w:color w:val="000000"/>
                <w:kern w:val="0"/>
                <w:sz w:val="21"/>
                <w:szCs w:val="21"/>
              </w:rPr>
              <w:t>.</w:t>
            </w:r>
            <w:r>
              <w:rPr>
                <w:rFonts w:hint="default" w:ascii="Times New Roman" w:hAnsi="Times New Roman" w:cs="Times New Roman" w:eastAsiaTheme="minorEastAsia"/>
                <w:color w:val="000000"/>
                <w:kern w:val="0"/>
                <w:sz w:val="21"/>
                <w:szCs w:val="21"/>
                <w:lang w:val="en-US" w:eastAsia="zh-CN"/>
              </w:rPr>
              <w:t>10.29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8" w:hRule="exact"/>
          <w:jc w:val="center"/>
        </w:trPr>
        <w:tc>
          <w:tcPr>
            <w:tcW w:w="2559"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监测项目</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鞠家窑屯（潜水）</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24"/>
                <w:sz w:val="21"/>
                <w:szCs w:val="21"/>
                <w:lang w:eastAsia="zh-CN"/>
              </w:rPr>
            </w:pPr>
            <w:r>
              <w:rPr>
                <w:rFonts w:hint="default" w:ascii="Times New Roman" w:hAnsi="Times New Roman" w:cs="Times New Roman" w:eastAsiaTheme="minorEastAsia"/>
                <w:sz w:val="21"/>
                <w:szCs w:val="21"/>
                <w:lang w:val="en-US" w:eastAsia="zh-CN"/>
              </w:rPr>
              <w:t>鞠家窑屯</w:t>
            </w:r>
            <w:r>
              <w:rPr>
                <w:rFonts w:hint="default" w:ascii="Times New Roman" w:hAnsi="Times New Roman" w:cs="Times New Roman" w:eastAsiaTheme="minorEastAsia"/>
                <w:color w:val="000000"/>
                <w:kern w:val="24"/>
                <w:sz w:val="21"/>
                <w:szCs w:val="21"/>
                <w:lang w:eastAsia="zh-CN"/>
              </w:rPr>
              <w:t>（潜水）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exact"/>
          <w:jc w:val="center"/>
        </w:trPr>
        <w:tc>
          <w:tcPr>
            <w:tcW w:w="255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sz w:val="21"/>
                <w:szCs w:val="21"/>
              </w:rPr>
            </w:pP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kern w:val="0"/>
                <w:sz w:val="21"/>
                <w:szCs w:val="21"/>
              </w:rPr>
              <w:t>DX2</w:t>
            </w:r>
            <w:r>
              <w:rPr>
                <w:rFonts w:hint="default" w:ascii="Times New Roman" w:hAnsi="Times New Roman" w:cs="Times New Roman" w:eastAsiaTheme="minorEastAsia"/>
                <w:color w:val="000000"/>
                <w:kern w:val="0"/>
                <w:sz w:val="21"/>
                <w:szCs w:val="21"/>
                <w:lang w:val="en-US" w:eastAsia="zh-CN"/>
              </w:rPr>
              <w:t>11029F</w:t>
            </w:r>
            <w:r>
              <w:rPr>
                <w:rFonts w:hint="default" w:ascii="Times New Roman" w:hAnsi="Times New Roman" w:cs="Times New Roman" w:eastAsiaTheme="minorEastAsia"/>
                <w:color w:val="000000"/>
                <w:kern w:val="0"/>
                <w:sz w:val="21"/>
                <w:szCs w:val="21"/>
              </w:rPr>
              <w:t>0</w:t>
            </w:r>
            <w:r>
              <w:rPr>
                <w:rFonts w:hint="default" w:ascii="Times New Roman" w:hAnsi="Times New Roman" w:cs="Times New Roman" w:eastAsiaTheme="minorEastAsia"/>
                <w:color w:val="000000"/>
                <w:kern w:val="0"/>
                <w:sz w:val="21"/>
                <w:szCs w:val="21"/>
                <w:lang w:val="en-US" w:eastAsia="zh-CN"/>
              </w:rPr>
              <w:t>1</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rPr>
              <w:t>DX2</w:t>
            </w:r>
            <w:r>
              <w:rPr>
                <w:rFonts w:hint="default" w:ascii="Times New Roman" w:hAnsi="Times New Roman" w:cs="Times New Roman" w:eastAsiaTheme="minorEastAsia"/>
                <w:color w:val="000000"/>
                <w:kern w:val="0"/>
                <w:sz w:val="21"/>
                <w:szCs w:val="21"/>
                <w:lang w:val="en-US" w:eastAsia="zh-CN"/>
              </w:rPr>
              <w:t>11029F</w:t>
            </w:r>
            <w:r>
              <w:rPr>
                <w:rFonts w:hint="default" w:ascii="Times New Roman" w:hAnsi="Times New Roman" w:cs="Times New Roman" w:eastAsiaTheme="minorEastAsia"/>
                <w:color w:val="000000"/>
                <w:kern w:val="0"/>
                <w:sz w:val="21"/>
                <w:szCs w:val="21"/>
              </w:rPr>
              <w:t>0</w:t>
            </w:r>
            <w:r>
              <w:rPr>
                <w:rFonts w:hint="default" w:ascii="Times New Roman" w:hAnsi="Times New Roman" w:cs="Times New Roman" w:eastAsiaTheme="minorEastAsia"/>
                <w:color w:val="000000"/>
                <w:kern w:val="0"/>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9"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lang w:bidi="ar"/>
              </w:rPr>
              <w:t>K</w:t>
            </w:r>
            <w:r>
              <w:rPr>
                <w:rFonts w:hint="default" w:ascii="Times New Roman" w:hAnsi="Times New Roman" w:cs="Times New Roman" w:eastAsiaTheme="minorEastAsia"/>
                <w:color w:val="000000"/>
                <w:kern w:val="0"/>
                <w:sz w:val="21"/>
                <w:szCs w:val="21"/>
                <w:vertAlign w:val="superscript"/>
                <w:lang w:bidi="ar"/>
              </w:rPr>
              <w:t>+</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lang w:val="zh-CN" w:bidi="ar"/>
              </w:rPr>
            </w:pPr>
            <w:r>
              <w:rPr>
                <w:rFonts w:hint="default" w:ascii="Times New Roman" w:hAnsi="Times New Roman" w:cs="Times New Roman" w:eastAsiaTheme="minorEastAsia"/>
                <w:i w:val="0"/>
                <w:color w:val="000000"/>
                <w:kern w:val="0"/>
                <w:sz w:val="21"/>
                <w:szCs w:val="21"/>
                <w:u w:val="none"/>
                <w:lang w:val="en-US" w:eastAsia="zh-CN" w:bidi="ar"/>
              </w:rPr>
              <w:t>2.17</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lang w:val="en-US" w:bidi="ar"/>
              </w:rPr>
            </w:pPr>
            <w:r>
              <w:rPr>
                <w:rFonts w:hint="default" w:ascii="Times New Roman" w:hAnsi="Times New Roman" w:cs="Times New Roman" w:eastAsiaTheme="minorEastAsia"/>
                <w:i w:val="0"/>
                <w:color w:val="000000"/>
                <w:kern w:val="0"/>
                <w:sz w:val="21"/>
                <w:szCs w:val="21"/>
                <w:u w:val="none"/>
                <w:lang w:val="en-US" w:eastAsia="zh-CN" w:bidi="ar"/>
              </w:rPr>
              <w:t>1.99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7"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lang w:bidi="ar"/>
              </w:rPr>
              <w:t>Na</w:t>
            </w:r>
            <w:r>
              <w:rPr>
                <w:rFonts w:hint="default" w:ascii="Times New Roman" w:hAnsi="Times New Roman" w:cs="Times New Roman" w:eastAsiaTheme="minorEastAsia"/>
                <w:color w:val="000000"/>
                <w:kern w:val="0"/>
                <w:sz w:val="21"/>
                <w:szCs w:val="21"/>
                <w:vertAlign w:val="superscript"/>
                <w:lang w:bidi="ar"/>
              </w:rPr>
              <w:t>+</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lang w:val="zh-CN" w:bidi="ar"/>
              </w:rPr>
            </w:pPr>
            <w:r>
              <w:rPr>
                <w:rFonts w:hint="default" w:ascii="Times New Roman" w:hAnsi="Times New Roman" w:cs="Times New Roman" w:eastAsiaTheme="minorEastAsia"/>
                <w:i w:val="0"/>
                <w:color w:val="000000"/>
                <w:kern w:val="0"/>
                <w:sz w:val="21"/>
                <w:szCs w:val="21"/>
                <w:u w:val="none"/>
                <w:lang w:val="en-US" w:eastAsia="zh-CN" w:bidi="ar"/>
              </w:rPr>
              <w:t>60.6</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lang w:bidi="ar"/>
              </w:rPr>
            </w:pPr>
            <w:r>
              <w:rPr>
                <w:rFonts w:hint="default" w:ascii="Times New Roman" w:hAnsi="Times New Roman" w:cs="Times New Roman" w:eastAsiaTheme="minorEastAsia"/>
                <w:i w:val="0"/>
                <w:color w:val="000000"/>
                <w:kern w:val="0"/>
                <w:sz w:val="21"/>
                <w:szCs w:val="21"/>
                <w:u w:val="none"/>
                <w:lang w:val="en-US" w:eastAsia="zh-CN" w:bidi="ar"/>
              </w:rPr>
              <w:t>66.8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8"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lang w:bidi="ar"/>
              </w:rPr>
              <w:t>Ca</w:t>
            </w:r>
            <w:r>
              <w:rPr>
                <w:rFonts w:hint="default" w:ascii="Times New Roman" w:hAnsi="Times New Roman" w:cs="Times New Roman" w:eastAsiaTheme="minorEastAsia"/>
                <w:color w:val="000000"/>
                <w:kern w:val="0"/>
                <w:sz w:val="21"/>
                <w:szCs w:val="21"/>
                <w:vertAlign w:val="superscript"/>
                <w:lang w:bidi="ar"/>
              </w:rPr>
              <w:t>2+</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i w:val="0"/>
                <w:color w:val="000000"/>
                <w:kern w:val="0"/>
                <w:sz w:val="21"/>
                <w:szCs w:val="21"/>
                <w:u w:val="none"/>
                <w:lang w:val="en-US" w:eastAsia="zh-CN" w:bidi="ar"/>
              </w:rPr>
              <w:t>51.3</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i w:val="0"/>
                <w:color w:val="000000"/>
                <w:kern w:val="0"/>
                <w:sz w:val="21"/>
                <w:szCs w:val="21"/>
                <w:u w:val="none"/>
                <w:lang w:val="en-US" w:eastAsia="zh-CN" w:bidi="ar"/>
              </w:rPr>
              <w:t>57.5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0"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lang w:bidi="ar"/>
              </w:rPr>
              <w:t>Mg</w:t>
            </w:r>
            <w:r>
              <w:rPr>
                <w:rFonts w:hint="default" w:ascii="Times New Roman" w:hAnsi="Times New Roman" w:cs="Times New Roman" w:eastAsiaTheme="minorEastAsia"/>
                <w:color w:val="000000"/>
                <w:kern w:val="0"/>
                <w:sz w:val="21"/>
                <w:szCs w:val="21"/>
                <w:vertAlign w:val="superscript"/>
                <w:lang w:bidi="ar"/>
              </w:rPr>
              <w:t>2+</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i w:val="0"/>
                <w:color w:val="000000"/>
                <w:kern w:val="0"/>
                <w:sz w:val="21"/>
                <w:szCs w:val="21"/>
                <w:u w:val="none"/>
                <w:lang w:val="en-US" w:eastAsia="zh-CN" w:bidi="ar"/>
              </w:rPr>
              <w:t>10.8</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i w:val="0"/>
                <w:color w:val="000000"/>
                <w:kern w:val="0"/>
                <w:sz w:val="21"/>
                <w:szCs w:val="21"/>
                <w:u w:val="none"/>
                <w:lang w:val="en-US" w:eastAsia="zh-CN" w:bidi="ar"/>
              </w:rPr>
              <w:t>12.9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0"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lang w:bidi="ar"/>
              </w:rPr>
              <w:t>HCO</w:t>
            </w:r>
            <w:r>
              <w:rPr>
                <w:rFonts w:hint="default" w:ascii="Times New Roman" w:hAnsi="Times New Roman" w:cs="Times New Roman" w:eastAsiaTheme="minorEastAsia"/>
                <w:color w:val="000000"/>
                <w:kern w:val="0"/>
                <w:sz w:val="21"/>
                <w:szCs w:val="21"/>
                <w:vertAlign w:val="subscript"/>
                <w:lang w:bidi="ar"/>
              </w:rPr>
              <w:t>3</w:t>
            </w:r>
            <w:r>
              <w:rPr>
                <w:rFonts w:hint="default" w:ascii="Times New Roman" w:hAnsi="Times New Roman" w:cs="Times New Roman" w:eastAsiaTheme="minorEastAsia"/>
                <w:color w:val="000000"/>
                <w:kern w:val="0"/>
                <w:sz w:val="21"/>
                <w:szCs w:val="21"/>
                <w:vertAlign w:val="superscript"/>
                <w:lang w:bidi="ar"/>
              </w:rPr>
              <w:t>-</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i w:val="0"/>
                <w:color w:val="000000"/>
                <w:kern w:val="0"/>
                <w:sz w:val="21"/>
                <w:szCs w:val="21"/>
                <w:u w:val="none"/>
                <w:lang w:val="en-US" w:eastAsia="zh-CN" w:bidi="ar"/>
              </w:rPr>
              <w:t>233</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i w:val="0"/>
                <w:color w:val="000000"/>
                <w:kern w:val="0"/>
                <w:sz w:val="21"/>
                <w:szCs w:val="21"/>
                <w:u w:val="none"/>
                <w:lang w:val="en-US" w:eastAsia="zh-CN" w:bidi="ar"/>
              </w:rPr>
              <w:t>285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lang w:bidi="ar"/>
              </w:rPr>
              <w:t>CO</w:t>
            </w:r>
            <w:r>
              <w:rPr>
                <w:rFonts w:hint="default" w:ascii="Times New Roman" w:hAnsi="Times New Roman" w:cs="Times New Roman" w:eastAsiaTheme="minorEastAsia"/>
                <w:color w:val="000000"/>
                <w:kern w:val="0"/>
                <w:sz w:val="21"/>
                <w:szCs w:val="21"/>
                <w:vertAlign w:val="subscript"/>
                <w:lang w:bidi="ar"/>
              </w:rPr>
              <w:t>3</w:t>
            </w:r>
            <w:r>
              <w:rPr>
                <w:rFonts w:hint="default" w:ascii="Times New Roman" w:hAnsi="Times New Roman" w:cs="Times New Roman" w:eastAsiaTheme="minorEastAsia"/>
                <w:color w:val="000000"/>
                <w:kern w:val="0"/>
                <w:sz w:val="21"/>
                <w:szCs w:val="21"/>
                <w:vertAlign w:val="superscript"/>
                <w:lang w:bidi="ar"/>
              </w:rPr>
              <w:t>2-</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i w:val="0"/>
                <w:color w:val="000000"/>
                <w:kern w:val="0"/>
                <w:sz w:val="21"/>
                <w:szCs w:val="21"/>
                <w:u w:val="none"/>
                <w:lang w:val="en-US" w:eastAsia="zh-CN" w:bidi="ar"/>
              </w:rPr>
              <w:t>0</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i w:val="0"/>
                <w:color w:val="000000"/>
                <w:kern w:val="0"/>
                <w:sz w:val="21"/>
                <w:szCs w:val="21"/>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8"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lang w:bidi="ar"/>
              </w:rPr>
              <w:t>Cl</w:t>
            </w:r>
            <w:r>
              <w:rPr>
                <w:rFonts w:hint="default" w:ascii="Times New Roman" w:hAnsi="Times New Roman" w:cs="Times New Roman" w:eastAsiaTheme="minorEastAsia"/>
                <w:color w:val="000000"/>
                <w:kern w:val="0"/>
                <w:sz w:val="21"/>
                <w:szCs w:val="21"/>
                <w:vertAlign w:val="superscript"/>
                <w:lang w:bidi="ar"/>
              </w:rPr>
              <w:t>-</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i w:val="0"/>
                <w:color w:val="000000"/>
                <w:kern w:val="0"/>
                <w:sz w:val="21"/>
                <w:szCs w:val="21"/>
                <w:u w:val="none"/>
                <w:lang w:val="en-US" w:eastAsia="zh-CN" w:bidi="ar"/>
              </w:rPr>
              <w:t>51.4</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i w:val="0"/>
                <w:color w:val="000000"/>
                <w:kern w:val="0"/>
                <w:sz w:val="21"/>
                <w:szCs w:val="21"/>
                <w:u w:val="none"/>
                <w:lang w:val="en-US" w:eastAsia="zh-CN" w:bidi="ar"/>
              </w:rPr>
              <w:t>48.7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6"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lang w:bidi="ar"/>
              </w:rPr>
              <w:t>SO</w:t>
            </w:r>
            <w:r>
              <w:rPr>
                <w:rFonts w:hint="default" w:ascii="Times New Roman" w:hAnsi="Times New Roman" w:cs="Times New Roman" w:eastAsiaTheme="minorEastAsia"/>
                <w:color w:val="000000"/>
                <w:kern w:val="0"/>
                <w:sz w:val="21"/>
                <w:szCs w:val="21"/>
                <w:vertAlign w:val="subscript"/>
                <w:lang w:bidi="ar"/>
              </w:rPr>
              <w:t>4</w:t>
            </w:r>
            <w:r>
              <w:rPr>
                <w:rFonts w:hint="default" w:ascii="Times New Roman" w:hAnsi="Times New Roman" w:cs="Times New Roman" w:eastAsiaTheme="minorEastAsia"/>
                <w:color w:val="000000"/>
                <w:kern w:val="0"/>
                <w:sz w:val="21"/>
                <w:szCs w:val="21"/>
                <w:vertAlign w:val="superscript"/>
                <w:lang w:bidi="ar"/>
              </w:rPr>
              <w:t>2-</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lang w:val="zh-CN" w:eastAsia="zh-CN" w:bidi="ar"/>
              </w:rPr>
            </w:pPr>
            <w:r>
              <w:rPr>
                <w:rFonts w:hint="default" w:ascii="Times New Roman" w:hAnsi="Times New Roman" w:cs="Times New Roman" w:eastAsiaTheme="minorEastAsia"/>
                <w:i w:val="0"/>
                <w:color w:val="000000"/>
                <w:kern w:val="0"/>
                <w:sz w:val="21"/>
                <w:szCs w:val="21"/>
                <w:u w:val="none"/>
                <w:lang w:val="en-US" w:eastAsia="zh-CN" w:bidi="ar"/>
              </w:rPr>
              <w:t>47.1</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i w:val="0"/>
                <w:color w:val="000000"/>
                <w:kern w:val="0"/>
                <w:sz w:val="21"/>
                <w:szCs w:val="21"/>
                <w:u w:val="none"/>
                <w:lang w:val="en-US" w:eastAsia="zh-CN" w:bidi="ar"/>
              </w:rPr>
              <w:t>36.4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7"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pH</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7.9</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4"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rPr>
              <w:t>总硬度（以CaCO</w:t>
            </w:r>
            <w:r>
              <w:rPr>
                <w:rFonts w:hint="default" w:ascii="Times New Roman" w:hAnsi="Times New Roman" w:cs="Times New Roman" w:eastAsiaTheme="minorEastAsia"/>
                <w:color w:val="000000"/>
                <w:kern w:val="0"/>
                <w:sz w:val="21"/>
                <w:szCs w:val="21"/>
                <w:vertAlign w:val="subscript"/>
              </w:rPr>
              <w:t>3</w:t>
            </w:r>
            <w:r>
              <w:rPr>
                <w:rFonts w:hint="default" w:ascii="Times New Roman" w:hAnsi="Times New Roman" w:cs="Times New Roman" w:eastAsiaTheme="minorEastAsia"/>
                <w:color w:val="000000"/>
                <w:kern w:val="0"/>
                <w:sz w:val="21"/>
                <w:szCs w:val="21"/>
              </w:rPr>
              <w:t>计）</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bidi="ar-SA"/>
              </w:rPr>
              <w:t>173</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198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4"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溶解性总固体</w:t>
            </w:r>
          </w:p>
        </w:tc>
        <w:tc>
          <w:tcPr>
            <w:tcW w:w="3130" w:type="dxa"/>
            <w:tcBorders>
              <w:tl2br w:val="nil"/>
              <w:tr2bl w:val="nil"/>
            </w:tcBorders>
            <w:noWrap w:val="0"/>
            <w:vAlign w:val="bottom"/>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bottom"/>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bidi="ar-SA"/>
              </w:rPr>
              <w:t>543</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608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8"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耗氧量(</w:t>
            </w:r>
            <w:r>
              <w:rPr>
                <w:rFonts w:hint="default" w:ascii="Times New Roman" w:hAnsi="Times New Roman" w:cs="Times New Roman" w:eastAsiaTheme="minorEastAsia"/>
                <w:color w:val="000000"/>
                <w:sz w:val="21"/>
                <w:szCs w:val="21"/>
                <w:shd w:val="clear" w:color="auto" w:fill="FFFFFF"/>
              </w:rPr>
              <w:t>COD</w:t>
            </w:r>
            <w:r>
              <w:rPr>
                <w:rFonts w:hint="default" w:ascii="Times New Roman" w:hAnsi="Times New Roman" w:cs="Times New Roman" w:eastAsiaTheme="minorEastAsia"/>
                <w:sz w:val="21"/>
                <w:szCs w:val="21"/>
                <w:vertAlign w:val="subscript"/>
              </w:rPr>
              <w:t>Mn</w:t>
            </w:r>
            <w:r>
              <w:rPr>
                <w:rFonts w:hint="default" w:ascii="Times New Roman" w:hAnsi="Times New Roman" w:cs="Times New Roman" w:eastAsiaTheme="minorEastAsia"/>
                <w:color w:val="000000"/>
                <w:sz w:val="21"/>
                <w:szCs w:val="21"/>
                <w:shd w:val="clear" w:color="auto" w:fill="FFFFFF"/>
              </w:rPr>
              <w:t>法，以O</w:t>
            </w:r>
            <w:r>
              <w:rPr>
                <w:rFonts w:hint="default" w:ascii="Times New Roman" w:hAnsi="Times New Roman" w:cs="Times New Roman" w:eastAsiaTheme="minorEastAsia"/>
                <w:color w:val="000000"/>
                <w:sz w:val="21"/>
                <w:szCs w:val="21"/>
                <w:shd w:val="clear" w:color="auto" w:fill="FFFFFF"/>
                <w:vertAlign w:val="subscript"/>
              </w:rPr>
              <w:t>2</w:t>
            </w:r>
            <w:r>
              <w:rPr>
                <w:rFonts w:hint="default" w:ascii="Times New Roman" w:hAnsi="Times New Roman" w:cs="Times New Roman" w:eastAsiaTheme="minorEastAsia"/>
                <w:color w:val="000000"/>
                <w:sz w:val="21"/>
                <w:szCs w:val="21"/>
                <w:shd w:val="clear" w:color="auto" w:fill="FFFFFF"/>
              </w:rPr>
              <w:t>计)</w:t>
            </w:r>
          </w:p>
        </w:tc>
        <w:tc>
          <w:tcPr>
            <w:tcW w:w="3130" w:type="dxa"/>
            <w:tcBorders>
              <w:tl2br w:val="nil"/>
              <w:tr2bl w:val="nil"/>
            </w:tcBorders>
            <w:noWrap w:val="0"/>
            <w:vAlign w:val="bottom"/>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bottom"/>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bidi="ar-SA"/>
              </w:rPr>
              <w:t>2.3</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bottom"/>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8"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挥发酚</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highlight w:val="none"/>
              </w:rPr>
              <w:t>0.0003L</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highlight w:val="none"/>
              </w:rPr>
              <w:t>0.0003L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4"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sz w:val="21"/>
                <w:szCs w:val="21"/>
              </w:rPr>
              <w:t>氰化物</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highlight w:val="none"/>
              </w:rPr>
              <w:t>0.004L</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highlight w:val="none"/>
              </w:rPr>
              <w:t>0.004L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5"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氟化物</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highlight w:val="none"/>
              </w:rPr>
              <w:t>0.</w:t>
            </w:r>
            <w:r>
              <w:rPr>
                <w:rFonts w:hint="default" w:ascii="Times New Roman" w:hAnsi="Times New Roman" w:cs="Times New Roman" w:eastAsiaTheme="minorEastAsia"/>
                <w:color w:val="000000"/>
                <w:sz w:val="21"/>
                <w:szCs w:val="21"/>
                <w:highlight w:val="none"/>
                <w:lang w:val="en-US" w:eastAsia="zh-CN"/>
              </w:rPr>
              <w:t>537</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highlight w:val="none"/>
              </w:rPr>
              <w:t>0.</w:t>
            </w:r>
            <w:r>
              <w:rPr>
                <w:rFonts w:hint="default" w:ascii="Times New Roman" w:hAnsi="Times New Roman" w:cs="Times New Roman" w:eastAsiaTheme="minorEastAsia"/>
                <w:color w:val="000000"/>
                <w:sz w:val="21"/>
                <w:szCs w:val="21"/>
                <w:highlight w:val="none"/>
                <w:lang w:val="en-US" w:eastAsia="zh-CN"/>
              </w:rPr>
              <w:t>612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硝酸盐(以N计)</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kern w:val="2"/>
                <w:sz w:val="21"/>
                <w:szCs w:val="21"/>
                <w:highlight w:val="none"/>
                <w:lang w:val="en-US" w:eastAsia="zh-CN" w:bidi="ar-SA"/>
              </w:rPr>
              <w:t>1.99</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kern w:val="2"/>
                <w:sz w:val="21"/>
                <w:szCs w:val="21"/>
                <w:highlight w:val="none"/>
                <w:lang w:val="en-US" w:eastAsia="zh-CN" w:bidi="ar-SA"/>
              </w:rPr>
              <w:t>2.25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9"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亚硝酸盐(以N计)</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highlight w:val="none"/>
              </w:rPr>
              <w:t>0.003L</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highlight w:val="none"/>
              </w:rPr>
              <w:t>0.003L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8"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bCs/>
                <w:color w:val="000000"/>
                <w:sz w:val="21"/>
                <w:szCs w:val="21"/>
              </w:rPr>
              <w:t>氨氮</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highlight w:val="none"/>
              </w:rPr>
              <w:t>0.</w:t>
            </w:r>
            <w:r>
              <w:rPr>
                <w:rFonts w:hint="default" w:ascii="Times New Roman" w:hAnsi="Times New Roman" w:cs="Times New Roman" w:eastAsiaTheme="minorEastAsia"/>
                <w:color w:val="000000"/>
                <w:sz w:val="21"/>
                <w:szCs w:val="21"/>
                <w:highlight w:val="none"/>
                <w:lang w:val="en-US" w:eastAsia="zh-CN"/>
              </w:rPr>
              <w:t>195</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highlight w:val="none"/>
              </w:rPr>
              <w:t>0.</w:t>
            </w:r>
            <w:r>
              <w:rPr>
                <w:rFonts w:hint="default" w:ascii="Times New Roman" w:hAnsi="Times New Roman" w:cs="Times New Roman" w:eastAsiaTheme="minorEastAsia"/>
                <w:color w:val="000000"/>
                <w:sz w:val="21"/>
                <w:szCs w:val="21"/>
                <w:highlight w:val="none"/>
                <w:lang w:val="en-US" w:eastAsia="zh-CN"/>
              </w:rPr>
              <w:t>248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8"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六价铬</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highlight w:val="none"/>
              </w:rPr>
              <w:t>0.004L</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highlight w:val="none"/>
              </w:rPr>
              <w:t>0.004L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9"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砷</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highlight w:val="none"/>
              </w:rPr>
              <w:t>0.0003L</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highlight w:val="none"/>
              </w:rPr>
              <w:t>0.0003L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rPr>
              <w:t>铅</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highlight w:val="none"/>
              </w:rPr>
              <w:t>0.0025</w:t>
            </w:r>
            <w:r>
              <w:rPr>
                <w:rFonts w:hint="default" w:ascii="Times New Roman" w:hAnsi="Times New Roman" w:cs="Times New Roman" w:eastAsiaTheme="minorEastAsia"/>
                <w:bCs/>
                <w:color w:val="000000"/>
                <w:sz w:val="21"/>
                <w:szCs w:val="21"/>
                <w:highlight w:val="none"/>
              </w:rPr>
              <w:t>L</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highlight w:val="none"/>
              </w:rPr>
              <w:t>0.0025</w:t>
            </w:r>
            <w:r>
              <w:rPr>
                <w:rFonts w:hint="default" w:ascii="Times New Roman" w:hAnsi="Times New Roman" w:cs="Times New Roman" w:eastAsiaTheme="minorEastAsia"/>
                <w:bCs/>
                <w:color w:val="000000"/>
                <w:sz w:val="21"/>
                <w:szCs w:val="21"/>
                <w:highlight w:val="none"/>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4"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铁</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highlight w:val="none"/>
              </w:rPr>
              <w:t>0.</w:t>
            </w:r>
            <w:r>
              <w:rPr>
                <w:rFonts w:hint="default" w:ascii="Times New Roman" w:hAnsi="Times New Roman" w:cs="Times New Roman" w:eastAsiaTheme="minorEastAsia"/>
                <w:color w:val="000000"/>
                <w:sz w:val="21"/>
                <w:szCs w:val="21"/>
                <w:highlight w:val="none"/>
                <w:lang w:val="en-US" w:eastAsia="zh-CN"/>
              </w:rPr>
              <w:t>26</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highlight w:val="none"/>
              </w:rPr>
              <w:t>0.</w:t>
            </w:r>
            <w:r>
              <w:rPr>
                <w:rFonts w:hint="default" w:ascii="Times New Roman" w:hAnsi="Times New Roman" w:cs="Times New Roman" w:eastAsiaTheme="minorEastAsia"/>
                <w:color w:val="000000"/>
                <w:sz w:val="21"/>
                <w:szCs w:val="21"/>
                <w:highlight w:val="none"/>
                <w:lang w:val="en-US" w:eastAsia="zh-CN"/>
              </w:rPr>
              <w:t>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1"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rPr>
              <w:t>汞</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highlight w:val="none"/>
              </w:rPr>
              <w:t>0.00004L</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highlight w:val="none"/>
              </w:rPr>
              <w:t>0.00004L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5"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rPr>
              <w:t>锰</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highlight w:val="none"/>
              </w:rPr>
              <w:t>0.</w:t>
            </w:r>
            <w:r>
              <w:rPr>
                <w:rFonts w:hint="default" w:ascii="Times New Roman" w:hAnsi="Times New Roman" w:cs="Times New Roman" w:eastAsiaTheme="minorEastAsia"/>
                <w:color w:val="000000"/>
                <w:sz w:val="21"/>
                <w:szCs w:val="21"/>
                <w:highlight w:val="none"/>
                <w:lang w:val="en-US" w:eastAsia="zh-CN"/>
              </w:rPr>
              <w:t>10</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highlight w:val="none"/>
              </w:rPr>
              <w:t>0.</w:t>
            </w:r>
            <w:r>
              <w:rPr>
                <w:rFonts w:hint="default" w:ascii="Times New Roman" w:hAnsi="Times New Roman" w:cs="Times New Roman" w:eastAsiaTheme="minorEastAsia"/>
                <w:color w:val="000000"/>
                <w:sz w:val="21"/>
                <w:szCs w:val="21"/>
                <w:highlight w:val="none"/>
                <w:lang w:val="en-US" w:eastAsia="zh-CN"/>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9"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镉</w:t>
            </w:r>
          </w:p>
        </w:tc>
        <w:tc>
          <w:tcPr>
            <w:tcW w:w="3130" w:type="dxa"/>
            <w:tcBorders>
              <w:tl2br w:val="nil"/>
              <w:tr2bl w:val="nil"/>
            </w:tcBorders>
            <w:noWrap w:val="0"/>
            <w:vAlign w:val="center"/>
          </w:tcPr>
          <w:p>
            <w:pPr>
              <w:pStyle w:val="208"/>
              <w:keepNext w:val="0"/>
              <w:keepLines w:val="0"/>
              <w:pageBreakBefore w:val="0"/>
              <w:widowControl/>
              <w:kinsoku/>
              <w:wordWrap/>
              <w:overflowPunct/>
              <w:topLinePunct w:val="0"/>
              <w:autoSpaceDE/>
              <w:autoSpaceDN/>
              <w:bidi w:val="0"/>
              <w:adjustRightInd w:val="0"/>
              <w:snapToGrid w:val="0"/>
              <w:spacing w:before="0" w:after="0"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0.0005L</w:t>
            </w:r>
          </w:p>
        </w:tc>
        <w:tc>
          <w:tcPr>
            <w:tcW w:w="3130" w:type="dxa"/>
            <w:tcBorders>
              <w:tl2br w:val="nil"/>
              <w:tr2bl w:val="nil"/>
            </w:tcBorders>
            <w:noWrap w:val="0"/>
            <w:vAlign w:val="center"/>
          </w:tcPr>
          <w:p>
            <w:pPr>
              <w:pStyle w:val="208"/>
              <w:keepNext w:val="0"/>
              <w:keepLines w:val="0"/>
              <w:pageBreakBefore w:val="0"/>
              <w:widowControl/>
              <w:kinsoku/>
              <w:wordWrap/>
              <w:overflowPunct/>
              <w:topLinePunct w:val="0"/>
              <w:autoSpaceDE/>
              <w:autoSpaceDN/>
              <w:bidi w:val="0"/>
              <w:adjustRightInd w:val="0"/>
              <w:snapToGrid w:val="0"/>
              <w:spacing w:before="0" w:after="0"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0.0005L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3"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石油类</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highlight w:val="none"/>
              </w:rPr>
              <w:t>0.01L</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highlight w:val="none"/>
              </w:rPr>
              <w:t>0.01L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0"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rPr>
              <w:t>总大肠菌群</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sz w:val="21"/>
                <w:szCs w:val="21"/>
                <w:highlight w:val="none"/>
              </w:rPr>
              <w:t>2L</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sz w:val="21"/>
                <w:szCs w:val="21"/>
                <w:highlight w:val="none"/>
              </w:rPr>
              <w:t>2L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菌落总数</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highlight w:val="none"/>
                <w:lang w:val="en-US" w:eastAsia="zh-CN" w:bidi="ar-SA"/>
              </w:rPr>
              <w:t>11</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highlight w:val="none"/>
                <w:lang w:val="en-US" w:eastAsia="zh-CN" w:bidi="ar-SA"/>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8"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井深（m）</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13</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70"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sz w:val="21"/>
                <w:szCs w:val="21"/>
                <w:lang w:eastAsia="zh-CN"/>
              </w:rPr>
            </w:pPr>
            <w:r>
              <w:rPr>
                <w:rFonts w:hint="default" w:ascii="Times New Roman" w:hAnsi="Times New Roman" w:cs="Times New Roman" w:eastAsiaTheme="minorEastAsia"/>
                <w:color w:val="000000"/>
                <w:sz w:val="21"/>
                <w:szCs w:val="21"/>
                <w:lang w:eastAsia="zh-CN"/>
              </w:rPr>
              <w:t>供水方式</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分散</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分散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6"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sz w:val="21"/>
                <w:szCs w:val="21"/>
                <w:lang w:eastAsia="zh-CN"/>
              </w:rPr>
            </w:pPr>
            <w:r>
              <w:rPr>
                <w:rFonts w:hint="default" w:ascii="Times New Roman" w:hAnsi="Times New Roman" w:cs="Times New Roman" w:eastAsiaTheme="minorEastAsia"/>
                <w:color w:val="000000"/>
                <w:sz w:val="21"/>
                <w:szCs w:val="21"/>
                <w:lang w:eastAsia="zh-CN"/>
              </w:rPr>
              <w:t>功能</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灌溉</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养殖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34" w:hRule="exact"/>
          <w:jc w:val="center"/>
        </w:trPr>
        <w:tc>
          <w:tcPr>
            <w:tcW w:w="8819" w:type="dxa"/>
            <w:gridSpan w:val="3"/>
            <w:tcBorders>
              <w:tl2br w:val="nil"/>
              <w:tr2bl w:val="nil"/>
            </w:tcBorders>
            <w:noWrap w:val="0"/>
            <w:vAlign w:val="center"/>
          </w:tcPr>
          <w:p>
            <w:pPr>
              <w:pStyle w:val="78"/>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注：实测值数值后面的“L”， 表示此检测项目实测值为“未检出”。</w:t>
            </w:r>
          </w:p>
        </w:tc>
      </w:tr>
    </w:tbl>
    <w:p>
      <w:pPr>
        <w:pStyle w:val="2"/>
        <w:spacing w:before="156"/>
        <w:ind w:left="0" w:leftChars="0" w:firstLine="544" w:firstLineChars="200"/>
        <w:jc w:val="both"/>
        <w:rPr>
          <w:rFonts w:hint="default" w:ascii="Times New Roman" w:hAnsi="Times New Roman" w:cs="Times New Roman" w:eastAsiaTheme="minorEastAsia"/>
          <w:b w:val="0"/>
          <w:bCs/>
          <w:color w:val="auto"/>
          <w:highlight w:val="none"/>
        </w:rPr>
      </w:pPr>
    </w:p>
    <w:p>
      <w:pPr>
        <w:pStyle w:val="2"/>
        <w:spacing w:before="156"/>
        <w:ind w:left="0" w:leftChars="0" w:firstLine="544" w:firstLineChars="200"/>
        <w:jc w:val="both"/>
        <w:rPr>
          <w:rFonts w:hint="default" w:ascii="Times New Roman" w:hAnsi="Times New Roman" w:cs="Times New Roman" w:eastAsiaTheme="minorEastAsia"/>
          <w:b w:val="0"/>
          <w:bCs/>
          <w:color w:val="auto"/>
          <w:highlight w:val="none"/>
        </w:rPr>
      </w:pPr>
    </w:p>
    <w:p>
      <w:pPr>
        <w:pStyle w:val="2"/>
        <w:spacing w:before="156"/>
        <w:ind w:left="0" w:leftChars="0" w:firstLine="544" w:firstLineChars="200"/>
        <w:jc w:val="both"/>
        <w:rPr>
          <w:rFonts w:hint="default" w:ascii="Times New Roman" w:hAnsi="Times New Roman" w:cs="Times New Roman" w:eastAsiaTheme="minorEastAsia"/>
          <w:b w:val="0"/>
          <w:bCs/>
          <w:color w:val="auto"/>
          <w:highlight w:val="none"/>
        </w:rPr>
      </w:pPr>
    </w:p>
    <w:p>
      <w:pPr>
        <w:pStyle w:val="2"/>
        <w:spacing w:before="156"/>
        <w:ind w:left="0" w:leftChars="0" w:firstLine="544" w:firstLineChars="200"/>
        <w:jc w:val="both"/>
        <w:rPr>
          <w:rFonts w:hint="default" w:ascii="Times New Roman" w:hAnsi="Times New Roman" w:cs="Times New Roman" w:eastAsiaTheme="minorEastAsia"/>
          <w:b w:val="0"/>
          <w:bCs/>
          <w:color w:val="auto"/>
          <w:highlight w:val="none"/>
        </w:rPr>
      </w:pPr>
    </w:p>
    <w:p>
      <w:pPr>
        <w:pStyle w:val="2"/>
        <w:spacing w:before="156"/>
        <w:ind w:left="0" w:leftChars="0" w:firstLine="544" w:firstLineChars="200"/>
        <w:jc w:val="both"/>
        <w:rPr>
          <w:rFonts w:hint="default" w:ascii="Times New Roman" w:hAnsi="Times New Roman" w:cs="Times New Roman" w:eastAsiaTheme="minorEastAsia"/>
          <w:b w:val="0"/>
          <w:bCs/>
          <w:color w:val="auto"/>
          <w:highlight w:val="none"/>
        </w:rPr>
      </w:pPr>
    </w:p>
    <w:p>
      <w:pPr>
        <w:pStyle w:val="2"/>
        <w:spacing w:before="156"/>
        <w:ind w:left="0" w:leftChars="0" w:firstLine="544" w:firstLineChars="200"/>
        <w:jc w:val="both"/>
        <w:rPr>
          <w:rFonts w:hint="default" w:ascii="Times New Roman" w:hAnsi="Times New Roman" w:cs="Times New Roman" w:eastAsiaTheme="minorEastAsia"/>
          <w:b w:val="0"/>
          <w:bCs/>
          <w:color w:val="auto"/>
          <w:highlight w:val="none"/>
        </w:rPr>
      </w:pPr>
    </w:p>
    <w:p>
      <w:pPr>
        <w:pStyle w:val="2"/>
        <w:spacing w:before="156"/>
        <w:ind w:left="0" w:leftChars="0" w:firstLine="544" w:firstLineChars="200"/>
        <w:jc w:val="both"/>
        <w:rPr>
          <w:rFonts w:hint="default" w:ascii="Times New Roman" w:hAnsi="Times New Roman" w:cs="Times New Roman" w:eastAsiaTheme="minorEastAsia"/>
          <w:b w:val="0"/>
          <w:bCs/>
          <w:color w:val="auto"/>
          <w:highlight w:val="none"/>
        </w:rPr>
      </w:pPr>
      <w:r>
        <w:rPr>
          <w:rFonts w:hint="default" w:ascii="Times New Roman" w:hAnsi="Times New Roman" w:cs="Times New Roman" w:eastAsiaTheme="minorEastAsia"/>
          <w:b w:val="0"/>
          <w:bCs/>
          <w:color w:val="auto"/>
          <w:highlight w:val="none"/>
        </w:rPr>
        <w:t>表4-3-</w:t>
      </w:r>
      <w:r>
        <w:rPr>
          <w:rFonts w:hint="default" w:ascii="Times New Roman" w:hAnsi="Times New Roman" w:cs="Times New Roman" w:eastAsiaTheme="minorEastAsia"/>
          <w:b w:val="0"/>
          <w:bCs/>
          <w:color w:val="auto"/>
          <w:highlight w:val="none"/>
          <w:lang w:val="en-US" w:eastAsia="zh-CN"/>
        </w:rPr>
        <w:t>9</w:t>
      </w:r>
      <w:r>
        <w:rPr>
          <w:rFonts w:hint="default" w:ascii="Times New Roman" w:hAnsi="Times New Roman" w:cs="Times New Roman" w:eastAsiaTheme="minorEastAsia"/>
          <w:b w:val="0"/>
          <w:bCs/>
          <w:color w:val="auto"/>
          <w:highlight w:val="none"/>
        </w:rPr>
        <w:t xml:space="preserve">  地下水水质监测与评价结果表  单位：mg/L</w:t>
      </w:r>
    </w:p>
    <w:p>
      <w:pPr>
        <w:pStyle w:val="2"/>
        <w:spacing w:before="156"/>
        <w:jc w:val="right"/>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val="0"/>
          <w:bCs/>
          <w:color w:val="auto"/>
          <w:sz w:val="18"/>
          <w:szCs w:val="18"/>
          <w:highlight w:val="none"/>
        </w:rPr>
        <w:t>（pH无量纲</w:t>
      </w:r>
      <w:r>
        <w:rPr>
          <w:rFonts w:hint="default" w:ascii="Times New Roman" w:hAnsi="Times New Roman" w:cs="Times New Roman" w:eastAsiaTheme="minorEastAsia"/>
          <w:b w:val="0"/>
          <w:bCs/>
          <w:color w:val="auto"/>
          <w:sz w:val="18"/>
          <w:szCs w:val="18"/>
          <w:highlight w:val="none"/>
          <w:lang w:eastAsia="zh-CN"/>
        </w:rPr>
        <w:t>、</w:t>
      </w:r>
      <w:r>
        <w:rPr>
          <w:rFonts w:hint="default" w:ascii="Times New Roman" w:hAnsi="Times New Roman" w:cs="Times New Roman" w:eastAsiaTheme="minorEastAsia"/>
          <w:b w:val="0"/>
          <w:bCs/>
          <w:color w:val="auto"/>
          <w:sz w:val="18"/>
          <w:szCs w:val="18"/>
          <w:highlight w:val="none"/>
        </w:rPr>
        <w:t>总大肠菌群MPN/100mL、菌落总数</w:t>
      </w:r>
      <w:r>
        <w:rPr>
          <w:rFonts w:hint="default" w:ascii="Times New Roman" w:hAnsi="Times New Roman" w:cs="Times New Roman" w:eastAsiaTheme="minorEastAsia"/>
          <w:b w:val="0"/>
          <w:bCs/>
          <w:color w:val="auto"/>
          <w:sz w:val="18"/>
          <w:szCs w:val="18"/>
        </w:rPr>
        <w:t>CFU/mL)</w:t>
      </w:r>
      <w:r>
        <w:rPr>
          <w:rFonts w:hint="default" w:ascii="Times New Roman" w:hAnsi="Times New Roman" w:cs="Times New Roman" w:eastAsiaTheme="minorEastAsia"/>
          <w:b/>
          <w:bCs/>
          <w:sz w:val="21"/>
          <w:szCs w:val="21"/>
        </w:rPr>
        <w:t xml:space="preserve">               </w:t>
      </w:r>
      <w:r>
        <w:rPr>
          <w:rFonts w:hint="default" w:ascii="Times New Roman" w:hAnsi="Times New Roman" w:cs="Times New Roman" w:eastAsiaTheme="minorEastAsia"/>
          <w:b/>
          <w:bCs/>
          <w:sz w:val="21"/>
          <w:szCs w:val="21"/>
          <w:lang w:val="en-US" w:eastAsia="zh-CN"/>
        </w:rPr>
        <w:t xml:space="preserve">  </w:t>
      </w:r>
      <w:r>
        <w:rPr>
          <w:rFonts w:hint="default" w:ascii="Times New Roman" w:hAnsi="Times New Roman" w:cs="Times New Roman" w:eastAsiaTheme="minorEastAsia"/>
          <w:b/>
          <w:bCs/>
          <w:sz w:val="21"/>
          <w:szCs w:val="21"/>
        </w:rPr>
        <w:t xml:space="preserve"> </w:t>
      </w:r>
      <w:r>
        <w:rPr>
          <w:rFonts w:hint="default" w:ascii="Times New Roman" w:hAnsi="Times New Roman" w:cs="Times New Roman" w:eastAsiaTheme="minorEastAsia"/>
          <w:b/>
          <w:bCs/>
          <w:sz w:val="21"/>
          <w:szCs w:val="21"/>
          <w:lang w:val="en-US" w:eastAsia="zh-CN"/>
        </w:rPr>
        <w:t xml:space="preserve"> </w:t>
      </w:r>
    </w:p>
    <w:tbl>
      <w:tblPr>
        <w:tblStyle w:val="91"/>
        <w:tblW w:w="88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59"/>
        <w:gridCol w:w="3130"/>
        <w:gridCol w:w="31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8"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监测日期</w:t>
            </w:r>
          </w:p>
        </w:tc>
        <w:tc>
          <w:tcPr>
            <w:tcW w:w="626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lang w:val="en-US"/>
              </w:rPr>
            </w:pPr>
            <w:r>
              <w:rPr>
                <w:rFonts w:hint="default" w:ascii="Times New Roman" w:hAnsi="Times New Roman" w:cs="Times New Roman" w:eastAsiaTheme="minorEastAsia"/>
                <w:color w:val="000000"/>
                <w:kern w:val="0"/>
                <w:sz w:val="21"/>
                <w:szCs w:val="21"/>
              </w:rPr>
              <w:t>202</w:t>
            </w:r>
            <w:r>
              <w:rPr>
                <w:rFonts w:hint="default" w:ascii="Times New Roman" w:hAnsi="Times New Roman" w:cs="Times New Roman" w:eastAsiaTheme="minorEastAsia"/>
                <w:color w:val="000000"/>
                <w:kern w:val="0"/>
                <w:sz w:val="21"/>
                <w:szCs w:val="21"/>
                <w:lang w:val="en-US" w:eastAsia="zh-CN"/>
              </w:rPr>
              <w:t>1</w:t>
            </w:r>
            <w:r>
              <w:rPr>
                <w:rFonts w:hint="default" w:ascii="Times New Roman" w:hAnsi="Times New Roman" w:cs="Times New Roman" w:eastAsiaTheme="minorEastAsia"/>
                <w:color w:val="000000"/>
                <w:kern w:val="0"/>
                <w:sz w:val="21"/>
                <w:szCs w:val="21"/>
              </w:rPr>
              <w:t>.</w:t>
            </w:r>
            <w:r>
              <w:rPr>
                <w:rFonts w:hint="default" w:ascii="Times New Roman" w:hAnsi="Times New Roman" w:cs="Times New Roman" w:eastAsiaTheme="minorEastAsia"/>
                <w:color w:val="000000"/>
                <w:kern w:val="0"/>
                <w:sz w:val="21"/>
                <w:szCs w:val="21"/>
                <w:lang w:val="en-US" w:eastAsia="zh-CN"/>
              </w:rPr>
              <w:t>10.29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8" w:hRule="exact"/>
          <w:jc w:val="center"/>
        </w:trPr>
        <w:tc>
          <w:tcPr>
            <w:tcW w:w="2559"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监测项目</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红星村（潜水）</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24"/>
                <w:sz w:val="21"/>
                <w:szCs w:val="21"/>
                <w:lang w:eastAsia="zh-CN"/>
              </w:rPr>
            </w:pPr>
            <w:r>
              <w:rPr>
                <w:rFonts w:hint="default" w:ascii="Times New Roman" w:hAnsi="Times New Roman" w:cs="Times New Roman" w:eastAsiaTheme="minorEastAsia"/>
                <w:color w:val="000000"/>
                <w:kern w:val="24"/>
                <w:sz w:val="21"/>
                <w:szCs w:val="21"/>
                <w:lang w:eastAsia="zh-CN"/>
              </w:rPr>
              <w:t>厂区内地下水（承压水）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exact"/>
          <w:jc w:val="center"/>
        </w:trPr>
        <w:tc>
          <w:tcPr>
            <w:tcW w:w="255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sz w:val="21"/>
                <w:szCs w:val="21"/>
              </w:rPr>
            </w:pP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kern w:val="0"/>
                <w:sz w:val="21"/>
                <w:szCs w:val="21"/>
              </w:rPr>
              <w:t>DX2</w:t>
            </w:r>
            <w:r>
              <w:rPr>
                <w:rFonts w:hint="default" w:ascii="Times New Roman" w:hAnsi="Times New Roman" w:cs="Times New Roman" w:eastAsiaTheme="minorEastAsia"/>
                <w:color w:val="000000"/>
                <w:kern w:val="0"/>
                <w:sz w:val="21"/>
                <w:szCs w:val="21"/>
                <w:lang w:val="en-US" w:eastAsia="zh-CN"/>
              </w:rPr>
              <w:t>11029F</w:t>
            </w:r>
            <w:r>
              <w:rPr>
                <w:rFonts w:hint="default" w:ascii="Times New Roman" w:hAnsi="Times New Roman" w:cs="Times New Roman" w:eastAsiaTheme="minorEastAsia"/>
                <w:color w:val="000000"/>
                <w:kern w:val="0"/>
                <w:sz w:val="21"/>
                <w:szCs w:val="21"/>
              </w:rPr>
              <w:t>0</w:t>
            </w:r>
            <w:r>
              <w:rPr>
                <w:rFonts w:hint="default" w:ascii="Times New Roman" w:hAnsi="Times New Roman" w:cs="Times New Roman" w:eastAsiaTheme="minorEastAsia"/>
                <w:color w:val="000000"/>
                <w:kern w:val="0"/>
                <w:sz w:val="21"/>
                <w:szCs w:val="21"/>
                <w:lang w:val="en-US" w:eastAsia="zh-CN"/>
              </w:rPr>
              <w:t>3</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rPr>
              <w:t>DX2</w:t>
            </w:r>
            <w:r>
              <w:rPr>
                <w:rFonts w:hint="default" w:ascii="Times New Roman" w:hAnsi="Times New Roman" w:cs="Times New Roman" w:eastAsiaTheme="minorEastAsia"/>
                <w:color w:val="000000"/>
                <w:kern w:val="0"/>
                <w:sz w:val="21"/>
                <w:szCs w:val="21"/>
                <w:lang w:val="en-US" w:eastAsia="zh-CN"/>
              </w:rPr>
              <w:t>11029F</w:t>
            </w:r>
            <w:r>
              <w:rPr>
                <w:rFonts w:hint="default" w:ascii="Times New Roman" w:hAnsi="Times New Roman" w:cs="Times New Roman" w:eastAsiaTheme="minorEastAsia"/>
                <w:color w:val="000000"/>
                <w:kern w:val="0"/>
                <w:sz w:val="21"/>
                <w:szCs w:val="21"/>
              </w:rPr>
              <w:t>0</w:t>
            </w:r>
            <w:r>
              <w:rPr>
                <w:rFonts w:hint="default" w:ascii="Times New Roman" w:hAnsi="Times New Roman" w:cs="Times New Roman" w:eastAsiaTheme="minorEastAsia"/>
                <w:color w:val="000000"/>
                <w:kern w:val="0"/>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9"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lang w:bidi="ar"/>
              </w:rPr>
              <w:t>K</w:t>
            </w:r>
            <w:r>
              <w:rPr>
                <w:rFonts w:hint="default" w:ascii="Times New Roman" w:hAnsi="Times New Roman" w:cs="Times New Roman" w:eastAsiaTheme="minorEastAsia"/>
                <w:color w:val="000000"/>
                <w:kern w:val="0"/>
                <w:sz w:val="21"/>
                <w:szCs w:val="21"/>
                <w:vertAlign w:val="superscript"/>
                <w:lang w:bidi="ar"/>
              </w:rPr>
              <w:t>+</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lang w:val="zh-CN" w:bidi="ar"/>
              </w:rPr>
            </w:pPr>
            <w:r>
              <w:rPr>
                <w:rFonts w:hint="default" w:ascii="Times New Roman" w:hAnsi="Times New Roman" w:cs="Times New Roman" w:eastAsiaTheme="minorEastAsia"/>
                <w:i w:val="0"/>
                <w:color w:val="000000"/>
                <w:kern w:val="0"/>
                <w:sz w:val="21"/>
                <w:szCs w:val="21"/>
                <w:u w:val="none"/>
                <w:lang w:val="en-US" w:eastAsia="zh-CN" w:bidi="ar"/>
              </w:rPr>
              <w:t>2.05</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lang w:val="en-US" w:bidi="ar"/>
              </w:rPr>
            </w:pPr>
            <w:r>
              <w:rPr>
                <w:rFonts w:hint="default" w:ascii="Times New Roman" w:hAnsi="Times New Roman" w:cs="Times New Roman" w:eastAsiaTheme="minorEastAsia"/>
                <w:i w:val="0"/>
                <w:color w:val="000000"/>
                <w:kern w:val="0"/>
                <w:sz w:val="21"/>
                <w:szCs w:val="21"/>
                <w:u w:val="none"/>
                <w:lang w:val="en-US" w:eastAsia="zh-CN" w:bidi="ar"/>
              </w:rPr>
              <w:t>1.21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7"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lang w:bidi="ar"/>
              </w:rPr>
              <w:t>Na</w:t>
            </w:r>
            <w:r>
              <w:rPr>
                <w:rFonts w:hint="default" w:ascii="Times New Roman" w:hAnsi="Times New Roman" w:cs="Times New Roman" w:eastAsiaTheme="minorEastAsia"/>
                <w:color w:val="000000"/>
                <w:kern w:val="0"/>
                <w:sz w:val="21"/>
                <w:szCs w:val="21"/>
                <w:vertAlign w:val="superscript"/>
                <w:lang w:bidi="ar"/>
              </w:rPr>
              <w:t>+</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lang w:val="zh-CN" w:bidi="ar"/>
              </w:rPr>
            </w:pPr>
            <w:r>
              <w:rPr>
                <w:rFonts w:hint="default" w:ascii="Times New Roman" w:hAnsi="Times New Roman" w:cs="Times New Roman" w:eastAsiaTheme="minorEastAsia"/>
                <w:i w:val="0"/>
                <w:color w:val="000000"/>
                <w:kern w:val="0"/>
                <w:sz w:val="21"/>
                <w:szCs w:val="21"/>
                <w:u w:val="none"/>
                <w:lang w:val="en-US" w:eastAsia="zh-CN" w:bidi="ar"/>
              </w:rPr>
              <w:t>62.4</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lang w:bidi="ar"/>
              </w:rPr>
            </w:pPr>
            <w:r>
              <w:rPr>
                <w:rFonts w:hint="default" w:ascii="Times New Roman" w:hAnsi="Times New Roman" w:cs="Times New Roman" w:eastAsiaTheme="minorEastAsia"/>
                <w:i w:val="0"/>
                <w:color w:val="000000"/>
                <w:kern w:val="0"/>
                <w:sz w:val="21"/>
                <w:szCs w:val="21"/>
                <w:u w:val="none"/>
                <w:lang w:val="en-US" w:eastAsia="zh-CN" w:bidi="ar"/>
              </w:rPr>
              <w:t>53.2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8"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lang w:bidi="ar"/>
              </w:rPr>
              <w:t>Ca</w:t>
            </w:r>
            <w:r>
              <w:rPr>
                <w:rFonts w:hint="default" w:ascii="Times New Roman" w:hAnsi="Times New Roman" w:cs="Times New Roman" w:eastAsiaTheme="minorEastAsia"/>
                <w:color w:val="000000"/>
                <w:kern w:val="0"/>
                <w:sz w:val="21"/>
                <w:szCs w:val="21"/>
                <w:vertAlign w:val="superscript"/>
                <w:lang w:bidi="ar"/>
              </w:rPr>
              <w:t>2+</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i w:val="0"/>
                <w:color w:val="000000"/>
                <w:kern w:val="0"/>
                <w:sz w:val="21"/>
                <w:szCs w:val="21"/>
                <w:u w:val="none"/>
                <w:lang w:val="en-US" w:eastAsia="zh-CN" w:bidi="ar"/>
              </w:rPr>
              <w:t>53.7</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i w:val="0"/>
                <w:color w:val="000000"/>
                <w:kern w:val="0"/>
                <w:sz w:val="21"/>
                <w:szCs w:val="21"/>
                <w:u w:val="none"/>
                <w:lang w:val="en-US" w:eastAsia="zh-CN" w:bidi="ar"/>
              </w:rPr>
              <w:t>46.8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0"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lang w:bidi="ar"/>
              </w:rPr>
              <w:t>Mg</w:t>
            </w:r>
            <w:r>
              <w:rPr>
                <w:rFonts w:hint="default" w:ascii="Times New Roman" w:hAnsi="Times New Roman" w:cs="Times New Roman" w:eastAsiaTheme="minorEastAsia"/>
                <w:color w:val="000000"/>
                <w:kern w:val="0"/>
                <w:sz w:val="21"/>
                <w:szCs w:val="21"/>
                <w:vertAlign w:val="superscript"/>
                <w:lang w:bidi="ar"/>
              </w:rPr>
              <w:t>2+</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i w:val="0"/>
                <w:color w:val="000000"/>
                <w:kern w:val="0"/>
                <w:sz w:val="21"/>
                <w:szCs w:val="21"/>
                <w:u w:val="none"/>
                <w:lang w:val="en-US" w:eastAsia="zh-CN" w:bidi="ar"/>
              </w:rPr>
              <w:t>11.8</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i w:val="0"/>
                <w:color w:val="000000"/>
                <w:kern w:val="0"/>
                <w:sz w:val="21"/>
                <w:szCs w:val="21"/>
                <w:u w:val="none"/>
                <w:lang w:val="en-US" w:eastAsia="zh-CN" w:bidi="ar"/>
              </w:rPr>
              <w:t>7.45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0"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lang w:bidi="ar"/>
              </w:rPr>
              <w:t>HCO</w:t>
            </w:r>
            <w:r>
              <w:rPr>
                <w:rFonts w:hint="default" w:ascii="Times New Roman" w:hAnsi="Times New Roman" w:cs="Times New Roman" w:eastAsiaTheme="minorEastAsia"/>
                <w:color w:val="000000"/>
                <w:kern w:val="0"/>
                <w:sz w:val="21"/>
                <w:szCs w:val="21"/>
                <w:vertAlign w:val="subscript"/>
                <w:lang w:bidi="ar"/>
              </w:rPr>
              <w:t>3</w:t>
            </w:r>
            <w:r>
              <w:rPr>
                <w:rFonts w:hint="default" w:ascii="Times New Roman" w:hAnsi="Times New Roman" w:cs="Times New Roman" w:eastAsiaTheme="minorEastAsia"/>
                <w:color w:val="000000"/>
                <w:kern w:val="0"/>
                <w:sz w:val="21"/>
                <w:szCs w:val="21"/>
                <w:vertAlign w:val="superscript"/>
                <w:lang w:bidi="ar"/>
              </w:rPr>
              <w:t>-</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i w:val="0"/>
                <w:color w:val="000000"/>
                <w:kern w:val="0"/>
                <w:sz w:val="21"/>
                <w:szCs w:val="21"/>
                <w:u w:val="none"/>
                <w:lang w:val="en-US" w:eastAsia="zh-CN" w:bidi="ar"/>
              </w:rPr>
              <w:t>271</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i w:val="0"/>
                <w:color w:val="000000"/>
                <w:kern w:val="0"/>
                <w:sz w:val="21"/>
                <w:szCs w:val="21"/>
                <w:u w:val="none"/>
                <w:lang w:val="en-US" w:eastAsia="zh-CN" w:bidi="ar"/>
              </w:rPr>
              <w:t>227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lang w:bidi="ar"/>
              </w:rPr>
              <w:t>CO</w:t>
            </w:r>
            <w:r>
              <w:rPr>
                <w:rFonts w:hint="default" w:ascii="Times New Roman" w:hAnsi="Times New Roman" w:cs="Times New Roman" w:eastAsiaTheme="minorEastAsia"/>
                <w:color w:val="000000"/>
                <w:kern w:val="0"/>
                <w:sz w:val="21"/>
                <w:szCs w:val="21"/>
                <w:vertAlign w:val="subscript"/>
                <w:lang w:bidi="ar"/>
              </w:rPr>
              <w:t>3</w:t>
            </w:r>
            <w:r>
              <w:rPr>
                <w:rFonts w:hint="default" w:ascii="Times New Roman" w:hAnsi="Times New Roman" w:cs="Times New Roman" w:eastAsiaTheme="minorEastAsia"/>
                <w:color w:val="000000"/>
                <w:kern w:val="0"/>
                <w:sz w:val="21"/>
                <w:szCs w:val="21"/>
                <w:vertAlign w:val="superscript"/>
                <w:lang w:bidi="ar"/>
              </w:rPr>
              <w:t>2-</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i w:val="0"/>
                <w:color w:val="000000"/>
                <w:kern w:val="0"/>
                <w:sz w:val="21"/>
                <w:szCs w:val="21"/>
                <w:u w:val="none"/>
                <w:lang w:val="en-US" w:eastAsia="zh-CN" w:bidi="ar"/>
              </w:rPr>
              <w:t>0</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i w:val="0"/>
                <w:color w:val="000000"/>
                <w:kern w:val="0"/>
                <w:sz w:val="21"/>
                <w:szCs w:val="21"/>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8"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lang w:bidi="ar"/>
              </w:rPr>
              <w:t>Cl</w:t>
            </w:r>
            <w:r>
              <w:rPr>
                <w:rFonts w:hint="default" w:ascii="Times New Roman" w:hAnsi="Times New Roman" w:cs="Times New Roman" w:eastAsiaTheme="minorEastAsia"/>
                <w:color w:val="000000"/>
                <w:kern w:val="0"/>
                <w:sz w:val="21"/>
                <w:szCs w:val="21"/>
                <w:vertAlign w:val="superscript"/>
                <w:lang w:bidi="ar"/>
              </w:rPr>
              <w:t>-</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i w:val="0"/>
                <w:color w:val="000000"/>
                <w:kern w:val="0"/>
                <w:sz w:val="21"/>
                <w:szCs w:val="21"/>
                <w:u w:val="none"/>
                <w:lang w:val="en-US" w:eastAsia="zh-CN" w:bidi="ar"/>
              </w:rPr>
              <w:t>42.2</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i w:val="0"/>
                <w:color w:val="000000"/>
                <w:kern w:val="0"/>
                <w:sz w:val="21"/>
                <w:szCs w:val="21"/>
                <w:u w:val="none"/>
                <w:lang w:val="en-US" w:eastAsia="zh-CN" w:bidi="ar"/>
              </w:rPr>
              <w:t>32.4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6"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lang w:bidi="ar"/>
              </w:rPr>
              <w:t>SO</w:t>
            </w:r>
            <w:r>
              <w:rPr>
                <w:rFonts w:hint="default" w:ascii="Times New Roman" w:hAnsi="Times New Roman" w:cs="Times New Roman" w:eastAsiaTheme="minorEastAsia"/>
                <w:color w:val="000000"/>
                <w:kern w:val="0"/>
                <w:sz w:val="21"/>
                <w:szCs w:val="21"/>
                <w:vertAlign w:val="subscript"/>
                <w:lang w:bidi="ar"/>
              </w:rPr>
              <w:t>4</w:t>
            </w:r>
            <w:r>
              <w:rPr>
                <w:rFonts w:hint="default" w:ascii="Times New Roman" w:hAnsi="Times New Roman" w:cs="Times New Roman" w:eastAsiaTheme="minorEastAsia"/>
                <w:color w:val="000000"/>
                <w:kern w:val="0"/>
                <w:sz w:val="21"/>
                <w:szCs w:val="21"/>
                <w:vertAlign w:val="superscript"/>
                <w:lang w:bidi="ar"/>
              </w:rPr>
              <w:t>2-</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lang w:val="zh-CN" w:eastAsia="zh-CN" w:bidi="ar"/>
              </w:rPr>
            </w:pPr>
            <w:r>
              <w:rPr>
                <w:rFonts w:hint="default" w:ascii="Times New Roman" w:hAnsi="Times New Roman" w:cs="Times New Roman" w:eastAsiaTheme="minorEastAsia"/>
                <w:i w:val="0"/>
                <w:color w:val="000000"/>
                <w:kern w:val="0"/>
                <w:sz w:val="21"/>
                <w:szCs w:val="21"/>
                <w:u w:val="none"/>
                <w:lang w:val="en-US" w:eastAsia="zh-CN" w:bidi="ar"/>
              </w:rPr>
              <w:t>33.6</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i w:val="0"/>
                <w:color w:val="000000"/>
                <w:kern w:val="0"/>
                <w:sz w:val="21"/>
                <w:szCs w:val="21"/>
                <w:u w:val="none"/>
                <w:lang w:val="en-US" w:eastAsia="zh-CN" w:bidi="ar"/>
              </w:rPr>
              <w:t>29.5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7"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pH</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7.8</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4"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rPr>
              <w:t>总硬度（以CaCO</w:t>
            </w:r>
            <w:r>
              <w:rPr>
                <w:rFonts w:hint="default" w:ascii="Times New Roman" w:hAnsi="Times New Roman" w:cs="Times New Roman" w:eastAsiaTheme="minorEastAsia"/>
                <w:color w:val="000000"/>
                <w:kern w:val="0"/>
                <w:sz w:val="21"/>
                <w:szCs w:val="21"/>
                <w:vertAlign w:val="subscript"/>
              </w:rPr>
              <w:t>3</w:t>
            </w:r>
            <w:r>
              <w:rPr>
                <w:rFonts w:hint="default" w:ascii="Times New Roman" w:hAnsi="Times New Roman" w:cs="Times New Roman" w:eastAsiaTheme="minorEastAsia"/>
                <w:color w:val="000000"/>
                <w:kern w:val="0"/>
                <w:sz w:val="21"/>
                <w:szCs w:val="21"/>
              </w:rPr>
              <w:t>计）</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bidi="ar-SA"/>
              </w:rPr>
              <w:t>183</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148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4"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溶解性总固体</w:t>
            </w:r>
          </w:p>
        </w:tc>
        <w:tc>
          <w:tcPr>
            <w:tcW w:w="3130" w:type="dxa"/>
            <w:tcBorders>
              <w:tl2br w:val="nil"/>
              <w:tr2bl w:val="nil"/>
            </w:tcBorders>
            <w:noWrap w:val="0"/>
            <w:vAlign w:val="bottom"/>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bottom"/>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bidi="ar-SA"/>
              </w:rPr>
              <w:t>568</w:t>
            </w:r>
          </w:p>
        </w:tc>
        <w:tc>
          <w:tcPr>
            <w:tcW w:w="31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472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8"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耗氧量(</w:t>
            </w:r>
            <w:r>
              <w:rPr>
                <w:rFonts w:hint="default" w:ascii="Times New Roman" w:hAnsi="Times New Roman" w:cs="Times New Roman" w:eastAsiaTheme="minorEastAsia"/>
                <w:color w:val="000000"/>
                <w:sz w:val="21"/>
                <w:szCs w:val="21"/>
                <w:shd w:val="clear" w:color="auto" w:fill="FFFFFF"/>
              </w:rPr>
              <w:t>COD</w:t>
            </w:r>
            <w:r>
              <w:rPr>
                <w:rFonts w:hint="default" w:ascii="Times New Roman" w:hAnsi="Times New Roman" w:cs="Times New Roman" w:eastAsiaTheme="minorEastAsia"/>
                <w:sz w:val="21"/>
                <w:szCs w:val="21"/>
                <w:vertAlign w:val="subscript"/>
              </w:rPr>
              <w:t>Mn</w:t>
            </w:r>
            <w:r>
              <w:rPr>
                <w:rFonts w:hint="default" w:ascii="Times New Roman" w:hAnsi="Times New Roman" w:cs="Times New Roman" w:eastAsiaTheme="minorEastAsia"/>
                <w:color w:val="000000"/>
                <w:sz w:val="21"/>
                <w:szCs w:val="21"/>
                <w:shd w:val="clear" w:color="auto" w:fill="FFFFFF"/>
              </w:rPr>
              <w:t>法，以O</w:t>
            </w:r>
            <w:r>
              <w:rPr>
                <w:rFonts w:hint="default" w:ascii="Times New Roman" w:hAnsi="Times New Roman" w:cs="Times New Roman" w:eastAsiaTheme="minorEastAsia"/>
                <w:color w:val="000000"/>
                <w:sz w:val="21"/>
                <w:szCs w:val="21"/>
                <w:shd w:val="clear" w:color="auto" w:fill="FFFFFF"/>
                <w:vertAlign w:val="subscript"/>
              </w:rPr>
              <w:t>2</w:t>
            </w:r>
            <w:r>
              <w:rPr>
                <w:rFonts w:hint="default" w:ascii="Times New Roman" w:hAnsi="Times New Roman" w:cs="Times New Roman" w:eastAsiaTheme="minorEastAsia"/>
                <w:color w:val="000000"/>
                <w:sz w:val="21"/>
                <w:szCs w:val="21"/>
                <w:shd w:val="clear" w:color="auto" w:fill="FFFFFF"/>
              </w:rPr>
              <w:t>计)</w:t>
            </w:r>
          </w:p>
        </w:tc>
        <w:tc>
          <w:tcPr>
            <w:tcW w:w="3130" w:type="dxa"/>
            <w:tcBorders>
              <w:tl2br w:val="nil"/>
              <w:tr2bl w:val="nil"/>
            </w:tcBorders>
            <w:noWrap w:val="0"/>
            <w:vAlign w:val="bottom"/>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bottom"/>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bidi="ar-SA"/>
              </w:rPr>
              <w:t>1.9</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bottom"/>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8"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挥发酚</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highlight w:val="none"/>
              </w:rPr>
              <w:t>0.0003L</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highlight w:val="none"/>
              </w:rPr>
              <w:t>0.0003L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4"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sz w:val="21"/>
                <w:szCs w:val="21"/>
              </w:rPr>
              <w:t>氰化物</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highlight w:val="none"/>
              </w:rPr>
              <w:t>0.004L</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highlight w:val="none"/>
              </w:rPr>
              <w:t>0.004L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5"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氟化物</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highlight w:val="none"/>
              </w:rPr>
              <w:t>0.</w:t>
            </w:r>
            <w:r>
              <w:rPr>
                <w:rFonts w:hint="default" w:ascii="Times New Roman" w:hAnsi="Times New Roman" w:cs="Times New Roman" w:eastAsiaTheme="minorEastAsia"/>
                <w:color w:val="000000"/>
                <w:sz w:val="21"/>
                <w:szCs w:val="21"/>
                <w:highlight w:val="none"/>
                <w:lang w:val="en-US" w:eastAsia="zh-CN"/>
              </w:rPr>
              <w:t>548</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highlight w:val="none"/>
              </w:rPr>
              <w:t>0.</w:t>
            </w:r>
            <w:r>
              <w:rPr>
                <w:rFonts w:hint="default" w:ascii="Times New Roman" w:hAnsi="Times New Roman" w:cs="Times New Roman" w:eastAsiaTheme="minorEastAsia"/>
                <w:color w:val="000000"/>
                <w:sz w:val="21"/>
                <w:szCs w:val="21"/>
                <w:highlight w:val="none"/>
                <w:lang w:val="en-US" w:eastAsia="zh-CN"/>
              </w:rPr>
              <w:t>477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硝酸盐(以N计)</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kern w:val="2"/>
                <w:sz w:val="21"/>
                <w:szCs w:val="21"/>
                <w:highlight w:val="none"/>
                <w:lang w:val="en-US" w:eastAsia="zh-CN" w:bidi="ar-SA"/>
              </w:rPr>
              <w:t>2.31</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kern w:val="2"/>
                <w:sz w:val="21"/>
                <w:szCs w:val="21"/>
                <w:highlight w:val="none"/>
                <w:lang w:val="en-US" w:eastAsia="zh-CN" w:bidi="ar-SA"/>
              </w:rPr>
              <w:t>1.75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9"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亚硝酸盐(以N计)</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highlight w:val="none"/>
              </w:rPr>
              <w:t>0.003L</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highlight w:val="none"/>
              </w:rPr>
              <w:t>0.003L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8"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bCs/>
                <w:color w:val="000000"/>
                <w:sz w:val="21"/>
                <w:szCs w:val="21"/>
              </w:rPr>
              <w:t>氨氮</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highlight w:val="none"/>
              </w:rPr>
              <w:t>0.</w:t>
            </w:r>
            <w:r>
              <w:rPr>
                <w:rFonts w:hint="default" w:ascii="Times New Roman" w:hAnsi="Times New Roman" w:cs="Times New Roman" w:eastAsiaTheme="minorEastAsia"/>
                <w:color w:val="000000"/>
                <w:sz w:val="21"/>
                <w:szCs w:val="21"/>
                <w:highlight w:val="none"/>
                <w:lang w:val="en-US" w:eastAsia="zh-CN"/>
              </w:rPr>
              <w:t>202</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highlight w:val="none"/>
              </w:rPr>
              <w:t>0.</w:t>
            </w:r>
            <w:r>
              <w:rPr>
                <w:rFonts w:hint="default" w:ascii="Times New Roman" w:hAnsi="Times New Roman" w:cs="Times New Roman" w:eastAsiaTheme="minorEastAsia"/>
                <w:color w:val="000000"/>
                <w:sz w:val="21"/>
                <w:szCs w:val="21"/>
                <w:highlight w:val="none"/>
                <w:lang w:val="en-US" w:eastAsia="zh-CN"/>
              </w:rPr>
              <w:t>169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8"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六价铬</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highlight w:val="none"/>
              </w:rPr>
              <w:t>0.004L</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highlight w:val="none"/>
              </w:rPr>
              <w:t>0.004L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9"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砷</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highlight w:val="none"/>
              </w:rPr>
              <w:t>0.0003L</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highlight w:val="none"/>
              </w:rPr>
              <w:t>0.0003L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rPr>
              <w:t>铅</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highlight w:val="none"/>
              </w:rPr>
              <w:t>0.0025</w:t>
            </w:r>
            <w:r>
              <w:rPr>
                <w:rFonts w:hint="default" w:ascii="Times New Roman" w:hAnsi="Times New Roman" w:cs="Times New Roman" w:eastAsiaTheme="minorEastAsia"/>
                <w:bCs/>
                <w:color w:val="000000"/>
                <w:sz w:val="21"/>
                <w:szCs w:val="21"/>
                <w:highlight w:val="none"/>
              </w:rPr>
              <w:t>L</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highlight w:val="none"/>
              </w:rPr>
              <w:t>0.0025</w:t>
            </w:r>
            <w:r>
              <w:rPr>
                <w:rFonts w:hint="default" w:ascii="Times New Roman" w:hAnsi="Times New Roman" w:cs="Times New Roman" w:eastAsiaTheme="minorEastAsia"/>
                <w:bCs/>
                <w:color w:val="000000"/>
                <w:sz w:val="21"/>
                <w:szCs w:val="21"/>
                <w:highlight w:val="none"/>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4"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铁</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highlight w:val="none"/>
              </w:rPr>
              <w:t>0.</w:t>
            </w:r>
            <w:r>
              <w:rPr>
                <w:rFonts w:hint="default" w:ascii="Times New Roman" w:hAnsi="Times New Roman" w:cs="Times New Roman" w:eastAsiaTheme="minorEastAsia"/>
                <w:color w:val="000000"/>
                <w:sz w:val="21"/>
                <w:szCs w:val="21"/>
                <w:highlight w:val="none"/>
                <w:lang w:val="en-US" w:eastAsia="zh-CN"/>
              </w:rPr>
              <w:t>28</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highlight w:val="none"/>
              </w:rPr>
              <w:t>0.</w:t>
            </w:r>
            <w:r>
              <w:rPr>
                <w:rFonts w:hint="default" w:ascii="Times New Roman" w:hAnsi="Times New Roman" w:cs="Times New Roman" w:eastAsiaTheme="minorEastAsia"/>
                <w:color w:val="000000"/>
                <w:sz w:val="21"/>
                <w:szCs w:val="21"/>
                <w:highlight w:val="none"/>
                <w:lang w:val="en-US" w:eastAsia="zh-CN"/>
              </w:rPr>
              <w:t>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1"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rPr>
              <w:t>汞</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highlight w:val="none"/>
              </w:rPr>
              <w:t>0.00004L</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highlight w:val="none"/>
              </w:rPr>
              <w:t>0.00004L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5"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rPr>
              <w:t>锰</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highlight w:val="none"/>
              </w:rPr>
              <w:t>0.</w:t>
            </w:r>
            <w:r>
              <w:rPr>
                <w:rFonts w:hint="default" w:ascii="Times New Roman" w:hAnsi="Times New Roman" w:cs="Times New Roman" w:eastAsiaTheme="minorEastAsia"/>
                <w:color w:val="000000"/>
                <w:sz w:val="21"/>
                <w:szCs w:val="21"/>
                <w:highlight w:val="none"/>
                <w:lang w:val="en-US" w:eastAsia="zh-CN"/>
              </w:rPr>
              <w:t>12</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highlight w:val="none"/>
              </w:rPr>
              <w:t>0.</w:t>
            </w:r>
            <w:r>
              <w:rPr>
                <w:rFonts w:hint="default" w:ascii="Times New Roman" w:hAnsi="Times New Roman" w:cs="Times New Roman" w:eastAsiaTheme="minorEastAsia"/>
                <w:color w:val="000000"/>
                <w:sz w:val="21"/>
                <w:szCs w:val="21"/>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9"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镉</w:t>
            </w:r>
          </w:p>
        </w:tc>
        <w:tc>
          <w:tcPr>
            <w:tcW w:w="3130" w:type="dxa"/>
            <w:tcBorders>
              <w:tl2br w:val="nil"/>
              <w:tr2bl w:val="nil"/>
            </w:tcBorders>
            <w:noWrap w:val="0"/>
            <w:vAlign w:val="center"/>
          </w:tcPr>
          <w:p>
            <w:pPr>
              <w:pStyle w:val="208"/>
              <w:keepNext w:val="0"/>
              <w:keepLines w:val="0"/>
              <w:pageBreakBefore w:val="0"/>
              <w:widowControl/>
              <w:kinsoku/>
              <w:wordWrap/>
              <w:overflowPunct/>
              <w:topLinePunct w:val="0"/>
              <w:autoSpaceDE/>
              <w:autoSpaceDN/>
              <w:bidi w:val="0"/>
              <w:adjustRightInd w:val="0"/>
              <w:snapToGrid w:val="0"/>
              <w:spacing w:before="0" w:after="0"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0.0005L</w:t>
            </w:r>
          </w:p>
        </w:tc>
        <w:tc>
          <w:tcPr>
            <w:tcW w:w="3130" w:type="dxa"/>
            <w:tcBorders>
              <w:tl2br w:val="nil"/>
              <w:tr2bl w:val="nil"/>
            </w:tcBorders>
            <w:noWrap w:val="0"/>
            <w:vAlign w:val="center"/>
          </w:tcPr>
          <w:p>
            <w:pPr>
              <w:pStyle w:val="208"/>
              <w:keepNext w:val="0"/>
              <w:keepLines w:val="0"/>
              <w:pageBreakBefore w:val="0"/>
              <w:widowControl/>
              <w:kinsoku/>
              <w:wordWrap/>
              <w:overflowPunct/>
              <w:topLinePunct w:val="0"/>
              <w:autoSpaceDE/>
              <w:autoSpaceDN/>
              <w:bidi w:val="0"/>
              <w:adjustRightInd w:val="0"/>
              <w:snapToGrid w:val="0"/>
              <w:spacing w:before="0" w:after="0" w:line="320" w:lineRule="exact"/>
              <w:ind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0.0005L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3"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石油类</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highlight w:val="none"/>
              </w:rPr>
              <w:t>0.01L</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highlight w:val="none"/>
              </w:rPr>
              <w:t>0.01L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0"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rPr>
              <w:t>总大肠菌群</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sz w:val="21"/>
                <w:szCs w:val="21"/>
                <w:highlight w:val="none"/>
              </w:rPr>
              <w:t>2L</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sz w:val="21"/>
                <w:szCs w:val="21"/>
                <w:highlight w:val="none"/>
              </w:rPr>
              <w:t>2L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菌落总数</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highlight w:val="none"/>
                <w:lang w:val="en-US" w:eastAsia="zh-CN" w:bidi="ar-SA"/>
              </w:rPr>
              <w:t>13</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highlight w:val="none"/>
                <w:lang w:val="en-US" w:eastAsia="zh-CN" w:bidi="ar-SA"/>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8"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井深（m）</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18</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70"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sz w:val="21"/>
                <w:szCs w:val="21"/>
                <w:lang w:eastAsia="zh-CN"/>
              </w:rPr>
            </w:pPr>
            <w:r>
              <w:rPr>
                <w:rFonts w:hint="default" w:ascii="Times New Roman" w:hAnsi="Times New Roman" w:cs="Times New Roman" w:eastAsiaTheme="minorEastAsia"/>
                <w:color w:val="000000"/>
                <w:sz w:val="21"/>
                <w:szCs w:val="21"/>
                <w:lang w:eastAsia="zh-CN"/>
              </w:rPr>
              <w:t>供水方式</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分散</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分散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6" w:hRule="exact"/>
          <w:jc w:val="center"/>
        </w:trPr>
        <w:tc>
          <w:tcPr>
            <w:tcW w:w="2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sz w:val="21"/>
                <w:szCs w:val="21"/>
                <w:lang w:eastAsia="zh-CN"/>
              </w:rPr>
            </w:pPr>
            <w:r>
              <w:rPr>
                <w:rFonts w:hint="default" w:ascii="Times New Roman" w:hAnsi="Times New Roman" w:cs="Times New Roman" w:eastAsiaTheme="minorEastAsia"/>
                <w:color w:val="000000"/>
                <w:sz w:val="21"/>
                <w:szCs w:val="21"/>
                <w:lang w:eastAsia="zh-CN"/>
              </w:rPr>
              <w:t>功能</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灌溉</w:t>
            </w:r>
          </w:p>
        </w:tc>
        <w:tc>
          <w:tcPr>
            <w:tcW w:w="31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养殖和饮用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34" w:hRule="exact"/>
          <w:jc w:val="center"/>
        </w:trPr>
        <w:tc>
          <w:tcPr>
            <w:tcW w:w="8819" w:type="dxa"/>
            <w:gridSpan w:val="3"/>
            <w:tcBorders>
              <w:tl2br w:val="nil"/>
              <w:tr2bl w:val="nil"/>
            </w:tcBorders>
            <w:noWrap w:val="0"/>
            <w:vAlign w:val="center"/>
          </w:tcPr>
          <w:p>
            <w:pPr>
              <w:pStyle w:val="78"/>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注：实测值数值后面的“L”， 表示此检测项目实测值为“未检出”。</w:t>
            </w:r>
          </w:p>
        </w:tc>
      </w:tr>
    </w:tbl>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由表4-3-</w:t>
      </w:r>
      <w:r>
        <w:rPr>
          <w:rFonts w:hint="default" w:ascii="Times New Roman" w:hAnsi="Times New Roman" w:cs="Times New Roman" w:eastAsiaTheme="minorEastAsia"/>
          <w:color w:val="auto"/>
          <w:sz w:val="24"/>
          <w:szCs w:val="22"/>
          <w:highlight w:val="none"/>
          <w:lang w:val="en-US" w:eastAsia="zh-CN"/>
        </w:rPr>
        <w:t>8及</w:t>
      </w:r>
      <w:r>
        <w:rPr>
          <w:rFonts w:hint="default" w:ascii="Times New Roman" w:hAnsi="Times New Roman" w:cs="Times New Roman" w:eastAsiaTheme="minorEastAsia"/>
          <w:color w:val="auto"/>
          <w:sz w:val="24"/>
          <w:szCs w:val="22"/>
          <w:highlight w:val="none"/>
        </w:rPr>
        <w:t>4-3-</w:t>
      </w:r>
      <w:r>
        <w:rPr>
          <w:rFonts w:hint="default" w:ascii="Times New Roman" w:hAnsi="Times New Roman" w:cs="Times New Roman" w:eastAsiaTheme="minorEastAsia"/>
          <w:color w:val="auto"/>
          <w:sz w:val="24"/>
          <w:szCs w:val="22"/>
          <w:highlight w:val="none"/>
          <w:lang w:val="en-US" w:eastAsia="zh-CN"/>
        </w:rPr>
        <w:t>9</w:t>
      </w:r>
      <w:r>
        <w:rPr>
          <w:rFonts w:hint="default" w:ascii="Times New Roman" w:hAnsi="Times New Roman" w:cs="Times New Roman" w:eastAsiaTheme="minorEastAsia"/>
          <w:color w:val="auto"/>
          <w:sz w:val="24"/>
          <w:szCs w:val="22"/>
          <w:highlight w:val="none"/>
        </w:rPr>
        <w:t>可知：监测点水质整体较好，所有指标标准指数值均小于1。</w:t>
      </w:r>
      <w:r>
        <w:rPr>
          <w:rFonts w:hint="default" w:ascii="Times New Roman" w:hAnsi="Times New Roman" w:cs="Times New Roman" w:eastAsiaTheme="minorEastAsia"/>
          <w:color w:val="auto"/>
          <w:sz w:val="24"/>
          <w:szCs w:val="22"/>
          <w:highlight w:val="none"/>
          <w:lang w:eastAsia="zh-CN"/>
        </w:rPr>
        <w:t>鞠家屯</w:t>
      </w:r>
      <w:r>
        <w:rPr>
          <w:rFonts w:hint="default" w:ascii="Times New Roman" w:hAnsi="Times New Roman" w:cs="Times New Roman" w:eastAsiaTheme="minorEastAsia"/>
          <w:color w:val="auto"/>
          <w:sz w:val="24"/>
          <w:szCs w:val="22"/>
          <w:highlight w:val="none"/>
        </w:rPr>
        <w:t>1#、</w:t>
      </w:r>
      <w:r>
        <w:rPr>
          <w:rFonts w:hint="default" w:ascii="Times New Roman" w:hAnsi="Times New Roman" w:cs="Times New Roman" w:eastAsiaTheme="minorEastAsia"/>
          <w:color w:val="auto"/>
          <w:sz w:val="24"/>
          <w:szCs w:val="22"/>
          <w:highlight w:val="none"/>
          <w:lang w:eastAsia="zh-CN"/>
        </w:rPr>
        <w:t>鞠家屯</w:t>
      </w:r>
      <w:r>
        <w:rPr>
          <w:rFonts w:hint="default" w:ascii="Times New Roman" w:hAnsi="Times New Roman" w:cs="Times New Roman" w:eastAsiaTheme="minorEastAsia"/>
          <w:color w:val="auto"/>
          <w:sz w:val="24"/>
          <w:szCs w:val="22"/>
          <w:highlight w:val="none"/>
        </w:rPr>
        <w:t>2#、</w:t>
      </w:r>
      <w:r>
        <w:rPr>
          <w:rFonts w:hint="default" w:ascii="Times New Roman" w:hAnsi="Times New Roman" w:cs="Times New Roman" w:eastAsiaTheme="minorEastAsia"/>
          <w:color w:val="auto"/>
          <w:sz w:val="24"/>
          <w:szCs w:val="22"/>
          <w:highlight w:val="none"/>
          <w:lang w:eastAsia="zh-CN"/>
        </w:rPr>
        <w:t>红星村</w:t>
      </w:r>
      <w:r>
        <w:rPr>
          <w:rFonts w:hint="default" w:ascii="Times New Roman" w:hAnsi="Times New Roman" w:cs="Times New Roman" w:eastAsiaTheme="minorEastAsia"/>
          <w:color w:val="auto"/>
          <w:sz w:val="24"/>
          <w:szCs w:val="22"/>
          <w:highlight w:val="none"/>
        </w:rPr>
        <w:t>点位为潜水层，监测指标满足《地下水质量标准》（GB/T14848-2017）中Ⅲ类标准，</w:t>
      </w:r>
      <w:r>
        <w:rPr>
          <w:rFonts w:hint="default" w:ascii="Times New Roman" w:hAnsi="Times New Roman" w:cs="Times New Roman" w:eastAsiaTheme="minorEastAsia"/>
          <w:color w:val="auto"/>
          <w:sz w:val="24"/>
          <w:szCs w:val="22"/>
          <w:highlight w:val="none"/>
          <w:lang w:eastAsia="zh-CN"/>
        </w:rPr>
        <w:t>场址内</w:t>
      </w:r>
      <w:r>
        <w:rPr>
          <w:rFonts w:hint="default" w:ascii="Times New Roman" w:hAnsi="Times New Roman" w:cs="Times New Roman" w:eastAsiaTheme="minorEastAsia"/>
          <w:color w:val="auto"/>
          <w:sz w:val="24"/>
          <w:szCs w:val="22"/>
          <w:highlight w:val="none"/>
        </w:rPr>
        <w:t>点位为承压水层，监测指标满足《地下水质量标准》（GB/T14848-2017）中Ⅲ类标准。</w:t>
      </w:r>
    </w:p>
    <w:p>
      <w:pPr>
        <w:ind w:firstLine="0" w:firstLineChars="0"/>
        <w:outlineLvl w:val="2"/>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4.3.4 声环境质量现状评价</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本项目声环境质量委托大庆中环评价检测有限公司于2021年</w:t>
      </w:r>
      <w:r>
        <w:rPr>
          <w:rFonts w:hint="default" w:ascii="Times New Roman" w:hAnsi="Times New Roman" w:cs="Times New Roman" w:eastAsiaTheme="minorEastAsia"/>
          <w:color w:val="auto"/>
          <w:sz w:val="24"/>
          <w:szCs w:val="22"/>
          <w:highlight w:val="none"/>
          <w:lang w:val="en-US" w:eastAsia="zh-CN"/>
        </w:rPr>
        <w:t>10</w:t>
      </w:r>
      <w:r>
        <w:rPr>
          <w:rFonts w:hint="default" w:ascii="Times New Roman" w:hAnsi="Times New Roman" w:cs="Times New Roman" w:eastAsiaTheme="minorEastAsia"/>
          <w:color w:val="auto"/>
          <w:sz w:val="24"/>
          <w:szCs w:val="22"/>
          <w:highlight w:val="none"/>
        </w:rPr>
        <w:t>月</w:t>
      </w:r>
      <w:r>
        <w:rPr>
          <w:rFonts w:hint="default" w:ascii="Times New Roman" w:hAnsi="Times New Roman" w:cs="Times New Roman" w:eastAsiaTheme="minorEastAsia"/>
          <w:color w:val="auto"/>
          <w:sz w:val="24"/>
          <w:szCs w:val="22"/>
          <w:highlight w:val="none"/>
          <w:lang w:val="en-US" w:eastAsia="zh-CN"/>
        </w:rPr>
        <w:t>29</w:t>
      </w:r>
      <w:r>
        <w:rPr>
          <w:rFonts w:hint="default" w:ascii="Times New Roman" w:hAnsi="Times New Roman" w:cs="Times New Roman" w:eastAsiaTheme="minorEastAsia"/>
          <w:color w:val="auto"/>
          <w:sz w:val="24"/>
          <w:szCs w:val="22"/>
          <w:highlight w:val="none"/>
        </w:rPr>
        <w:t>日、</w:t>
      </w:r>
      <w:r>
        <w:rPr>
          <w:rFonts w:hint="default" w:ascii="Times New Roman" w:hAnsi="Times New Roman" w:cs="Times New Roman" w:eastAsiaTheme="minorEastAsia"/>
          <w:color w:val="auto"/>
          <w:sz w:val="24"/>
          <w:szCs w:val="22"/>
          <w:highlight w:val="none"/>
          <w:lang w:val="en-US" w:eastAsia="zh-CN"/>
        </w:rPr>
        <w:t>30</w:t>
      </w:r>
      <w:r>
        <w:rPr>
          <w:rFonts w:hint="default" w:ascii="Times New Roman" w:hAnsi="Times New Roman" w:cs="Times New Roman" w:eastAsiaTheme="minorEastAsia"/>
          <w:color w:val="auto"/>
          <w:sz w:val="24"/>
          <w:szCs w:val="22"/>
          <w:highlight w:val="none"/>
        </w:rPr>
        <w:t>日进行现场监测。</w:t>
      </w:r>
    </w:p>
    <w:p>
      <w:pPr>
        <w:pStyle w:val="1297"/>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4.3.4.1 声环境现状监测</w:t>
      </w:r>
    </w:p>
    <w:p>
      <w:pPr>
        <w:widowControl w:val="0"/>
        <w:ind w:firstLine="560"/>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t>（1）监测点布设</w:t>
      </w:r>
    </w:p>
    <w:p>
      <w:pPr>
        <w:widowControl w:val="0"/>
        <w:ind w:firstLine="560"/>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t>监测点位分布如图4-3-1所示。</w:t>
      </w:r>
    </w:p>
    <w:p>
      <w:pPr>
        <w:widowControl w:val="0"/>
        <w:ind w:firstLine="560"/>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t>（2）监测频率及时间</w:t>
      </w:r>
    </w:p>
    <w:p>
      <w:pPr>
        <w:widowControl w:val="0"/>
        <w:ind w:firstLine="480"/>
        <w:rPr>
          <w:rFonts w:hint="default" w:ascii="Times New Roman" w:hAnsi="Times New Roman" w:cs="Times New Roman" w:eastAsiaTheme="minorEastAsia"/>
          <w:snapToGrid w:val="0"/>
          <w:color w:val="000000" w:themeColor="text1"/>
          <w:spacing w:val="-20"/>
          <w:kern w:val="0"/>
          <w:sz w:val="24"/>
          <w:szCs w:val="24"/>
          <w14:textFill>
            <w14:solidFill>
              <w14:schemeClr w14:val="tx1"/>
            </w14:solidFill>
          </w14:textFill>
        </w:rPr>
      </w:pPr>
      <w:r>
        <w:rPr>
          <w:rFonts w:hint="default" w:ascii="Times New Roman" w:hAnsi="Times New Roman" w:cs="Times New Roman" w:eastAsiaTheme="minorEastAsia"/>
          <w:snapToGrid w:val="0"/>
          <w:color w:val="000000" w:themeColor="text1"/>
          <w:spacing w:val="-20"/>
          <w:kern w:val="0"/>
          <w:sz w:val="24"/>
          <w:szCs w:val="24"/>
          <w14:textFill>
            <w14:solidFill>
              <w14:schemeClr w14:val="tx1"/>
            </w14:solidFill>
          </w14:textFill>
        </w:rPr>
        <w:t>6：00至22：00；夜间：22：00至6：00，连续监测2天，昼、夜各1次。</w:t>
      </w:r>
    </w:p>
    <w:p>
      <w:pPr>
        <w:widowControl w:val="0"/>
        <w:ind w:firstLine="560"/>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t>（3）监测条件</w:t>
      </w:r>
    </w:p>
    <w:p>
      <w:pPr>
        <w:widowControl w:val="0"/>
        <w:ind w:firstLine="560"/>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t>无风、无雨、风速小于5.5m/s。</w:t>
      </w:r>
    </w:p>
    <w:p>
      <w:pPr>
        <w:widowControl w:val="0"/>
        <w:ind w:firstLine="560"/>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t>（4）监测结果</w:t>
      </w:r>
    </w:p>
    <w:p>
      <w:pPr>
        <w:widowControl w:val="0"/>
        <w:ind w:firstLine="560"/>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t>环境噪声现状监测结果见表4-3-</w:t>
      </w:r>
      <w:r>
        <w:rPr>
          <w:rFonts w:hint="default" w:ascii="Times New Roman" w:hAnsi="Times New Roman" w:cs="Times New Roman" w:eastAsiaTheme="minorEastAsia"/>
          <w:snapToGrid w:val="0"/>
          <w:color w:val="000000" w:themeColor="text1"/>
          <w:kern w:val="0"/>
          <w:sz w:val="24"/>
          <w:szCs w:val="24"/>
          <w:lang w:val="en-US" w:eastAsia="zh-CN"/>
          <w14:textFill>
            <w14:solidFill>
              <w14:schemeClr w14:val="tx1"/>
            </w14:solidFill>
          </w14:textFill>
        </w:rPr>
        <w:t>10</w:t>
      </w:r>
      <w:r>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t>。</w:t>
      </w:r>
    </w:p>
    <w:p>
      <w:pPr>
        <w:ind w:firstLine="1920" w:firstLineChars="800"/>
        <w:outlineLvl w:val="0"/>
        <w:rPr>
          <w:rFonts w:hint="default" w:ascii="Times New Roman" w:hAnsi="Times New Roman" w:cs="Times New Roman" w:eastAsiaTheme="minorEastAsia"/>
          <w:bCs/>
          <w:snapToGrid w:val="0"/>
          <w:color w:val="auto"/>
          <w:sz w:val="24"/>
          <w:highlight w:val="none"/>
          <w:lang w:val="en-US" w:eastAsia="zh-CN"/>
        </w:rPr>
      </w:pPr>
      <w:bookmarkStart w:id="148" w:name="_Toc4303"/>
      <w:r>
        <w:rPr>
          <w:rFonts w:hint="default" w:ascii="Times New Roman" w:hAnsi="Times New Roman" w:cs="Times New Roman" w:eastAsiaTheme="minorEastAsia"/>
          <w:bCs/>
          <w:snapToGrid w:val="0"/>
          <w:color w:val="auto"/>
          <w:sz w:val="24"/>
          <w:highlight w:val="none"/>
        </w:rPr>
        <w:t>表4-3-</w:t>
      </w:r>
      <w:r>
        <w:rPr>
          <w:rFonts w:hint="default" w:ascii="Times New Roman" w:hAnsi="Times New Roman" w:cs="Times New Roman" w:eastAsiaTheme="minorEastAsia"/>
          <w:bCs/>
          <w:snapToGrid w:val="0"/>
          <w:color w:val="auto"/>
          <w:sz w:val="24"/>
          <w:highlight w:val="none"/>
          <w:lang w:val="en-US" w:eastAsia="zh-CN"/>
        </w:rPr>
        <w:t>10</w:t>
      </w:r>
      <w:r>
        <w:rPr>
          <w:rFonts w:hint="default" w:ascii="Times New Roman" w:hAnsi="Times New Roman" w:cs="Times New Roman" w:eastAsiaTheme="minorEastAsia"/>
          <w:bCs/>
          <w:snapToGrid w:val="0"/>
          <w:color w:val="auto"/>
          <w:sz w:val="24"/>
          <w:highlight w:val="none"/>
        </w:rPr>
        <w:t xml:space="preserve">  环境噪声现状监测结果</w:t>
      </w:r>
      <w:bookmarkStart w:id="149" w:name="_Toc534561200"/>
      <w:r>
        <w:rPr>
          <w:rFonts w:hint="eastAsia" w:ascii="Times New Roman" w:hAnsi="Times New Roman" w:cs="Times New Roman" w:eastAsiaTheme="minorEastAsia"/>
          <w:bCs/>
          <w:snapToGrid w:val="0"/>
          <w:color w:val="auto"/>
          <w:sz w:val="24"/>
          <w:highlight w:val="none"/>
          <w:lang w:val="en-US" w:eastAsia="zh-CN"/>
        </w:rPr>
        <w:t xml:space="preserve">   单位:dB（A）</w:t>
      </w:r>
      <w:bookmarkEnd w:id="148"/>
    </w:p>
    <w:tbl>
      <w:tblPr>
        <w:tblStyle w:val="91"/>
        <w:tblW w:w="90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150"/>
        <w:gridCol w:w="1413"/>
        <w:gridCol w:w="1835"/>
        <w:gridCol w:w="788"/>
        <w:gridCol w:w="1781"/>
        <w:gridCol w:w="7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30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监测地点</w:t>
            </w:r>
          </w:p>
        </w:tc>
        <w:tc>
          <w:tcPr>
            <w:tcW w:w="11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监测点位</w:t>
            </w:r>
          </w:p>
        </w:tc>
        <w:tc>
          <w:tcPr>
            <w:tcW w:w="14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Cs/>
                <w:color w:val="auto"/>
                <w:sz w:val="21"/>
                <w:szCs w:val="21"/>
                <w:highlight w:val="none"/>
              </w:rPr>
              <w:t>监测时间</w:t>
            </w:r>
          </w:p>
        </w:tc>
        <w:tc>
          <w:tcPr>
            <w:tcW w:w="262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昼间</w:t>
            </w:r>
          </w:p>
        </w:tc>
        <w:tc>
          <w:tcPr>
            <w:tcW w:w="257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130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b w:val="0"/>
                <w:bCs w:val="0"/>
                <w:sz w:val="21"/>
                <w:szCs w:val="21"/>
                <w:lang w:eastAsia="zh-CN"/>
              </w:rPr>
              <w:t>安达市宝源奶牛养殖专业合作社</w:t>
            </w:r>
            <w:r>
              <w:rPr>
                <w:rFonts w:hint="default" w:ascii="Times New Roman" w:hAnsi="Times New Roman" w:cs="Times New Roman" w:eastAsiaTheme="minorEastAsia"/>
                <w:sz w:val="21"/>
                <w:szCs w:val="21"/>
              </w:rPr>
              <w:t>厂界四周1</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rPr>
              <w:t>处</w:t>
            </w:r>
          </w:p>
        </w:tc>
        <w:tc>
          <w:tcPr>
            <w:tcW w:w="115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厂界东（1</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rPr>
              <w:t>）</w:t>
            </w:r>
          </w:p>
        </w:tc>
        <w:tc>
          <w:tcPr>
            <w:tcW w:w="1413"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rPr>
              <w:t>2021.</w:t>
            </w:r>
            <w:r>
              <w:rPr>
                <w:rFonts w:hint="default" w:ascii="Times New Roman" w:hAnsi="Times New Roman" w:cs="Times New Roman" w:eastAsiaTheme="minorEastAsia"/>
                <w:color w:val="000000"/>
                <w:sz w:val="21"/>
                <w:szCs w:val="21"/>
                <w:lang w:val="en-US" w:eastAsia="zh-CN"/>
              </w:rPr>
              <w:t>10.29</w:t>
            </w:r>
          </w:p>
        </w:tc>
        <w:tc>
          <w:tcPr>
            <w:tcW w:w="262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bCs/>
                <w:color w:val="000000"/>
                <w:sz w:val="21"/>
                <w:szCs w:val="21"/>
                <w:lang w:val="en-US" w:eastAsia="zh-CN"/>
              </w:rPr>
            </w:pPr>
            <w:r>
              <w:rPr>
                <w:rFonts w:hint="default" w:ascii="Times New Roman" w:hAnsi="Times New Roman" w:cs="Times New Roman" w:eastAsiaTheme="minorEastAsia"/>
                <w:bCs/>
                <w:color w:val="000000"/>
                <w:sz w:val="21"/>
                <w:szCs w:val="21"/>
              </w:rPr>
              <w:t>ZSD21</w:t>
            </w:r>
            <w:r>
              <w:rPr>
                <w:rFonts w:hint="default" w:ascii="Times New Roman" w:hAnsi="Times New Roman" w:cs="Times New Roman" w:eastAsiaTheme="minorEastAsia"/>
                <w:bCs/>
                <w:color w:val="000000"/>
                <w:sz w:val="21"/>
                <w:szCs w:val="21"/>
                <w:lang w:val="en-US" w:eastAsia="zh-CN"/>
              </w:rPr>
              <w:t>1029F01</w:t>
            </w:r>
          </w:p>
        </w:tc>
        <w:tc>
          <w:tcPr>
            <w:tcW w:w="257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bCs/>
                <w:color w:val="000000"/>
                <w:sz w:val="21"/>
                <w:szCs w:val="21"/>
              </w:rPr>
            </w:pPr>
            <w:r>
              <w:rPr>
                <w:rFonts w:hint="default" w:ascii="Times New Roman" w:hAnsi="Times New Roman" w:cs="Times New Roman" w:eastAsiaTheme="minorEastAsia"/>
                <w:bCs/>
                <w:color w:val="000000"/>
                <w:sz w:val="21"/>
                <w:szCs w:val="21"/>
              </w:rPr>
              <w:t>ZSD21</w:t>
            </w:r>
            <w:r>
              <w:rPr>
                <w:rFonts w:hint="default" w:ascii="Times New Roman" w:hAnsi="Times New Roman" w:cs="Times New Roman" w:eastAsiaTheme="minorEastAsia"/>
                <w:bCs/>
                <w:color w:val="000000"/>
                <w:sz w:val="21"/>
                <w:szCs w:val="21"/>
                <w:lang w:val="en-US" w:eastAsia="zh-CN"/>
              </w:rPr>
              <w:t>1029F02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0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c>
          <w:tcPr>
            <w:tcW w:w="115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sz w:val="21"/>
                <w:szCs w:val="21"/>
              </w:rPr>
            </w:pPr>
          </w:p>
        </w:tc>
        <w:tc>
          <w:tcPr>
            <w:tcW w:w="141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c>
          <w:tcPr>
            <w:tcW w:w="18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Cs/>
                <w:sz w:val="21"/>
                <w:szCs w:val="21"/>
              </w:rPr>
              <w:t>08:00～08:05</w:t>
            </w:r>
          </w:p>
        </w:tc>
        <w:tc>
          <w:tcPr>
            <w:tcW w:w="7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46.3</w:t>
            </w:r>
          </w:p>
        </w:tc>
        <w:tc>
          <w:tcPr>
            <w:tcW w:w="1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Cs/>
                <w:sz w:val="21"/>
                <w:szCs w:val="21"/>
              </w:rPr>
              <w:t>22:00～22:05</w:t>
            </w:r>
          </w:p>
        </w:tc>
        <w:tc>
          <w:tcPr>
            <w:tcW w:w="789" w:type="dxa"/>
            <w:tcBorders>
              <w:tl2br w:val="nil"/>
              <w:tr2bl w:val="nil"/>
            </w:tcBorders>
            <w:noWrap w:val="0"/>
            <w:vAlign w:val="center"/>
          </w:tcPr>
          <w:p>
            <w:pPr>
              <w:keepNext w:val="0"/>
              <w:keepLines w:val="0"/>
              <w:pageBreakBefore w:val="0"/>
              <w:widowControl/>
              <w:tabs>
                <w:tab w:val="left" w:pos="211"/>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0" w:hRule="atLeast"/>
          <w:jc w:val="center"/>
        </w:trPr>
        <w:tc>
          <w:tcPr>
            <w:tcW w:w="130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sz w:val="21"/>
                <w:szCs w:val="21"/>
              </w:rPr>
            </w:pPr>
          </w:p>
        </w:tc>
        <w:tc>
          <w:tcPr>
            <w:tcW w:w="115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厂界南（2</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rPr>
              <w:t>）</w:t>
            </w:r>
          </w:p>
        </w:tc>
        <w:tc>
          <w:tcPr>
            <w:tcW w:w="141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c>
          <w:tcPr>
            <w:tcW w:w="262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bCs/>
                <w:color w:val="FF0000"/>
                <w:sz w:val="21"/>
                <w:szCs w:val="21"/>
              </w:rPr>
            </w:pPr>
            <w:r>
              <w:rPr>
                <w:rFonts w:hint="default" w:ascii="Times New Roman" w:hAnsi="Times New Roman" w:cs="Times New Roman" w:eastAsiaTheme="minorEastAsia"/>
                <w:bCs/>
                <w:color w:val="000000"/>
                <w:sz w:val="21"/>
                <w:szCs w:val="21"/>
              </w:rPr>
              <w:t>ZS</w:t>
            </w:r>
            <w:r>
              <w:rPr>
                <w:rFonts w:hint="default" w:ascii="Times New Roman" w:hAnsi="Times New Roman" w:cs="Times New Roman" w:eastAsiaTheme="minorEastAsia"/>
                <w:bCs/>
                <w:color w:val="000000"/>
                <w:sz w:val="21"/>
                <w:szCs w:val="21"/>
                <w:lang w:val="en-US" w:eastAsia="zh-CN"/>
              </w:rPr>
              <w:t>N</w:t>
            </w:r>
            <w:r>
              <w:rPr>
                <w:rFonts w:hint="default" w:ascii="Times New Roman" w:hAnsi="Times New Roman" w:cs="Times New Roman" w:eastAsiaTheme="minorEastAsia"/>
                <w:bCs/>
                <w:color w:val="000000"/>
                <w:sz w:val="21"/>
                <w:szCs w:val="21"/>
              </w:rPr>
              <w:t>21</w:t>
            </w:r>
            <w:r>
              <w:rPr>
                <w:rFonts w:hint="default" w:ascii="Times New Roman" w:hAnsi="Times New Roman" w:cs="Times New Roman" w:eastAsiaTheme="minorEastAsia"/>
                <w:bCs/>
                <w:color w:val="000000"/>
                <w:sz w:val="21"/>
                <w:szCs w:val="21"/>
                <w:lang w:val="en-US" w:eastAsia="zh-CN"/>
              </w:rPr>
              <w:t>1029F01</w:t>
            </w:r>
          </w:p>
        </w:tc>
        <w:tc>
          <w:tcPr>
            <w:tcW w:w="257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bCs/>
                <w:color w:val="FF0000"/>
                <w:sz w:val="21"/>
                <w:szCs w:val="21"/>
              </w:rPr>
            </w:pPr>
            <w:r>
              <w:rPr>
                <w:rFonts w:hint="default" w:ascii="Times New Roman" w:hAnsi="Times New Roman" w:cs="Times New Roman" w:eastAsiaTheme="minorEastAsia"/>
                <w:bCs/>
                <w:color w:val="000000"/>
                <w:sz w:val="21"/>
                <w:szCs w:val="21"/>
              </w:rPr>
              <w:t>ZS</w:t>
            </w:r>
            <w:r>
              <w:rPr>
                <w:rFonts w:hint="default" w:ascii="Times New Roman" w:hAnsi="Times New Roman" w:cs="Times New Roman" w:eastAsiaTheme="minorEastAsia"/>
                <w:bCs/>
                <w:color w:val="000000"/>
                <w:sz w:val="21"/>
                <w:szCs w:val="21"/>
                <w:lang w:val="en-US" w:eastAsia="zh-CN"/>
              </w:rPr>
              <w:t>N</w:t>
            </w:r>
            <w:r>
              <w:rPr>
                <w:rFonts w:hint="default" w:ascii="Times New Roman" w:hAnsi="Times New Roman" w:cs="Times New Roman" w:eastAsiaTheme="minorEastAsia"/>
                <w:bCs/>
                <w:color w:val="000000"/>
                <w:sz w:val="21"/>
                <w:szCs w:val="21"/>
              </w:rPr>
              <w:t>21</w:t>
            </w:r>
            <w:r>
              <w:rPr>
                <w:rFonts w:hint="default" w:ascii="Times New Roman" w:hAnsi="Times New Roman" w:cs="Times New Roman" w:eastAsiaTheme="minorEastAsia"/>
                <w:bCs/>
                <w:color w:val="000000"/>
                <w:sz w:val="21"/>
                <w:szCs w:val="21"/>
                <w:lang w:val="en-US" w:eastAsia="zh-CN"/>
              </w:rPr>
              <w:t>1029F02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0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sz w:val="21"/>
                <w:szCs w:val="21"/>
              </w:rPr>
            </w:pPr>
          </w:p>
        </w:tc>
        <w:tc>
          <w:tcPr>
            <w:tcW w:w="115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sz w:val="21"/>
                <w:szCs w:val="21"/>
              </w:rPr>
            </w:pPr>
          </w:p>
        </w:tc>
        <w:tc>
          <w:tcPr>
            <w:tcW w:w="141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c>
          <w:tcPr>
            <w:tcW w:w="18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Cs/>
                <w:sz w:val="21"/>
                <w:szCs w:val="21"/>
              </w:rPr>
              <w:t>08:10～08:15</w:t>
            </w:r>
          </w:p>
        </w:tc>
        <w:tc>
          <w:tcPr>
            <w:tcW w:w="788" w:type="dxa"/>
            <w:tcBorders>
              <w:tl2br w:val="nil"/>
              <w:tr2bl w:val="nil"/>
            </w:tcBorders>
            <w:noWrap w:val="0"/>
            <w:vAlign w:val="center"/>
          </w:tcPr>
          <w:p>
            <w:pPr>
              <w:keepNext w:val="0"/>
              <w:keepLines w:val="0"/>
              <w:pageBreakBefore w:val="0"/>
              <w:widowControl/>
              <w:tabs>
                <w:tab w:val="left" w:pos="244"/>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47.2</w:t>
            </w:r>
          </w:p>
        </w:tc>
        <w:tc>
          <w:tcPr>
            <w:tcW w:w="1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Cs/>
                <w:sz w:val="21"/>
                <w:szCs w:val="21"/>
              </w:rPr>
              <w:t>22:10～22:15</w:t>
            </w:r>
          </w:p>
        </w:tc>
        <w:tc>
          <w:tcPr>
            <w:tcW w:w="789" w:type="dxa"/>
            <w:tcBorders>
              <w:tl2br w:val="nil"/>
              <w:tr2bl w:val="nil"/>
            </w:tcBorders>
            <w:noWrap w:val="0"/>
            <w:vAlign w:val="center"/>
          </w:tcPr>
          <w:p>
            <w:pPr>
              <w:keepNext w:val="0"/>
              <w:keepLines w:val="0"/>
              <w:pageBreakBefore w:val="0"/>
              <w:widowControl/>
              <w:tabs>
                <w:tab w:val="left" w:pos="259"/>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130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sz w:val="21"/>
                <w:szCs w:val="21"/>
              </w:rPr>
            </w:pPr>
          </w:p>
        </w:tc>
        <w:tc>
          <w:tcPr>
            <w:tcW w:w="115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厂界西（3</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rPr>
              <w:t>）</w:t>
            </w:r>
          </w:p>
        </w:tc>
        <w:tc>
          <w:tcPr>
            <w:tcW w:w="141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c>
          <w:tcPr>
            <w:tcW w:w="262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bCs/>
                <w:color w:val="FF0000"/>
                <w:sz w:val="21"/>
                <w:szCs w:val="21"/>
              </w:rPr>
            </w:pPr>
            <w:r>
              <w:rPr>
                <w:rFonts w:hint="default" w:ascii="Times New Roman" w:hAnsi="Times New Roman" w:cs="Times New Roman" w:eastAsiaTheme="minorEastAsia"/>
                <w:bCs/>
                <w:color w:val="000000"/>
                <w:sz w:val="21"/>
                <w:szCs w:val="21"/>
              </w:rPr>
              <w:t>ZS</w:t>
            </w:r>
            <w:r>
              <w:rPr>
                <w:rFonts w:hint="default" w:ascii="Times New Roman" w:hAnsi="Times New Roman" w:cs="Times New Roman" w:eastAsiaTheme="minorEastAsia"/>
                <w:bCs/>
                <w:color w:val="000000"/>
                <w:sz w:val="21"/>
                <w:szCs w:val="21"/>
                <w:lang w:val="en-US" w:eastAsia="zh-CN"/>
              </w:rPr>
              <w:t>X</w:t>
            </w:r>
            <w:r>
              <w:rPr>
                <w:rFonts w:hint="default" w:ascii="Times New Roman" w:hAnsi="Times New Roman" w:cs="Times New Roman" w:eastAsiaTheme="minorEastAsia"/>
                <w:bCs/>
                <w:color w:val="000000"/>
                <w:sz w:val="21"/>
                <w:szCs w:val="21"/>
              </w:rPr>
              <w:t>21</w:t>
            </w:r>
            <w:r>
              <w:rPr>
                <w:rFonts w:hint="default" w:ascii="Times New Roman" w:hAnsi="Times New Roman" w:cs="Times New Roman" w:eastAsiaTheme="minorEastAsia"/>
                <w:bCs/>
                <w:color w:val="000000"/>
                <w:sz w:val="21"/>
                <w:szCs w:val="21"/>
                <w:lang w:val="en-US" w:eastAsia="zh-CN"/>
              </w:rPr>
              <w:t>1029F01</w:t>
            </w:r>
          </w:p>
        </w:tc>
        <w:tc>
          <w:tcPr>
            <w:tcW w:w="257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bCs/>
                <w:color w:val="FF0000"/>
                <w:sz w:val="21"/>
                <w:szCs w:val="21"/>
              </w:rPr>
            </w:pPr>
            <w:r>
              <w:rPr>
                <w:rFonts w:hint="default" w:ascii="Times New Roman" w:hAnsi="Times New Roman" w:cs="Times New Roman" w:eastAsiaTheme="minorEastAsia"/>
                <w:bCs/>
                <w:color w:val="000000"/>
                <w:sz w:val="21"/>
                <w:szCs w:val="21"/>
              </w:rPr>
              <w:t>ZS</w:t>
            </w:r>
            <w:r>
              <w:rPr>
                <w:rFonts w:hint="default" w:ascii="Times New Roman" w:hAnsi="Times New Roman" w:cs="Times New Roman" w:eastAsiaTheme="minorEastAsia"/>
                <w:bCs/>
                <w:color w:val="000000"/>
                <w:sz w:val="21"/>
                <w:szCs w:val="21"/>
                <w:lang w:val="en-US" w:eastAsia="zh-CN"/>
              </w:rPr>
              <w:t>X</w:t>
            </w:r>
            <w:r>
              <w:rPr>
                <w:rFonts w:hint="default" w:ascii="Times New Roman" w:hAnsi="Times New Roman" w:cs="Times New Roman" w:eastAsiaTheme="minorEastAsia"/>
                <w:bCs/>
                <w:color w:val="000000"/>
                <w:sz w:val="21"/>
                <w:szCs w:val="21"/>
              </w:rPr>
              <w:t>21</w:t>
            </w:r>
            <w:r>
              <w:rPr>
                <w:rFonts w:hint="default" w:ascii="Times New Roman" w:hAnsi="Times New Roman" w:cs="Times New Roman" w:eastAsiaTheme="minorEastAsia"/>
                <w:bCs/>
                <w:color w:val="000000"/>
                <w:sz w:val="21"/>
                <w:szCs w:val="21"/>
                <w:lang w:val="en-US" w:eastAsia="zh-CN"/>
              </w:rPr>
              <w:t>1029F02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0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sz w:val="21"/>
                <w:szCs w:val="21"/>
              </w:rPr>
            </w:pPr>
          </w:p>
        </w:tc>
        <w:tc>
          <w:tcPr>
            <w:tcW w:w="115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sz w:val="21"/>
                <w:szCs w:val="21"/>
              </w:rPr>
            </w:pPr>
          </w:p>
        </w:tc>
        <w:tc>
          <w:tcPr>
            <w:tcW w:w="141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c>
          <w:tcPr>
            <w:tcW w:w="18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Cs/>
                <w:sz w:val="21"/>
                <w:szCs w:val="21"/>
              </w:rPr>
              <w:t>08:20～08:25</w:t>
            </w:r>
          </w:p>
        </w:tc>
        <w:tc>
          <w:tcPr>
            <w:tcW w:w="788" w:type="dxa"/>
            <w:tcBorders>
              <w:tl2br w:val="nil"/>
              <w:tr2bl w:val="nil"/>
            </w:tcBorders>
            <w:noWrap w:val="0"/>
            <w:vAlign w:val="center"/>
          </w:tcPr>
          <w:p>
            <w:pPr>
              <w:keepNext w:val="0"/>
              <w:keepLines w:val="0"/>
              <w:pageBreakBefore w:val="0"/>
              <w:widowControl/>
              <w:tabs>
                <w:tab w:val="left" w:pos="252"/>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45.8</w:t>
            </w:r>
          </w:p>
        </w:tc>
        <w:tc>
          <w:tcPr>
            <w:tcW w:w="1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Cs/>
                <w:sz w:val="21"/>
                <w:szCs w:val="21"/>
              </w:rPr>
              <w:t>22:20～22:25</w:t>
            </w:r>
          </w:p>
        </w:tc>
        <w:tc>
          <w:tcPr>
            <w:tcW w:w="789" w:type="dxa"/>
            <w:tcBorders>
              <w:tl2br w:val="nil"/>
              <w:tr2bl w:val="nil"/>
            </w:tcBorders>
            <w:noWrap w:val="0"/>
            <w:vAlign w:val="center"/>
          </w:tcPr>
          <w:p>
            <w:pPr>
              <w:keepNext w:val="0"/>
              <w:keepLines w:val="0"/>
              <w:pageBreakBefore w:val="0"/>
              <w:widowControl/>
              <w:tabs>
                <w:tab w:val="left" w:pos="219"/>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1" w:hRule="atLeast"/>
          <w:jc w:val="center"/>
        </w:trPr>
        <w:tc>
          <w:tcPr>
            <w:tcW w:w="130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sz w:val="21"/>
                <w:szCs w:val="21"/>
              </w:rPr>
            </w:pPr>
          </w:p>
        </w:tc>
        <w:tc>
          <w:tcPr>
            <w:tcW w:w="115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厂界北（4</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rPr>
              <w:t>）</w:t>
            </w:r>
          </w:p>
        </w:tc>
        <w:tc>
          <w:tcPr>
            <w:tcW w:w="141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c>
          <w:tcPr>
            <w:tcW w:w="262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bCs/>
                <w:color w:val="FF0000"/>
                <w:sz w:val="21"/>
                <w:szCs w:val="21"/>
              </w:rPr>
            </w:pPr>
            <w:r>
              <w:rPr>
                <w:rFonts w:hint="default" w:ascii="Times New Roman" w:hAnsi="Times New Roman" w:cs="Times New Roman" w:eastAsiaTheme="minorEastAsia"/>
                <w:bCs/>
                <w:color w:val="000000"/>
                <w:sz w:val="21"/>
                <w:szCs w:val="21"/>
              </w:rPr>
              <w:t>ZS</w:t>
            </w:r>
            <w:r>
              <w:rPr>
                <w:rFonts w:hint="default" w:ascii="Times New Roman" w:hAnsi="Times New Roman" w:cs="Times New Roman" w:eastAsiaTheme="minorEastAsia"/>
                <w:bCs/>
                <w:color w:val="000000"/>
                <w:sz w:val="21"/>
                <w:szCs w:val="21"/>
                <w:lang w:val="en-US" w:eastAsia="zh-CN"/>
              </w:rPr>
              <w:t>B</w:t>
            </w:r>
            <w:r>
              <w:rPr>
                <w:rFonts w:hint="default" w:ascii="Times New Roman" w:hAnsi="Times New Roman" w:cs="Times New Roman" w:eastAsiaTheme="minorEastAsia"/>
                <w:bCs/>
                <w:color w:val="000000"/>
                <w:sz w:val="21"/>
                <w:szCs w:val="21"/>
              </w:rPr>
              <w:t>21</w:t>
            </w:r>
            <w:r>
              <w:rPr>
                <w:rFonts w:hint="default" w:ascii="Times New Roman" w:hAnsi="Times New Roman" w:cs="Times New Roman" w:eastAsiaTheme="minorEastAsia"/>
                <w:bCs/>
                <w:color w:val="000000"/>
                <w:sz w:val="21"/>
                <w:szCs w:val="21"/>
                <w:lang w:val="en-US" w:eastAsia="zh-CN"/>
              </w:rPr>
              <w:t>1029F01</w:t>
            </w:r>
          </w:p>
        </w:tc>
        <w:tc>
          <w:tcPr>
            <w:tcW w:w="257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bCs/>
                <w:color w:val="FF0000"/>
                <w:sz w:val="21"/>
                <w:szCs w:val="21"/>
              </w:rPr>
            </w:pPr>
            <w:r>
              <w:rPr>
                <w:rFonts w:hint="default" w:ascii="Times New Roman" w:hAnsi="Times New Roman" w:cs="Times New Roman" w:eastAsiaTheme="minorEastAsia"/>
                <w:bCs/>
                <w:color w:val="000000"/>
                <w:sz w:val="21"/>
                <w:szCs w:val="21"/>
              </w:rPr>
              <w:t>ZS</w:t>
            </w:r>
            <w:r>
              <w:rPr>
                <w:rFonts w:hint="default" w:ascii="Times New Roman" w:hAnsi="Times New Roman" w:cs="Times New Roman" w:eastAsiaTheme="minorEastAsia"/>
                <w:bCs/>
                <w:color w:val="000000"/>
                <w:sz w:val="21"/>
                <w:szCs w:val="21"/>
                <w:lang w:val="en-US" w:eastAsia="zh-CN"/>
              </w:rPr>
              <w:t>B</w:t>
            </w:r>
            <w:r>
              <w:rPr>
                <w:rFonts w:hint="default" w:ascii="Times New Roman" w:hAnsi="Times New Roman" w:cs="Times New Roman" w:eastAsiaTheme="minorEastAsia"/>
                <w:bCs/>
                <w:color w:val="000000"/>
                <w:sz w:val="21"/>
                <w:szCs w:val="21"/>
              </w:rPr>
              <w:t>21</w:t>
            </w:r>
            <w:r>
              <w:rPr>
                <w:rFonts w:hint="default" w:ascii="Times New Roman" w:hAnsi="Times New Roman" w:cs="Times New Roman" w:eastAsiaTheme="minorEastAsia"/>
                <w:bCs/>
                <w:color w:val="000000"/>
                <w:sz w:val="21"/>
                <w:szCs w:val="21"/>
                <w:lang w:val="en-US" w:eastAsia="zh-CN"/>
              </w:rPr>
              <w:t>1029F02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0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sz w:val="21"/>
                <w:szCs w:val="21"/>
              </w:rPr>
            </w:pPr>
          </w:p>
        </w:tc>
        <w:tc>
          <w:tcPr>
            <w:tcW w:w="115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sz w:val="21"/>
                <w:szCs w:val="21"/>
              </w:rPr>
            </w:pPr>
          </w:p>
        </w:tc>
        <w:tc>
          <w:tcPr>
            <w:tcW w:w="141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00"/>
                <w:sz w:val="21"/>
                <w:szCs w:val="21"/>
              </w:rPr>
            </w:pPr>
          </w:p>
        </w:tc>
        <w:tc>
          <w:tcPr>
            <w:tcW w:w="18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Cs/>
                <w:sz w:val="21"/>
                <w:szCs w:val="21"/>
              </w:rPr>
              <w:t>08:30～08:35</w:t>
            </w:r>
          </w:p>
        </w:tc>
        <w:tc>
          <w:tcPr>
            <w:tcW w:w="7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48.7</w:t>
            </w:r>
          </w:p>
        </w:tc>
        <w:tc>
          <w:tcPr>
            <w:tcW w:w="1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Cs/>
                <w:sz w:val="21"/>
                <w:szCs w:val="21"/>
              </w:rPr>
              <w:t>22:30～22:35</w:t>
            </w:r>
          </w:p>
        </w:tc>
        <w:tc>
          <w:tcPr>
            <w:tcW w:w="7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130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sz w:val="21"/>
                <w:szCs w:val="21"/>
              </w:rPr>
            </w:pPr>
          </w:p>
        </w:tc>
        <w:tc>
          <w:tcPr>
            <w:tcW w:w="115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厂界东（1</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rPr>
              <w:t>）</w:t>
            </w:r>
          </w:p>
        </w:tc>
        <w:tc>
          <w:tcPr>
            <w:tcW w:w="1413"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rPr>
              <w:t>2021.</w:t>
            </w:r>
            <w:r>
              <w:rPr>
                <w:rFonts w:hint="default" w:ascii="Times New Roman" w:hAnsi="Times New Roman" w:cs="Times New Roman" w:eastAsiaTheme="minorEastAsia"/>
                <w:color w:val="000000"/>
                <w:sz w:val="21"/>
                <w:szCs w:val="21"/>
                <w:lang w:val="en-US" w:eastAsia="zh-CN"/>
              </w:rPr>
              <w:t>10.30</w:t>
            </w:r>
          </w:p>
        </w:tc>
        <w:tc>
          <w:tcPr>
            <w:tcW w:w="262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bCs/>
                <w:color w:val="FF0000"/>
                <w:sz w:val="21"/>
                <w:szCs w:val="21"/>
              </w:rPr>
            </w:pPr>
            <w:r>
              <w:rPr>
                <w:rFonts w:hint="default" w:ascii="Times New Roman" w:hAnsi="Times New Roman" w:cs="Times New Roman" w:eastAsiaTheme="minorEastAsia"/>
                <w:bCs/>
                <w:color w:val="000000"/>
                <w:sz w:val="21"/>
                <w:szCs w:val="21"/>
              </w:rPr>
              <w:t>ZSD21</w:t>
            </w:r>
            <w:r>
              <w:rPr>
                <w:rFonts w:hint="default" w:ascii="Times New Roman" w:hAnsi="Times New Roman" w:cs="Times New Roman" w:eastAsiaTheme="minorEastAsia"/>
                <w:bCs/>
                <w:color w:val="000000"/>
                <w:sz w:val="21"/>
                <w:szCs w:val="21"/>
                <w:lang w:val="en-US" w:eastAsia="zh-CN"/>
              </w:rPr>
              <w:t>1030F01</w:t>
            </w:r>
          </w:p>
        </w:tc>
        <w:tc>
          <w:tcPr>
            <w:tcW w:w="257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bCs/>
                <w:color w:val="FF0000"/>
                <w:sz w:val="21"/>
                <w:szCs w:val="21"/>
              </w:rPr>
            </w:pPr>
            <w:r>
              <w:rPr>
                <w:rFonts w:hint="default" w:ascii="Times New Roman" w:hAnsi="Times New Roman" w:cs="Times New Roman" w:eastAsiaTheme="minorEastAsia"/>
                <w:bCs/>
                <w:color w:val="000000"/>
                <w:sz w:val="21"/>
                <w:szCs w:val="21"/>
              </w:rPr>
              <w:t>ZSD21</w:t>
            </w:r>
            <w:r>
              <w:rPr>
                <w:rFonts w:hint="default" w:ascii="Times New Roman" w:hAnsi="Times New Roman" w:cs="Times New Roman" w:eastAsiaTheme="minorEastAsia"/>
                <w:bCs/>
                <w:color w:val="000000"/>
                <w:sz w:val="21"/>
                <w:szCs w:val="21"/>
                <w:lang w:val="en-US" w:eastAsia="zh-CN"/>
              </w:rPr>
              <w:t>1030F02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130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sz w:val="21"/>
                <w:szCs w:val="21"/>
              </w:rPr>
            </w:pPr>
          </w:p>
        </w:tc>
        <w:tc>
          <w:tcPr>
            <w:tcW w:w="115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sz w:val="21"/>
                <w:szCs w:val="21"/>
              </w:rPr>
            </w:pPr>
          </w:p>
        </w:tc>
        <w:tc>
          <w:tcPr>
            <w:tcW w:w="141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sz w:val="21"/>
                <w:szCs w:val="21"/>
              </w:rPr>
            </w:pPr>
          </w:p>
        </w:tc>
        <w:tc>
          <w:tcPr>
            <w:tcW w:w="18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Cs/>
                <w:sz w:val="21"/>
                <w:szCs w:val="21"/>
              </w:rPr>
              <w:t>08:00～08:05</w:t>
            </w:r>
          </w:p>
        </w:tc>
        <w:tc>
          <w:tcPr>
            <w:tcW w:w="788" w:type="dxa"/>
            <w:tcBorders>
              <w:tl2br w:val="nil"/>
              <w:tr2bl w:val="nil"/>
            </w:tcBorders>
            <w:noWrap w:val="0"/>
            <w:vAlign w:val="center"/>
          </w:tcPr>
          <w:p>
            <w:pPr>
              <w:keepNext w:val="0"/>
              <w:keepLines w:val="0"/>
              <w:pageBreakBefore w:val="0"/>
              <w:widowControl/>
              <w:tabs>
                <w:tab w:val="left" w:pos="236"/>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46.4</w:t>
            </w:r>
          </w:p>
        </w:tc>
        <w:tc>
          <w:tcPr>
            <w:tcW w:w="1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Cs/>
                <w:sz w:val="21"/>
                <w:szCs w:val="21"/>
              </w:rPr>
              <w:t>22:00～22:05</w:t>
            </w:r>
          </w:p>
        </w:tc>
        <w:tc>
          <w:tcPr>
            <w:tcW w:w="7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8" w:hRule="atLeast"/>
          <w:jc w:val="center"/>
        </w:trPr>
        <w:tc>
          <w:tcPr>
            <w:tcW w:w="130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sz w:val="21"/>
                <w:szCs w:val="21"/>
              </w:rPr>
            </w:pPr>
          </w:p>
        </w:tc>
        <w:tc>
          <w:tcPr>
            <w:tcW w:w="115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厂界南（2</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rPr>
              <w:t>）</w:t>
            </w:r>
          </w:p>
        </w:tc>
        <w:tc>
          <w:tcPr>
            <w:tcW w:w="141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sz w:val="21"/>
                <w:szCs w:val="21"/>
              </w:rPr>
            </w:pPr>
          </w:p>
        </w:tc>
        <w:tc>
          <w:tcPr>
            <w:tcW w:w="262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bCs/>
                <w:color w:val="FF0000"/>
                <w:sz w:val="21"/>
                <w:szCs w:val="21"/>
              </w:rPr>
            </w:pPr>
            <w:r>
              <w:rPr>
                <w:rFonts w:hint="default" w:ascii="Times New Roman" w:hAnsi="Times New Roman" w:cs="Times New Roman" w:eastAsiaTheme="minorEastAsia"/>
                <w:bCs/>
                <w:color w:val="000000"/>
                <w:sz w:val="21"/>
                <w:szCs w:val="21"/>
              </w:rPr>
              <w:t>ZS</w:t>
            </w:r>
            <w:r>
              <w:rPr>
                <w:rFonts w:hint="default" w:ascii="Times New Roman" w:hAnsi="Times New Roman" w:cs="Times New Roman" w:eastAsiaTheme="minorEastAsia"/>
                <w:bCs/>
                <w:color w:val="000000"/>
                <w:sz w:val="21"/>
                <w:szCs w:val="21"/>
                <w:lang w:val="en-US" w:eastAsia="zh-CN"/>
              </w:rPr>
              <w:t>N</w:t>
            </w:r>
            <w:r>
              <w:rPr>
                <w:rFonts w:hint="default" w:ascii="Times New Roman" w:hAnsi="Times New Roman" w:cs="Times New Roman" w:eastAsiaTheme="minorEastAsia"/>
                <w:bCs/>
                <w:color w:val="000000"/>
                <w:sz w:val="21"/>
                <w:szCs w:val="21"/>
              </w:rPr>
              <w:t>21</w:t>
            </w:r>
            <w:r>
              <w:rPr>
                <w:rFonts w:hint="default" w:ascii="Times New Roman" w:hAnsi="Times New Roman" w:cs="Times New Roman" w:eastAsiaTheme="minorEastAsia"/>
                <w:bCs/>
                <w:color w:val="000000"/>
                <w:sz w:val="21"/>
                <w:szCs w:val="21"/>
                <w:lang w:val="en-US" w:eastAsia="zh-CN"/>
              </w:rPr>
              <w:t>1030F01</w:t>
            </w:r>
          </w:p>
        </w:tc>
        <w:tc>
          <w:tcPr>
            <w:tcW w:w="257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bCs/>
                <w:color w:val="FF0000"/>
                <w:sz w:val="21"/>
                <w:szCs w:val="21"/>
              </w:rPr>
            </w:pPr>
            <w:r>
              <w:rPr>
                <w:rFonts w:hint="default" w:ascii="Times New Roman" w:hAnsi="Times New Roman" w:cs="Times New Roman" w:eastAsiaTheme="minorEastAsia"/>
                <w:bCs/>
                <w:color w:val="000000"/>
                <w:sz w:val="21"/>
                <w:szCs w:val="21"/>
              </w:rPr>
              <w:t>ZS</w:t>
            </w:r>
            <w:r>
              <w:rPr>
                <w:rFonts w:hint="default" w:ascii="Times New Roman" w:hAnsi="Times New Roman" w:cs="Times New Roman" w:eastAsiaTheme="minorEastAsia"/>
                <w:bCs/>
                <w:color w:val="000000"/>
                <w:sz w:val="21"/>
                <w:szCs w:val="21"/>
                <w:lang w:val="en-US" w:eastAsia="zh-CN"/>
              </w:rPr>
              <w:t>N</w:t>
            </w:r>
            <w:r>
              <w:rPr>
                <w:rFonts w:hint="default" w:ascii="Times New Roman" w:hAnsi="Times New Roman" w:cs="Times New Roman" w:eastAsiaTheme="minorEastAsia"/>
                <w:bCs/>
                <w:color w:val="000000"/>
                <w:sz w:val="21"/>
                <w:szCs w:val="21"/>
              </w:rPr>
              <w:t>21</w:t>
            </w:r>
            <w:r>
              <w:rPr>
                <w:rFonts w:hint="default" w:ascii="Times New Roman" w:hAnsi="Times New Roman" w:cs="Times New Roman" w:eastAsiaTheme="minorEastAsia"/>
                <w:bCs/>
                <w:color w:val="000000"/>
                <w:sz w:val="21"/>
                <w:szCs w:val="21"/>
                <w:lang w:val="en-US" w:eastAsia="zh-CN"/>
              </w:rPr>
              <w:t>1030F02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130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sz w:val="21"/>
                <w:szCs w:val="21"/>
              </w:rPr>
            </w:pPr>
          </w:p>
        </w:tc>
        <w:tc>
          <w:tcPr>
            <w:tcW w:w="115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sz w:val="21"/>
                <w:szCs w:val="21"/>
              </w:rPr>
            </w:pPr>
          </w:p>
        </w:tc>
        <w:tc>
          <w:tcPr>
            <w:tcW w:w="141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sz w:val="21"/>
                <w:szCs w:val="21"/>
              </w:rPr>
            </w:pPr>
          </w:p>
        </w:tc>
        <w:tc>
          <w:tcPr>
            <w:tcW w:w="18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Cs/>
                <w:sz w:val="21"/>
                <w:szCs w:val="21"/>
              </w:rPr>
              <w:t>08:10～08:15</w:t>
            </w:r>
          </w:p>
        </w:tc>
        <w:tc>
          <w:tcPr>
            <w:tcW w:w="7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47.4</w:t>
            </w:r>
          </w:p>
        </w:tc>
        <w:tc>
          <w:tcPr>
            <w:tcW w:w="1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Cs/>
                <w:sz w:val="21"/>
                <w:szCs w:val="21"/>
              </w:rPr>
              <w:t>22:10～22:15</w:t>
            </w:r>
          </w:p>
        </w:tc>
        <w:tc>
          <w:tcPr>
            <w:tcW w:w="7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130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sz w:val="21"/>
                <w:szCs w:val="21"/>
              </w:rPr>
            </w:pPr>
          </w:p>
        </w:tc>
        <w:tc>
          <w:tcPr>
            <w:tcW w:w="115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厂界西（3</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rPr>
              <w:t>）</w:t>
            </w:r>
          </w:p>
        </w:tc>
        <w:tc>
          <w:tcPr>
            <w:tcW w:w="141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sz w:val="21"/>
                <w:szCs w:val="21"/>
              </w:rPr>
            </w:pPr>
          </w:p>
        </w:tc>
        <w:tc>
          <w:tcPr>
            <w:tcW w:w="262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bCs/>
                <w:color w:val="FF0000"/>
                <w:sz w:val="21"/>
                <w:szCs w:val="21"/>
              </w:rPr>
            </w:pPr>
            <w:r>
              <w:rPr>
                <w:rFonts w:hint="default" w:ascii="Times New Roman" w:hAnsi="Times New Roman" w:cs="Times New Roman" w:eastAsiaTheme="minorEastAsia"/>
                <w:bCs/>
                <w:color w:val="000000"/>
                <w:sz w:val="21"/>
                <w:szCs w:val="21"/>
              </w:rPr>
              <w:t>ZS</w:t>
            </w:r>
            <w:r>
              <w:rPr>
                <w:rFonts w:hint="default" w:ascii="Times New Roman" w:hAnsi="Times New Roman" w:cs="Times New Roman" w:eastAsiaTheme="minorEastAsia"/>
                <w:bCs/>
                <w:color w:val="000000"/>
                <w:sz w:val="21"/>
                <w:szCs w:val="21"/>
                <w:lang w:val="en-US" w:eastAsia="zh-CN"/>
              </w:rPr>
              <w:t>X</w:t>
            </w:r>
            <w:r>
              <w:rPr>
                <w:rFonts w:hint="default" w:ascii="Times New Roman" w:hAnsi="Times New Roman" w:cs="Times New Roman" w:eastAsiaTheme="minorEastAsia"/>
                <w:bCs/>
                <w:color w:val="000000"/>
                <w:sz w:val="21"/>
                <w:szCs w:val="21"/>
              </w:rPr>
              <w:t>21</w:t>
            </w:r>
            <w:r>
              <w:rPr>
                <w:rFonts w:hint="default" w:ascii="Times New Roman" w:hAnsi="Times New Roman" w:cs="Times New Roman" w:eastAsiaTheme="minorEastAsia"/>
                <w:bCs/>
                <w:color w:val="000000"/>
                <w:sz w:val="21"/>
                <w:szCs w:val="21"/>
                <w:lang w:val="en-US" w:eastAsia="zh-CN"/>
              </w:rPr>
              <w:t>1030F01</w:t>
            </w:r>
          </w:p>
        </w:tc>
        <w:tc>
          <w:tcPr>
            <w:tcW w:w="257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bCs/>
                <w:color w:val="FF0000"/>
                <w:sz w:val="21"/>
                <w:szCs w:val="21"/>
              </w:rPr>
            </w:pPr>
            <w:r>
              <w:rPr>
                <w:rFonts w:hint="default" w:ascii="Times New Roman" w:hAnsi="Times New Roman" w:cs="Times New Roman" w:eastAsiaTheme="minorEastAsia"/>
                <w:bCs/>
                <w:color w:val="000000"/>
                <w:sz w:val="21"/>
                <w:szCs w:val="21"/>
              </w:rPr>
              <w:t>ZS</w:t>
            </w:r>
            <w:r>
              <w:rPr>
                <w:rFonts w:hint="default" w:ascii="Times New Roman" w:hAnsi="Times New Roman" w:cs="Times New Roman" w:eastAsiaTheme="minorEastAsia"/>
                <w:bCs/>
                <w:color w:val="000000"/>
                <w:sz w:val="21"/>
                <w:szCs w:val="21"/>
                <w:lang w:val="en-US" w:eastAsia="zh-CN"/>
              </w:rPr>
              <w:t>X</w:t>
            </w:r>
            <w:r>
              <w:rPr>
                <w:rFonts w:hint="default" w:ascii="Times New Roman" w:hAnsi="Times New Roman" w:cs="Times New Roman" w:eastAsiaTheme="minorEastAsia"/>
                <w:bCs/>
                <w:color w:val="000000"/>
                <w:sz w:val="21"/>
                <w:szCs w:val="21"/>
              </w:rPr>
              <w:t>21</w:t>
            </w:r>
            <w:r>
              <w:rPr>
                <w:rFonts w:hint="default" w:ascii="Times New Roman" w:hAnsi="Times New Roman" w:cs="Times New Roman" w:eastAsiaTheme="minorEastAsia"/>
                <w:bCs/>
                <w:color w:val="000000"/>
                <w:sz w:val="21"/>
                <w:szCs w:val="21"/>
                <w:lang w:val="en-US" w:eastAsia="zh-CN"/>
              </w:rPr>
              <w:t>1030F02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0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sz w:val="21"/>
                <w:szCs w:val="21"/>
              </w:rPr>
            </w:pPr>
          </w:p>
        </w:tc>
        <w:tc>
          <w:tcPr>
            <w:tcW w:w="115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sz w:val="21"/>
                <w:szCs w:val="21"/>
              </w:rPr>
            </w:pPr>
          </w:p>
        </w:tc>
        <w:tc>
          <w:tcPr>
            <w:tcW w:w="141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sz w:val="21"/>
                <w:szCs w:val="21"/>
              </w:rPr>
            </w:pPr>
          </w:p>
        </w:tc>
        <w:tc>
          <w:tcPr>
            <w:tcW w:w="18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Cs/>
                <w:sz w:val="21"/>
                <w:szCs w:val="21"/>
              </w:rPr>
              <w:t>08:20～08:25</w:t>
            </w:r>
          </w:p>
        </w:tc>
        <w:tc>
          <w:tcPr>
            <w:tcW w:w="7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45.3</w:t>
            </w:r>
          </w:p>
        </w:tc>
        <w:tc>
          <w:tcPr>
            <w:tcW w:w="1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Cs/>
                <w:sz w:val="21"/>
                <w:szCs w:val="21"/>
              </w:rPr>
              <w:t>22:20～22:25</w:t>
            </w:r>
          </w:p>
        </w:tc>
        <w:tc>
          <w:tcPr>
            <w:tcW w:w="7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130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sz w:val="21"/>
                <w:szCs w:val="21"/>
              </w:rPr>
            </w:pPr>
          </w:p>
        </w:tc>
        <w:tc>
          <w:tcPr>
            <w:tcW w:w="115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厂界北（4</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rPr>
              <w:t>）</w:t>
            </w:r>
          </w:p>
        </w:tc>
        <w:tc>
          <w:tcPr>
            <w:tcW w:w="141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sz w:val="21"/>
                <w:szCs w:val="21"/>
              </w:rPr>
            </w:pPr>
          </w:p>
        </w:tc>
        <w:tc>
          <w:tcPr>
            <w:tcW w:w="262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bCs/>
                <w:color w:val="FF0000"/>
                <w:sz w:val="21"/>
                <w:szCs w:val="21"/>
              </w:rPr>
            </w:pPr>
            <w:r>
              <w:rPr>
                <w:rFonts w:hint="default" w:ascii="Times New Roman" w:hAnsi="Times New Roman" w:cs="Times New Roman" w:eastAsiaTheme="minorEastAsia"/>
                <w:bCs/>
                <w:color w:val="000000"/>
                <w:sz w:val="21"/>
                <w:szCs w:val="21"/>
              </w:rPr>
              <w:t>ZS</w:t>
            </w:r>
            <w:r>
              <w:rPr>
                <w:rFonts w:hint="default" w:ascii="Times New Roman" w:hAnsi="Times New Roman" w:cs="Times New Roman" w:eastAsiaTheme="minorEastAsia"/>
                <w:bCs/>
                <w:color w:val="000000"/>
                <w:sz w:val="21"/>
                <w:szCs w:val="21"/>
                <w:lang w:val="en-US" w:eastAsia="zh-CN"/>
              </w:rPr>
              <w:t>B</w:t>
            </w:r>
            <w:r>
              <w:rPr>
                <w:rFonts w:hint="default" w:ascii="Times New Roman" w:hAnsi="Times New Roman" w:cs="Times New Roman" w:eastAsiaTheme="minorEastAsia"/>
                <w:bCs/>
                <w:color w:val="000000"/>
                <w:sz w:val="21"/>
                <w:szCs w:val="21"/>
              </w:rPr>
              <w:t>21</w:t>
            </w:r>
            <w:r>
              <w:rPr>
                <w:rFonts w:hint="default" w:ascii="Times New Roman" w:hAnsi="Times New Roman" w:cs="Times New Roman" w:eastAsiaTheme="minorEastAsia"/>
                <w:bCs/>
                <w:color w:val="000000"/>
                <w:sz w:val="21"/>
                <w:szCs w:val="21"/>
                <w:lang w:val="en-US" w:eastAsia="zh-CN"/>
              </w:rPr>
              <w:t>1030F01</w:t>
            </w:r>
          </w:p>
        </w:tc>
        <w:tc>
          <w:tcPr>
            <w:tcW w:w="257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bCs/>
                <w:color w:val="FF0000"/>
                <w:sz w:val="21"/>
                <w:szCs w:val="21"/>
              </w:rPr>
            </w:pPr>
            <w:r>
              <w:rPr>
                <w:rFonts w:hint="default" w:ascii="Times New Roman" w:hAnsi="Times New Roman" w:cs="Times New Roman" w:eastAsiaTheme="minorEastAsia"/>
                <w:bCs/>
                <w:color w:val="000000"/>
                <w:sz w:val="21"/>
                <w:szCs w:val="21"/>
              </w:rPr>
              <w:t>ZS</w:t>
            </w:r>
            <w:r>
              <w:rPr>
                <w:rFonts w:hint="default" w:ascii="Times New Roman" w:hAnsi="Times New Roman" w:cs="Times New Roman" w:eastAsiaTheme="minorEastAsia"/>
                <w:bCs/>
                <w:color w:val="000000"/>
                <w:sz w:val="21"/>
                <w:szCs w:val="21"/>
                <w:lang w:val="en-US" w:eastAsia="zh-CN"/>
              </w:rPr>
              <w:t>B</w:t>
            </w:r>
            <w:r>
              <w:rPr>
                <w:rFonts w:hint="default" w:ascii="Times New Roman" w:hAnsi="Times New Roman" w:cs="Times New Roman" w:eastAsiaTheme="minorEastAsia"/>
                <w:bCs/>
                <w:color w:val="000000"/>
                <w:sz w:val="21"/>
                <w:szCs w:val="21"/>
              </w:rPr>
              <w:t>21</w:t>
            </w:r>
            <w:r>
              <w:rPr>
                <w:rFonts w:hint="default" w:ascii="Times New Roman" w:hAnsi="Times New Roman" w:cs="Times New Roman" w:eastAsiaTheme="minorEastAsia"/>
                <w:bCs/>
                <w:color w:val="000000"/>
                <w:sz w:val="21"/>
                <w:szCs w:val="21"/>
                <w:lang w:val="en-US" w:eastAsia="zh-CN"/>
              </w:rPr>
              <w:t>1030F02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0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sz w:val="21"/>
                <w:szCs w:val="21"/>
              </w:rPr>
            </w:pPr>
          </w:p>
        </w:tc>
        <w:tc>
          <w:tcPr>
            <w:tcW w:w="115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sz w:val="21"/>
                <w:szCs w:val="21"/>
              </w:rPr>
            </w:pPr>
          </w:p>
        </w:tc>
        <w:tc>
          <w:tcPr>
            <w:tcW w:w="141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eastAsiaTheme="minorEastAsia"/>
                <w:sz w:val="21"/>
                <w:szCs w:val="21"/>
              </w:rPr>
            </w:pPr>
          </w:p>
        </w:tc>
        <w:tc>
          <w:tcPr>
            <w:tcW w:w="18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Cs/>
                <w:sz w:val="21"/>
                <w:szCs w:val="21"/>
              </w:rPr>
              <w:t>08:30～08:35</w:t>
            </w:r>
          </w:p>
        </w:tc>
        <w:tc>
          <w:tcPr>
            <w:tcW w:w="788" w:type="dxa"/>
            <w:tcBorders>
              <w:tl2br w:val="nil"/>
              <w:tr2bl w:val="nil"/>
            </w:tcBorders>
            <w:noWrap w:val="0"/>
            <w:vAlign w:val="center"/>
          </w:tcPr>
          <w:p>
            <w:pPr>
              <w:keepNext w:val="0"/>
              <w:keepLines w:val="0"/>
              <w:pageBreakBefore w:val="0"/>
              <w:widowControl/>
              <w:tabs>
                <w:tab w:val="left" w:pos="260"/>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48.6</w:t>
            </w:r>
          </w:p>
        </w:tc>
        <w:tc>
          <w:tcPr>
            <w:tcW w:w="1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Cs/>
                <w:sz w:val="21"/>
                <w:szCs w:val="21"/>
              </w:rPr>
              <w:t>22:30～22:35</w:t>
            </w:r>
          </w:p>
        </w:tc>
        <w:tc>
          <w:tcPr>
            <w:tcW w:w="789" w:type="dxa"/>
            <w:tcBorders>
              <w:tl2br w:val="nil"/>
              <w:tr2bl w:val="nil"/>
            </w:tcBorders>
            <w:noWrap w:val="0"/>
            <w:vAlign w:val="center"/>
          </w:tcPr>
          <w:p>
            <w:pPr>
              <w:keepNext w:val="0"/>
              <w:keepLines w:val="0"/>
              <w:pageBreakBefore w:val="0"/>
              <w:widowControl/>
              <w:tabs>
                <w:tab w:val="left" w:pos="275"/>
              </w:tabs>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46.1</w:t>
            </w:r>
          </w:p>
        </w:tc>
      </w:tr>
    </w:tbl>
    <w:p>
      <w:pPr>
        <w:ind w:firstLine="0" w:firstLineChars="0"/>
        <w:outlineLvl w:val="0"/>
        <w:rPr>
          <w:rFonts w:hint="default" w:ascii="Times New Roman" w:hAnsi="Times New Roman" w:cs="Times New Roman" w:eastAsiaTheme="minorEastAsia"/>
          <w:color w:val="000000" w:themeColor="text1"/>
          <w:sz w:val="24"/>
          <w:szCs w:val="22"/>
          <w14:textFill>
            <w14:solidFill>
              <w14:schemeClr w14:val="tx1"/>
            </w14:solidFill>
          </w14:textFill>
        </w:rPr>
      </w:pPr>
      <w:bookmarkStart w:id="150" w:name="_Toc23988"/>
      <w:r>
        <w:rPr>
          <w:rFonts w:hint="default" w:ascii="Times New Roman" w:hAnsi="Times New Roman" w:cs="Times New Roman" w:eastAsiaTheme="minorEastAsia"/>
          <w:color w:val="000000" w:themeColor="text1"/>
          <w:sz w:val="24"/>
          <w:szCs w:val="22"/>
          <w14:textFill>
            <w14:solidFill>
              <w14:schemeClr w14:val="tx1"/>
            </w14:solidFill>
          </w14:textFill>
        </w:rPr>
        <w:t>4.3.4.2 声环境现状评价</w:t>
      </w:r>
      <w:bookmarkEnd w:id="149"/>
      <w:bookmarkEnd w:id="150"/>
    </w:p>
    <w:p>
      <w:pPr>
        <w:widowControl w:val="0"/>
        <w:ind w:firstLine="560"/>
        <w:outlineLvl w:val="0"/>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pPr>
      <w:bookmarkStart w:id="151" w:name="_Toc15144"/>
      <w:r>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t>（1）评价标准</w:t>
      </w:r>
      <w:bookmarkEnd w:id="151"/>
    </w:p>
    <w:p>
      <w:pPr>
        <w:widowControl w:val="0"/>
        <w:ind w:firstLine="560"/>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t>厂址区域噪声执行《声环境质量标准》（GB3096-2008）2类标准。</w:t>
      </w:r>
    </w:p>
    <w:p>
      <w:pPr>
        <w:widowControl w:val="0"/>
        <w:ind w:firstLine="560"/>
        <w:outlineLvl w:val="0"/>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pPr>
      <w:bookmarkStart w:id="152" w:name="_Toc10776"/>
      <w:r>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t>（2）评价结果</w:t>
      </w:r>
      <w:bookmarkEnd w:id="152"/>
    </w:p>
    <w:p>
      <w:pPr>
        <w:widowControl w:val="0"/>
        <w:ind w:firstLine="560"/>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szCs w:val="24"/>
          <w14:textFill>
            <w14:solidFill>
              <w14:schemeClr w14:val="tx1"/>
            </w14:solidFill>
          </w14:textFill>
        </w:rPr>
        <w:t>采用与标准直接对比方法评价，得出如下结论：厂界所监测噪声昼间等效声级低于60dB(A)，夜间等效声级低于50dB(A)，均满足2类区声环境标准要求，本项目所在区域声环境质量较好。</w:t>
      </w:r>
    </w:p>
    <w:p>
      <w:pPr>
        <w:pStyle w:val="1167"/>
        <w:rPr>
          <w:rFonts w:hint="default" w:ascii="Times New Roman" w:hAnsi="Times New Roman" w:cs="Times New Roman" w:eastAsiaTheme="minorEastAsia"/>
          <w:snapToGrid w:val="0"/>
          <w:color w:val="000000" w:themeColor="text1"/>
          <w:sz w:val="24"/>
          <w:szCs w:val="24"/>
          <w14:textFill>
            <w14:solidFill>
              <w14:schemeClr w14:val="tx1"/>
            </w14:solidFill>
          </w14:textFill>
        </w:rPr>
      </w:pPr>
      <w:r>
        <w:rPr>
          <w:rFonts w:hint="default" w:ascii="Times New Roman" w:hAnsi="Times New Roman" w:cs="Times New Roman" w:eastAsiaTheme="minorEastAsia"/>
          <w:snapToGrid w:val="0"/>
          <w:color w:val="000000" w:themeColor="text1"/>
          <w:sz w:val="24"/>
          <w:szCs w:val="24"/>
          <w14:textFill>
            <w14:solidFill>
              <w14:schemeClr w14:val="tx1"/>
            </w14:solidFill>
          </w14:textFill>
        </w:rPr>
        <w:t>4.3.5 土壤环境质量现状评价</w:t>
      </w:r>
    </w:p>
    <w:p>
      <w:pPr>
        <w:adjustRightInd/>
        <w:snapToGrid/>
        <w:rPr>
          <w:rFonts w:hint="default" w:ascii="Times New Roman" w:hAnsi="Times New Roman" w:cs="Times New Roman" w:eastAsiaTheme="minorEastAsia"/>
          <w:kern w:val="0"/>
          <w:sz w:val="24"/>
          <w:szCs w:val="24"/>
          <w:lang w:val="en-US" w:eastAsia="zh-CN"/>
        </w:rPr>
      </w:pPr>
      <w:r>
        <w:rPr>
          <w:rFonts w:hint="default" w:ascii="Times New Roman" w:hAnsi="Times New Roman" w:cs="Times New Roman" w:eastAsiaTheme="minorEastAsia"/>
          <w:kern w:val="0"/>
          <w:sz w:val="24"/>
          <w:szCs w:val="24"/>
          <w:lang w:val="en-US" w:eastAsia="zh-CN"/>
        </w:rPr>
        <w:t>4.3.5.1土壤类型</w:t>
      </w:r>
    </w:p>
    <w:p>
      <w:pPr>
        <w:adjustRightInd/>
        <w:snapToGrid/>
        <w:rPr>
          <w:rFonts w:hint="default" w:ascii="Times New Roman" w:hAnsi="Times New Roman" w:cs="Times New Roman" w:eastAsiaTheme="minorEastAsia"/>
          <w:kern w:val="0"/>
          <w:sz w:val="24"/>
          <w:szCs w:val="24"/>
        </w:rPr>
      </w:pPr>
      <w:r>
        <w:rPr>
          <w:rFonts w:hint="default" w:ascii="Times New Roman" w:hAnsi="Times New Roman" w:cs="Times New Roman" w:eastAsiaTheme="minorEastAsia"/>
          <w:kern w:val="0"/>
          <w:sz w:val="24"/>
          <w:szCs w:val="24"/>
        </w:rPr>
        <w:t>本项目区域土壤类型分布见图4-3-</w:t>
      </w:r>
      <w:r>
        <w:rPr>
          <w:rFonts w:hint="default" w:ascii="Times New Roman" w:hAnsi="Times New Roman" w:cs="Times New Roman" w:eastAsiaTheme="minorEastAsia"/>
          <w:kern w:val="0"/>
          <w:sz w:val="24"/>
          <w:szCs w:val="24"/>
          <w:lang w:val="en-US" w:eastAsia="zh-CN"/>
        </w:rPr>
        <w:t>3</w:t>
      </w:r>
      <w:r>
        <w:rPr>
          <w:rFonts w:hint="default" w:ascii="Times New Roman" w:hAnsi="Times New Roman" w:cs="Times New Roman" w:eastAsiaTheme="minorEastAsia"/>
          <w:kern w:val="0"/>
          <w:sz w:val="24"/>
          <w:szCs w:val="24"/>
        </w:rPr>
        <w:t>。</w:t>
      </w:r>
    </w:p>
    <w:p>
      <w:pPr>
        <w:keepNext w:val="0"/>
        <w:keepLines w:val="0"/>
        <w:pageBreakBefore w:val="0"/>
        <w:widowControl/>
        <w:kinsoku/>
        <w:wordWrap/>
        <w:overflowPunct/>
        <w:topLinePunct w:val="0"/>
        <w:autoSpaceDE/>
        <w:autoSpaceDN/>
        <w:bidi w:val="0"/>
        <w:adjustRightInd/>
        <w:snapToGrid/>
        <w:spacing w:line="480" w:lineRule="auto"/>
        <w:textAlignment w:val="auto"/>
        <w:rPr>
          <w:rFonts w:hint="default" w:ascii="Times New Roman" w:hAnsi="Times New Roman" w:cs="Times New Roman" w:eastAsiaTheme="minorEastAsia"/>
          <w:kern w:val="0"/>
          <w:szCs w:val="24"/>
        </w:rPr>
      </w:pPr>
      <w:r>
        <w:rPr>
          <w:rFonts w:hint="default" w:ascii="Times New Roman" w:hAnsi="Times New Roman" w:cs="Times New Roman" w:eastAsiaTheme="minorEastAsia"/>
          <w:kern w:val="0"/>
          <w:szCs w:val="24"/>
        </w:rPr>
        <w:drawing>
          <wp:inline distT="0" distB="0" distL="0" distR="0">
            <wp:extent cx="5181600" cy="5591175"/>
            <wp:effectExtent l="0" t="0" r="0" b="9525"/>
            <wp:docPr id="170" name="图片 67" descr="黑龙江-土壤ps_ROOT_vdb_figs_thematic100_prov_fashen_H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67" descr="黑龙江-土壤ps_ROOT_vdb_figs_thematic100_prov_fashen_HLJ"/>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5181600" cy="559117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default" w:ascii="Times New Roman" w:hAnsi="Times New Roman" w:cs="Times New Roman" w:eastAsiaTheme="minorEastAsia"/>
          <w:kern w:val="0"/>
          <w:sz w:val="28"/>
          <w:szCs w:val="28"/>
        </w:rPr>
      </w:pPr>
      <w:r>
        <w:rPr>
          <w:rFonts w:hint="default" w:ascii="Times New Roman" w:hAnsi="Times New Roman" w:cs="Times New Roman" w:eastAsiaTheme="minorEastAsia"/>
          <w:kern w:val="0"/>
          <w:sz w:val="24"/>
          <w:szCs w:val="24"/>
        </w:rPr>
        <w:t>图4-3-</w:t>
      </w:r>
      <w:r>
        <w:rPr>
          <w:rFonts w:hint="default" w:ascii="Times New Roman" w:hAnsi="Times New Roman" w:cs="Times New Roman" w:eastAsiaTheme="minorEastAsia"/>
          <w:kern w:val="0"/>
          <w:sz w:val="24"/>
          <w:szCs w:val="24"/>
          <w:lang w:val="en-US" w:eastAsia="zh-CN"/>
        </w:rPr>
        <w:t>3</w:t>
      </w:r>
      <w:r>
        <w:rPr>
          <w:rFonts w:hint="default" w:ascii="Times New Roman" w:hAnsi="Times New Roman" w:cs="Times New Roman" w:eastAsiaTheme="minorEastAsia"/>
          <w:kern w:val="0"/>
          <w:sz w:val="24"/>
          <w:szCs w:val="24"/>
        </w:rPr>
        <w:t xml:space="preserve">  土壤类型分布图</w:t>
      </w:r>
    </w:p>
    <w:p>
      <w:pPr>
        <w:keepNext w:val="0"/>
        <w:keepLines w:val="0"/>
        <w:pageBreakBefore w:val="0"/>
        <w:widowControl/>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kern w:val="0"/>
          <w:sz w:val="24"/>
          <w:szCs w:val="24"/>
        </w:rPr>
      </w:pPr>
      <w:r>
        <w:rPr>
          <w:rFonts w:hint="default" w:ascii="Times New Roman" w:hAnsi="Times New Roman" w:cs="Times New Roman" w:eastAsiaTheme="minorEastAsia"/>
          <w:kern w:val="0"/>
          <w:sz w:val="24"/>
          <w:szCs w:val="24"/>
        </w:rPr>
        <w:t>经调查，本项目土壤属于盐化草甸土。</w:t>
      </w:r>
    </w:p>
    <w:p>
      <w:pPr>
        <w:keepNext w:val="0"/>
        <w:keepLines w:val="0"/>
        <w:pageBreakBefore w:val="0"/>
        <w:widowControl/>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kern w:val="0"/>
          <w:sz w:val="24"/>
          <w:szCs w:val="24"/>
        </w:rPr>
      </w:pPr>
      <w:r>
        <w:rPr>
          <w:rFonts w:hint="default" w:ascii="Times New Roman" w:hAnsi="Times New Roman" w:cs="Times New Roman" w:eastAsiaTheme="minorEastAsia"/>
          <w:kern w:val="0"/>
          <w:sz w:val="24"/>
          <w:szCs w:val="24"/>
        </w:rPr>
        <w:t>（1）归属与分布</w:t>
      </w:r>
    </w:p>
    <w:p>
      <w:pPr>
        <w:keepNext w:val="0"/>
        <w:keepLines w:val="0"/>
        <w:pageBreakBefore w:val="0"/>
        <w:widowControl/>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kern w:val="0"/>
          <w:sz w:val="24"/>
          <w:szCs w:val="24"/>
        </w:rPr>
      </w:pPr>
      <w:r>
        <w:rPr>
          <w:rFonts w:hint="default" w:ascii="Times New Roman" w:hAnsi="Times New Roman" w:cs="Times New Roman" w:eastAsiaTheme="minorEastAsia"/>
          <w:kern w:val="0"/>
          <w:sz w:val="24"/>
          <w:szCs w:val="24"/>
        </w:rPr>
        <w:t>归属碱甸黄土，属碱化草甸土亚类碱甸黄土土属。主要分布在黑龙江省安达市、齐齐哈尔市郊区、肇州县及林甸县境内松嫩平原低洼地。面积104.6万亩(其中耕地8.2万亩)。</w:t>
      </w:r>
    </w:p>
    <w:p>
      <w:pPr>
        <w:pStyle w:val="2"/>
        <w:rPr>
          <w:rFonts w:hint="default" w:ascii="Times New Roman" w:hAnsi="Times New Roman" w:cs="Times New Roman" w:eastAsiaTheme="minorEastAsia"/>
          <w:kern w:val="0"/>
          <w:sz w:val="24"/>
          <w:szCs w:val="24"/>
        </w:rPr>
      </w:pPr>
    </w:p>
    <w:p>
      <w:pPr>
        <w:rPr>
          <w:rFonts w:hint="default"/>
        </w:rPr>
      </w:pPr>
    </w:p>
    <w:p>
      <w:pPr>
        <w:keepNext w:val="0"/>
        <w:keepLines w:val="0"/>
        <w:pageBreakBefore w:val="0"/>
        <w:widowControl/>
        <w:numPr>
          <w:ilvl w:val="0"/>
          <w:numId w:val="2"/>
        </w:numPr>
        <w:kinsoku/>
        <w:wordWrap/>
        <w:overflowPunct/>
        <w:topLinePunct w:val="0"/>
        <w:autoSpaceDE/>
        <w:autoSpaceDN/>
        <w:bidi w:val="0"/>
        <w:adjustRightInd/>
        <w:snapToGrid/>
        <w:spacing w:line="500" w:lineRule="exact"/>
        <w:ind w:firstLineChars="0"/>
        <w:textAlignment w:val="auto"/>
        <w:rPr>
          <w:rFonts w:hint="default" w:ascii="Times New Roman" w:hAnsi="Times New Roman" w:cs="Times New Roman" w:eastAsiaTheme="minorEastAsia"/>
          <w:kern w:val="0"/>
          <w:sz w:val="24"/>
          <w:szCs w:val="24"/>
        </w:rPr>
      </w:pPr>
      <w:r>
        <w:rPr>
          <w:rFonts w:hint="default" w:ascii="Times New Roman" w:hAnsi="Times New Roman" w:cs="Times New Roman" w:eastAsiaTheme="minorEastAsia"/>
          <w:kern w:val="0"/>
          <w:sz w:val="24"/>
          <w:szCs w:val="24"/>
        </w:rPr>
        <w:t>主要性状</w:t>
      </w:r>
    </w:p>
    <w:p>
      <w:pPr>
        <w:pStyle w:val="3620"/>
        <w:keepNext w:val="0"/>
        <w:keepLines w:val="0"/>
        <w:pageBreakBefore w:val="0"/>
        <w:widowControl/>
        <w:kinsoku/>
        <w:wordWrap/>
        <w:overflowPunct/>
        <w:topLinePunct w:val="0"/>
        <w:autoSpaceDE/>
        <w:autoSpaceDN/>
        <w:bidi w:val="0"/>
        <w:spacing w:line="500" w:lineRule="exact"/>
        <w:ind w:firstLine="48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该土种成土母质为黄土状沉积物，剖面为A—Cn—Cun—C型。土体深厚，A层质地为砂质粘壤土，其下为壤质粘土及粘土。腐殖质层厚5—10cm，有机质含量3—5%。其下有一碱化层，厚度30—40cm，微显柱状结构，碱化度在20—30%之间，可见灰白色斑状盐霜。该土种通体有石灰反应。剖面中下部有较多锈纹锈斑，有少量铁锰结核和石灰斑。全盐量0.13—0.22%。土壤pH8.0—9.0，呈碱性反应，阳离子交换量30—40me/100g土。据33个农化样分析统计：有机质含量4.30%，全氮0.204%，碱解氮167ppm，速效磷7ppm，速效钾278ppm；有效硼含量0.5ppm，有效锰7ppm，有效锌0.2ppm，有效铜0.1ppm。</w:t>
      </w:r>
    </w:p>
    <w:p>
      <w:pPr>
        <w:pStyle w:val="3620"/>
        <w:keepNext w:val="0"/>
        <w:keepLines w:val="0"/>
        <w:pageBreakBefore w:val="0"/>
        <w:widowControl/>
        <w:kinsoku/>
        <w:wordWrap/>
        <w:overflowPunct/>
        <w:topLinePunct w:val="0"/>
        <w:autoSpaceDE/>
        <w:autoSpaceDN/>
        <w:bidi w:val="0"/>
        <w:spacing w:line="500" w:lineRule="exact"/>
        <w:ind w:firstLine="48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（3）典型剖面</w:t>
      </w:r>
    </w:p>
    <w:p>
      <w:pPr>
        <w:pStyle w:val="3620"/>
        <w:keepNext w:val="0"/>
        <w:keepLines w:val="0"/>
        <w:pageBreakBefore w:val="0"/>
        <w:widowControl/>
        <w:kinsoku/>
        <w:wordWrap/>
        <w:overflowPunct/>
        <w:topLinePunct w:val="0"/>
        <w:autoSpaceDE/>
        <w:autoSpaceDN/>
        <w:bidi w:val="0"/>
        <w:spacing w:line="500" w:lineRule="exact"/>
        <w:ind w:firstLine="48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采自安达市卧里屯乡保国村南。平原的低洼部位，海拔146m。母质为黄土状沉积物。年均温3.0℃，年降水量500.9mm，≥10 ℃积温2842℃，无霜期130天。自然植被以碱草为主，混生碱茅、星星草等耐盐碱植物。A层：0—5cm，棕灰色(湿，10YR5/1)，砂质粘壤土，屑粒状结构，疏松，润，有较多根系，弱石灰反应。Cn层：5—37cm，棕灰色(湿，10YR4/1)，砂质粘土，块状结构，紧，润，根系很少，强石灰反应，层次过渡明显。Cun1层：37—79cm，黄棕色(湿，10YR5/6)，粘土，块状结构，紧，有少量锈纹斑和石灰假菌丝体，潮，强石灰反应，层次过渡较明显。Cun2层：79—122cm，亮黄棕色(湿，10YR6/6)，砂质粘土，块状结构，紧，锈斑较多，有少量石灰假菌丝体，潮，强石灰反应。</w:t>
      </w:r>
    </w:p>
    <w:p>
      <w:pPr>
        <w:pStyle w:val="3620"/>
        <w:keepNext w:val="0"/>
        <w:keepLines w:val="0"/>
        <w:pageBreakBefore w:val="0"/>
        <w:widowControl/>
        <w:kinsoku/>
        <w:wordWrap/>
        <w:overflowPunct/>
        <w:topLinePunct w:val="0"/>
        <w:autoSpaceDE/>
        <w:autoSpaceDN/>
        <w:bidi w:val="0"/>
        <w:spacing w:line="500" w:lineRule="exact"/>
        <w:ind w:firstLine="48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 xml:space="preserve">（4）生产性能综述 </w:t>
      </w:r>
    </w:p>
    <w:p>
      <w:pPr>
        <w:pStyle w:val="3620"/>
        <w:keepNext w:val="0"/>
        <w:keepLines w:val="0"/>
        <w:pageBreakBefore w:val="0"/>
        <w:widowControl/>
        <w:kinsoku/>
        <w:wordWrap/>
        <w:overflowPunct/>
        <w:topLinePunct w:val="0"/>
        <w:autoSpaceDE/>
        <w:autoSpaceDN/>
        <w:bidi w:val="0"/>
        <w:spacing w:line="500" w:lineRule="exact"/>
        <w:ind w:firstLine="48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该土种因碱性较强，不适宜作物生长，为宜牧地。羊草生长良好，产量较高，有利于发展牧业生产。部分耕地因土质粘重，特别碱化层碱化 度较高，物理性状极差，干旱硬，湿时泞，耕性不良，易旱易涝，为低产土壤，玉米亩产仅200—300kg。改良利用措施是：有计划地掺砂改粘，既能改善耕性，又能压盐隔碱，提高退透性；加强深耕深松和中耕松土措施，熟化土壤，但不要将碱化层翻起，以免增加耕层土壤盐碱，危害作物；增施有机肥料和酸性肥料，改良碱性，提高供肥能力；对碱性强、碱化层出现部位高的耕地，应尽快退耕还草还牧。</w:t>
      </w:r>
    </w:p>
    <w:p>
      <w:pPr>
        <w:adjustRightInd/>
        <w:snapToGrid/>
        <w:rPr>
          <w:rFonts w:hint="default" w:ascii="Times New Roman" w:hAnsi="Times New Roman" w:cs="Times New Roman" w:eastAsiaTheme="minorEastAsia"/>
          <w:kern w:val="0"/>
          <w:sz w:val="24"/>
          <w:szCs w:val="24"/>
          <w:lang w:val="en-US" w:eastAsia="zh-CN"/>
        </w:rPr>
      </w:pPr>
      <w:r>
        <w:rPr>
          <w:rFonts w:hint="default" w:ascii="Times New Roman" w:hAnsi="Times New Roman" w:cs="Times New Roman" w:eastAsiaTheme="minorEastAsia"/>
          <w:color w:val="auto"/>
          <w:sz w:val="24"/>
          <w:szCs w:val="22"/>
          <w:highlight w:val="none"/>
          <w:lang w:val="en-US" w:eastAsia="zh-CN"/>
        </w:rPr>
        <w:t>4.3.5.2</w:t>
      </w:r>
      <w:r>
        <w:rPr>
          <w:rFonts w:hint="default" w:ascii="Times New Roman" w:hAnsi="Times New Roman" w:cs="Times New Roman" w:eastAsiaTheme="minorEastAsia"/>
          <w:kern w:val="0"/>
          <w:sz w:val="24"/>
          <w:szCs w:val="24"/>
          <w:lang w:val="en-US" w:eastAsia="zh-CN"/>
        </w:rPr>
        <w:t>土壤环境质量现状监测</w:t>
      </w:r>
    </w:p>
    <w:p>
      <w:pPr>
        <w:keepNext w:val="0"/>
        <w:keepLines w:val="0"/>
        <w:pageBreakBefore w:val="0"/>
        <w:widowControl/>
        <w:kinsoku/>
        <w:wordWrap/>
        <w:overflowPunct/>
        <w:topLinePunct w:val="0"/>
        <w:autoSpaceDE/>
        <w:autoSpaceDN/>
        <w:bidi w:val="0"/>
        <w:spacing w:line="500" w:lineRule="exact"/>
        <w:ind w:firstLine="560"/>
        <w:textAlignment w:val="auto"/>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auto"/>
          <w:sz w:val="24"/>
          <w:szCs w:val="22"/>
          <w:highlight w:val="none"/>
        </w:rPr>
        <w:t>本项目土壤环境质量现状委托大庆中环评价检测有限公司于2021年</w:t>
      </w:r>
      <w:r>
        <w:rPr>
          <w:rFonts w:hint="default" w:ascii="Times New Roman" w:hAnsi="Times New Roman" w:cs="Times New Roman" w:eastAsiaTheme="minorEastAsia"/>
          <w:color w:val="auto"/>
          <w:sz w:val="24"/>
          <w:szCs w:val="22"/>
          <w:highlight w:val="none"/>
          <w:lang w:val="en-US" w:eastAsia="zh-CN"/>
        </w:rPr>
        <w:t>10</w:t>
      </w:r>
      <w:r>
        <w:rPr>
          <w:rFonts w:hint="default" w:ascii="Times New Roman" w:hAnsi="Times New Roman" w:cs="Times New Roman" w:eastAsiaTheme="minorEastAsia"/>
          <w:color w:val="auto"/>
          <w:sz w:val="24"/>
          <w:szCs w:val="22"/>
          <w:highlight w:val="none"/>
        </w:rPr>
        <w:t>月</w:t>
      </w:r>
      <w:r>
        <w:rPr>
          <w:rFonts w:hint="default" w:ascii="Times New Roman" w:hAnsi="Times New Roman" w:cs="Times New Roman" w:eastAsiaTheme="minorEastAsia"/>
          <w:color w:val="auto"/>
          <w:sz w:val="24"/>
          <w:szCs w:val="22"/>
          <w:highlight w:val="none"/>
          <w:lang w:val="en-US" w:eastAsia="zh-CN"/>
        </w:rPr>
        <w:t>29</w:t>
      </w:r>
      <w:r>
        <w:rPr>
          <w:rFonts w:hint="default" w:ascii="Times New Roman" w:hAnsi="Times New Roman" w:cs="Times New Roman" w:eastAsiaTheme="minorEastAsia"/>
          <w:color w:val="auto"/>
          <w:sz w:val="24"/>
          <w:szCs w:val="22"/>
          <w:highlight w:val="none"/>
        </w:rPr>
        <w:t>日进行现场取样</w:t>
      </w:r>
      <w:r>
        <w:rPr>
          <w:rFonts w:hint="default" w:ascii="Times New Roman" w:hAnsi="Times New Roman" w:cs="Times New Roman" w:eastAsiaTheme="minorEastAsia"/>
          <w:color w:val="000000" w:themeColor="text1"/>
          <w:sz w:val="24"/>
          <w:szCs w:val="22"/>
          <w14:textFill>
            <w14:solidFill>
              <w14:schemeClr w14:val="tx1"/>
            </w14:solidFill>
          </w14:textFill>
        </w:rPr>
        <w:t>检测。</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（1）监测布点</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本项目土壤环境质量现状监测布点见图4-3-1。</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共设置5个表层样点，占地范围内3个，占地范围外2个，地表向下0~0.2m取样，满足《环境影响评价技术导则 土壤环境（试行）》（HJ964-2018）表6 现状监测布点类型与数量中三级评价要求。</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（2）监测项目</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本项目取样点的监测项目见表4-3-</w:t>
      </w: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11</w:t>
      </w:r>
      <w:r>
        <w:rPr>
          <w:rFonts w:hint="default" w:ascii="Times New Roman" w:hAnsi="Times New Roman" w:cs="Times New Roman" w:eastAsiaTheme="minorEastAsia"/>
          <w:color w:val="000000" w:themeColor="text1"/>
          <w:sz w:val="24"/>
          <w:szCs w:val="22"/>
          <w14:textFill>
            <w14:solidFill>
              <w14:schemeClr w14:val="tx1"/>
            </w14:solidFill>
          </w14:textFill>
        </w:rPr>
        <w:t>。</w:t>
      </w:r>
    </w:p>
    <w:p>
      <w:pPr>
        <w:ind w:firstLine="0" w:firstLineChars="0"/>
        <w:jc w:val="center"/>
        <w:rPr>
          <w:rFonts w:hint="default" w:ascii="Times New Roman" w:hAnsi="Times New Roman" w:cs="Times New Roman" w:eastAsiaTheme="minorEastAsia"/>
          <w:bCs/>
          <w:color w:val="000000" w:themeColor="text1"/>
          <w:kern w:val="0"/>
          <w:sz w:val="24"/>
          <w:szCs w:val="20"/>
          <w14:textFill>
            <w14:solidFill>
              <w14:schemeClr w14:val="tx1"/>
            </w14:solidFill>
          </w14:textFill>
        </w:rPr>
      </w:pPr>
      <w:r>
        <w:rPr>
          <w:rFonts w:hint="default" w:ascii="Times New Roman" w:hAnsi="Times New Roman" w:cs="Times New Roman" w:eastAsiaTheme="minorEastAsia"/>
          <w:bCs/>
          <w:color w:val="000000" w:themeColor="text1"/>
          <w:kern w:val="0"/>
          <w:sz w:val="24"/>
          <w:szCs w:val="20"/>
          <w14:textFill>
            <w14:solidFill>
              <w14:schemeClr w14:val="tx1"/>
            </w14:solidFill>
          </w14:textFill>
        </w:rPr>
        <w:t>表4-3-</w:t>
      </w:r>
      <w:r>
        <w:rPr>
          <w:rFonts w:hint="default" w:ascii="Times New Roman" w:hAnsi="Times New Roman" w:cs="Times New Roman" w:eastAsiaTheme="minorEastAsia"/>
          <w:bCs/>
          <w:color w:val="000000" w:themeColor="text1"/>
          <w:kern w:val="0"/>
          <w:sz w:val="24"/>
          <w:szCs w:val="20"/>
          <w:lang w:val="en-US" w:eastAsia="zh-CN"/>
          <w14:textFill>
            <w14:solidFill>
              <w14:schemeClr w14:val="tx1"/>
            </w14:solidFill>
          </w14:textFill>
        </w:rPr>
        <w:t>11</w:t>
      </w:r>
      <w:r>
        <w:rPr>
          <w:rFonts w:hint="default" w:ascii="Times New Roman" w:hAnsi="Times New Roman" w:cs="Times New Roman" w:eastAsiaTheme="minorEastAsia"/>
          <w:bCs/>
          <w:color w:val="000000" w:themeColor="text1"/>
          <w:kern w:val="0"/>
          <w:sz w:val="24"/>
          <w:szCs w:val="20"/>
          <w14:textFill>
            <w14:solidFill>
              <w14:schemeClr w14:val="tx1"/>
            </w14:solidFill>
          </w14:textFill>
        </w:rPr>
        <w:t xml:space="preserve"> 土壤环境监测项目一览表</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1320"/>
        <w:gridCol w:w="2126"/>
        <w:gridCol w:w="40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98" w:type="dxa"/>
            <w:vAlign w:val="center"/>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布点类型</w:t>
            </w:r>
          </w:p>
        </w:tc>
        <w:tc>
          <w:tcPr>
            <w:tcW w:w="1320" w:type="dxa"/>
            <w:vAlign w:val="center"/>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范围</w:t>
            </w:r>
          </w:p>
        </w:tc>
        <w:tc>
          <w:tcPr>
            <w:tcW w:w="2126" w:type="dxa"/>
            <w:vAlign w:val="center"/>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位置</w:t>
            </w:r>
          </w:p>
        </w:tc>
        <w:tc>
          <w:tcPr>
            <w:tcW w:w="4076" w:type="dxa"/>
            <w:vAlign w:val="center"/>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监测项目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198" w:type="dxa"/>
            <w:vMerge w:val="restart"/>
            <w:vAlign w:val="center"/>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表层样点</w:t>
            </w:r>
          </w:p>
        </w:tc>
        <w:tc>
          <w:tcPr>
            <w:tcW w:w="1320" w:type="dxa"/>
            <w:tcBorders>
              <w:bottom w:val="single" w:color="auto" w:sz="2" w:space="0"/>
            </w:tcBorders>
            <w:vAlign w:val="center"/>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占地范围内</w:t>
            </w:r>
          </w:p>
        </w:tc>
        <w:tc>
          <w:tcPr>
            <w:tcW w:w="2126" w:type="dxa"/>
            <w:tcBorders>
              <w:bottom w:val="single" w:color="auto" w:sz="2" w:space="0"/>
            </w:tcBorders>
            <w:vAlign w:val="center"/>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1#、2#、3#</w:t>
            </w:r>
          </w:p>
        </w:tc>
        <w:tc>
          <w:tcPr>
            <w:tcW w:w="4076" w:type="dxa"/>
            <w:vMerge w:val="restart"/>
            <w:vAlign w:val="center"/>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pH值、镉、汞、砷、铅、铬、铜、镍、锌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98" w:type="dxa"/>
            <w:vMerge w:val="continue"/>
            <w:vAlign w:val="center"/>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p>
        </w:tc>
        <w:tc>
          <w:tcPr>
            <w:tcW w:w="1320"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占地范围外</w:t>
            </w:r>
          </w:p>
        </w:tc>
        <w:tc>
          <w:tcPr>
            <w:tcW w:w="2126"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4#、5#</w:t>
            </w:r>
          </w:p>
        </w:tc>
        <w:tc>
          <w:tcPr>
            <w:tcW w:w="4076" w:type="dxa"/>
            <w:vMerge w:val="continue"/>
            <w:vAlign w:val="center"/>
          </w:tcPr>
          <w:p>
            <w:pPr>
              <w:widowControl w:val="0"/>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p>
        </w:tc>
      </w:tr>
    </w:tbl>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（3）监测时间和频次</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按照《土壤环境监测技术规范》（HJ/T166-2004）要求，监测一次，采样1次。</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（4）监测分析方法</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各监测因子分析方法见表4-3-1</w:t>
      </w: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2"/>
          <w14:textFill>
            <w14:solidFill>
              <w14:schemeClr w14:val="tx1"/>
            </w14:solidFill>
          </w14:textFill>
        </w:rPr>
        <w:t>。</w:t>
      </w:r>
    </w:p>
    <w:p>
      <w:pPr>
        <w:ind w:firstLine="0" w:firstLineChars="0"/>
        <w:jc w:val="center"/>
        <w:rPr>
          <w:rFonts w:hint="default" w:ascii="Times New Roman" w:hAnsi="Times New Roman" w:cs="Times New Roman" w:eastAsiaTheme="minorEastAsia"/>
          <w:bCs/>
          <w:color w:val="000000" w:themeColor="text1"/>
          <w:kern w:val="0"/>
          <w:sz w:val="24"/>
          <w:szCs w:val="20"/>
          <w14:textFill>
            <w14:solidFill>
              <w14:schemeClr w14:val="tx1"/>
            </w14:solidFill>
          </w14:textFill>
        </w:rPr>
      </w:pPr>
      <w:r>
        <w:rPr>
          <w:rFonts w:hint="default" w:ascii="Times New Roman" w:hAnsi="Times New Roman" w:cs="Times New Roman" w:eastAsiaTheme="minorEastAsia"/>
          <w:bCs/>
          <w:color w:val="000000" w:themeColor="text1"/>
          <w:kern w:val="0"/>
          <w:sz w:val="24"/>
          <w:szCs w:val="20"/>
          <w14:textFill>
            <w14:solidFill>
              <w14:schemeClr w14:val="tx1"/>
            </w14:solidFill>
          </w14:textFill>
        </w:rPr>
        <w:t>表4-3-1</w:t>
      </w:r>
      <w:r>
        <w:rPr>
          <w:rFonts w:hint="default" w:ascii="Times New Roman" w:hAnsi="Times New Roman" w:cs="Times New Roman" w:eastAsiaTheme="minorEastAsia"/>
          <w:bCs/>
          <w:color w:val="000000" w:themeColor="text1"/>
          <w:kern w:val="0"/>
          <w:sz w:val="24"/>
          <w:szCs w:val="20"/>
          <w:lang w:val="en-US" w:eastAsia="zh-CN"/>
          <w14:textFill>
            <w14:solidFill>
              <w14:schemeClr w14:val="tx1"/>
            </w14:solidFill>
          </w14:textFill>
        </w:rPr>
        <w:t>2</w:t>
      </w:r>
      <w:r>
        <w:rPr>
          <w:rFonts w:hint="default" w:ascii="Times New Roman" w:hAnsi="Times New Roman" w:cs="Times New Roman" w:eastAsiaTheme="minorEastAsia"/>
          <w:bCs/>
          <w:color w:val="000000" w:themeColor="text1"/>
          <w:kern w:val="0"/>
          <w:sz w:val="24"/>
          <w:szCs w:val="20"/>
          <w14:textFill>
            <w14:solidFill>
              <w14:schemeClr w14:val="tx1"/>
            </w14:solidFill>
          </w14:textFill>
        </w:rPr>
        <w:t xml:space="preserve"> 土壤环境质量分析方法（mg/kg，pH值无量纲）</w:t>
      </w:r>
    </w:p>
    <w:tbl>
      <w:tblPr>
        <w:tblStyle w:val="9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0" w:type="dxa"/>
        </w:tblCellMar>
      </w:tblPr>
      <w:tblGrid>
        <w:gridCol w:w="884"/>
        <w:gridCol w:w="960"/>
        <w:gridCol w:w="72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0" w:type="dxa"/>
          </w:tblCellMar>
        </w:tblPrEx>
        <w:trPr>
          <w:trHeight w:val="454" w:hRule="atLeast"/>
          <w:jc w:val="center"/>
        </w:trPr>
        <w:tc>
          <w:tcPr>
            <w:tcW w:w="884"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序号</w:t>
            </w:r>
          </w:p>
        </w:tc>
        <w:tc>
          <w:tcPr>
            <w:tcW w:w="96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项目</w:t>
            </w:r>
          </w:p>
        </w:tc>
        <w:tc>
          <w:tcPr>
            <w:tcW w:w="722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标准方法名称及代号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0" w:type="dxa"/>
          </w:tblCellMar>
        </w:tblPrEx>
        <w:trPr>
          <w:trHeight w:val="454" w:hRule="atLeast"/>
          <w:jc w:val="center"/>
        </w:trPr>
        <w:tc>
          <w:tcPr>
            <w:tcW w:w="884"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c>
          <w:tcPr>
            <w:tcW w:w="96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pH值</w:t>
            </w:r>
          </w:p>
        </w:tc>
        <w:tc>
          <w:tcPr>
            <w:tcW w:w="722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土壤 pH值的测定 电位法 HJ 962-2018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0" w:type="dxa"/>
          </w:tblCellMar>
        </w:tblPrEx>
        <w:trPr>
          <w:trHeight w:val="454" w:hRule="atLeast"/>
          <w:jc w:val="center"/>
        </w:trPr>
        <w:tc>
          <w:tcPr>
            <w:tcW w:w="884"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c>
          <w:tcPr>
            <w:tcW w:w="96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铬</w:t>
            </w:r>
          </w:p>
        </w:tc>
        <w:tc>
          <w:tcPr>
            <w:tcW w:w="722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土壤和沉积物 铜、锌、铅、镍、铬的测定 火焰原子吸收分光光度法</w:t>
            </w:r>
          </w:p>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HJ 491-2019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0" w:type="dxa"/>
          </w:tblCellMar>
        </w:tblPrEx>
        <w:trPr>
          <w:trHeight w:val="454" w:hRule="atLeast"/>
          <w:jc w:val="center"/>
        </w:trPr>
        <w:tc>
          <w:tcPr>
            <w:tcW w:w="884"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w:t>
            </w:r>
          </w:p>
        </w:tc>
        <w:tc>
          <w:tcPr>
            <w:tcW w:w="96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砷</w:t>
            </w:r>
          </w:p>
        </w:tc>
        <w:tc>
          <w:tcPr>
            <w:tcW w:w="722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土壤质量 总汞、总砷、总铅的测定原子荧光法 第2部分：土壤中总砷的测定 GB/T 22105.2-2008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0" w:type="dxa"/>
          </w:tblCellMar>
        </w:tblPrEx>
        <w:trPr>
          <w:trHeight w:val="454" w:hRule="atLeast"/>
          <w:jc w:val="center"/>
        </w:trPr>
        <w:tc>
          <w:tcPr>
            <w:tcW w:w="884"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w:t>
            </w:r>
          </w:p>
        </w:tc>
        <w:tc>
          <w:tcPr>
            <w:tcW w:w="96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镉</w:t>
            </w:r>
          </w:p>
        </w:tc>
        <w:tc>
          <w:tcPr>
            <w:tcW w:w="722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土壤质量 铅、镉的测定 石墨炉原子吸收分光光度法 GB/T 17141-1997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0" w:type="dxa"/>
          </w:tblCellMar>
        </w:tblPrEx>
        <w:trPr>
          <w:trHeight w:val="454" w:hRule="atLeast"/>
          <w:jc w:val="center"/>
        </w:trPr>
        <w:tc>
          <w:tcPr>
            <w:tcW w:w="884"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w:t>
            </w:r>
          </w:p>
        </w:tc>
        <w:tc>
          <w:tcPr>
            <w:tcW w:w="96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铜</w:t>
            </w:r>
          </w:p>
        </w:tc>
        <w:tc>
          <w:tcPr>
            <w:tcW w:w="722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土壤和沉积物 铜、锌、铅、镍、铬的测定 火焰原子吸收分光光度法</w:t>
            </w:r>
          </w:p>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HJ 491-2019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0" w:type="dxa"/>
          </w:tblCellMar>
        </w:tblPrEx>
        <w:trPr>
          <w:trHeight w:val="454" w:hRule="atLeast"/>
          <w:jc w:val="center"/>
        </w:trPr>
        <w:tc>
          <w:tcPr>
            <w:tcW w:w="884"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w:t>
            </w:r>
          </w:p>
        </w:tc>
        <w:tc>
          <w:tcPr>
            <w:tcW w:w="96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铅</w:t>
            </w:r>
          </w:p>
        </w:tc>
        <w:tc>
          <w:tcPr>
            <w:tcW w:w="722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土壤质量 铅、镉的测定 石墨炉原子吸收分光光度法 GB/T 17141-1997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0" w:type="dxa"/>
          </w:tblCellMar>
        </w:tblPrEx>
        <w:trPr>
          <w:trHeight w:val="454" w:hRule="atLeast"/>
          <w:jc w:val="center"/>
        </w:trPr>
        <w:tc>
          <w:tcPr>
            <w:tcW w:w="884"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w:t>
            </w:r>
          </w:p>
        </w:tc>
        <w:tc>
          <w:tcPr>
            <w:tcW w:w="96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汞</w:t>
            </w:r>
          </w:p>
        </w:tc>
        <w:tc>
          <w:tcPr>
            <w:tcW w:w="722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土壤质量 总汞的测定 冷原子吸收分光光度法 GB/T 17136-1997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0" w:type="dxa"/>
          </w:tblCellMar>
        </w:tblPrEx>
        <w:trPr>
          <w:trHeight w:val="454" w:hRule="atLeast"/>
          <w:jc w:val="center"/>
        </w:trPr>
        <w:tc>
          <w:tcPr>
            <w:tcW w:w="884"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w:t>
            </w:r>
          </w:p>
        </w:tc>
        <w:tc>
          <w:tcPr>
            <w:tcW w:w="96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镍</w:t>
            </w:r>
          </w:p>
        </w:tc>
        <w:tc>
          <w:tcPr>
            <w:tcW w:w="722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土壤和沉积物 铜、锌、铅、镍、铬的测定 火焰原子吸收分光光度法</w:t>
            </w:r>
          </w:p>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HJ 491-2019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0" w:type="dxa"/>
          </w:tblCellMar>
        </w:tblPrEx>
        <w:trPr>
          <w:trHeight w:val="454" w:hRule="atLeast"/>
          <w:jc w:val="center"/>
        </w:trPr>
        <w:tc>
          <w:tcPr>
            <w:tcW w:w="884"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w:t>
            </w:r>
          </w:p>
        </w:tc>
        <w:tc>
          <w:tcPr>
            <w:tcW w:w="96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锌</w:t>
            </w:r>
          </w:p>
        </w:tc>
        <w:tc>
          <w:tcPr>
            <w:tcW w:w="722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土壤和沉积物 铜、锌、铅、镍、铬的测定 火焰原子吸收分光光度法</w:t>
            </w:r>
          </w:p>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HJ 491-2019</w:t>
            </w:r>
          </w:p>
        </w:tc>
      </w:tr>
    </w:tbl>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（5）评价标准</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评价区土壤执行《土壤环境质量 农用地土壤污染风险管控标准（试行）》（GB 15618-2018）中农用地筛选值和管制值标准，根据土壤监测监测结果，项目所在区域土壤pH&gt;7.5，执行相应标准值。</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（6）评价方法</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本次土壤环境质量评价采用单因子标准指数法。单项土壤监测因子</w:t>
      </w:r>
      <w:r>
        <w:rPr>
          <w:rFonts w:hint="default" w:ascii="Times New Roman" w:hAnsi="Times New Roman" w:cs="Times New Roman" w:eastAsiaTheme="minorEastAsia"/>
          <w:i/>
          <w:iCs/>
          <w:color w:val="000000" w:themeColor="text1"/>
          <w:sz w:val="24"/>
          <w:szCs w:val="22"/>
          <w14:textFill>
            <w14:solidFill>
              <w14:schemeClr w14:val="tx1"/>
            </w14:solidFill>
          </w14:textFill>
        </w:rPr>
        <w:t xml:space="preserve">i </w:t>
      </w:r>
      <w:r>
        <w:rPr>
          <w:rFonts w:hint="default" w:ascii="Times New Roman" w:hAnsi="Times New Roman" w:cs="Times New Roman" w:eastAsiaTheme="minorEastAsia"/>
          <w:color w:val="000000" w:themeColor="text1"/>
          <w:sz w:val="24"/>
          <w:szCs w:val="22"/>
          <w14:textFill>
            <w14:solidFill>
              <w14:schemeClr w14:val="tx1"/>
            </w14:solidFill>
          </w14:textFill>
        </w:rPr>
        <w:t>在第</w:t>
      </w:r>
      <w:r>
        <w:rPr>
          <w:rFonts w:hint="default" w:ascii="Times New Roman" w:hAnsi="Times New Roman" w:cs="Times New Roman" w:eastAsiaTheme="minorEastAsia"/>
          <w:i/>
          <w:iCs/>
          <w:color w:val="000000" w:themeColor="text1"/>
          <w:sz w:val="24"/>
          <w:szCs w:val="22"/>
          <w14:textFill>
            <w14:solidFill>
              <w14:schemeClr w14:val="tx1"/>
            </w14:solidFill>
          </w14:textFill>
        </w:rPr>
        <w:t>j</w:t>
      </w:r>
      <w:r>
        <w:rPr>
          <w:rFonts w:hint="default" w:ascii="Times New Roman" w:hAnsi="Times New Roman" w:cs="Times New Roman" w:eastAsiaTheme="minorEastAsia"/>
          <w:color w:val="000000" w:themeColor="text1"/>
          <w:sz w:val="24"/>
          <w:szCs w:val="22"/>
          <w14:textFill>
            <w14:solidFill>
              <w14:schemeClr w14:val="tx1"/>
            </w14:solidFill>
          </w14:textFill>
        </w:rPr>
        <w:t>点的污染指数。</w:t>
      </w:r>
    </w:p>
    <w:p>
      <w:pPr>
        <w:ind w:firstLine="560"/>
        <w:rPr>
          <w:rFonts w:hint="default" w:ascii="Times New Roman" w:hAnsi="Times New Roman" w:cs="Times New Roman" w:eastAsiaTheme="minorEastAsia"/>
          <w:iCs/>
          <w:color w:val="000000" w:themeColor="text1"/>
          <w:sz w:val="24"/>
          <w:szCs w:val="22"/>
          <w14:textFill>
            <w14:solidFill>
              <w14:schemeClr w14:val="tx1"/>
            </w14:solidFill>
          </w14:textFill>
        </w:rPr>
      </w:pPr>
      <w:r>
        <w:rPr>
          <w:rFonts w:hint="default" w:ascii="Times New Roman" w:hAnsi="Times New Roman" w:cs="Times New Roman" w:eastAsiaTheme="minorEastAsia"/>
          <w:i/>
          <w:iCs/>
          <w:color w:val="000000" w:themeColor="text1"/>
          <w:sz w:val="24"/>
          <w:szCs w:val="22"/>
          <w14:textFill>
            <w14:solidFill>
              <w14:schemeClr w14:val="tx1"/>
            </w14:solidFill>
          </w14:textFill>
        </w:rPr>
        <w:t>S</w:t>
      </w:r>
      <w:r>
        <w:rPr>
          <w:rFonts w:hint="default" w:ascii="Times New Roman" w:hAnsi="Times New Roman" w:cs="Times New Roman" w:eastAsiaTheme="minorEastAsia"/>
          <w:i/>
          <w:iCs/>
          <w:color w:val="000000" w:themeColor="text1"/>
          <w:sz w:val="24"/>
          <w:szCs w:val="22"/>
          <w:vertAlign w:val="subscript"/>
          <w14:textFill>
            <w14:solidFill>
              <w14:schemeClr w14:val="tx1"/>
            </w14:solidFill>
          </w14:textFill>
        </w:rPr>
        <w:t>i</w:t>
      </w:r>
      <w:r>
        <w:rPr>
          <w:rFonts w:hint="default" w:ascii="Times New Roman" w:hAnsi="Times New Roman" w:cs="Times New Roman" w:eastAsiaTheme="minorEastAsia"/>
          <w:iCs/>
          <w:color w:val="000000" w:themeColor="text1"/>
          <w:sz w:val="24"/>
          <w:szCs w:val="22"/>
          <w14:textFill>
            <w14:solidFill>
              <w14:schemeClr w14:val="tx1"/>
            </w14:solidFill>
          </w14:textFill>
        </w:rPr>
        <w:t>=</w:t>
      </w:r>
      <w:r>
        <w:rPr>
          <w:rFonts w:hint="default" w:ascii="Times New Roman" w:hAnsi="Times New Roman" w:cs="Times New Roman" w:eastAsiaTheme="minorEastAsia"/>
          <w:i/>
          <w:iCs/>
          <w:color w:val="000000" w:themeColor="text1"/>
          <w:sz w:val="24"/>
          <w:szCs w:val="22"/>
          <w14:textFill>
            <w14:solidFill>
              <w14:schemeClr w14:val="tx1"/>
            </w14:solidFill>
          </w14:textFill>
        </w:rPr>
        <w:t>C</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i</w:t>
      </w:r>
      <w:r>
        <w:rPr>
          <w:rFonts w:hint="default" w:ascii="Times New Roman" w:hAnsi="Times New Roman" w:cs="Times New Roman" w:eastAsiaTheme="minorEastAsia"/>
          <w:color w:val="000000" w:themeColor="text1"/>
          <w:sz w:val="24"/>
          <w:szCs w:val="22"/>
          <w14:textFill>
            <w14:solidFill>
              <w14:schemeClr w14:val="tx1"/>
            </w14:solidFill>
          </w14:textFill>
        </w:rPr>
        <w:t>/</w:t>
      </w:r>
      <w:r>
        <w:rPr>
          <w:rFonts w:hint="default" w:ascii="Times New Roman" w:hAnsi="Times New Roman" w:cs="Times New Roman" w:eastAsiaTheme="minorEastAsia"/>
          <w:i/>
          <w:iCs/>
          <w:color w:val="000000" w:themeColor="text1"/>
          <w:sz w:val="24"/>
          <w:szCs w:val="22"/>
          <w14:textFill>
            <w14:solidFill>
              <w14:schemeClr w14:val="tx1"/>
            </w14:solidFill>
          </w14:textFill>
        </w:rPr>
        <w:t>C</w:t>
      </w:r>
      <w:r>
        <w:rPr>
          <w:rFonts w:hint="default" w:ascii="Times New Roman" w:hAnsi="Times New Roman" w:cs="Times New Roman" w:eastAsiaTheme="minorEastAsia"/>
          <w:i/>
          <w:color w:val="000000" w:themeColor="text1"/>
          <w:sz w:val="24"/>
          <w:szCs w:val="22"/>
          <w:vertAlign w:val="subscript"/>
          <w14:textFill>
            <w14:solidFill>
              <w14:schemeClr w14:val="tx1"/>
            </w14:solidFill>
          </w14:textFill>
        </w:rPr>
        <w:t xml:space="preserve">0 </w:t>
      </w:r>
      <w:r>
        <w:rPr>
          <w:rFonts w:hint="default" w:ascii="Times New Roman" w:hAnsi="Times New Roman" w:cs="Times New Roman" w:eastAsiaTheme="minorEastAsia"/>
          <w:color w:val="000000" w:themeColor="text1"/>
          <w:sz w:val="24"/>
          <w:szCs w:val="22"/>
          <w14:textFill>
            <w14:solidFill>
              <w14:schemeClr w14:val="tx1"/>
            </w14:solidFill>
          </w14:textFill>
        </w:rPr>
        <w:t></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式中：</w:t>
      </w:r>
      <w:r>
        <w:rPr>
          <w:rFonts w:hint="default" w:ascii="Times New Roman" w:hAnsi="Times New Roman" w:cs="Times New Roman" w:eastAsiaTheme="minorEastAsia"/>
          <w:i/>
          <w:iCs/>
          <w:color w:val="000000" w:themeColor="text1"/>
          <w:sz w:val="24"/>
          <w:szCs w:val="22"/>
          <w14:textFill>
            <w14:solidFill>
              <w14:schemeClr w14:val="tx1"/>
            </w14:solidFill>
          </w14:textFill>
        </w:rPr>
        <w:t>S</w:t>
      </w:r>
      <w:r>
        <w:rPr>
          <w:rFonts w:hint="default" w:ascii="Times New Roman" w:hAnsi="Times New Roman" w:cs="Times New Roman" w:eastAsiaTheme="minorEastAsia"/>
          <w:i/>
          <w:iCs/>
          <w:color w:val="000000" w:themeColor="text1"/>
          <w:sz w:val="24"/>
          <w:szCs w:val="22"/>
          <w:vertAlign w:val="subscript"/>
          <w14:textFill>
            <w14:solidFill>
              <w14:schemeClr w14:val="tx1"/>
            </w14:solidFill>
          </w14:textFill>
        </w:rPr>
        <w:t>i</w:t>
      </w:r>
      <w:r>
        <w:rPr>
          <w:rFonts w:hint="default" w:ascii="Times New Roman" w:hAnsi="Times New Roman" w:cs="Times New Roman" w:eastAsiaTheme="minorEastAsia"/>
          <w:color w:val="000000" w:themeColor="text1"/>
          <w:sz w:val="24"/>
          <w:szCs w:val="22"/>
          <w14:textFill>
            <w14:solidFill>
              <w14:schemeClr w14:val="tx1"/>
            </w14:solidFill>
          </w14:textFill>
        </w:rPr>
        <w:t>—土壤中i污染物的污染指数；</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i/>
          <w:iCs/>
          <w:color w:val="000000" w:themeColor="text1"/>
          <w:sz w:val="24"/>
          <w:szCs w:val="22"/>
          <w14:textFill>
            <w14:solidFill>
              <w14:schemeClr w14:val="tx1"/>
            </w14:solidFill>
          </w14:textFill>
        </w:rPr>
        <w:t>C</w:t>
      </w:r>
      <w:r>
        <w:rPr>
          <w:rFonts w:hint="default" w:ascii="Times New Roman" w:hAnsi="Times New Roman" w:cs="Times New Roman" w:eastAsiaTheme="minorEastAsia"/>
          <w:iCs/>
          <w:color w:val="000000" w:themeColor="text1"/>
          <w:sz w:val="24"/>
          <w:szCs w:val="22"/>
          <w:vertAlign w:val="subscript"/>
          <w14:textFill>
            <w14:solidFill>
              <w14:schemeClr w14:val="tx1"/>
            </w14:solidFill>
          </w14:textFill>
        </w:rPr>
        <w:t>i</w:t>
      </w:r>
      <w:r>
        <w:rPr>
          <w:rFonts w:hint="default" w:ascii="Times New Roman" w:hAnsi="Times New Roman" w:cs="Times New Roman" w:eastAsiaTheme="minorEastAsia"/>
          <w:color w:val="000000" w:themeColor="text1"/>
          <w:sz w:val="24"/>
          <w:szCs w:val="22"/>
          <w14:textFill>
            <w14:solidFill>
              <w14:schemeClr w14:val="tx1"/>
            </w14:solidFill>
          </w14:textFill>
        </w:rPr>
        <w:t>—第</w:t>
      </w:r>
      <w:r>
        <w:rPr>
          <w:rFonts w:hint="default" w:ascii="Times New Roman" w:hAnsi="Times New Roman" w:cs="Times New Roman" w:eastAsiaTheme="minorEastAsia"/>
          <w:i/>
          <w:iCs/>
          <w:color w:val="000000" w:themeColor="text1"/>
          <w:sz w:val="24"/>
          <w:szCs w:val="22"/>
          <w14:textFill>
            <w14:solidFill>
              <w14:schemeClr w14:val="tx1"/>
            </w14:solidFill>
          </w14:textFill>
        </w:rPr>
        <w:t xml:space="preserve">i </w:t>
      </w:r>
      <w:r>
        <w:rPr>
          <w:rFonts w:hint="default" w:ascii="Times New Roman" w:hAnsi="Times New Roman" w:cs="Times New Roman" w:eastAsiaTheme="minorEastAsia"/>
          <w:color w:val="000000" w:themeColor="text1"/>
          <w:sz w:val="24"/>
          <w:szCs w:val="22"/>
          <w14:textFill>
            <w14:solidFill>
              <w14:schemeClr w14:val="tx1"/>
            </w14:solidFill>
          </w14:textFill>
        </w:rPr>
        <w:t>种污染物的实测浓度，（mg/L）；</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i/>
          <w:iCs/>
          <w:color w:val="000000" w:themeColor="text1"/>
          <w:sz w:val="24"/>
          <w:szCs w:val="22"/>
          <w14:textFill>
            <w14:solidFill>
              <w14:schemeClr w14:val="tx1"/>
            </w14:solidFill>
          </w14:textFill>
        </w:rPr>
        <w:t>C</w:t>
      </w:r>
      <w:r>
        <w:rPr>
          <w:rFonts w:hint="default" w:ascii="Times New Roman" w:hAnsi="Times New Roman" w:cs="Times New Roman" w:eastAsiaTheme="minorEastAsia"/>
          <w:i/>
          <w:iCs/>
          <w:color w:val="000000" w:themeColor="text1"/>
          <w:sz w:val="24"/>
          <w:szCs w:val="22"/>
          <w:vertAlign w:val="subscript"/>
          <w14:textFill>
            <w14:solidFill>
              <w14:schemeClr w14:val="tx1"/>
            </w14:solidFill>
          </w14:textFill>
        </w:rPr>
        <w:t>0</w:t>
      </w:r>
      <w:r>
        <w:rPr>
          <w:rFonts w:hint="default" w:ascii="Times New Roman" w:hAnsi="Times New Roman" w:cs="Times New Roman" w:eastAsiaTheme="minorEastAsia"/>
          <w:i/>
          <w:iCs/>
          <w:color w:val="000000" w:themeColor="text1"/>
          <w:sz w:val="24"/>
          <w:szCs w:val="22"/>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2"/>
          <w14:textFill>
            <w14:solidFill>
              <w14:schemeClr w14:val="tx1"/>
            </w14:solidFill>
          </w14:textFill>
        </w:rPr>
        <w:t>第</w:t>
      </w:r>
      <w:r>
        <w:rPr>
          <w:rFonts w:hint="default" w:ascii="Times New Roman" w:hAnsi="Times New Roman" w:cs="Times New Roman" w:eastAsiaTheme="minorEastAsia"/>
          <w:i/>
          <w:iCs/>
          <w:color w:val="000000" w:themeColor="text1"/>
          <w:sz w:val="24"/>
          <w:szCs w:val="22"/>
          <w14:textFill>
            <w14:solidFill>
              <w14:schemeClr w14:val="tx1"/>
            </w14:solidFill>
          </w14:textFill>
        </w:rPr>
        <w:t>i</w:t>
      </w:r>
      <w:r>
        <w:rPr>
          <w:rFonts w:hint="default" w:ascii="Times New Roman" w:hAnsi="Times New Roman" w:cs="Times New Roman" w:eastAsiaTheme="minorEastAsia"/>
          <w:color w:val="000000" w:themeColor="text1"/>
          <w:sz w:val="24"/>
          <w:szCs w:val="22"/>
          <w14:textFill>
            <w14:solidFill>
              <w14:schemeClr w14:val="tx1"/>
            </w14:solidFill>
          </w14:textFill>
        </w:rPr>
        <w:t>种污染物的评价标准，（mg/L）。</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土壤污染因子的标准指数大于1，表明该污染物超过了规定的标准限值，标准指数越大，说明超标越严重。</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（7）监测结果与评价</w:t>
      </w:r>
    </w:p>
    <w:p>
      <w:pPr>
        <w:pStyle w:val="643"/>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表4-3-1</w:t>
      </w:r>
      <w:r>
        <w:rPr>
          <w:rFonts w:hint="default" w:ascii="Times New Roman" w:hAnsi="Times New Roman" w:cs="Times New Roman" w:eastAsiaTheme="minorEastAsia"/>
          <w:color w:val="auto"/>
          <w:highlight w:val="none"/>
          <w:lang w:val="en-US" w:eastAsia="zh-CN"/>
        </w:rPr>
        <w:t>3</w:t>
      </w:r>
      <w:r>
        <w:rPr>
          <w:rFonts w:hint="default" w:ascii="Times New Roman" w:hAnsi="Times New Roman" w:cs="Times New Roman" w:eastAsiaTheme="minorEastAsia"/>
          <w:color w:val="auto"/>
          <w:highlight w:val="none"/>
        </w:rPr>
        <w:t xml:space="preserve"> 土壤现状监测结果评价一览表</w:t>
      </w:r>
    </w:p>
    <w:tbl>
      <w:tblPr>
        <w:tblStyle w:val="9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1137"/>
        <w:gridCol w:w="1992"/>
        <w:gridCol w:w="895"/>
        <w:gridCol w:w="1256"/>
        <w:gridCol w:w="1127"/>
        <w:gridCol w:w="11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日期</w:t>
            </w:r>
          </w:p>
        </w:tc>
        <w:tc>
          <w:tcPr>
            <w:tcW w:w="652"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点位名称</w:t>
            </w:r>
          </w:p>
        </w:tc>
        <w:tc>
          <w:tcPr>
            <w:tcW w:w="1142"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项目</w:t>
            </w:r>
          </w:p>
        </w:tc>
        <w:tc>
          <w:tcPr>
            <w:tcW w:w="513"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单位</w:t>
            </w:r>
          </w:p>
        </w:tc>
        <w:tc>
          <w:tcPr>
            <w:tcW w:w="720"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检测结果</w:t>
            </w:r>
          </w:p>
        </w:tc>
        <w:tc>
          <w:tcPr>
            <w:tcW w:w="646"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标准指数</w:t>
            </w:r>
          </w:p>
        </w:tc>
        <w:tc>
          <w:tcPr>
            <w:tcW w:w="641"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restar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2021年</w:t>
            </w:r>
          </w:p>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lang w:val="en-US" w:eastAsia="zh-CN"/>
              </w:rPr>
              <w:t>10</w:t>
            </w:r>
            <w:r>
              <w:rPr>
                <w:rFonts w:hint="default" w:ascii="Times New Roman" w:hAnsi="Times New Roman" w:cs="Times New Roman" w:eastAsiaTheme="minorEastAsia"/>
                <w:color w:val="auto"/>
                <w:highlight w:val="none"/>
              </w:rPr>
              <w:t>月</w:t>
            </w:r>
            <w:r>
              <w:rPr>
                <w:rFonts w:hint="default" w:ascii="Times New Roman" w:hAnsi="Times New Roman" w:cs="Times New Roman" w:eastAsiaTheme="minorEastAsia"/>
                <w:color w:val="auto"/>
                <w:highlight w:val="none"/>
                <w:lang w:val="en-US" w:eastAsia="zh-CN"/>
              </w:rPr>
              <w:t>29</w:t>
            </w:r>
            <w:r>
              <w:rPr>
                <w:rFonts w:hint="default" w:ascii="Times New Roman" w:hAnsi="Times New Roman" w:cs="Times New Roman" w:eastAsiaTheme="minorEastAsia"/>
                <w:color w:val="auto"/>
                <w:highlight w:val="none"/>
              </w:rPr>
              <w:t>日</w:t>
            </w:r>
          </w:p>
        </w:tc>
        <w:tc>
          <w:tcPr>
            <w:tcW w:w="652" w:type="pct"/>
            <w:vMerge w:val="restar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w:t>
            </w:r>
          </w:p>
        </w:tc>
        <w:tc>
          <w:tcPr>
            <w:tcW w:w="1142"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pH值</w:t>
            </w:r>
          </w:p>
        </w:tc>
        <w:tc>
          <w:tcPr>
            <w:tcW w:w="513"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无量纲</w:t>
            </w:r>
          </w:p>
        </w:tc>
        <w:tc>
          <w:tcPr>
            <w:tcW w:w="1256" w:type="dxa"/>
            <w:vAlign w:val="center"/>
          </w:tcPr>
          <w:p>
            <w:pPr>
              <w:spacing w:line="240" w:lineRule="atLeas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7.82</w:t>
            </w:r>
          </w:p>
        </w:tc>
        <w:tc>
          <w:tcPr>
            <w:tcW w:w="646"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w:t>
            </w:r>
          </w:p>
        </w:tc>
        <w:tc>
          <w:tcPr>
            <w:tcW w:w="641"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vAlign w:val="center"/>
          </w:tcPr>
          <w:p>
            <w:pPr>
              <w:pStyle w:val="666"/>
              <w:rPr>
                <w:rFonts w:hint="default" w:ascii="Times New Roman" w:hAnsi="Times New Roman" w:cs="Times New Roman" w:eastAsiaTheme="minorEastAsia"/>
                <w:color w:val="auto"/>
                <w:highlight w:val="none"/>
              </w:rPr>
            </w:pPr>
          </w:p>
        </w:tc>
        <w:tc>
          <w:tcPr>
            <w:tcW w:w="1142"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镉</w:t>
            </w:r>
          </w:p>
        </w:tc>
        <w:tc>
          <w:tcPr>
            <w:tcW w:w="513"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vAlign w:val="center"/>
          </w:tcPr>
          <w:p>
            <w:pPr>
              <w:spacing w:line="240" w:lineRule="atLeas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w:t>
            </w:r>
            <w:r>
              <w:rPr>
                <w:rFonts w:hint="default" w:ascii="Times New Roman" w:hAnsi="Times New Roman" w:cs="Times New Roman" w:eastAsiaTheme="minorEastAsia"/>
                <w:color w:val="auto"/>
                <w:sz w:val="21"/>
                <w:szCs w:val="21"/>
                <w:highlight w:val="none"/>
                <w:lang w:val="en-US" w:eastAsia="zh-CN"/>
              </w:rPr>
              <w:t>07</w:t>
            </w:r>
          </w:p>
        </w:tc>
        <w:tc>
          <w:tcPr>
            <w:tcW w:w="646" w:type="pct"/>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rPr>
              <w:t>0.</w:t>
            </w:r>
            <w:r>
              <w:rPr>
                <w:rFonts w:hint="default" w:ascii="Times New Roman" w:hAnsi="Times New Roman" w:cs="Times New Roman" w:eastAsiaTheme="minorEastAsia"/>
                <w:color w:val="auto"/>
                <w:highlight w:val="none"/>
                <w:lang w:val="en-US" w:eastAsia="zh-CN"/>
              </w:rPr>
              <w:t>116</w:t>
            </w:r>
          </w:p>
        </w:tc>
        <w:tc>
          <w:tcPr>
            <w:tcW w:w="641"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vAlign w:val="center"/>
          </w:tcPr>
          <w:p>
            <w:pPr>
              <w:pStyle w:val="666"/>
              <w:rPr>
                <w:rFonts w:hint="default" w:ascii="Times New Roman" w:hAnsi="Times New Roman" w:cs="Times New Roman" w:eastAsiaTheme="minorEastAsia"/>
                <w:color w:val="auto"/>
                <w:highlight w:val="none"/>
              </w:rPr>
            </w:pPr>
          </w:p>
        </w:tc>
        <w:tc>
          <w:tcPr>
            <w:tcW w:w="1142"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汞</w:t>
            </w:r>
          </w:p>
        </w:tc>
        <w:tc>
          <w:tcPr>
            <w:tcW w:w="513"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vAlign w:val="center"/>
          </w:tcPr>
          <w:p>
            <w:pPr>
              <w:spacing w:line="240" w:lineRule="atLeas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0.0</w:t>
            </w:r>
            <w:r>
              <w:rPr>
                <w:rFonts w:hint="default" w:ascii="Times New Roman" w:hAnsi="Times New Roman" w:cs="Times New Roman" w:eastAsiaTheme="minorEastAsia"/>
                <w:color w:val="auto"/>
                <w:sz w:val="21"/>
                <w:szCs w:val="21"/>
                <w:highlight w:val="none"/>
                <w:lang w:val="en-US" w:eastAsia="zh-CN"/>
              </w:rPr>
              <w:t>19</w:t>
            </w:r>
          </w:p>
        </w:tc>
        <w:tc>
          <w:tcPr>
            <w:tcW w:w="646"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0.0</w:t>
            </w:r>
            <w:r>
              <w:rPr>
                <w:rFonts w:hint="default" w:ascii="Times New Roman" w:hAnsi="Times New Roman" w:cs="Times New Roman" w:eastAsiaTheme="minorEastAsia"/>
                <w:color w:val="auto"/>
                <w:highlight w:val="none"/>
                <w:lang w:val="en-US" w:eastAsia="zh-CN"/>
              </w:rPr>
              <w:t>06</w:t>
            </w:r>
            <w:r>
              <w:rPr>
                <w:rFonts w:hint="default" w:ascii="Times New Roman" w:hAnsi="Times New Roman" w:cs="Times New Roman" w:eastAsiaTheme="minorEastAsia"/>
                <w:color w:val="auto"/>
                <w:highlight w:val="none"/>
              </w:rPr>
              <w:t xml:space="preserve"> </w:t>
            </w:r>
          </w:p>
        </w:tc>
        <w:tc>
          <w:tcPr>
            <w:tcW w:w="641"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vAlign w:val="center"/>
          </w:tcPr>
          <w:p>
            <w:pPr>
              <w:pStyle w:val="666"/>
              <w:rPr>
                <w:rFonts w:hint="default" w:ascii="Times New Roman" w:hAnsi="Times New Roman" w:cs="Times New Roman" w:eastAsiaTheme="minorEastAsia"/>
                <w:color w:val="auto"/>
                <w:highlight w:val="none"/>
              </w:rPr>
            </w:pPr>
          </w:p>
        </w:tc>
        <w:tc>
          <w:tcPr>
            <w:tcW w:w="1142"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砷</w:t>
            </w:r>
          </w:p>
        </w:tc>
        <w:tc>
          <w:tcPr>
            <w:tcW w:w="513"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vAlign w:val="center"/>
          </w:tcPr>
          <w:p>
            <w:pPr>
              <w:spacing w:line="240" w:lineRule="atLeas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3.29</w:t>
            </w:r>
          </w:p>
        </w:tc>
        <w:tc>
          <w:tcPr>
            <w:tcW w:w="646"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0.1</w:t>
            </w:r>
            <w:r>
              <w:rPr>
                <w:rFonts w:hint="default" w:ascii="Times New Roman" w:hAnsi="Times New Roman" w:cs="Times New Roman" w:eastAsiaTheme="minorEastAsia"/>
                <w:color w:val="auto"/>
                <w:highlight w:val="none"/>
                <w:lang w:val="en-US" w:eastAsia="zh-CN"/>
              </w:rPr>
              <w:t>31</w:t>
            </w:r>
            <w:r>
              <w:rPr>
                <w:rFonts w:hint="default" w:ascii="Times New Roman" w:hAnsi="Times New Roman" w:cs="Times New Roman" w:eastAsiaTheme="minorEastAsia"/>
                <w:color w:val="auto"/>
                <w:highlight w:val="none"/>
              </w:rPr>
              <w:t xml:space="preserve"> </w:t>
            </w:r>
          </w:p>
        </w:tc>
        <w:tc>
          <w:tcPr>
            <w:tcW w:w="641"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vAlign w:val="center"/>
          </w:tcPr>
          <w:p>
            <w:pPr>
              <w:pStyle w:val="666"/>
              <w:rPr>
                <w:rFonts w:hint="default" w:ascii="Times New Roman" w:hAnsi="Times New Roman" w:cs="Times New Roman" w:eastAsiaTheme="minorEastAsia"/>
                <w:color w:val="auto"/>
                <w:highlight w:val="none"/>
              </w:rPr>
            </w:pPr>
          </w:p>
        </w:tc>
        <w:tc>
          <w:tcPr>
            <w:tcW w:w="1142"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铅</w:t>
            </w:r>
          </w:p>
        </w:tc>
        <w:tc>
          <w:tcPr>
            <w:tcW w:w="513"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vAlign w:val="center"/>
          </w:tcPr>
          <w:p>
            <w:pPr>
              <w:adjustRightInd w:val="0"/>
              <w:snapToGrid w:val="0"/>
              <w:spacing w:line="280" w:lineRule="exac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15</w:t>
            </w:r>
          </w:p>
        </w:tc>
        <w:tc>
          <w:tcPr>
            <w:tcW w:w="646"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0.0</w:t>
            </w:r>
            <w:r>
              <w:rPr>
                <w:rFonts w:hint="default" w:ascii="Times New Roman" w:hAnsi="Times New Roman" w:cs="Times New Roman" w:eastAsiaTheme="minorEastAsia"/>
                <w:color w:val="auto"/>
                <w:highlight w:val="none"/>
                <w:lang w:val="en-US" w:eastAsia="zh-CN"/>
              </w:rPr>
              <w:t>88</w:t>
            </w:r>
            <w:r>
              <w:rPr>
                <w:rFonts w:hint="default" w:ascii="Times New Roman" w:hAnsi="Times New Roman" w:cs="Times New Roman" w:eastAsiaTheme="minorEastAsia"/>
                <w:color w:val="auto"/>
                <w:highlight w:val="none"/>
              </w:rPr>
              <w:t xml:space="preserve"> </w:t>
            </w:r>
          </w:p>
        </w:tc>
        <w:tc>
          <w:tcPr>
            <w:tcW w:w="641"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vAlign w:val="center"/>
          </w:tcPr>
          <w:p>
            <w:pPr>
              <w:pStyle w:val="666"/>
              <w:rPr>
                <w:rFonts w:hint="default" w:ascii="Times New Roman" w:hAnsi="Times New Roman" w:cs="Times New Roman" w:eastAsiaTheme="minorEastAsia"/>
                <w:color w:val="auto"/>
                <w:highlight w:val="none"/>
              </w:rPr>
            </w:pPr>
          </w:p>
        </w:tc>
        <w:tc>
          <w:tcPr>
            <w:tcW w:w="1142"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总铬</w:t>
            </w:r>
          </w:p>
        </w:tc>
        <w:tc>
          <w:tcPr>
            <w:tcW w:w="513"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vAlign w:val="center"/>
          </w:tcPr>
          <w:p>
            <w:pPr>
              <w:adjustRightInd w:val="0"/>
              <w:snapToGrid w:val="0"/>
              <w:spacing w:line="280" w:lineRule="exac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42</w:t>
            </w:r>
          </w:p>
        </w:tc>
        <w:tc>
          <w:tcPr>
            <w:tcW w:w="646"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w:t>
            </w:r>
            <w:r>
              <w:rPr>
                <w:rFonts w:hint="default" w:ascii="Times New Roman" w:hAnsi="Times New Roman" w:cs="Times New Roman" w:eastAsiaTheme="minorEastAsia"/>
                <w:color w:val="auto"/>
                <w:highlight w:val="none"/>
                <w:lang w:val="en-US" w:eastAsia="zh-CN"/>
              </w:rPr>
              <w:t>168</w:t>
            </w:r>
            <w:r>
              <w:rPr>
                <w:rFonts w:hint="default" w:ascii="Times New Roman" w:hAnsi="Times New Roman" w:cs="Times New Roman" w:eastAsiaTheme="minorEastAsia"/>
                <w:color w:val="auto"/>
                <w:highlight w:val="none"/>
              </w:rPr>
              <w:t xml:space="preserve"> </w:t>
            </w:r>
          </w:p>
        </w:tc>
        <w:tc>
          <w:tcPr>
            <w:tcW w:w="641"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vAlign w:val="center"/>
          </w:tcPr>
          <w:p>
            <w:pPr>
              <w:pStyle w:val="666"/>
              <w:rPr>
                <w:rFonts w:hint="default" w:ascii="Times New Roman" w:hAnsi="Times New Roman" w:cs="Times New Roman" w:eastAsiaTheme="minorEastAsia"/>
                <w:color w:val="auto"/>
                <w:highlight w:val="none"/>
              </w:rPr>
            </w:pPr>
          </w:p>
        </w:tc>
        <w:tc>
          <w:tcPr>
            <w:tcW w:w="1142"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铜</w:t>
            </w:r>
          </w:p>
        </w:tc>
        <w:tc>
          <w:tcPr>
            <w:tcW w:w="513"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vAlign w:val="center"/>
          </w:tcPr>
          <w:p>
            <w:pPr>
              <w:adjustRightInd w:val="0"/>
              <w:snapToGrid w:val="0"/>
              <w:spacing w:line="280" w:lineRule="exac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16</w:t>
            </w:r>
          </w:p>
        </w:tc>
        <w:tc>
          <w:tcPr>
            <w:tcW w:w="646"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w:t>
            </w:r>
            <w:r>
              <w:rPr>
                <w:rFonts w:hint="default" w:ascii="Times New Roman" w:hAnsi="Times New Roman" w:cs="Times New Roman" w:eastAsiaTheme="minorEastAsia"/>
                <w:color w:val="auto"/>
                <w:highlight w:val="none"/>
                <w:lang w:val="en-US" w:eastAsia="zh-CN"/>
              </w:rPr>
              <w:t>16</w:t>
            </w:r>
            <w:r>
              <w:rPr>
                <w:rFonts w:hint="default" w:ascii="Times New Roman" w:hAnsi="Times New Roman" w:cs="Times New Roman" w:eastAsiaTheme="minorEastAsia"/>
                <w:color w:val="auto"/>
                <w:highlight w:val="none"/>
              </w:rPr>
              <w:t xml:space="preserve"> </w:t>
            </w:r>
          </w:p>
        </w:tc>
        <w:tc>
          <w:tcPr>
            <w:tcW w:w="641"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vAlign w:val="center"/>
          </w:tcPr>
          <w:p>
            <w:pPr>
              <w:pStyle w:val="666"/>
              <w:rPr>
                <w:rFonts w:hint="default" w:ascii="Times New Roman" w:hAnsi="Times New Roman" w:cs="Times New Roman" w:eastAsiaTheme="minorEastAsia"/>
                <w:color w:val="auto"/>
                <w:highlight w:val="none"/>
              </w:rPr>
            </w:pPr>
          </w:p>
        </w:tc>
        <w:tc>
          <w:tcPr>
            <w:tcW w:w="1142"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镍</w:t>
            </w:r>
          </w:p>
        </w:tc>
        <w:tc>
          <w:tcPr>
            <w:tcW w:w="513"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vAlign w:val="center"/>
          </w:tcPr>
          <w:p>
            <w:pPr>
              <w:adjustRightInd w:val="0"/>
              <w:snapToGrid w:val="0"/>
              <w:spacing w:line="280" w:lineRule="exac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18</w:t>
            </w:r>
          </w:p>
        </w:tc>
        <w:tc>
          <w:tcPr>
            <w:tcW w:w="646" w:type="pct"/>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rPr>
              <w:t>0.</w:t>
            </w:r>
            <w:r>
              <w:rPr>
                <w:rFonts w:hint="default" w:ascii="Times New Roman" w:hAnsi="Times New Roman" w:cs="Times New Roman" w:eastAsiaTheme="minorEastAsia"/>
                <w:color w:val="auto"/>
                <w:highlight w:val="none"/>
                <w:lang w:val="en-US" w:eastAsia="zh-CN"/>
              </w:rPr>
              <w:t>094</w:t>
            </w:r>
          </w:p>
        </w:tc>
        <w:tc>
          <w:tcPr>
            <w:tcW w:w="641"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vAlign w:val="center"/>
          </w:tcPr>
          <w:p>
            <w:pPr>
              <w:pStyle w:val="666"/>
              <w:rPr>
                <w:rFonts w:hint="default" w:ascii="Times New Roman" w:hAnsi="Times New Roman" w:cs="Times New Roman" w:eastAsiaTheme="minorEastAsia"/>
                <w:color w:val="auto"/>
                <w:highlight w:val="none"/>
              </w:rPr>
            </w:pPr>
          </w:p>
        </w:tc>
        <w:tc>
          <w:tcPr>
            <w:tcW w:w="1142"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锌</w:t>
            </w:r>
          </w:p>
        </w:tc>
        <w:tc>
          <w:tcPr>
            <w:tcW w:w="513"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vAlign w:val="center"/>
          </w:tcPr>
          <w:p>
            <w:pPr>
              <w:adjustRightInd w:val="0"/>
              <w:snapToGrid w:val="0"/>
              <w:spacing w:line="280" w:lineRule="exac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46</w:t>
            </w:r>
          </w:p>
        </w:tc>
        <w:tc>
          <w:tcPr>
            <w:tcW w:w="646" w:type="pct"/>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rPr>
              <w:t>0.1</w:t>
            </w:r>
            <w:r>
              <w:rPr>
                <w:rFonts w:hint="default" w:ascii="Times New Roman" w:hAnsi="Times New Roman" w:cs="Times New Roman" w:eastAsiaTheme="minorEastAsia"/>
                <w:color w:val="auto"/>
                <w:highlight w:val="none"/>
                <w:lang w:val="en-US" w:eastAsia="zh-CN"/>
              </w:rPr>
              <w:t>53</w:t>
            </w:r>
          </w:p>
        </w:tc>
        <w:tc>
          <w:tcPr>
            <w:tcW w:w="641"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restar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w:t>
            </w:r>
          </w:p>
          <w:p>
            <w:pPr>
              <w:pStyle w:val="666"/>
              <w:rPr>
                <w:rFonts w:hint="default" w:ascii="Times New Roman" w:hAnsi="Times New Roman" w:cs="Times New Roman" w:eastAsiaTheme="minorEastAsia"/>
                <w:color w:val="auto"/>
                <w:highlight w:val="none"/>
              </w:rPr>
            </w:pPr>
          </w:p>
        </w:tc>
        <w:tc>
          <w:tcPr>
            <w:tcW w:w="1142"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pH值</w:t>
            </w:r>
          </w:p>
        </w:tc>
        <w:tc>
          <w:tcPr>
            <w:tcW w:w="513"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无量纲</w:t>
            </w:r>
          </w:p>
        </w:tc>
        <w:tc>
          <w:tcPr>
            <w:tcW w:w="1256" w:type="dxa"/>
            <w:vAlign w:val="center"/>
          </w:tcPr>
          <w:p>
            <w:pPr>
              <w:spacing w:line="240" w:lineRule="atLeas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7.74</w:t>
            </w:r>
          </w:p>
        </w:tc>
        <w:tc>
          <w:tcPr>
            <w:tcW w:w="646"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w:t>
            </w:r>
          </w:p>
        </w:tc>
        <w:tc>
          <w:tcPr>
            <w:tcW w:w="641"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vAlign w:val="center"/>
          </w:tcPr>
          <w:p>
            <w:pPr>
              <w:pStyle w:val="666"/>
              <w:rPr>
                <w:rFonts w:hint="default" w:ascii="Times New Roman" w:hAnsi="Times New Roman" w:cs="Times New Roman" w:eastAsiaTheme="minorEastAsia"/>
                <w:color w:val="auto"/>
                <w:highlight w:val="none"/>
              </w:rPr>
            </w:pPr>
          </w:p>
        </w:tc>
        <w:tc>
          <w:tcPr>
            <w:tcW w:w="1142"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镉</w:t>
            </w:r>
          </w:p>
        </w:tc>
        <w:tc>
          <w:tcPr>
            <w:tcW w:w="513"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vAlign w:val="center"/>
          </w:tcPr>
          <w:p>
            <w:pPr>
              <w:spacing w:line="240" w:lineRule="atLeas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w:t>
            </w:r>
            <w:r>
              <w:rPr>
                <w:rFonts w:hint="default" w:ascii="Times New Roman" w:hAnsi="Times New Roman" w:cs="Times New Roman" w:eastAsiaTheme="minorEastAsia"/>
                <w:color w:val="auto"/>
                <w:sz w:val="21"/>
                <w:szCs w:val="21"/>
                <w:highlight w:val="none"/>
                <w:lang w:val="en-US" w:eastAsia="zh-CN"/>
              </w:rPr>
              <w:t>10</w:t>
            </w:r>
          </w:p>
        </w:tc>
        <w:tc>
          <w:tcPr>
            <w:tcW w:w="646"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0.1</w:t>
            </w:r>
            <w:r>
              <w:rPr>
                <w:rFonts w:hint="default" w:ascii="Times New Roman" w:hAnsi="Times New Roman" w:cs="Times New Roman" w:eastAsiaTheme="minorEastAsia"/>
                <w:color w:val="auto"/>
                <w:highlight w:val="none"/>
                <w:lang w:val="en-US" w:eastAsia="zh-CN"/>
              </w:rPr>
              <w:t>67</w:t>
            </w:r>
            <w:r>
              <w:rPr>
                <w:rFonts w:hint="default" w:ascii="Times New Roman" w:hAnsi="Times New Roman" w:cs="Times New Roman" w:eastAsiaTheme="minorEastAsia"/>
                <w:color w:val="auto"/>
                <w:highlight w:val="none"/>
              </w:rPr>
              <w:t xml:space="preserve"> </w:t>
            </w:r>
          </w:p>
        </w:tc>
        <w:tc>
          <w:tcPr>
            <w:tcW w:w="641"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vAlign w:val="center"/>
          </w:tcPr>
          <w:p>
            <w:pPr>
              <w:pStyle w:val="666"/>
              <w:rPr>
                <w:rFonts w:hint="default" w:ascii="Times New Roman" w:hAnsi="Times New Roman" w:cs="Times New Roman" w:eastAsiaTheme="minorEastAsia"/>
                <w:color w:val="auto"/>
                <w:highlight w:val="none"/>
              </w:rPr>
            </w:pPr>
          </w:p>
        </w:tc>
        <w:tc>
          <w:tcPr>
            <w:tcW w:w="1142"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汞</w:t>
            </w:r>
          </w:p>
        </w:tc>
        <w:tc>
          <w:tcPr>
            <w:tcW w:w="513"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vAlign w:val="center"/>
          </w:tcPr>
          <w:p>
            <w:pPr>
              <w:spacing w:line="240" w:lineRule="atLeas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0.0</w:t>
            </w:r>
            <w:r>
              <w:rPr>
                <w:rFonts w:hint="default" w:ascii="Times New Roman" w:hAnsi="Times New Roman" w:cs="Times New Roman" w:eastAsiaTheme="minorEastAsia"/>
                <w:color w:val="auto"/>
                <w:sz w:val="21"/>
                <w:szCs w:val="21"/>
                <w:highlight w:val="none"/>
                <w:lang w:val="en-US" w:eastAsia="zh-CN"/>
              </w:rPr>
              <w:t>14</w:t>
            </w:r>
          </w:p>
        </w:tc>
        <w:tc>
          <w:tcPr>
            <w:tcW w:w="646"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0.00</w:t>
            </w:r>
            <w:r>
              <w:rPr>
                <w:rFonts w:hint="default" w:ascii="Times New Roman" w:hAnsi="Times New Roman" w:cs="Times New Roman" w:eastAsiaTheme="minorEastAsia"/>
                <w:color w:val="auto"/>
                <w:highlight w:val="none"/>
                <w:lang w:val="en-US" w:eastAsia="zh-CN"/>
              </w:rPr>
              <w:t>4</w:t>
            </w:r>
            <w:r>
              <w:rPr>
                <w:rFonts w:hint="default" w:ascii="Times New Roman" w:hAnsi="Times New Roman" w:cs="Times New Roman" w:eastAsiaTheme="minorEastAsia"/>
                <w:color w:val="auto"/>
                <w:highlight w:val="none"/>
              </w:rPr>
              <w:t xml:space="preserve"> </w:t>
            </w:r>
          </w:p>
        </w:tc>
        <w:tc>
          <w:tcPr>
            <w:tcW w:w="641"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vAlign w:val="center"/>
          </w:tcPr>
          <w:p>
            <w:pPr>
              <w:pStyle w:val="666"/>
              <w:rPr>
                <w:rFonts w:hint="default" w:ascii="Times New Roman" w:hAnsi="Times New Roman" w:cs="Times New Roman" w:eastAsiaTheme="minorEastAsia"/>
                <w:color w:val="auto"/>
                <w:highlight w:val="none"/>
              </w:rPr>
            </w:pPr>
          </w:p>
        </w:tc>
        <w:tc>
          <w:tcPr>
            <w:tcW w:w="1142"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砷</w:t>
            </w:r>
          </w:p>
        </w:tc>
        <w:tc>
          <w:tcPr>
            <w:tcW w:w="513"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vAlign w:val="center"/>
          </w:tcPr>
          <w:p>
            <w:pPr>
              <w:spacing w:line="240" w:lineRule="atLeas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w:t>
            </w:r>
            <w:r>
              <w:rPr>
                <w:rFonts w:hint="default" w:ascii="Times New Roman" w:hAnsi="Times New Roman" w:cs="Times New Roman" w:eastAsiaTheme="minorEastAsia"/>
                <w:color w:val="auto"/>
                <w:sz w:val="21"/>
                <w:szCs w:val="21"/>
                <w:highlight w:val="none"/>
                <w:lang w:val="en-US" w:eastAsia="zh-CN"/>
              </w:rPr>
              <w:t>33</w:t>
            </w:r>
          </w:p>
        </w:tc>
        <w:tc>
          <w:tcPr>
            <w:tcW w:w="646"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0.1</w:t>
            </w:r>
            <w:r>
              <w:rPr>
                <w:rFonts w:hint="default" w:ascii="Times New Roman" w:hAnsi="Times New Roman" w:cs="Times New Roman" w:eastAsiaTheme="minorEastAsia"/>
                <w:color w:val="auto"/>
                <w:highlight w:val="none"/>
                <w:lang w:val="en-US" w:eastAsia="zh-CN"/>
              </w:rPr>
              <w:t>33</w:t>
            </w:r>
            <w:r>
              <w:rPr>
                <w:rFonts w:hint="default" w:ascii="Times New Roman" w:hAnsi="Times New Roman" w:cs="Times New Roman" w:eastAsiaTheme="minorEastAsia"/>
                <w:color w:val="auto"/>
                <w:highlight w:val="none"/>
              </w:rPr>
              <w:t xml:space="preserve"> </w:t>
            </w:r>
          </w:p>
        </w:tc>
        <w:tc>
          <w:tcPr>
            <w:tcW w:w="641"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vAlign w:val="center"/>
          </w:tcPr>
          <w:p>
            <w:pPr>
              <w:pStyle w:val="666"/>
              <w:rPr>
                <w:rFonts w:hint="default" w:ascii="Times New Roman" w:hAnsi="Times New Roman" w:cs="Times New Roman" w:eastAsiaTheme="minorEastAsia"/>
                <w:color w:val="auto"/>
                <w:highlight w:val="none"/>
              </w:rPr>
            </w:pPr>
          </w:p>
        </w:tc>
        <w:tc>
          <w:tcPr>
            <w:tcW w:w="1142"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铅</w:t>
            </w:r>
          </w:p>
        </w:tc>
        <w:tc>
          <w:tcPr>
            <w:tcW w:w="513"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vAlign w:val="center"/>
          </w:tcPr>
          <w:p>
            <w:pPr>
              <w:adjustRightInd w:val="0"/>
              <w:snapToGrid w:val="0"/>
              <w:spacing w:line="280" w:lineRule="exac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18</w:t>
            </w:r>
          </w:p>
        </w:tc>
        <w:tc>
          <w:tcPr>
            <w:tcW w:w="646"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w:t>
            </w:r>
            <w:r>
              <w:rPr>
                <w:rFonts w:hint="default" w:ascii="Times New Roman" w:hAnsi="Times New Roman" w:cs="Times New Roman" w:eastAsiaTheme="minorEastAsia"/>
                <w:color w:val="auto"/>
                <w:highlight w:val="none"/>
                <w:lang w:val="en-US" w:eastAsia="zh-CN"/>
              </w:rPr>
              <w:t>105</w:t>
            </w:r>
            <w:r>
              <w:rPr>
                <w:rFonts w:hint="default" w:ascii="Times New Roman" w:hAnsi="Times New Roman" w:cs="Times New Roman" w:eastAsiaTheme="minorEastAsia"/>
                <w:color w:val="auto"/>
                <w:highlight w:val="none"/>
              </w:rPr>
              <w:t xml:space="preserve"> </w:t>
            </w:r>
          </w:p>
        </w:tc>
        <w:tc>
          <w:tcPr>
            <w:tcW w:w="641"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vAlign w:val="center"/>
          </w:tcPr>
          <w:p>
            <w:pPr>
              <w:pStyle w:val="666"/>
              <w:rPr>
                <w:rFonts w:hint="default" w:ascii="Times New Roman" w:hAnsi="Times New Roman" w:cs="Times New Roman" w:eastAsiaTheme="minorEastAsia"/>
                <w:color w:val="auto"/>
                <w:highlight w:val="none"/>
              </w:rPr>
            </w:pPr>
          </w:p>
        </w:tc>
        <w:tc>
          <w:tcPr>
            <w:tcW w:w="1142"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总铬</w:t>
            </w:r>
          </w:p>
        </w:tc>
        <w:tc>
          <w:tcPr>
            <w:tcW w:w="513"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vAlign w:val="center"/>
          </w:tcPr>
          <w:p>
            <w:pPr>
              <w:adjustRightInd w:val="0"/>
              <w:snapToGrid w:val="0"/>
              <w:spacing w:line="280" w:lineRule="exac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51</w:t>
            </w:r>
          </w:p>
        </w:tc>
        <w:tc>
          <w:tcPr>
            <w:tcW w:w="646"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w:t>
            </w:r>
            <w:r>
              <w:rPr>
                <w:rFonts w:hint="default" w:ascii="Times New Roman" w:hAnsi="Times New Roman" w:cs="Times New Roman" w:eastAsiaTheme="minorEastAsia"/>
                <w:color w:val="auto"/>
                <w:highlight w:val="none"/>
                <w:lang w:val="en-US" w:eastAsia="zh-CN"/>
              </w:rPr>
              <w:t>204</w:t>
            </w:r>
            <w:r>
              <w:rPr>
                <w:rFonts w:hint="default" w:ascii="Times New Roman" w:hAnsi="Times New Roman" w:cs="Times New Roman" w:eastAsiaTheme="minorEastAsia"/>
                <w:color w:val="auto"/>
                <w:highlight w:val="none"/>
              </w:rPr>
              <w:t xml:space="preserve"> </w:t>
            </w:r>
          </w:p>
        </w:tc>
        <w:tc>
          <w:tcPr>
            <w:tcW w:w="641"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vAlign w:val="center"/>
          </w:tcPr>
          <w:p>
            <w:pPr>
              <w:pStyle w:val="666"/>
              <w:rPr>
                <w:rFonts w:hint="default" w:ascii="Times New Roman" w:hAnsi="Times New Roman" w:cs="Times New Roman" w:eastAsiaTheme="minorEastAsia"/>
                <w:color w:val="auto"/>
                <w:highlight w:val="none"/>
              </w:rPr>
            </w:pPr>
          </w:p>
        </w:tc>
        <w:tc>
          <w:tcPr>
            <w:tcW w:w="1142"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铜</w:t>
            </w:r>
          </w:p>
        </w:tc>
        <w:tc>
          <w:tcPr>
            <w:tcW w:w="513"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vAlign w:val="center"/>
          </w:tcPr>
          <w:p>
            <w:pPr>
              <w:adjustRightInd w:val="0"/>
              <w:snapToGrid w:val="0"/>
              <w:spacing w:line="280" w:lineRule="exac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12</w:t>
            </w:r>
          </w:p>
        </w:tc>
        <w:tc>
          <w:tcPr>
            <w:tcW w:w="646"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w:t>
            </w:r>
            <w:r>
              <w:rPr>
                <w:rFonts w:hint="default" w:ascii="Times New Roman" w:hAnsi="Times New Roman" w:cs="Times New Roman" w:eastAsiaTheme="minorEastAsia"/>
                <w:color w:val="auto"/>
                <w:highlight w:val="none"/>
                <w:lang w:val="en-US" w:eastAsia="zh-CN"/>
              </w:rPr>
              <w:t>120</w:t>
            </w:r>
            <w:r>
              <w:rPr>
                <w:rFonts w:hint="default" w:ascii="Times New Roman" w:hAnsi="Times New Roman" w:cs="Times New Roman" w:eastAsiaTheme="minorEastAsia"/>
                <w:color w:val="auto"/>
                <w:highlight w:val="none"/>
              </w:rPr>
              <w:t xml:space="preserve"> </w:t>
            </w:r>
          </w:p>
        </w:tc>
        <w:tc>
          <w:tcPr>
            <w:tcW w:w="641"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vAlign w:val="center"/>
          </w:tcPr>
          <w:p>
            <w:pPr>
              <w:pStyle w:val="666"/>
              <w:rPr>
                <w:rFonts w:hint="default" w:ascii="Times New Roman" w:hAnsi="Times New Roman" w:cs="Times New Roman" w:eastAsiaTheme="minorEastAsia"/>
                <w:color w:val="auto"/>
                <w:highlight w:val="none"/>
              </w:rPr>
            </w:pPr>
          </w:p>
        </w:tc>
        <w:tc>
          <w:tcPr>
            <w:tcW w:w="1142"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镍</w:t>
            </w:r>
          </w:p>
        </w:tc>
        <w:tc>
          <w:tcPr>
            <w:tcW w:w="513"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vAlign w:val="center"/>
          </w:tcPr>
          <w:p>
            <w:pPr>
              <w:adjustRightInd w:val="0"/>
              <w:snapToGrid w:val="0"/>
              <w:spacing w:line="280" w:lineRule="exac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20</w:t>
            </w:r>
          </w:p>
        </w:tc>
        <w:tc>
          <w:tcPr>
            <w:tcW w:w="646" w:type="pct"/>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rPr>
              <w:t>0.</w:t>
            </w:r>
            <w:r>
              <w:rPr>
                <w:rFonts w:hint="default" w:ascii="Times New Roman" w:hAnsi="Times New Roman" w:cs="Times New Roman" w:eastAsiaTheme="minorEastAsia"/>
                <w:color w:val="auto"/>
                <w:highlight w:val="none"/>
                <w:lang w:val="en-US" w:eastAsia="zh-CN"/>
              </w:rPr>
              <w:t>105</w:t>
            </w:r>
          </w:p>
        </w:tc>
        <w:tc>
          <w:tcPr>
            <w:tcW w:w="641"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vAlign w:val="center"/>
          </w:tcPr>
          <w:p>
            <w:pPr>
              <w:pStyle w:val="666"/>
              <w:rPr>
                <w:rFonts w:hint="default" w:ascii="Times New Roman" w:hAnsi="Times New Roman" w:cs="Times New Roman" w:eastAsiaTheme="minorEastAsia"/>
                <w:color w:val="auto"/>
                <w:highlight w:val="none"/>
              </w:rPr>
            </w:pPr>
          </w:p>
        </w:tc>
        <w:tc>
          <w:tcPr>
            <w:tcW w:w="1142"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锌</w:t>
            </w:r>
          </w:p>
        </w:tc>
        <w:tc>
          <w:tcPr>
            <w:tcW w:w="513"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vAlign w:val="center"/>
          </w:tcPr>
          <w:p>
            <w:pPr>
              <w:adjustRightInd w:val="0"/>
              <w:snapToGrid w:val="0"/>
              <w:spacing w:line="280" w:lineRule="exac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54</w:t>
            </w:r>
          </w:p>
        </w:tc>
        <w:tc>
          <w:tcPr>
            <w:tcW w:w="646"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w:t>
            </w:r>
            <w:r>
              <w:rPr>
                <w:rFonts w:hint="default" w:ascii="Times New Roman" w:hAnsi="Times New Roman" w:cs="Times New Roman" w:eastAsiaTheme="minorEastAsia"/>
                <w:color w:val="auto"/>
                <w:highlight w:val="none"/>
                <w:lang w:val="en-US" w:eastAsia="zh-CN"/>
              </w:rPr>
              <w:t>180</w:t>
            </w:r>
            <w:r>
              <w:rPr>
                <w:rFonts w:hint="default" w:ascii="Times New Roman" w:hAnsi="Times New Roman" w:cs="Times New Roman" w:eastAsiaTheme="minorEastAsia"/>
                <w:color w:val="auto"/>
                <w:highlight w:val="none"/>
              </w:rPr>
              <w:t xml:space="preserve"> </w:t>
            </w:r>
          </w:p>
        </w:tc>
        <w:tc>
          <w:tcPr>
            <w:tcW w:w="641"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restar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w:t>
            </w:r>
          </w:p>
        </w:tc>
        <w:tc>
          <w:tcPr>
            <w:tcW w:w="1142"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pH值</w:t>
            </w:r>
          </w:p>
        </w:tc>
        <w:tc>
          <w:tcPr>
            <w:tcW w:w="513"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无量纲</w:t>
            </w:r>
          </w:p>
        </w:tc>
        <w:tc>
          <w:tcPr>
            <w:tcW w:w="1256" w:type="dxa"/>
            <w:vAlign w:val="center"/>
          </w:tcPr>
          <w:p>
            <w:pPr>
              <w:spacing w:line="240" w:lineRule="atLeas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7.91</w:t>
            </w:r>
          </w:p>
        </w:tc>
        <w:tc>
          <w:tcPr>
            <w:tcW w:w="646"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w:t>
            </w:r>
          </w:p>
        </w:tc>
        <w:tc>
          <w:tcPr>
            <w:tcW w:w="641"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vAlign w:val="center"/>
          </w:tcPr>
          <w:p>
            <w:pPr>
              <w:pStyle w:val="666"/>
              <w:rPr>
                <w:rFonts w:hint="default" w:ascii="Times New Roman" w:hAnsi="Times New Roman" w:cs="Times New Roman" w:eastAsiaTheme="minorEastAsia"/>
                <w:color w:val="auto"/>
                <w:highlight w:val="none"/>
              </w:rPr>
            </w:pPr>
          </w:p>
        </w:tc>
        <w:tc>
          <w:tcPr>
            <w:tcW w:w="1142"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镉</w:t>
            </w:r>
          </w:p>
        </w:tc>
        <w:tc>
          <w:tcPr>
            <w:tcW w:w="513"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vAlign w:val="center"/>
          </w:tcPr>
          <w:p>
            <w:pPr>
              <w:spacing w:line="240" w:lineRule="atLeas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0.0</w:t>
            </w:r>
            <w:r>
              <w:rPr>
                <w:rFonts w:hint="default" w:ascii="Times New Roman" w:hAnsi="Times New Roman" w:cs="Times New Roman" w:eastAsiaTheme="minorEastAsia"/>
                <w:color w:val="auto"/>
                <w:sz w:val="21"/>
                <w:szCs w:val="21"/>
                <w:highlight w:val="none"/>
                <w:lang w:val="en-US" w:eastAsia="zh-CN"/>
              </w:rPr>
              <w:t>9</w:t>
            </w:r>
          </w:p>
        </w:tc>
        <w:tc>
          <w:tcPr>
            <w:tcW w:w="646" w:type="pct"/>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rPr>
              <w:t>0.</w:t>
            </w:r>
            <w:r>
              <w:rPr>
                <w:rFonts w:hint="default" w:ascii="Times New Roman" w:hAnsi="Times New Roman" w:cs="Times New Roman" w:eastAsiaTheme="minorEastAsia"/>
                <w:color w:val="auto"/>
                <w:highlight w:val="none"/>
                <w:lang w:val="en-US" w:eastAsia="zh-CN"/>
              </w:rPr>
              <w:t>15</w:t>
            </w:r>
          </w:p>
        </w:tc>
        <w:tc>
          <w:tcPr>
            <w:tcW w:w="641"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vAlign w:val="center"/>
          </w:tcPr>
          <w:p>
            <w:pPr>
              <w:pStyle w:val="666"/>
              <w:rPr>
                <w:rFonts w:hint="default" w:ascii="Times New Roman" w:hAnsi="Times New Roman" w:cs="Times New Roman" w:eastAsiaTheme="minorEastAsia"/>
                <w:color w:val="auto"/>
                <w:highlight w:val="none"/>
              </w:rPr>
            </w:pPr>
          </w:p>
        </w:tc>
        <w:tc>
          <w:tcPr>
            <w:tcW w:w="1142"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汞</w:t>
            </w:r>
          </w:p>
        </w:tc>
        <w:tc>
          <w:tcPr>
            <w:tcW w:w="513"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vAlign w:val="center"/>
          </w:tcPr>
          <w:p>
            <w:pPr>
              <w:spacing w:line="240" w:lineRule="atLeas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0.0</w:t>
            </w:r>
            <w:r>
              <w:rPr>
                <w:rFonts w:hint="default" w:ascii="Times New Roman" w:hAnsi="Times New Roman" w:cs="Times New Roman" w:eastAsiaTheme="minorEastAsia"/>
                <w:color w:val="auto"/>
                <w:sz w:val="21"/>
                <w:szCs w:val="21"/>
                <w:highlight w:val="none"/>
                <w:lang w:val="en-US" w:eastAsia="zh-CN"/>
              </w:rPr>
              <w:t>17</w:t>
            </w:r>
          </w:p>
        </w:tc>
        <w:tc>
          <w:tcPr>
            <w:tcW w:w="646"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0.00</w:t>
            </w:r>
            <w:r>
              <w:rPr>
                <w:rFonts w:hint="default" w:ascii="Times New Roman" w:hAnsi="Times New Roman" w:cs="Times New Roman" w:eastAsiaTheme="minorEastAsia"/>
                <w:color w:val="auto"/>
                <w:highlight w:val="none"/>
                <w:lang w:val="en-US" w:eastAsia="zh-CN"/>
              </w:rPr>
              <w:t>5</w:t>
            </w:r>
            <w:r>
              <w:rPr>
                <w:rFonts w:hint="default" w:ascii="Times New Roman" w:hAnsi="Times New Roman" w:cs="Times New Roman" w:eastAsiaTheme="minorEastAsia"/>
                <w:color w:val="auto"/>
                <w:highlight w:val="none"/>
              </w:rPr>
              <w:t xml:space="preserve"> </w:t>
            </w:r>
          </w:p>
        </w:tc>
        <w:tc>
          <w:tcPr>
            <w:tcW w:w="641"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vAlign w:val="center"/>
          </w:tcPr>
          <w:p>
            <w:pPr>
              <w:pStyle w:val="666"/>
              <w:rPr>
                <w:rFonts w:hint="default" w:ascii="Times New Roman" w:hAnsi="Times New Roman" w:cs="Times New Roman" w:eastAsiaTheme="minorEastAsia"/>
                <w:color w:val="auto"/>
                <w:highlight w:val="none"/>
              </w:rPr>
            </w:pPr>
          </w:p>
        </w:tc>
        <w:tc>
          <w:tcPr>
            <w:tcW w:w="1142"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砷</w:t>
            </w:r>
          </w:p>
        </w:tc>
        <w:tc>
          <w:tcPr>
            <w:tcW w:w="513"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vAlign w:val="center"/>
          </w:tcPr>
          <w:p>
            <w:pPr>
              <w:spacing w:line="240" w:lineRule="atLeas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w:t>
            </w:r>
            <w:r>
              <w:rPr>
                <w:rFonts w:hint="default" w:ascii="Times New Roman" w:hAnsi="Times New Roman" w:cs="Times New Roman" w:eastAsiaTheme="minorEastAsia"/>
                <w:color w:val="auto"/>
                <w:sz w:val="21"/>
                <w:szCs w:val="21"/>
                <w:highlight w:val="none"/>
                <w:lang w:val="en-US" w:eastAsia="zh-CN"/>
              </w:rPr>
              <w:t>24</w:t>
            </w:r>
          </w:p>
        </w:tc>
        <w:tc>
          <w:tcPr>
            <w:tcW w:w="646" w:type="pct"/>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rPr>
              <w:t>0.1</w:t>
            </w:r>
            <w:r>
              <w:rPr>
                <w:rFonts w:hint="default" w:ascii="Times New Roman" w:hAnsi="Times New Roman" w:cs="Times New Roman" w:eastAsiaTheme="minorEastAsia"/>
                <w:color w:val="auto"/>
                <w:highlight w:val="none"/>
                <w:lang w:val="en-US" w:eastAsia="zh-CN"/>
              </w:rPr>
              <w:t>29</w:t>
            </w:r>
          </w:p>
        </w:tc>
        <w:tc>
          <w:tcPr>
            <w:tcW w:w="641"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vAlign w:val="center"/>
          </w:tcPr>
          <w:p>
            <w:pPr>
              <w:pStyle w:val="666"/>
              <w:rPr>
                <w:rFonts w:hint="default" w:ascii="Times New Roman" w:hAnsi="Times New Roman" w:cs="Times New Roman" w:eastAsiaTheme="minorEastAsia"/>
                <w:color w:val="auto"/>
                <w:highlight w:val="none"/>
              </w:rPr>
            </w:pPr>
          </w:p>
        </w:tc>
        <w:tc>
          <w:tcPr>
            <w:tcW w:w="1142"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铅</w:t>
            </w:r>
          </w:p>
        </w:tc>
        <w:tc>
          <w:tcPr>
            <w:tcW w:w="513"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vAlign w:val="center"/>
          </w:tcPr>
          <w:p>
            <w:pPr>
              <w:adjustRightInd w:val="0"/>
              <w:snapToGrid w:val="0"/>
              <w:spacing w:line="280" w:lineRule="exac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14</w:t>
            </w:r>
          </w:p>
        </w:tc>
        <w:tc>
          <w:tcPr>
            <w:tcW w:w="646" w:type="pct"/>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rPr>
              <w:t>0.0</w:t>
            </w:r>
            <w:r>
              <w:rPr>
                <w:rFonts w:hint="default" w:ascii="Times New Roman" w:hAnsi="Times New Roman" w:cs="Times New Roman" w:eastAsiaTheme="minorEastAsia"/>
                <w:color w:val="auto"/>
                <w:highlight w:val="none"/>
                <w:lang w:val="en-US" w:eastAsia="zh-CN"/>
              </w:rPr>
              <w:t>82</w:t>
            </w:r>
          </w:p>
        </w:tc>
        <w:tc>
          <w:tcPr>
            <w:tcW w:w="641"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vAlign w:val="center"/>
          </w:tcPr>
          <w:p>
            <w:pPr>
              <w:pStyle w:val="666"/>
              <w:rPr>
                <w:rFonts w:hint="default" w:ascii="Times New Roman" w:hAnsi="Times New Roman" w:cs="Times New Roman" w:eastAsiaTheme="minorEastAsia"/>
                <w:color w:val="auto"/>
                <w:highlight w:val="none"/>
              </w:rPr>
            </w:pPr>
          </w:p>
        </w:tc>
        <w:tc>
          <w:tcPr>
            <w:tcW w:w="1142"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总铬</w:t>
            </w:r>
          </w:p>
        </w:tc>
        <w:tc>
          <w:tcPr>
            <w:tcW w:w="513"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vAlign w:val="center"/>
          </w:tcPr>
          <w:p>
            <w:pPr>
              <w:adjustRightInd w:val="0"/>
              <w:snapToGrid w:val="0"/>
              <w:spacing w:line="280" w:lineRule="exac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47</w:t>
            </w:r>
          </w:p>
        </w:tc>
        <w:tc>
          <w:tcPr>
            <w:tcW w:w="646"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w:t>
            </w:r>
            <w:r>
              <w:rPr>
                <w:rFonts w:hint="default" w:ascii="Times New Roman" w:hAnsi="Times New Roman" w:cs="Times New Roman" w:eastAsiaTheme="minorEastAsia"/>
                <w:color w:val="auto"/>
                <w:highlight w:val="none"/>
                <w:lang w:val="en-US" w:eastAsia="zh-CN"/>
              </w:rPr>
              <w:t>188</w:t>
            </w:r>
            <w:r>
              <w:rPr>
                <w:rFonts w:hint="default" w:ascii="Times New Roman" w:hAnsi="Times New Roman" w:cs="Times New Roman" w:eastAsiaTheme="minorEastAsia"/>
                <w:color w:val="auto"/>
                <w:highlight w:val="none"/>
              </w:rPr>
              <w:t xml:space="preserve"> </w:t>
            </w:r>
          </w:p>
        </w:tc>
        <w:tc>
          <w:tcPr>
            <w:tcW w:w="641"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vAlign w:val="center"/>
          </w:tcPr>
          <w:p>
            <w:pPr>
              <w:pStyle w:val="666"/>
              <w:rPr>
                <w:rFonts w:hint="default" w:ascii="Times New Roman" w:hAnsi="Times New Roman" w:cs="Times New Roman" w:eastAsiaTheme="minorEastAsia"/>
                <w:color w:val="auto"/>
                <w:highlight w:val="none"/>
              </w:rPr>
            </w:pPr>
          </w:p>
        </w:tc>
        <w:tc>
          <w:tcPr>
            <w:tcW w:w="1142"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铜</w:t>
            </w:r>
          </w:p>
        </w:tc>
        <w:tc>
          <w:tcPr>
            <w:tcW w:w="513"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vAlign w:val="center"/>
          </w:tcPr>
          <w:p>
            <w:pPr>
              <w:adjustRightInd w:val="0"/>
              <w:snapToGrid w:val="0"/>
              <w:spacing w:line="280" w:lineRule="exac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14</w:t>
            </w:r>
          </w:p>
        </w:tc>
        <w:tc>
          <w:tcPr>
            <w:tcW w:w="646"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 xml:space="preserve">0.140 </w:t>
            </w:r>
          </w:p>
        </w:tc>
        <w:tc>
          <w:tcPr>
            <w:tcW w:w="641"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vAlign w:val="center"/>
          </w:tcPr>
          <w:p>
            <w:pPr>
              <w:pStyle w:val="666"/>
              <w:rPr>
                <w:rFonts w:hint="default" w:ascii="Times New Roman" w:hAnsi="Times New Roman" w:cs="Times New Roman" w:eastAsiaTheme="minorEastAsia"/>
                <w:color w:val="auto"/>
                <w:highlight w:val="none"/>
              </w:rPr>
            </w:pPr>
          </w:p>
        </w:tc>
        <w:tc>
          <w:tcPr>
            <w:tcW w:w="1142"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镍</w:t>
            </w:r>
          </w:p>
        </w:tc>
        <w:tc>
          <w:tcPr>
            <w:tcW w:w="513"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vAlign w:val="center"/>
          </w:tcPr>
          <w:p>
            <w:pPr>
              <w:adjustRightInd w:val="0"/>
              <w:snapToGrid w:val="0"/>
              <w:spacing w:line="280" w:lineRule="exac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19</w:t>
            </w:r>
          </w:p>
        </w:tc>
        <w:tc>
          <w:tcPr>
            <w:tcW w:w="646"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w:t>
            </w:r>
            <w:r>
              <w:rPr>
                <w:rFonts w:hint="default" w:ascii="Times New Roman" w:hAnsi="Times New Roman" w:cs="Times New Roman" w:eastAsiaTheme="minorEastAsia"/>
                <w:color w:val="auto"/>
                <w:highlight w:val="none"/>
                <w:lang w:val="en-US" w:eastAsia="zh-CN"/>
              </w:rPr>
              <w:t>1</w:t>
            </w:r>
            <w:r>
              <w:rPr>
                <w:rFonts w:hint="default" w:ascii="Times New Roman" w:hAnsi="Times New Roman" w:cs="Times New Roman" w:eastAsiaTheme="minorEastAsia"/>
                <w:color w:val="auto"/>
                <w:highlight w:val="none"/>
              </w:rPr>
              <w:t xml:space="preserve"> </w:t>
            </w:r>
          </w:p>
        </w:tc>
        <w:tc>
          <w:tcPr>
            <w:tcW w:w="641" w:type="pct"/>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tcBorders>
              <w:bottom w:val="single" w:color="auto" w:sz="2" w:space="0"/>
            </w:tcBorders>
            <w:vAlign w:val="center"/>
          </w:tcPr>
          <w:p>
            <w:pPr>
              <w:pStyle w:val="666"/>
              <w:rPr>
                <w:rFonts w:hint="default" w:ascii="Times New Roman" w:hAnsi="Times New Roman" w:cs="Times New Roman" w:eastAsiaTheme="minorEastAsia"/>
                <w:color w:val="auto"/>
                <w:highlight w:val="none"/>
              </w:rPr>
            </w:pPr>
          </w:p>
        </w:tc>
        <w:tc>
          <w:tcPr>
            <w:tcW w:w="1142" w:type="pct"/>
            <w:tcBorders>
              <w:bottom w:val="single" w:color="auto" w:sz="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锌</w:t>
            </w:r>
          </w:p>
        </w:tc>
        <w:tc>
          <w:tcPr>
            <w:tcW w:w="513" w:type="pct"/>
            <w:tcBorders>
              <w:bottom w:val="single" w:color="auto" w:sz="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tcBorders>
              <w:bottom w:val="single" w:color="auto" w:sz="2" w:space="0"/>
            </w:tcBorders>
            <w:vAlign w:val="center"/>
          </w:tcPr>
          <w:p>
            <w:pPr>
              <w:adjustRightInd w:val="0"/>
              <w:snapToGrid w:val="0"/>
              <w:spacing w:line="280" w:lineRule="exac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50</w:t>
            </w:r>
          </w:p>
        </w:tc>
        <w:tc>
          <w:tcPr>
            <w:tcW w:w="646" w:type="pct"/>
            <w:tcBorders>
              <w:bottom w:val="single" w:color="auto" w:sz="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0.1</w:t>
            </w:r>
            <w:r>
              <w:rPr>
                <w:rFonts w:hint="default" w:ascii="Times New Roman" w:hAnsi="Times New Roman" w:cs="Times New Roman" w:eastAsiaTheme="minorEastAsia"/>
                <w:color w:val="auto"/>
                <w:highlight w:val="none"/>
                <w:lang w:val="en-US" w:eastAsia="zh-CN"/>
              </w:rPr>
              <w:t>6</w:t>
            </w:r>
            <w:r>
              <w:rPr>
                <w:rFonts w:hint="default" w:ascii="Times New Roman" w:hAnsi="Times New Roman" w:cs="Times New Roman" w:eastAsiaTheme="minorEastAsia"/>
                <w:color w:val="auto"/>
                <w:highlight w:val="none"/>
              </w:rPr>
              <w:t>7</w:t>
            </w:r>
          </w:p>
        </w:tc>
        <w:tc>
          <w:tcPr>
            <w:tcW w:w="641" w:type="pct"/>
            <w:tcBorders>
              <w:bottom w:val="single" w:color="auto" w:sz="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restart"/>
            <w:tcBorders>
              <w:top w:val="single" w:color="auto" w:sz="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4#</w:t>
            </w:r>
          </w:p>
        </w:tc>
        <w:tc>
          <w:tcPr>
            <w:tcW w:w="1142" w:type="pct"/>
            <w:tcBorders>
              <w:top w:val="single" w:color="auto" w:sz="2"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pH值</w:t>
            </w:r>
          </w:p>
        </w:tc>
        <w:tc>
          <w:tcPr>
            <w:tcW w:w="513" w:type="pct"/>
            <w:tcBorders>
              <w:top w:val="single" w:color="auto" w:sz="2"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无量纲</w:t>
            </w:r>
          </w:p>
        </w:tc>
        <w:tc>
          <w:tcPr>
            <w:tcW w:w="1256" w:type="dxa"/>
            <w:tcBorders>
              <w:top w:val="single" w:color="auto" w:sz="2" w:space="0"/>
              <w:bottom w:val="single" w:color="auto" w:sz="4" w:space="0"/>
            </w:tcBorders>
            <w:vAlign w:val="center"/>
          </w:tcPr>
          <w:p>
            <w:pPr>
              <w:spacing w:line="240" w:lineRule="atLeas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7.64</w:t>
            </w:r>
          </w:p>
        </w:tc>
        <w:tc>
          <w:tcPr>
            <w:tcW w:w="646" w:type="pct"/>
            <w:tcBorders>
              <w:top w:val="single" w:color="auto" w:sz="2"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w:t>
            </w:r>
          </w:p>
        </w:tc>
        <w:tc>
          <w:tcPr>
            <w:tcW w:w="641" w:type="pct"/>
            <w:tcBorders>
              <w:top w:val="single" w:color="auto" w:sz="2"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tcBorders>
              <w:top w:val="single" w:color="auto" w:sz="2" w:space="0"/>
            </w:tcBorders>
            <w:vAlign w:val="center"/>
          </w:tcPr>
          <w:p>
            <w:pPr>
              <w:pStyle w:val="666"/>
              <w:rPr>
                <w:rFonts w:hint="default" w:ascii="Times New Roman" w:hAnsi="Times New Roman" w:cs="Times New Roman" w:eastAsiaTheme="minorEastAsia"/>
                <w:color w:val="auto"/>
                <w:highlight w:val="none"/>
              </w:rPr>
            </w:pPr>
          </w:p>
        </w:tc>
        <w:tc>
          <w:tcPr>
            <w:tcW w:w="1142"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镉</w:t>
            </w:r>
          </w:p>
        </w:tc>
        <w:tc>
          <w:tcPr>
            <w:tcW w:w="513"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tcBorders>
              <w:top w:val="single" w:color="auto" w:sz="4" w:space="0"/>
              <w:bottom w:val="single" w:color="auto" w:sz="4" w:space="0"/>
            </w:tcBorders>
            <w:vAlign w:val="center"/>
          </w:tcPr>
          <w:p>
            <w:pPr>
              <w:spacing w:line="240" w:lineRule="atLeas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w:t>
            </w:r>
            <w:r>
              <w:rPr>
                <w:rFonts w:hint="default" w:ascii="Times New Roman" w:hAnsi="Times New Roman" w:cs="Times New Roman" w:eastAsiaTheme="minorEastAsia"/>
                <w:color w:val="auto"/>
                <w:sz w:val="21"/>
                <w:szCs w:val="21"/>
                <w:highlight w:val="none"/>
                <w:lang w:val="en-US" w:eastAsia="zh-CN"/>
              </w:rPr>
              <w:t>08</w:t>
            </w:r>
          </w:p>
        </w:tc>
        <w:tc>
          <w:tcPr>
            <w:tcW w:w="646"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0.1</w:t>
            </w:r>
            <w:r>
              <w:rPr>
                <w:rFonts w:hint="default" w:ascii="Times New Roman" w:hAnsi="Times New Roman" w:cs="Times New Roman" w:eastAsiaTheme="minorEastAsia"/>
                <w:color w:val="auto"/>
                <w:highlight w:val="none"/>
                <w:lang w:val="en-US" w:eastAsia="zh-CN"/>
              </w:rPr>
              <w:t>33</w:t>
            </w:r>
            <w:r>
              <w:rPr>
                <w:rFonts w:hint="default" w:ascii="Times New Roman" w:hAnsi="Times New Roman" w:cs="Times New Roman" w:eastAsiaTheme="minorEastAsia"/>
                <w:color w:val="auto"/>
                <w:highlight w:val="none"/>
              </w:rPr>
              <w:t xml:space="preserve"> </w:t>
            </w:r>
          </w:p>
        </w:tc>
        <w:tc>
          <w:tcPr>
            <w:tcW w:w="641"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tcBorders>
              <w:top w:val="single" w:color="auto" w:sz="2" w:space="0"/>
            </w:tcBorders>
            <w:vAlign w:val="center"/>
          </w:tcPr>
          <w:p>
            <w:pPr>
              <w:pStyle w:val="666"/>
              <w:rPr>
                <w:rFonts w:hint="default" w:ascii="Times New Roman" w:hAnsi="Times New Roman" w:cs="Times New Roman" w:eastAsiaTheme="minorEastAsia"/>
                <w:color w:val="auto"/>
                <w:highlight w:val="none"/>
              </w:rPr>
            </w:pPr>
          </w:p>
        </w:tc>
        <w:tc>
          <w:tcPr>
            <w:tcW w:w="1142"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汞</w:t>
            </w:r>
          </w:p>
        </w:tc>
        <w:tc>
          <w:tcPr>
            <w:tcW w:w="513"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tcBorders>
              <w:top w:val="single" w:color="auto" w:sz="4" w:space="0"/>
              <w:bottom w:val="single" w:color="auto" w:sz="4" w:space="0"/>
            </w:tcBorders>
            <w:vAlign w:val="center"/>
          </w:tcPr>
          <w:p>
            <w:pPr>
              <w:spacing w:line="240" w:lineRule="atLeas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0.0</w:t>
            </w:r>
            <w:r>
              <w:rPr>
                <w:rFonts w:hint="default" w:ascii="Times New Roman" w:hAnsi="Times New Roman" w:cs="Times New Roman" w:eastAsiaTheme="minorEastAsia"/>
                <w:color w:val="auto"/>
                <w:sz w:val="21"/>
                <w:szCs w:val="21"/>
                <w:highlight w:val="none"/>
                <w:lang w:val="en-US" w:eastAsia="zh-CN"/>
              </w:rPr>
              <w:t>14</w:t>
            </w:r>
          </w:p>
        </w:tc>
        <w:tc>
          <w:tcPr>
            <w:tcW w:w="646"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 xml:space="preserve">0.004 </w:t>
            </w:r>
          </w:p>
        </w:tc>
        <w:tc>
          <w:tcPr>
            <w:tcW w:w="641"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tcBorders>
              <w:top w:val="single" w:color="auto" w:sz="2" w:space="0"/>
            </w:tcBorders>
            <w:vAlign w:val="center"/>
          </w:tcPr>
          <w:p>
            <w:pPr>
              <w:pStyle w:val="666"/>
              <w:rPr>
                <w:rFonts w:hint="default" w:ascii="Times New Roman" w:hAnsi="Times New Roman" w:cs="Times New Roman" w:eastAsiaTheme="minorEastAsia"/>
                <w:color w:val="auto"/>
                <w:highlight w:val="none"/>
              </w:rPr>
            </w:pPr>
          </w:p>
        </w:tc>
        <w:tc>
          <w:tcPr>
            <w:tcW w:w="1142"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砷</w:t>
            </w:r>
          </w:p>
        </w:tc>
        <w:tc>
          <w:tcPr>
            <w:tcW w:w="513"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tcBorders>
              <w:top w:val="single" w:color="auto" w:sz="4" w:space="0"/>
              <w:bottom w:val="single" w:color="auto" w:sz="4" w:space="0"/>
            </w:tcBorders>
            <w:vAlign w:val="center"/>
          </w:tcPr>
          <w:p>
            <w:pPr>
              <w:spacing w:line="240" w:lineRule="atLeas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w:t>
            </w:r>
            <w:r>
              <w:rPr>
                <w:rFonts w:hint="default" w:ascii="Times New Roman" w:hAnsi="Times New Roman" w:cs="Times New Roman" w:eastAsiaTheme="minorEastAsia"/>
                <w:color w:val="auto"/>
                <w:sz w:val="21"/>
                <w:szCs w:val="21"/>
                <w:highlight w:val="none"/>
                <w:lang w:val="en-US" w:eastAsia="zh-CN"/>
              </w:rPr>
              <w:t>30</w:t>
            </w:r>
          </w:p>
        </w:tc>
        <w:tc>
          <w:tcPr>
            <w:tcW w:w="646"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0.1</w:t>
            </w:r>
            <w:r>
              <w:rPr>
                <w:rFonts w:hint="default" w:ascii="Times New Roman" w:hAnsi="Times New Roman" w:cs="Times New Roman" w:eastAsiaTheme="minorEastAsia"/>
                <w:color w:val="auto"/>
                <w:highlight w:val="none"/>
                <w:lang w:val="en-US" w:eastAsia="zh-CN"/>
              </w:rPr>
              <w:t>32</w:t>
            </w:r>
            <w:r>
              <w:rPr>
                <w:rFonts w:hint="default" w:ascii="Times New Roman" w:hAnsi="Times New Roman" w:cs="Times New Roman" w:eastAsiaTheme="minorEastAsia"/>
                <w:color w:val="auto"/>
                <w:highlight w:val="none"/>
              </w:rPr>
              <w:t xml:space="preserve"> </w:t>
            </w:r>
          </w:p>
        </w:tc>
        <w:tc>
          <w:tcPr>
            <w:tcW w:w="641"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tcBorders>
              <w:top w:val="single" w:color="auto" w:sz="2" w:space="0"/>
            </w:tcBorders>
            <w:vAlign w:val="center"/>
          </w:tcPr>
          <w:p>
            <w:pPr>
              <w:pStyle w:val="666"/>
              <w:rPr>
                <w:rFonts w:hint="default" w:ascii="Times New Roman" w:hAnsi="Times New Roman" w:cs="Times New Roman" w:eastAsiaTheme="minorEastAsia"/>
                <w:color w:val="auto"/>
                <w:highlight w:val="none"/>
              </w:rPr>
            </w:pPr>
          </w:p>
        </w:tc>
        <w:tc>
          <w:tcPr>
            <w:tcW w:w="1142"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铅</w:t>
            </w:r>
          </w:p>
        </w:tc>
        <w:tc>
          <w:tcPr>
            <w:tcW w:w="513"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tcBorders>
              <w:top w:val="single" w:color="auto" w:sz="4" w:space="0"/>
              <w:bottom w:val="single" w:color="auto" w:sz="4" w:space="0"/>
            </w:tcBorders>
            <w:vAlign w:val="center"/>
          </w:tcPr>
          <w:p>
            <w:pPr>
              <w:adjustRightInd w:val="0"/>
              <w:snapToGrid w:val="0"/>
              <w:spacing w:line="280" w:lineRule="exac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16</w:t>
            </w:r>
          </w:p>
        </w:tc>
        <w:tc>
          <w:tcPr>
            <w:tcW w:w="646"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0.0</w:t>
            </w:r>
            <w:r>
              <w:rPr>
                <w:rFonts w:hint="default" w:ascii="Times New Roman" w:hAnsi="Times New Roman" w:cs="Times New Roman" w:eastAsiaTheme="minorEastAsia"/>
                <w:color w:val="auto"/>
                <w:highlight w:val="none"/>
                <w:lang w:val="en-US" w:eastAsia="zh-CN"/>
              </w:rPr>
              <w:t>94</w:t>
            </w:r>
            <w:r>
              <w:rPr>
                <w:rFonts w:hint="default" w:ascii="Times New Roman" w:hAnsi="Times New Roman" w:cs="Times New Roman" w:eastAsiaTheme="minorEastAsia"/>
                <w:color w:val="auto"/>
                <w:highlight w:val="none"/>
              </w:rPr>
              <w:t xml:space="preserve"> </w:t>
            </w:r>
          </w:p>
        </w:tc>
        <w:tc>
          <w:tcPr>
            <w:tcW w:w="641"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tcBorders>
              <w:top w:val="single" w:color="auto" w:sz="2" w:space="0"/>
            </w:tcBorders>
            <w:vAlign w:val="center"/>
          </w:tcPr>
          <w:p>
            <w:pPr>
              <w:pStyle w:val="666"/>
              <w:rPr>
                <w:rFonts w:hint="default" w:ascii="Times New Roman" w:hAnsi="Times New Roman" w:cs="Times New Roman" w:eastAsiaTheme="minorEastAsia"/>
                <w:color w:val="auto"/>
                <w:highlight w:val="none"/>
              </w:rPr>
            </w:pPr>
          </w:p>
        </w:tc>
        <w:tc>
          <w:tcPr>
            <w:tcW w:w="1142"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总铬</w:t>
            </w:r>
          </w:p>
        </w:tc>
        <w:tc>
          <w:tcPr>
            <w:tcW w:w="513"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tcBorders>
              <w:top w:val="single" w:color="auto" w:sz="4" w:space="0"/>
              <w:bottom w:val="single" w:color="auto" w:sz="4" w:space="0"/>
            </w:tcBorders>
            <w:vAlign w:val="center"/>
          </w:tcPr>
          <w:p>
            <w:pPr>
              <w:adjustRightInd w:val="0"/>
              <w:snapToGrid w:val="0"/>
              <w:spacing w:line="280" w:lineRule="exac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47</w:t>
            </w:r>
          </w:p>
        </w:tc>
        <w:tc>
          <w:tcPr>
            <w:tcW w:w="646"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0.1</w:t>
            </w:r>
            <w:r>
              <w:rPr>
                <w:rFonts w:hint="default" w:ascii="Times New Roman" w:hAnsi="Times New Roman" w:cs="Times New Roman" w:eastAsiaTheme="minorEastAsia"/>
                <w:color w:val="auto"/>
                <w:highlight w:val="none"/>
                <w:lang w:val="en-US" w:eastAsia="zh-CN"/>
              </w:rPr>
              <w:t>88</w:t>
            </w:r>
            <w:r>
              <w:rPr>
                <w:rFonts w:hint="default" w:ascii="Times New Roman" w:hAnsi="Times New Roman" w:cs="Times New Roman" w:eastAsiaTheme="minorEastAsia"/>
                <w:color w:val="auto"/>
                <w:highlight w:val="none"/>
              </w:rPr>
              <w:t xml:space="preserve"> </w:t>
            </w:r>
          </w:p>
        </w:tc>
        <w:tc>
          <w:tcPr>
            <w:tcW w:w="641"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tcBorders>
              <w:top w:val="single" w:color="auto" w:sz="2" w:space="0"/>
            </w:tcBorders>
            <w:vAlign w:val="center"/>
          </w:tcPr>
          <w:p>
            <w:pPr>
              <w:pStyle w:val="666"/>
              <w:rPr>
                <w:rFonts w:hint="default" w:ascii="Times New Roman" w:hAnsi="Times New Roman" w:cs="Times New Roman" w:eastAsiaTheme="minorEastAsia"/>
                <w:color w:val="auto"/>
                <w:highlight w:val="none"/>
              </w:rPr>
            </w:pPr>
          </w:p>
        </w:tc>
        <w:tc>
          <w:tcPr>
            <w:tcW w:w="1142"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铜</w:t>
            </w:r>
          </w:p>
        </w:tc>
        <w:tc>
          <w:tcPr>
            <w:tcW w:w="513"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tcBorders>
              <w:top w:val="single" w:color="auto" w:sz="4" w:space="0"/>
              <w:bottom w:val="single" w:color="auto" w:sz="4" w:space="0"/>
            </w:tcBorders>
            <w:vAlign w:val="center"/>
          </w:tcPr>
          <w:p>
            <w:pPr>
              <w:adjustRightInd w:val="0"/>
              <w:snapToGrid w:val="0"/>
              <w:spacing w:line="280" w:lineRule="exac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11</w:t>
            </w:r>
          </w:p>
        </w:tc>
        <w:tc>
          <w:tcPr>
            <w:tcW w:w="646"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w:t>
            </w:r>
            <w:r>
              <w:rPr>
                <w:rFonts w:hint="default" w:ascii="Times New Roman" w:hAnsi="Times New Roman" w:cs="Times New Roman" w:eastAsiaTheme="minorEastAsia"/>
                <w:color w:val="auto"/>
                <w:highlight w:val="none"/>
                <w:lang w:val="en-US" w:eastAsia="zh-CN"/>
              </w:rPr>
              <w:t>11</w:t>
            </w:r>
            <w:r>
              <w:rPr>
                <w:rFonts w:hint="default" w:ascii="Times New Roman" w:hAnsi="Times New Roman" w:cs="Times New Roman" w:eastAsiaTheme="minorEastAsia"/>
                <w:color w:val="auto"/>
                <w:highlight w:val="none"/>
              </w:rPr>
              <w:t xml:space="preserve"> </w:t>
            </w:r>
          </w:p>
        </w:tc>
        <w:tc>
          <w:tcPr>
            <w:tcW w:w="641"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vAlign w:val="center"/>
          </w:tcPr>
          <w:p>
            <w:pPr>
              <w:pStyle w:val="666"/>
              <w:rPr>
                <w:rFonts w:hint="default" w:ascii="Times New Roman" w:hAnsi="Times New Roman" w:cs="Times New Roman" w:eastAsiaTheme="minorEastAsia"/>
                <w:color w:val="auto"/>
                <w:highlight w:val="none"/>
              </w:rPr>
            </w:pPr>
          </w:p>
        </w:tc>
        <w:tc>
          <w:tcPr>
            <w:tcW w:w="1142"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镍</w:t>
            </w:r>
          </w:p>
        </w:tc>
        <w:tc>
          <w:tcPr>
            <w:tcW w:w="513"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tcBorders>
              <w:top w:val="single" w:color="auto" w:sz="4" w:space="0"/>
              <w:bottom w:val="single" w:color="auto" w:sz="4" w:space="0"/>
            </w:tcBorders>
            <w:vAlign w:val="center"/>
          </w:tcPr>
          <w:p>
            <w:pPr>
              <w:adjustRightInd w:val="0"/>
              <w:snapToGrid w:val="0"/>
              <w:spacing w:line="280" w:lineRule="exac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18</w:t>
            </w:r>
          </w:p>
        </w:tc>
        <w:tc>
          <w:tcPr>
            <w:tcW w:w="646"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0.0</w:t>
            </w:r>
            <w:r>
              <w:rPr>
                <w:rFonts w:hint="default" w:ascii="Times New Roman" w:hAnsi="Times New Roman" w:cs="Times New Roman" w:eastAsiaTheme="minorEastAsia"/>
                <w:color w:val="auto"/>
                <w:highlight w:val="none"/>
                <w:lang w:val="en-US" w:eastAsia="zh-CN"/>
              </w:rPr>
              <w:t>9</w:t>
            </w:r>
            <w:r>
              <w:rPr>
                <w:rFonts w:hint="default" w:ascii="Times New Roman" w:hAnsi="Times New Roman" w:cs="Times New Roman" w:eastAsiaTheme="minorEastAsia"/>
                <w:color w:val="auto"/>
                <w:highlight w:val="none"/>
              </w:rPr>
              <w:t xml:space="preserve">4 </w:t>
            </w:r>
          </w:p>
        </w:tc>
        <w:tc>
          <w:tcPr>
            <w:tcW w:w="641"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tcBorders>
              <w:bottom w:val="single" w:color="auto" w:sz="2" w:space="0"/>
            </w:tcBorders>
            <w:vAlign w:val="center"/>
          </w:tcPr>
          <w:p>
            <w:pPr>
              <w:pStyle w:val="666"/>
              <w:rPr>
                <w:rFonts w:hint="default" w:ascii="Times New Roman" w:hAnsi="Times New Roman" w:cs="Times New Roman" w:eastAsiaTheme="minorEastAsia"/>
                <w:color w:val="auto"/>
                <w:highlight w:val="none"/>
              </w:rPr>
            </w:pPr>
          </w:p>
        </w:tc>
        <w:tc>
          <w:tcPr>
            <w:tcW w:w="1142" w:type="pct"/>
            <w:tcBorders>
              <w:top w:val="single" w:color="auto" w:sz="4" w:space="0"/>
              <w:bottom w:val="single" w:color="auto" w:sz="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锌</w:t>
            </w:r>
          </w:p>
        </w:tc>
        <w:tc>
          <w:tcPr>
            <w:tcW w:w="513" w:type="pct"/>
            <w:tcBorders>
              <w:top w:val="single" w:color="auto" w:sz="4" w:space="0"/>
              <w:bottom w:val="single" w:color="auto" w:sz="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tcBorders>
              <w:top w:val="single" w:color="auto" w:sz="4" w:space="0"/>
              <w:bottom w:val="single" w:color="auto" w:sz="2" w:space="0"/>
            </w:tcBorders>
            <w:vAlign w:val="center"/>
          </w:tcPr>
          <w:p>
            <w:pPr>
              <w:adjustRightInd w:val="0"/>
              <w:snapToGrid w:val="0"/>
              <w:spacing w:line="280" w:lineRule="exac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47</w:t>
            </w:r>
          </w:p>
        </w:tc>
        <w:tc>
          <w:tcPr>
            <w:tcW w:w="646" w:type="pct"/>
            <w:tcBorders>
              <w:top w:val="single" w:color="auto" w:sz="4" w:space="0"/>
              <w:bottom w:val="single" w:color="auto" w:sz="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0.1</w:t>
            </w:r>
            <w:r>
              <w:rPr>
                <w:rFonts w:hint="default" w:ascii="Times New Roman" w:hAnsi="Times New Roman" w:cs="Times New Roman" w:eastAsiaTheme="minorEastAsia"/>
                <w:color w:val="auto"/>
                <w:highlight w:val="none"/>
                <w:lang w:val="en-US" w:eastAsia="zh-CN"/>
              </w:rPr>
              <w:t>57</w:t>
            </w:r>
            <w:r>
              <w:rPr>
                <w:rFonts w:hint="default" w:ascii="Times New Roman" w:hAnsi="Times New Roman" w:cs="Times New Roman" w:eastAsiaTheme="minorEastAsia"/>
                <w:color w:val="auto"/>
                <w:highlight w:val="none"/>
              </w:rPr>
              <w:t xml:space="preserve"> </w:t>
            </w:r>
          </w:p>
        </w:tc>
        <w:tc>
          <w:tcPr>
            <w:tcW w:w="641" w:type="pct"/>
            <w:tcBorders>
              <w:top w:val="single" w:color="auto" w:sz="4" w:space="0"/>
              <w:bottom w:val="single" w:color="auto" w:sz="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restart"/>
            <w:tcBorders>
              <w:top w:val="single" w:color="auto" w:sz="2"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5#</w:t>
            </w:r>
          </w:p>
        </w:tc>
        <w:tc>
          <w:tcPr>
            <w:tcW w:w="1142" w:type="pct"/>
            <w:tcBorders>
              <w:top w:val="single" w:color="auto" w:sz="2"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pH值</w:t>
            </w:r>
          </w:p>
        </w:tc>
        <w:tc>
          <w:tcPr>
            <w:tcW w:w="513" w:type="pct"/>
            <w:tcBorders>
              <w:top w:val="single" w:color="auto" w:sz="2"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无量纲</w:t>
            </w:r>
          </w:p>
        </w:tc>
        <w:tc>
          <w:tcPr>
            <w:tcW w:w="1256" w:type="dxa"/>
            <w:tcBorders>
              <w:top w:val="single" w:color="auto" w:sz="2" w:space="0"/>
              <w:bottom w:val="single" w:color="auto" w:sz="4" w:space="0"/>
            </w:tcBorders>
            <w:vAlign w:val="center"/>
          </w:tcPr>
          <w:p>
            <w:pPr>
              <w:spacing w:line="240" w:lineRule="atLeas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7.85</w:t>
            </w:r>
          </w:p>
        </w:tc>
        <w:tc>
          <w:tcPr>
            <w:tcW w:w="646" w:type="pct"/>
            <w:tcBorders>
              <w:top w:val="single" w:color="auto" w:sz="2"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w:t>
            </w:r>
          </w:p>
        </w:tc>
        <w:tc>
          <w:tcPr>
            <w:tcW w:w="641" w:type="pct"/>
            <w:tcBorders>
              <w:top w:val="single" w:color="auto" w:sz="2"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vAlign w:val="center"/>
          </w:tcPr>
          <w:p>
            <w:pPr>
              <w:pStyle w:val="666"/>
              <w:rPr>
                <w:rFonts w:hint="default" w:ascii="Times New Roman" w:hAnsi="Times New Roman" w:cs="Times New Roman" w:eastAsiaTheme="minorEastAsia"/>
                <w:color w:val="auto"/>
                <w:highlight w:val="none"/>
              </w:rPr>
            </w:pPr>
          </w:p>
        </w:tc>
        <w:tc>
          <w:tcPr>
            <w:tcW w:w="1142"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镉</w:t>
            </w:r>
          </w:p>
        </w:tc>
        <w:tc>
          <w:tcPr>
            <w:tcW w:w="513"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tcBorders>
              <w:top w:val="single" w:color="auto" w:sz="4" w:space="0"/>
              <w:bottom w:val="single" w:color="auto" w:sz="4" w:space="0"/>
            </w:tcBorders>
            <w:vAlign w:val="center"/>
          </w:tcPr>
          <w:p>
            <w:pPr>
              <w:spacing w:line="240" w:lineRule="atLeas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0.0</w:t>
            </w:r>
            <w:r>
              <w:rPr>
                <w:rFonts w:hint="default" w:ascii="Times New Roman" w:hAnsi="Times New Roman" w:cs="Times New Roman" w:eastAsiaTheme="minorEastAsia"/>
                <w:color w:val="auto"/>
                <w:sz w:val="21"/>
                <w:szCs w:val="21"/>
                <w:highlight w:val="none"/>
                <w:lang w:val="en-US" w:eastAsia="zh-CN"/>
              </w:rPr>
              <w:t>7</w:t>
            </w:r>
          </w:p>
        </w:tc>
        <w:tc>
          <w:tcPr>
            <w:tcW w:w="646"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rPr>
              <w:t>0.1</w:t>
            </w:r>
            <w:r>
              <w:rPr>
                <w:rFonts w:hint="default" w:ascii="Times New Roman" w:hAnsi="Times New Roman" w:cs="Times New Roman" w:eastAsiaTheme="minorEastAsia"/>
                <w:color w:val="auto"/>
                <w:highlight w:val="none"/>
                <w:lang w:val="en-US" w:eastAsia="zh-CN"/>
              </w:rPr>
              <w:t>17</w:t>
            </w:r>
          </w:p>
        </w:tc>
        <w:tc>
          <w:tcPr>
            <w:tcW w:w="641"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vAlign w:val="center"/>
          </w:tcPr>
          <w:p>
            <w:pPr>
              <w:pStyle w:val="666"/>
              <w:rPr>
                <w:rFonts w:hint="default" w:ascii="Times New Roman" w:hAnsi="Times New Roman" w:cs="Times New Roman" w:eastAsiaTheme="minorEastAsia"/>
                <w:color w:val="auto"/>
                <w:highlight w:val="none"/>
              </w:rPr>
            </w:pPr>
          </w:p>
        </w:tc>
        <w:tc>
          <w:tcPr>
            <w:tcW w:w="1142"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汞</w:t>
            </w:r>
          </w:p>
        </w:tc>
        <w:tc>
          <w:tcPr>
            <w:tcW w:w="513"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tcBorders>
              <w:top w:val="single" w:color="auto" w:sz="4" w:space="0"/>
              <w:bottom w:val="single" w:color="auto" w:sz="4" w:space="0"/>
            </w:tcBorders>
            <w:vAlign w:val="center"/>
          </w:tcPr>
          <w:p>
            <w:pPr>
              <w:spacing w:line="240" w:lineRule="atLeas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0.0</w:t>
            </w:r>
            <w:r>
              <w:rPr>
                <w:rFonts w:hint="default" w:ascii="Times New Roman" w:hAnsi="Times New Roman" w:cs="Times New Roman" w:eastAsiaTheme="minorEastAsia"/>
                <w:color w:val="auto"/>
                <w:sz w:val="21"/>
                <w:szCs w:val="21"/>
                <w:highlight w:val="none"/>
                <w:lang w:val="en-US" w:eastAsia="zh-CN"/>
              </w:rPr>
              <w:t>12</w:t>
            </w:r>
          </w:p>
        </w:tc>
        <w:tc>
          <w:tcPr>
            <w:tcW w:w="646"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 xml:space="preserve">0.004 </w:t>
            </w:r>
          </w:p>
        </w:tc>
        <w:tc>
          <w:tcPr>
            <w:tcW w:w="641"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vAlign w:val="center"/>
          </w:tcPr>
          <w:p>
            <w:pPr>
              <w:pStyle w:val="666"/>
              <w:rPr>
                <w:rFonts w:hint="default" w:ascii="Times New Roman" w:hAnsi="Times New Roman" w:cs="Times New Roman" w:eastAsiaTheme="minorEastAsia"/>
                <w:color w:val="auto"/>
                <w:highlight w:val="none"/>
              </w:rPr>
            </w:pPr>
          </w:p>
        </w:tc>
        <w:tc>
          <w:tcPr>
            <w:tcW w:w="1142"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砷</w:t>
            </w:r>
          </w:p>
        </w:tc>
        <w:tc>
          <w:tcPr>
            <w:tcW w:w="513"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tcBorders>
              <w:top w:val="single" w:color="auto" w:sz="4" w:space="0"/>
              <w:bottom w:val="single" w:color="auto" w:sz="4" w:space="0"/>
            </w:tcBorders>
            <w:vAlign w:val="center"/>
          </w:tcPr>
          <w:p>
            <w:pPr>
              <w:spacing w:line="240" w:lineRule="atLeas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w:t>
            </w:r>
            <w:r>
              <w:rPr>
                <w:rFonts w:hint="default" w:ascii="Times New Roman" w:hAnsi="Times New Roman" w:cs="Times New Roman" w:eastAsiaTheme="minorEastAsia"/>
                <w:color w:val="auto"/>
                <w:sz w:val="21"/>
                <w:szCs w:val="21"/>
                <w:highlight w:val="none"/>
                <w:lang w:val="en-US" w:eastAsia="zh-CN"/>
              </w:rPr>
              <w:t>27</w:t>
            </w:r>
          </w:p>
        </w:tc>
        <w:tc>
          <w:tcPr>
            <w:tcW w:w="646"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0.1</w:t>
            </w:r>
            <w:r>
              <w:rPr>
                <w:rFonts w:hint="default" w:ascii="Times New Roman" w:hAnsi="Times New Roman" w:cs="Times New Roman" w:eastAsiaTheme="minorEastAsia"/>
                <w:color w:val="auto"/>
                <w:highlight w:val="none"/>
                <w:lang w:val="en-US" w:eastAsia="zh-CN"/>
              </w:rPr>
              <w:t>31</w:t>
            </w:r>
            <w:r>
              <w:rPr>
                <w:rFonts w:hint="default" w:ascii="Times New Roman" w:hAnsi="Times New Roman" w:cs="Times New Roman" w:eastAsiaTheme="minorEastAsia"/>
                <w:color w:val="auto"/>
                <w:highlight w:val="none"/>
              </w:rPr>
              <w:t xml:space="preserve"> </w:t>
            </w:r>
          </w:p>
        </w:tc>
        <w:tc>
          <w:tcPr>
            <w:tcW w:w="641"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vAlign w:val="center"/>
          </w:tcPr>
          <w:p>
            <w:pPr>
              <w:pStyle w:val="666"/>
              <w:rPr>
                <w:rFonts w:hint="default" w:ascii="Times New Roman" w:hAnsi="Times New Roman" w:cs="Times New Roman" w:eastAsiaTheme="minorEastAsia"/>
                <w:color w:val="auto"/>
                <w:highlight w:val="none"/>
              </w:rPr>
            </w:pPr>
          </w:p>
        </w:tc>
        <w:tc>
          <w:tcPr>
            <w:tcW w:w="1142"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铅</w:t>
            </w:r>
          </w:p>
        </w:tc>
        <w:tc>
          <w:tcPr>
            <w:tcW w:w="513"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tcBorders>
              <w:top w:val="single" w:color="auto" w:sz="4" w:space="0"/>
              <w:bottom w:val="single" w:color="auto" w:sz="4" w:space="0"/>
            </w:tcBorders>
            <w:vAlign w:val="center"/>
          </w:tcPr>
          <w:p>
            <w:pPr>
              <w:adjustRightInd w:val="0"/>
              <w:snapToGrid w:val="0"/>
              <w:spacing w:line="280" w:lineRule="exac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15</w:t>
            </w:r>
          </w:p>
        </w:tc>
        <w:tc>
          <w:tcPr>
            <w:tcW w:w="646"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w:t>
            </w:r>
            <w:r>
              <w:rPr>
                <w:rFonts w:hint="default" w:ascii="Times New Roman" w:hAnsi="Times New Roman" w:cs="Times New Roman" w:eastAsiaTheme="minorEastAsia"/>
                <w:color w:val="auto"/>
                <w:highlight w:val="none"/>
                <w:lang w:val="en-US" w:eastAsia="zh-CN"/>
              </w:rPr>
              <w:t>088</w:t>
            </w:r>
            <w:r>
              <w:rPr>
                <w:rFonts w:hint="default" w:ascii="Times New Roman" w:hAnsi="Times New Roman" w:cs="Times New Roman" w:eastAsiaTheme="minorEastAsia"/>
                <w:color w:val="auto"/>
                <w:highlight w:val="none"/>
              </w:rPr>
              <w:t xml:space="preserve"> </w:t>
            </w:r>
          </w:p>
        </w:tc>
        <w:tc>
          <w:tcPr>
            <w:tcW w:w="641"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vAlign w:val="center"/>
          </w:tcPr>
          <w:p>
            <w:pPr>
              <w:pStyle w:val="666"/>
              <w:rPr>
                <w:rFonts w:hint="default" w:ascii="Times New Roman" w:hAnsi="Times New Roman" w:cs="Times New Roman" w:eastAsiaTheme="minorEastAsia"/>
                <w:color w:val="auto"/>
                <w:highlight w:val="none"/>
              </w:rPr>
            </w:pPr>
          </w:p>
        </w:tc>
        <w:tc>
          <w:tcPr>
            <w:tcW w:w="1142"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总铬</w:t>
            </w:r>
          </w:p>
        </w:tc>
        <w:tc>
          <w:tcPr>
            <w:tcW w:w="513"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tcBorders>
              <w:top w:val="single" w:color="auto" w:sz="4" w:space="0"/>
              <w:bottom w:val="single" w:color="auto" w:sz="4" w:space="0"/>
            </w:tcBorders>
            <w:vAlign w:val="center"/>
          </w:tcPr>
          <w:p>
            <w:pPr>
              <w:adjustRightInd w:val="0"/>
              <w:snapToGrid w:val="0"/>
              <w:spacing w:line="280" w:lineRule="exac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42</w:t>
            </w:r>
          </w:p>
        </w:tc>
        <w:tc>
          <w:tcPr>
            <w:tcW w:w="646"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0.1</w:t>
            </w:r>
            <w:r>
              <w:rPr>
                <w:rFonts w:hint="default" w:ascii="Times New Roman" w:hAnsi="Times New Roman" w:cs="Times New Roman" w:eastAsiaTheme="minorEastAsia"/>
                <w:color w:val="auto"/>
                <w:highlight w:val="none"/>
                <w:lang w:val="en-US" w:eastAsia="zh-CN"/>
              </w:rPr>
              <w:t>68</w:t>
            </w:r>
            <w:r>
              <w:rPr>
                <w:rFonts w:hint="default" w:ascii="Times New Roman" w:hAnsi="Times New Roman" w:cs="Times New Roman" w:eastAsiaTheme="minorEastAsia"/>
                <w:color w:val="auto"/>
                <w:highlight w:val="none"/>
              </w:rPr>
              <w:t xml:space="preserve"> </w:t>
            </w:r>
          </w:p>
        </w:tc>
        <w:tc>
          <w:tcPr>
            <w:tcW w:w="641"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vAlign w:val="center"/>
          </w:tcPr>
          <w:p>
            <w:pPr>
              <w:pStyle w:val="666"/>
              <w:rPr>
                <w:rFonts w:hint="default" w:ascii="Times New Roman" w:hAnsi="Times New Roman" w:cs="Times New Roman" w:eastAsiaTheme="minorEastAsia"/>
                <w:color w:val="auto"/>
                <w:highlight w:val="none"/>
              </w:rPr>
            </w:pPr>
          </w:p>
        </w:tc>
        <w:tc>
          <w:tcPr>
            <w:tcW w:w="1142"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铜</w:t>
            </w:r>
          </w:p>
        </w:tc>
        <w:tc>
          <w:tcPr>
            <w:tcW w:w="513"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tcBorders>
              <w:top w:val="single" w:color="auto" w:sz="4" w:space="0"/>
              <w:bottom w:val="single" w:color="auto" w:sz="4" w:space="0"/>
            </w:tcBorders>
            <w:vAlign w:val="center"/>
          </w:tcPr>
          <w:p>
            <w:pPr>
              <w:adjustRightInd w:val="0"/>
              <w:snapToGrid w:val="0"/>
              <w:spacing w:line="280" w:lineRule="exac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15</w:t>
            </w:r>
          </w:p>
        </w:tc>
        <w:tc>
          <w:tcPr>
            <w:tcW w:w="646"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0.1</w:t>
            </w:r>
            <w:r>
              <w:rPr>
                <w:rFonts w:hint="default" w:ascii="Times New Roman" w:hAnsi="Times New Roman" w:cs="Times New Roman" w:eastAsiaTheme="minorEastAsia"/>
                <w:color w:val="auto"/>
                <w:highlight w:val="none"/>
                <w:lang w:val="en-US" w:eastAsia="zh-CN"/>
              </w:rPr>
              <w:t>5</w:t>
            </w:r>
            <w:r>
              <w:rPr>
                <w:rFonts w:hint="default" w:ascii="Times New Roman" w:hAnsi="Times New Roman" w:cs="Times New Roman" w:eastAsiaTheme="minorEastAsia"/>
                <w:color w:val="auto"/>
                <w:highlight w:val="none"/>
              </w:rPr>
              <w:t xml:space="preserve"> </w:t>
            </w:r>
          </w:p>
        </w:tc>
        <w:tc>
          <w:tcPr>
            <w:tcW w:w="641"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vAlign w:val="center"/>
          </w:tcPr>
          <w:p>
            <w:pPr>
              <w:pStyle w:val="666"/>
              <w:rPr>
                <w:rFonts w:hint="default" w:ascii="Times New Roman" w:hAnsi="Times New Roman" w:cs="Times New Roman" w:eastAsiaTheme="minorEastAsia"/>
                <w:color w:val="auto"/>
                <w:highlight w:val="none"/>
              </w:rPr>
            </w:pPr>
          </w:p>
        </w:tc>
        <w:tc>
          <w:tcPr>
            <w:tcW w:w="1142"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镍</w:t>
            </w:r>
          </w:p>
        </w:tc>
        <w:tc>
          <w:tcPr>
            <w:tcW w:w="513"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tcBorders>
              <w:top w:val="single" w:color="auto" w:sz="4" w:space="0"/>
              <w:bottom w:val="single" w:color="auto" w:sz="4" w:space="0"/>
            </w:tcBorders>
            <w:vAlign w:val="center"/>
          </w:tcPr>
          <w:p>
            <w:pPr>
              <w:adjustRightInd w:val="0"/>
              <w:snapToGrid w:val="0"/>
              <w:spacing w:line="280" w:lineRule="exac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21</w:t>
            </w:r>
          </w:p>
        </w:tc>
        <w:tc>
          <w:tcPr>
            <w:tcW w:w="646"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0.11</w:t>
            </w:r>
            <w:r>
              <w:rPr>
                <w:rFonts w:hint="default" w:ascii="Times New Roman" w:hAnsi="Times New Roman" w:cs="Times New Roman" w:eastAsiaTheme="minorEastAsia"/>
                <w:color w:val="auto"/>
                <w:highlight w:val="none"/>
                <w:lang w:val="en-US" w:eastAsia="zh-CN"/>
              </w:rPr>
              <w:t>1</w:t>
            </w:r>
            <w:r>
              <w:rPr>
                <w:rFonts w:hint="default" w:ascii="Times New Roman" w:hAnsi="Times New Roman" w:cs="Times New Roman" w:eastAsiaTheme="minorEastAsia"/>
                <w:color w:val="auto"/>
                <w:highlight w:val="none"/>
              </w:rPr>
              <w:t xml:space="preserve"> </w:t>
            </w:r>
          </w:p>
        </w:tc>
        <w:tc>
          <w:tcPr>
            <w:tcW w:w="641" w:type="pct"/>
            <w:tcBorders>
              <w:top w:val="single" w:color="auto" w:sz="4" w:space="0"/>
              <w:bottom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85" w:type="pct"/>
            <w:vMerge w:val="continue"/>
            <w:vAlign w:val="center"/>
          </w:tcPr>
          <w:p>
            <w:pPr>
              <w:pStyle w:val="666"/>
              <w:rPr>
                <w:rFonts w:hint="default" w:ascii="Times New Roman" w:hAnsi="Times New Roman" w:cs="Times New Roman" w:eastAsiaTheme="minorEastAsia"/>
                <w:color w:val="auto"/>
                <w:highlight w:val="none"/>
              </w:rPr>
            </w:pPr>
          </w:p>
        </w:tc>
        <w:tc>
          <w:tcPr>
            <w:tcW w:w="652" w:type="pct"/>
            <w:vMerge w:val="continue"/>
            <w:vAlign w:val="center"/>
          </w:tcPr>
          <w:p>
            <w:pPr>
              <w:pStyle w:val="666"/>
              <w:rPr>
                <w:rFonts w:hint="default" w:ascii="Times New Roman" w:hAnsi="Times New Roman" w:cs="Times New Roman" w:eastAsiaTheme="minorEastAsia"/>
                <w:color w:val="auto"/>
                <w:highlight w:val="none"/>
              </w:rPr>
            </w:pPr>
          </w:p>
        </w:tc>
        <w:tc>
          <w:tcPr>
            <w:tcW w:w="1142" w:type="pct"/>
            <w:tcBorders>
              <w:top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锌</w:t>
            </w:r>
          </w:p>
        </w:tc>
        <w:tc>
          <w:tcPr>
            <w:tcW w:w="513" w:type="pct"/>
            <w:tcBorders>
              <w:top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mg/kg</w:t>
            </w:r>
          </w:p>
        </w:tc>
        <w:tc>
          <w:tcPr>
            <w:tcW w:w="1256" w:type="dxa"/>
            <w:tcBorders>
              <w:top w:val="single" w:color="auto" w:sz="4" w:space="0"/>
            </w:tcBorders>
            <w:vAlign w:val="center"/>
          </w:tcPr>
          <w:p>
            <w:pPr>
              <w:adjustRightInd w:val="0"/>
              <w:snapToGrid w:val="0"/>
              <w:spacing w:line="280" w:lineRule="exact"/>
              <w:ind w:firstLine="420" w:firstLineChars="20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51</w:t>
            </w:r>
          </w:p>
        </w:tc>
        <w:tc>
          <w:tcPr>
            <w:tcW w:w="646" w:type="pct"/>
            <w:tcBorders>
              <w:top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w:t>
            </w:r>
            <w:r>
              <w:rPr>
                <w:rFonts w:hint="default" w:ascii="Times New Roman" w:hAnsi="Times New Roman" w:cs="Times New Roman" w:eastAsiaTheme="minorEastAsia"/>
                <w:color w:val="auto"/>
                <w:highlight w:val="none"/>
                <w:lang w:val="en-US" w:eastAsia="zh-CN"/>
              </w:rPr>
              <w:t>255</w:t>
            </w:r>
            <w:r>
              <w:rPr>
                <w:rFonts w:hint="default" w:ascii="Times New Roman" w:hAnsi="Times New Roman" w:cs="Times New Roman" w:eastAsiaTheme="minorEastAsia"/>
                <w:color w:val="auto"/>
                <w:highlight w:val="none"/>
              </w:rPr>
              <w:t xml:space="preserve"> </w:t>
            </w:r>
          </w:p>
        </w:tc>
        <w:tc>
          <w:tcPr>
            <w:tcW w:w="641" w:type="pct"/>
            <w:tcBorders>
              <w:top w:val="single" w:color="auto" w:sz="4" w:space="0"/>
            </w:tcBorders>
            <w:vAlign w:val="center"/>
          </w:tcPr>
          <w:p>
            <w:pPr>
              <w:pStyle w:val="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300</w:t>
            </w:r>
          </w:p>
        </w:tc>
      </w:tr>
    </w:tbl>
    <w:p>
      <w:pPr>
        <w:keepNext w:val="0"/>
        <w:keepLines w:val="0"/>
        <w:pageBreakBefore w:val="0"/>
        <w:widowControl/>
        <w:kinsoku/>
        <w:wordWrap/>
        <w:overflowPunct/>
        <w:topLinePunct w:val="0"/>
        <w:autoSpaceDE/>
        <w:autoSpaceDN/>
        <w:bidi w:val="0"/>
        <w:adjustRightInd w:val="0"/>
        <w:snapToGrid w:val="0"/>
        <w:spacing w:line="500" w:lineRule="exact"/>
        <w:ind w:firstLine="560"/>
        <w:textAlignment w:val="auto"/>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由表4-3-1</w:t>
      </w:r>
      <w:r>
        <w:rPr>
          <w:rFonts w:hint="default" w:ascii="Times New Roman" w:hAnsi="Times New Roman" w:cs="Times New Roman" w:eastAsiaTheme="minorEastAsia"/>
          <w:color w:val="auto"/>
          <w:sz w:val="24"/>
          <w:szCs w:val="22"/>
          <w:highlight w:val="none"/>
          <w:lang w:val="en-US" w:eastAsia="zh-CN"/>
        </w:rPr>
        <w:t>3</w:t>
      </w:r>
      <w:r>
        <w:rPr>
          <w:rFonts w:hint="default" w:ascii="Times New Roman" w:hAnsi="Times New Roman" w:cs="Times New Roman" w:eastAsiaTheme="minorEastAsia"/>
          <w:color w:val="auto"/>
          <w:sz w:val="24"/>
          <w:szCs w:val="22"/>
          <w:highlight w:val="none"/>
        </w:rPr>
        <w:t>可见，项目各监测点的土壤环境质量现状均符合《土壤环境质量 农用地土壤污染风险管控标准（试行）》（GB 15618-2018）中风险筛选值，本项目土壤环境质量现状满足要求。</w:t>
      </w:r>
    </w:p>
    <w:p>
      <w:pPr>
        <w:pStyle w:val="1167"/>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4.3.6 生态现状质量评价</w:t>
      </w:r>
    </w:p>
    <w:p>
      <w:pPr>
        <w:keepNext w:val="0"/>
        <w:keepLines w:val="0"/>
        <w:pageBreakBefore w:val="0"/>
        <w:widowControl/>
        <w:kinsoku/>
        <w:wordWrap/>
        <w:overflowPunct/>
        <w:topLinePunct w:val="0"/>
        <w:autoSpaceDE/>
        <w:autoSpaceDN/>
        <w:bidi w:val="0"/>
        <w:adjustRightInd w:val="0"/>
        <w:snapToGrid w:val="0"/>
        <w:spacing w:line="500" w:lineRule="exact"/>
        <w:ind w:firstLine="560"/>
        <w:textAlignment w:val="auto"/>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sz w:val="24"/>
          <w:szCs w:val="24"/>
        </w:rPr>
        <w:t>本项目位于绥化市安达市。</w:t>
      </w:r>
      <w:r>
        <w:rPr>
          <w:rFonts w:hint="default" w:ascii="Times New Roman" w:hAnsi="Times New Roman" w:cs="Times New Roman" w:eastAsiaTheme="minorEastAsia"/>
          <w:color w:val="auto"/>
          <w:sz w:val="24"/>
          <w:szCs w:val="22"/>
          <w:highlight w:val="none"/>
        </w:rPr>
        <w:t>项目所在地主要为农田生态环境，无珍稀动植物迹象，地势低平比较适宜耕作，地表大部分开垦为耕地。</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评价区土壤类型为暗棕壤和草甸土，土层较厚，土境中有机质、全氮、全磷的含量较高。土壤肥力在黑龙江省属中等偏上。</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草本大多为苔草以及羊胡子草，整体郁闭度可达到0.5左右。</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区域内由于人为活动频繁，因此不存在大型猛禽，动物以啮齿类及飞禽类居多，包括麻雀、喜鹊、松鼠、苍鹰、雀鹰、长尾林鸮等。评价区域内爬行动物数量较少，哺乳动物常见的动物多为小型食肉兽和啮齿类动物，比如普通田鼠、褐家鼠、小家鼠等，此外还有普通刺猬、东北兔、黄鼬、伶鼬、狗獾、豹猫等偶见。评价范围内无各级野生保护动物、无野生动物栖息地和野生动物自然保护区。</w:t>
      </w:r>
    </w:p>
    <w:p>
      <w:pPr>
        <w:keepNext w:val="0"/>
        <w:keepLines w:val="0"/>
        <w:pageBreakBefore w:val="0"/>
        <w:widowControl/>
        <w:kinsoku/>
        <w:wordWrap/>
        <w:overflowPunct/>
        <w:topLinePunct w:val="0"/>
        <w:autoSpaceDE/>
        <w:autoSpaceDN/>
        <w:bidi w:val="0"/>
        <w:adjustRightInd w:val="0"/>
        <w:snapToGrid w:val="0"/>
        <w:spacing w:line="500" w:lineRule="exact"/>
        <w:ind w:firstLine="560"/>
        <w:textAlignment w:val="auto"/>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安达市是全国著名的奶牛之乡和肉牛基地。草原面积272万亩，年产牧草2亿公斤，植被构成以驰名中外的羊草为主，是亚洲东部特有的建群植物种。耕地面积广大，拥有耕地169万亩，主要种植玉米、小麦、大豆、谷子和薯类、蔬菜等作物。泡沼面积适宜，大小泡沼、水库面积38万亩，野生芦苇面积16.5万亩。</w:t>
      </w:r>
    </w:p>
    <w:p>
      <w:pPr>
        <w:pStyle w:val="639"/>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color w:val="000000" w:themeColor="text1"/>
          <w:sz w:val="28"/>
          <w:szCs w:val="28"/>
          <w14:textFill>
            <w14:solidFill>
              <w14:schemeClr w14:val="tx1"/>
            </w14:solidFill>
          </w14:textFill>
        </w:rPr>
      </w:pPr>
      <w:bookmarkStart w:id="153" w:name="_Toc115455486"/>
      <w:bookmarkStart w:id="154" w:name="_Toc289433713"/>
      <w:bookmarkStart w:id="155" w:name="_Toc308182137"/>
      <w:bookmarkStart w:id="156" w:name="_Toc307832614"/>
      <w:bookmarkStart w:id="157" w:name="_Toc454266298"/>
      <w:bookmarkStart w:id="158" w:name="_Toc3121139"/>
      <w:bookmarkStart w:id="159" w:name="_Toc490207122"/>
      <w:bookmarkStart w:id="160" w:name="_Toc3154"/>
      <w:r>
        <w:rPr>
          <w:rFonts w:hint="default" w:ascii="Times New Roman" w:hAnsi="Times New Roman" w:cs="Times New Roman" w:eastAsiaTheme="minorEastAsia"/>
          <w:color w:val="000000" w:themeColor="text1"/>
          <w:sz w:val="28"/>
          <w:szCs w:val="28"/>
          <w14:textFill>
            <w14:solidFill>
              <w14:schemeClr w14:val="tx1"/>
            </w14:solidFill>
          </w14:textFill>
        </w:rPr>
        <w:t xml:space="preserve">4.4 </w:t>
      </w:r>
      <w:bookmarkEnd w:id="153"/>
      <w:bookmarkEnd w:id="154"/>
      <w:bookmarkEnd w:id="155"/>
      <w:bookmarkEnd w:id="156"/>
      <w:bookmarkEnd w:id="157"/>
      <w:r>
        <w:rPr>
          <w:rFonts w:hint="default" w:ascii="Times New Roman" w:hAnsi="Times New Roman" w:cs="Times New Roman" w:eastAsiaTheme="minorEastAsia"/>
          <w:color w:val="000000" w:themeColor="text1"/>
          <w:sz w:val="28"/>
          <w:szCs w:val="28"/>
          <w14:textFill>
            <w14:solidFill>
              <w14:schemeClr w14:val="tx1"/>
            </w14:solidFill>
          </w14:textFill>
        </w:rPr>
        <w:t>区域污染源调查</w:t>
      </w:r>
      <w:bookmarkEnd w:id="158"/>
      <w:bookmarkEnd w:id="159"/>
      <w:bookmarkEnd w:id="160"/>
    </w:p>
    <w:p>
      <w:pPr>
        <w:keepNext w:val="0"/>
        <w:keepLines w:val="0"/>
        <w:pageBreakBefore w:val="0"/>
        <w:widowControl/>
        <w:kinsoku/>
        <w:wordWrap/>
        <w:overflowPunct/>
        <w:topLinePunct w:val="0"/>
        <w:autoSpaceDE/>
        <w:autoSpaceDN/>
        <w:bidi w:val="0"/>
        <w:adjustRightInd w:val="0"/>
        <w:snapToGrid w:val="0"/>
        <w:spacing w:line="500" w:lineRule="exact"/>
        <w:ind w:firstLine="560"/>
        <w:textAlignment w:val="auto"/>
        <w:rPr>
          <w:rFonts w:hint="default" w:ascii="Times New Roman" w:hAnsi="Times New Roman" w:cs="Times New Roman" w:eastAsiaTheme="minorEastAsia"/>
          <w:bCs/>
          <w:color w:val="000000" w:themeColor="text1"/>
          <w:sz w:val="24"/>
          <w:szCs w:val="24"/>
          <w14:textFill>
            <w14:solidFill>
              <w14:schemeClr w14:val="tx1"/>
            </w14:solidFill>
          </w14:textFill>
        </w:rPr>
      </w:pPr>
      <w:r>
        <w:rPr>
          <w:rFonts w:hint="default" w:ascii="Times New Roman" w:hAnsi="Times New Roman" w:cs="Times New Roman" w:eastAsiaTheme="minorEastAsia"/>
          <w:bCs/>
          <w:color w:val="000000" w:themeColor="text1"/>
          <w:sz w:val="24"/>
          <w:szCs w:val="24"/>
          <w14:textFill>
            <w14:solidFill>
              <w14:schemeClr w14:val="tx1"/>
            </w14:solidFill>
          </w14:textFill>
        </w:rPr>
        <w:t>区域污染源调查的对象主要为项目周围区域的主要污染企业。污染源调查及评价的目的在于了解评价区内现有、在建、拟建污染企业污染物种类及排放量、污染治理状况等，分析各企业对区域污染的贡献情况，为环境影响评价提供基础资料。</w:t>
      </w:r>
    </w:p>
    <w:p>
      <w:pPr>
        <w:pStyle w:val="1167"/>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color w:val="auto"/>
          <w:sz w:val="24"/>
          <w:szCs w:val="24"/>
          <w:highlight w:val="none"/>
        </w:rPr>
      </w:pPr>
      <w:bookmarkStart w:id="161" w:name="_Toc32693"/>
      <w:bookmarkStart w:id="162" w:name="_Toc508022100"/>
      <w:bookmarkStart w:id="163" w:name="_Toc17898214"/>
      <w:r>
        <w:rPr>
          <w:rFonts w:hint="default" w:ascii="Times New Roman" w:hAnsi="Times New Roman" w:cs="Times New Roman" w:eastAsiaTheme="minorEastAsia"/>
          <w:color w:val="auto"/>
          <w:sz w:val="24"/>
          <w:szCs w:val="24"/>
          <w:highlight w:val="none"/>
        </w:rPr>
        <w:t>4.4.1 大气污染源</w:t>
      </w:r>
      <w:bookmarkEnd w:id="161"/>
      <w:bookmarkEnd w:id="162"/>
      <w:bookmarkEnd w:id="163"/>
    </w:p>
    <w:p>
      <w:pPr>
        <w:keepNext w:val="0"/>
        <w:keepLines w:val="0"/>
        <w:pageBreakBefore w:val="0"/>
        <w:widowControl/>
        <w:kinsoku/>
        <w:wordWrap/>
        <w:overflowPunct/>
        <w:topLinePunct w:val="0"/>
        <w:autoSpaceDE/>
        <w:autoSpaceDN/>
        <w:bidi w:val="0"/>
        <w:adjustRightInd w:val="0"/>
        <w:snapToGrid w:val="0"/>
        <w:spacing w:line="500" w:lineRule="exact"/>
        <w:ind w:firstLine="560"/>
        <w:textAlignment w:val="auto"/>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建设项目厂址位于农村地区，区域大气污染源主要来自农村居民生活燃用燃料（煤、植物秸秆等）排放的烟气，污染物主要为SO</w:t>
      </w:r>
      <w:r>
        <w:rPr>
          <w:rFonts w:hint="default" w:ascii="Times New Roman" w:hAnsi="Times New Roman" w:cs="Times New Roman" w:eastAsiaTheme="minorEastAsia"/>
          <w:color w:val="auto"/>
          <w:sz w:val="24"/>
          <w:szCs w:val="22"/>
          <w:highlight w:val="none"/>
          <w:vertAlign w:val="subscript"/>
        </w:rPr>
        <w:t>2</w:t>
      </w:r>
      <w:r>
        <w:rPr>
          <w:rFonts w:hint="default" w:ascii="Times New Roman" w:hAnsi="Times New Roman" w:cs="Times New Roman" w:eastAsiaTheme="minorEastAsia"/>
          <w:color w:val="auto"/>
          <w:sz w:val="24"/>
          <w:szCs w:val="22"/>
          <w:highlight w:val="none"/>
        </w:rPr>
        <w:t>、NO</w:t>
      </w:r>
      <w:r>
        <w:rPr>
          <w:rFonts w:hint="default" w:ascii="Times New Roman" w:hAnsi="Times New Roman" w:cs="Times New Roman" w:eastAsiaTheme="minorEastAsia"/>
          <w:color w:val="auto"/>
          <w:sz w:val="24"/>
          <w:szCs w:val="22"/>
          <w:highlight w:val="none"/>
          <w:vertAlign w:val="subscript"/>
        </w:rPr>
        <w:t>x</w:t>
      </w:r>
      <w:r>
        <w:rPr>
          <w:rFonts w:hint="default" w:ascii="Times New Roman" w:hAnsi="Times New Roman" w:cs="Times New Roman" w:eastAsiaTheme="minorEastAsia"/>
          <w:color w:val="auto"/>
          <w:sz w:val="24"/>
          <w:szCs w:val="22"/>
          <w:highlight w:val="none"/>
        </w:rPr>
        <w:t>及颗粒物等。</w:t>
      </w:r>
    </w:p>
    <w:p>
      <w:pPr>
        <w:pStyle w:val="1167"/>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bCs/>
          <w:color w:val="000000" w:themeColor="text1"/>
          <w:sz w:val="24"/>
          <w:szCs w:val="24"/>
          <w14:textFill>
            <w14:solidFill>
              <w14:schemeClr w14:val="tx1"/>
            </w14:solidFill>
          </w14:textFill>
        </w:rPr>
      </w:pPr>
      <w:bookmarkStart w:id="164" w:name="_Toc508022101"/>
      <w:bookmarkStart w:id="165" w:name="_Toc17898215"/>
      <w:bookmarkStart w:id="166" w:name="_Toc24267"/>
      <w:r>
        <w:rPr>
          <w:rFonts w:hint="default" w:ascii="Times New Roman" w:hAnsi="Times New Roman" w:cs="Times New Roman" w:eastAsiaTheme="minorEastAsia"/>
          <w:bCs/>
          <w:color w:val="000000" w:themeColor="text1"/>
          <w:sz w:val="24"/>
          <w:szCs w:val="24"/>
          <w14:textFill>
            <w14:solidFill>
              <w14:schemeClr w14:val="tx1"/>
            </w14:solidFill>
          </w14:textFill>
        </w:rPr>
        <w:t>4.4.2 地表水污染源</w:t>
      </w:r>
      <w:bookmarkEnd w:id="164"/>
      <w:bookmarkEnd w:id="165"/>
      <w:bookmarkEnd w:id="166"/>
    </w:p>
    <w:p>
      <w:pPr>
        <w:keepNext w:val="0"/>
        <w:keepLines w:val="0"/>
        <w:pageBreakBefore w:val="0"/>
        <w:widowControl/>
        <w:kinsoku/>
        <w:wordWrap/>
        <w:overflowPunct/>
        <w:topLinePunct w:val="0"/>
        <w:autoSpaceDE/>
        <w:autoSpaceDN/>
        <w:bidi w:val="0"/>
        <w:adjustRightInd w:val="0"/>
        <w:snapToGrid w:val="0"/>
        <w:spacing w:line="500" w:lineRule="exact"/>
        <w:ind w:firstLine="560"/>
        <w:textAlignment w:val="auto"/>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建设项目评价区域地表水污染源，主要为区域农业生产农药、化肥使用形成的面源，雨季随地表径流携带污染物汇入地表水体。</w:t>
      </w:r>
    </w:p>
    <w:p>
      <w:pPr>
        <w:pStyle w:val="1167"/>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bCs/>
          <w:color w:val="000000" w:themeColor="text1"/>
          <w:sz w:val="24"/>
          <w:szCs w:val="24"/>
          <w14:textFill>
            <w14:solidFill>
              <w14:schemeClr w14:val="tx1"/>
            </w14:solidFill>
          </w14:textFill>
        </w:rPr>
      </w:pPr>
      <w:bookmarkStart w:id="167" w:name="_Toc16252"/>
      <w:bookmarkStart w:id="168" w:name="_Toc508022102"/>
      <w:bookmarkStart w:id="169" w:name="_Toc17898216"/>
      <w:r>
        <w:rPr>
          <w:rFonts w:hint="default" w:ascii="Times New Roman" w:hAnsi="Times New Roman" w:cs="Times New Roman" w:eastAsiaTheme="minorEastAsia"/>
          <w:bCs/>
          <w:color w:val="000000" w:themeColor="text1"/>
          <w:sz w:val="24"/>
          <w:szCs w:val="24"/>
          <w14:textFill>
            <w14:solidFill>
              <w14:schemeClr w14:val="tx1"/>
            </w14:solidFill>
          </w14:textFill>
        </w:rPr>
        <w:t>4.4.3 地下水污染源</w:t>
      </w:r>
      <w:bookmarkEnd w:id="167"/>
      <w:bookmarkEnd w:id="168"/>
      <w:bookmarkEnd w:id="169"/>
    </w:p>
    <w:p>
      <w:pPr>
        <w:keepNext w:val="0"/>
        <w:keepLines w:val="0"/>
        <w:pageBreakBefore w:val="0"/>
        <w:widowControl/>
        <w:kinsoku/>
        <w:wordWrap/>
        <w:overflowPunct/>
        <w:topLinePunct w:val="0"/>
        <w:autoSpaceDE/>
        <w:autoSpaceDN/>
        <w:bidi w:val="0"/>
        <w:adjustRightInd w:val="0"/>
        <w:snapToGrid w:val="0"/>
        <w:spacing w:line="500" w:lineRule="exact"/>
        <w:ind w:firstLine="560"/>
        <w:textAlignment w:val="auto"/>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建设项目评价区域地下水污染源，主要为区域农业生产农药、化肥使用形成的面源，雨季随地表径流携带污染物入渗地下水体。</w:t>
      </w:r>
    </w:p>
    <w:p>
      <w:pPr>
        <w:pStyle w:val="1167"/>
        <w:rPr>
          <w:rFonts w:hint="default" w:ascii="Times New Roman" w:hAnsi="Times New Roman" w:cs="Times New Roman" w:eastAsiaTheme="minorEastAsia"/>
          <w:bCs/>
          <w:color w:val="000000" w:themeColor="text1"/>
          <w:sz w:val="24"/>
          <w:szCs w:val="24"/>
          <w14:textFill>
            <w14:solidFill>
              <w14:schemeClr w14:val="tx1"/>
            </w14:solidFill>
          </w14:textFill>
        </w:rPr>
      </w:pPr>
      <w:bookmarkStart w:id="170" w:name="_Toc17898217"/>
      <w:bookmarkStart w:id="171" w:name="_Toc508022103"/>
      <w:bookmarkStart w:id="172" w:name="_Toc29567"/>
      <w:r>
        <w:rPr>
          <w:rFonts w:hint="default" w:ascii="Times New Roman" w:hAnsi="Times New Roman" w:cs="Times New Roman" w:eastAsiaTheme="minorEastAsia"/>
          <w:bCs/>
          <w:color w:val="000000" w:themeColor="text1"/>
          <w:sz w:val="24"/>
          <w:szCs w:val="24"/>
          <w14:textFill>
            <w14:solidFill>
              <w14:schemeClr w14:val="tx1"/>
            </w14:solidFill>
          </w14:textFill>
        </w:rPr>
        <w:t>4.4.4 噪声污染源</w:t>
      </w:r>
      <w:bookmarkEnd w:id="170"/>
      <w:bookmarkEnd w:id="171"/>
      <w:bookmarkEnd w:id="172"/>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建设项目评价区域空旷，无工业噪声污染源存在；区域声环境主要受道路交通噪声、农村生活噪声影响。</w:t>
      </w:r>
    </w:p>
    <w:p>
      <w:pPr>
        <w:pStyle w:val="1301"/>
        <w:snapToGrid w:val="0"/>
        <w:spacing w:line="520" w:lineRule="exact"/>
        <w:jc w:val="both"/>
        <w:rPr>
          <w:rFonts w:hint="default" w:ascii="Times New Roman" w:hAnsi="Times New Roman" w:cs="Times New Roman" w:eastAsiaTheme="minorEastAsia"/>
          <w:color w:val="000000" w:themeColor="text1"/>
          <w:sz w:val="24"/>
          <w:szCs w:val="24"/>
          <w14:textFill>
            <w14:solidFill>
              <w14:schemeClr w14:val="tx1"/>
            </w14:solidFill>
          </w14:textFill>
        </w:rPr>
        <w:sectPr>
          <w:footerReference r:id="rId33" w:type="default"/>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12" w:charSpace="0"/>
        </w:sectPr>
      </w:pPr>
    </w:p>
    <w:p>
      <w:pPr>
        <w:pStyle w:val="641"/>
        <w:rPr>
          <w:rFonts w:hint="default" w:ascii="Times New Roman" w:hAnsi="Times New Roman" w:cs="Times New Roman" w:eastAsiaTheme="minorEastAsia"/>
          <w:b w:val="0"/>
          <w:bCs w:val="0"/>
          <w:color w:val="000000" w:themeColor="text1"/>
          <w:sz w:val="28"/>
          <w:szCs w:val="18"/>
          <w14:textFill>
            <w14:solidFill>
              <w14:schemeClr w14:val="tx1"/>
            </w14:solidFill>
          </w14:textFill>
        </w:rPr>
      </w:pPr>
      <w:bookmarkStart w:id="173" w:name="_Toc18869"/>
      <w:r>
        <w:rPr>
          <w:rFonts w:hint="default" w:ascii="Times New Roman" w:hAnsi="Times New Roman" w:cs="Times New Roman" w:eastAsiaTheme="minorEastAsia"/>
          <w:b w:val="0"/>
          <w:bCs w:val="0"/>
          <w:color w:val="000000" w:themeColor="text1"/>
          <w:sz w:val="28"/>
          <w:szCs w:val="18"/>
          <w14:textFill>
            <w14:solidFill>
              <w14:schemeClr w14:val="tx1"/>
            </w14:solidFill>
          </w14:textFill>
        </w:rPr>
        <w:t>5 环境影响预测与评价</w:t>
      </w:r>
      <w:bookmarkEnd w:id="173"/>
    </w:p>
    <w:p>
      <w:pPr>
        <w:pStyle w:val="639"/>
        <w:rPr>
          <w:rFonts w:hint="default" w:ascii="Times New Roman" w:hAnsi="Times New Roman" w:cs="Times New Roman" w:eastAsiaTheme="minorEastAsia"/>
          <w:color w:val="000000" w:themeColor="text1"/>
          <w:sz w:val="28"/>
          <w:szCs w:val="28"/>
          <w14:textFill>
            <w14:solidFill>
              <w14:schemeClr w14:val="tx1"/>
            </w14:solidFill>
          </w14:textFill>
        </w:rPr>
      </w:pPr>
      <w:bookmarkStart w:id="174" w:name="_Toc472338500"/>
      <w:bookmarkStart w:id="175" w:name="_Toc20938"/>
      <w:r>
        <w:rPr>
          <w:rFonts w:hint="default" w:ascii="Times New Roman" w:hAnsi="Times New Roman" w:cs="Times New Roman" w:eastAsiaTheme="minorEastAsia"/>
          <w:color w:val="000000" w:themeColor="text1"/>
          <w:sz w:val="28"/>
          <w:szCs w:val="28"/>
          <w14:textFill>
            <w14:solidFill>
              <w14:schemeClr w14:val="tx1"/>
            </w14:solidFill>
          </w14:textFill>
        </w:rPr>
        <w:t>5.1 施工期环境影响分析</w:t>
      </w:r>
      <w:bookmarkEnd w:id="174"/>
      <w:bookmarkEnd w:id="175"/>
    </w:p>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5.1.1 施工期扬尘环境影响分析</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 xml:space="preserve">本项目施工期间的大气污染源主要包括施工扬尘及施工机械、车辆排放的尾气。 </w:t>
      </w:r>
    </w:p>
    <w:p>
      <w:pPr>
        <w:pStyle w:val="1297"/>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5.1.1.1 施工扬尘影响分析</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1）施工扬尘</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施工场地的土方挖掘、回填、装卸和运输过程产生扬尘。在施工场地的物料堆场，若水泥、砂石等土建材料露天堆放不加覆盖，容易导致扬尘的发生。建筑物料的运输造成的道路扬尘，包括施工车辆行驶时产生的路面扬尘、车上物料的沿途散落和风致扬尘。</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①土方开挖和露天土方堆场的风力扬尘</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施工期在施工红线内设置临时堆土场，由于施工的需要，一些建材需露天堆放；一些施工点表层土壤需人工开挖、堆放，在气候干燥又有风的情况下会产生扬尘，其尘量可按堆场起尘的经验公式计算：</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i/>
          <w:color w:val="000000" w:themeColor="text1"/>
          <w:sz w:val="24"/>
          <w:szCs w:val="22"/>
          <w14:textFill>
            <w14:solidFill>
              <w14:schemeClr w14:val="tx1"/>
            </w14:solidFill>
          </w14:textFill>
        </w:rPr>
        <w:t>Q</w:t>
      </w:r>
      <w:r>
        <w:rPr>
          <w:rFonts w:hint="default" w:ascii="Times New Roman" w:hAnsi="Times New Roman" w:cs="Times New Roman" w:eastAsiaTheme="minorEastAsia"/>
          <w:color w:val="000000" w:themeColor="text1"/>
          <w:sz w:val="24"/>
          <w:szCs w:val="22"/>
          <w14:textFill>
            <w14:solidFill>
              <w14:schemeClr w14:val="tx1"/>
            </w14:solidFill>
          </w14:textFill>
        </w:rPr>
        <w:t>=2.1×（</w:t>
      </w:r>
      <w:r>
        <w:rPr>
          <w:rFonts w:hint="default" w:ascii="Times New Roman" w:hAnsi="Times New Roman" w:cs="Times New Roman" w:eastAsiaTheme="minorEastAsia"/>
          <w:i/>
          <w:color w:val="000000" w:themeColor="text1"/>
          <w:sz w:val="24"/>
          <w:szCs w:val="22"/>
          <w14:textFill>
            <w14:solidFill>
              <w14:schemeClr w14:val="tx1"/>
            </w14:solidFill>
          </w14:textFill>
        </w:rPr>
        <w:t>V</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50</w:t>
      </w:r>
      <w:r>
        <w:rPr>
          <w:rFonts w:hint="default" w:ascii="Times New Roman" w:hAnsi="Times New Roman" w:cs="Times New Roman" w:eastAsiaTheme="minorEastAsia"/>
          <w:color w:val="000000" w:themeColor="text1"/>
          <w:sz w:val="24"/>
          <w:szCs w:val="22"/>
          <w14:textFill>
            <w14:solidFill>
              <w14:schemeClr w14:val="tx1"/>
            </w14:solidFill>
          </w14:textFill>
        </w:rPr>
        <w:t>-</w:t>
      </w:r>
      <w:r>
        <w:rPr>
          <w:rFonts w:hint="default" w:ascii="Times New Roman" w:hAnsi="Times New Roman" w:cs="Times New Roman" w:eastAsiaTheme="minorEastAsia"/>
          <w:i/>
          <w:color w:val="000000" w:themeColor="text1"/>
          <w:sz w:val="24"/>
          <w:szCs w:val="22"/>
          <w14:textFill>
            <w14:solidFill>
              <w14:schemeClr w14:val="tx1"/>
            </w14:solidFill>
          </w14:textFill>
        </w:rPr>
        <w:t>V</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0</w:t>
      </w:r>
      <w:r>
        <w:rPr>
          <w:rFonts w:hint="default" w:ascii="Times New Roman" w:hAnsi="Times New Roman" w:cs="Times New Roman" w:eastAsiaTheme="minorEastAsia"/>
          <w:color w:val="000000" w:themeColor="text1"/>
          <w:sz w:val="24"/>
          <w:szCs w:val="22"/>
          <w14:textFill>
            <w14:solidFill>
              <w14:schemeClr w14:val="tx1"/>
            </w14:solidFill>
          </w14:textFill>
        </w:rPr>
        <w:t>）</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×e-</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1.023W</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式中：</w:t>
      </w:r>
      <w:r>
        <w:rPr>
          <w:rFonts w:hint="default" w:ascii="Times New Roman" w:hAnsi="Times New Roman" w:cs="Times New Roman" w:eastAsiaTheme="minorEastAsia"/>
          <w:i/>
          <w:color w:val="000000" w:themeColor="text1"/>
          <w:sz w:val="24"/>
          <w:szCs w:val="22"/>
          <w14:textFill>
            <w14:solidFill>
              <w14:schemeClr w14:val="tx1"/>
            </w14:solidFill>
          </w14:textFill>
        </w:rPr>
        <w:t>Q</w:t>
      </w:r>
      <w:r>
        <w:rPr>
          <w:rFonts w:hint="default" w:ascii="Times New Roman" w:hAnsi="Times New Roman" w:cs="Times New Roman" w:eastAsiaTheme="minorEastAsia"/>
          <w:color w:val="000000" w:themeColor="text1"/>
          <w:sz w:val="24"/>
          <w:szCs w:val="22"/>
          <w14:textFill>
            <w14:solidFill>
              <w14:schemeClr w14:val="tx1"/>
            </w14:solidFill>
          </w14:textFill>
        </w:rPr>
        <w:t>--起尘量，kg/（t·a）；</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 xml:space="preserve">      </w:t>
      </w:r>
      <w:r>
        <w:rPr>
          <w:rFonts w:hint="default" w:ascii="Times New Roman" w:hAnsi="Times New Roman" w:cs="Times New Roman" w:eastAsiaTheme="minorEastAsia"/>
          <w:i/>
          <w:color w:val="000000" w:themeColor="text1"/>
          <w:sz w:val="24"/>
          <w:szCs w:val="22"/>
          <w14:textFill>
            <w14:solidFill>
              <w14:schemeClr w14:val="tx1"/>
            </w14:solidFill>
          </w14:textFill>
        </w:rPr>
        <w:t>V</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5</w:t>
      </w:r>
      <w:r>
        <w:rPr>
          <w:rFonts w:hint="default" w:ascii="Times New Roman" w:hAnsi="Times New Roman" w:cs="Times New Roman" w:eastAsiaTheme="minorEastAsia"/>
          <w:color w:val="000000" w:themeColor="text1"/>
          <w:sz w:val="24"/>
          <w:szCs w:val="22"/>
          <w14:textFill>
            <w14:solidFill>
              <w14:schemeClr w14:val="tx1"/>
            </w14:solidFill>
          </w14:textFill>
        </w:rPr>
        <w:t>--距地面50 m处风速，m/s；</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 xml:space="preserve">      </w:t>
      </w:r>
      <w:r>
        <w:rPr>
          <w:rFonts w:hint="default" w:ascii="Times New Roman" w:hAnsi="Times New Roman" w:cs="Times New Roman" w:eastAsiaTheme="minorEastAsia"/>
          <w:i/>
          <w:color w:val="000000" w:themeColor="text1"/>
          <w:sz w:val="24"/>
          <w:szCs w:val="22"/>
          <w14:textFill>
            <w14:solidFill>
              <w14:schemeClr w14:val="tx1"/>
            </w14:solidFill>
          </w14:textFill>
        </w:rPr>
        <w:t>V</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0</w:t>
      </w:r>
      <w:r>
        <w:rPr>
          <w:rFonts w:hint="default" w:ascii="Times New Roman" w:hAnsi="Times New Roman" w:cs="Times New Roman" w:eastAsiaTheme="minorEastAsia"/>
          <w:color w:val="000000" w:themeColor="text1"/>
          <w:sz w:val="24"/>
          <w:szCs w:val="22"/>
          <w14:textFill>
            <w14:solidFill>
              <w14:schemeClr w14:val="tx1"/>
            </w14:solidFill>
          </w14:textFill>
        </w:rPr>
        <w:t>--起尘风速，m/s；</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 xml:space="preserve">      W--尘粒的含水量，%。</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V</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0</w:t>
      </w:r>
      <w:r>
        <w:rPr>
          <w:rFonts w:hint="default" w:ascii="Times New Roman" w:hAnsi="Times New Roman" w:cs="Times New Roman" w:eastAsiaTheme="minorEastAsia"/>
          <w:color w:val="000000" w:themeColor="text1"/>
          <w:sz w:val="24"/>
          <w:szCs w:val="22"/>
          <w14:textFill>
            <w14:solidFill>
              <w14:schemeClr w14:val="tx1"/>
            </w14:solidFill>
          </w14:textFill>
        </w:rPr>
        <w:t>与粒径和含水率有关，因此减少露天堆放、保证一定的含水率及减少裸露地面是减少风力起尘的有效手段。尘粒在空气中的传播扩散情况与风速等气象条件有关，也与尘粒本身的沉降速度有关。不同粒径尘粒的沉降速度见下表。</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表5-1-1   不同粒径的沉降速度</w:t>
      </w:r>
    </w:p>
    <w:tbl>
      <w:tblPr>
        <w:tblStyle w:val="91"/>
        <w:tblW w:w="0" w:type="auto"/>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460"/>
        <w:gridCol w:w="695"/>
        <w:gridCol w:w="696"/>
        <w:gridCol w:w="696"/>
        <w:gridCol w:w="696"/>
        <w:gridCol w:w="696"/>
        <w:gridCol w:w="698"/>
        <w:gridCol w:w="698"/>
        <w:gridCol w:w="698"/>
        <w:gridCol w:w="698"/>
        <w:gridCol w:w="989"/>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trPr>
        <w:tc>
          <w:tcPr>
            <w:tcW w:w="146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粒径（μm）</w:t>
            </w:r>
          </w:p>
        </w:tc>
        <w:tc>
          <w:tcPr>
            <w:tcW w:w="69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w:t>
            </w:r>
          </w:p>
        </w:tc>
        <w:tc>
          <w:tcPr>
            <w:tcW w:w="69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w:t>
            </w:r>
          </w:p>
        </w:tc>
        <w:tc>
          <w:tcPr>
            <w:tcW w:w="69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30</w:t>
            </w:r>
          </w:p>
        </w:tc>
        <w:tc>
          <w:tcPr>
            <w:tcW w:w="69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40</w:t>
            </w:r>
          </w:p>
        </w:tc>
        <w:tc>
          <w:tcPr>
            <w:tcW w:w="69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50</w:t>
            </w:r>
          </w:p>
        </w:tc>
        <w:tc>
          <w:tcPr>
            <w:tcW w:w="69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60</w:t>
            </w:r>
          </w:p>
        </w:tc>
        <w:tc>
          <w:tcPr>
            <w:tcW w:w="69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70</w:t>
            </w:r>
          </w:p>
        </w:tc>
        <w:tc>
          <w:tcPr>
            <w:tcW w:w="69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80</w:t>
            </w:r>
          </w:p>
        </w:tc>
        <w:tc>
          <w:tcPr>
            <w:tcW w:w="69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90</w:t>
            </w:r>
          </w:p>
        </w:tc>
        <w:tc>
          <w:tcPr>
            <w:tcW w:w="98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trPr>
        <w:tc>
          <w:tcPr>
            <w:tcW w:w="146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沉降速度（m/s）</w:t>
            </w:r>
          </w:p>
        </w:tc>
        <w:tc>
          <w:tcPr>
            <w:tcW w:w="69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0.03</w:t>
            </w:r>
          </w:p>
        </w:tc>
        <w:tc>
          <w:tcPr>
            <w:tcW w:w="69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0.012</w:t>
            </w:r>
          </w:p>
        </w:tc>
        <w:tc>
          <w:tcPr>
            <w:tcW w:w="69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0.027</w:t>
            </w:r>
          </w:p>
        </w:tc>
        <w:tc>
          <w:tcPr>
            <w:tcW w:w="69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0.048</w:t>
            </w:r>
          </w:p>
        </w:tc>
        <w:tc>
          <w:tcPr>
            <w:tcW w:w="69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0.075</w:t>
            </w:r>
          </w:p>
        </w:tc>
        <w:tc>
          <w:tcPr>
            <w:tcW w:w="69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0.108</w:t>
            </w:r>
          </w:p>
        </w:tc>
        <w:tc>
          <w:tcPr>
            <w:tcW w:w="69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0.147</w:t>
            </w:r>
          </w:p>
        </w:tc>
        <w:tc>
          <w:tcPr>
            <w:tcW w:w="69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0.158</w:t>
            </w:r>
          </w:p>
        </w:tc>
        <w:tc>
          <w:tcPr>
            <w:tcW w:w="69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0.170</w:t>
            </w:r>
          </w:p>
        </w:tc>
        <w:tc>
          <w:tcPr>
            <w:tcW w:w="98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0.182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trPr>
        <w:tc>
          <w:tcPr>
            <w:tcW w:w="146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粒径（μm）</w:t>
            </w:r>
          </w:p>
        </w:tc>
        <w:tc>
          <w:tcPr>
            <w:tcW w:w="69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150</w:t>
            </w:r>
          </w:p>
        </w:tc>
        <w:tc>
          <w:tcPr>
            <w:tcW w:w="69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200</w:t>
            </w:r>
          </w:p>
        </w:tc>
        <w:tc>
          <w:tcPr>
            <w:tcW w:w="69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250</w:t>
            </w:r>
          </w:p>
        </w:tc>
        <w:tc>
          <w:tcPr>
            <w:tcW w:w="69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350</w:t>
            </w:r>
          </w:p>
        </w:tc>
        <w:tc>
          <w:tcPr>
            <w:tcW w:w="69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450</w:t>
            </w:r>
          </w:p>
        </w:tc>
        <w:tc>
          <w:tcPr>
            <w:tcW w:w="69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550</w:t>
            </w:r>
          </w:p>
        </w:tc>
        <w:tc>
          <w:tcPr>
            <w:tcW w:w="69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650</w:t>
            </w:r>
          </w:p>
        </w:tc>
        <w:tc>
          <w:tcPr>
            <w:tcW w:w="69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750</w:t>
            </w:r>
          </w:p>
        </w:tc>
        <w:tc>
          <w:tcPr>
            <w:tcW w:w="69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850</w:t>
            </w:r>
          </w:p>
        </w:tc>
        <w:tc>
          <w:tcPr>
            <w:tcW w:w="98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950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trPr>
        <w:tc>
          <w:tcPr>
            <w:tcW w:w="146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沉降速度（m/s）</w:t>
            </w:r>
          </w:p>
        </w:tc>
        <w:tc>
          <w:tcPr>
            <w:tcW w:w="69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0.239</w:t>
            </w:r>
          </w:p>
        </w:tc>
        <w:tc>
          <w:tcPr>
            <w:tcW w:w="69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0.804</w:t>
            </w:r>
          </w:p>
        </w:tc>
        <w:tc>
          <w:tcPr>
            <w:tcW w:w="69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1.005</w:t>
            </w:r>
          </w:p>
        </w:tc>
        <w:tc>
          <w:tcPr>
            <w:tcW w:w="69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1.829</w:t>
            </w:r>
          </w:p>
        </w:tc>
        <w:tc>
          <w:tcPr>
            <w:tcW w:w="69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2.211</w:t>
            </w:r>
          </w:p>
        </w:tc>
        <w:tc>
          <w:tcPr>
            <w:tcW w:w="69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2.614</w:t>
            </w:r>
          </w:p>
        </w:tc>
        <w:tc>
          <w:tcPr>
            <w:tcW w:w="69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3.016</w:t>
            </w:r>
          </w:p>
        </w:tc>
        <w:tc>
          <w:tcPr>
            <w:tcW w:w="69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3.418</w:t>
            </w:r>
          </w:p>
        </w:tc>
        <w:tc>
          <w:tcPr>
            <w:tcW w:w="69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3.820</w:t>
            </w:r>
          </w:p>
        </w:tc>
        <w:tc>
          <w:tcPr>
            <w:tcW w:w="98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4.222</w:t>
            </w:r>
          </w:p>
        </w:tc>
      </w:tr>
    </w:tbl>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由上表可知，尘粒的沉降速度随粒径的增大而迅速增大。当粒径为250 μm时，主要影响范围在扬尘点下风向，而真正对外环境产生影响的是一些微小尘粒。根据施工现场的气候不同，其影响范围也有所不同。施工期间，若不采取措施，扬尘势必对该区域环境产生一定影响。尤其是在雨水偏少的时期，扬尘现象较为严重。因此，对临时堆场要以毡布覆盖，在大风天气应停止施工。</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施工期若经常洒水抑尘，可以大大降低扬尘的产生，表5-1-2为天气干燥、</w:t>
      </w:r>
      <w:r>
        <w:rPr>
          <w:rFonts w:hint="default" w:ascii="Times New Roman" w:hAnsi="Times New Roman" w:cs="Times New Roman" w:eastAsiaTheme="minorEastAsia"/>
          <w:bCs/>
          <w:color w:val="000000" w:themeColor="text1"/>
          <w:sz w:val="24"/>
          <w:szCs w:val="22"/>
          <w14:textFill>
            <w14:solidFill>
              <w14:schemeClr w14:val="tx1"/>
            </w14:solidFill>
          </w14:textFill>
        </w:rPr>
        <w:t>风速3m/s条件下施工场地洒水抑尘试验结果。</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表5-1-2 施工场地洒水抑尘试验结果</w:t>
      </w:r>
    </w:p>
    <w:tbl>
      <w:tblPr>
        <w:tblStyle w:val="91"/>
        <w:tblW w:w="0" w:type="auto"/>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1437"/>
        <w:gridCol w:w="1275"/>
        <w:gridCol w:w="1406"/>
        <w:gridCol w:w="1406"/>
        <w:gridCol w:w="1643"/>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90" w:type="dxa"/>
            <w:gridSpan w:val="2"/>
            <w:tcBorders>
              <w:top w:val="single" w:color="auto" w:sz="12" w:space="0"/>
              <w:left w:val="nil"/>
              <w:bottom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距离（m）</w:t>
            </w:r>
          </w:p>
        </w:tc>
        <w:tc>
          <w:tcPr>
            <w:tcW w:w="1275" w:type="dxa"/>
            <w:tcBorders>
              <w:top w:val="single" w:color="auto" w:sz="12" w:space="0"/>
              <w:left w:val="single" w:color="auto" w:sz="4" w:space="0"/>
              <w:bottom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w:t>
            </w:r>
          </w:p>
        </w:tc>
        <w:tc>
          <w:tcPr>
            <w:tcW w:w="1406" w:type="dxa"/>
            <w:tcBorders>
              <w:top w:val="single" w:color="auto" w:sz="12" w:space="0"/>
              <w:left w:val="single" w:color="auto" w:sz="4" w:space="0"/>
              <w:bottom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w:t>
            </w:r>
          </w:p>
        </w:tc>
        <w:tc>
          <w:tcPr>
            <w:tcW w:w="1406" w:type="dxa"/>
            <w:tcBorders>
              <w:top w:val="single" w:color="auto" w:sz="12" w:space="0"/>
              <w:left w:val="single" w:color="auto" w:sz="4" w:space="0"/>
              <w:bottom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50</w:t>
            </w:r>
          </w:p>
        </w:tc>
        <w:tc>
          <w:tcPr>
            <w:tcW w:w="1643" w:type="dxa"/>
            <w:tcBorders>
              <w:top w:val="single" w:color="auto" w:sz="12" w:space="0"/>
              <w:left w:val="single" w:color="auto" w:sz="4" w:space="0"/>
              <w:bottom w:val="single" w:color="auto" w:sz="4" w:space="0"/>
              <w:right w:val="nil"/>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100</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53" w:type="dxa"/>
            <w:vMerge w:val="restart"/>
            <w:tcBorders>
              <w:top w:val="single" w:color="auto" w:sz="4" w:space="0"/>
              <w:left w:val="nil"/>
              <w:bottom w:val="single" w:color="auto" w:sz="12"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TSP小时平均浓度（mg/m</w:t>
            </w:r>
            <w:r>
              <w:rPr>
                <w:rFonts w:hint="default" w:ascii="Times New Roman" w:hAnsi="Times New Roman" w:cs="Times New Roman" w:eastAsiaTheme="minorEastAsia"/>
                <w:color w:val="000000" w:themeColor="text1"/>
                <w:vertAlign w:val="superscript"/>
                <w14:textFill>
                  <w14:solidFill>
                    <w14:schemeClr w14:val="tx1"/>
                  </w14:solidFill>
                </w14:textFill>
              </w:rPr>
              <w:t>3</w:t>
            </w:r>
            <w:r>
              <w:rPr>
                <w:rFonts w:hint="default" w:ascii="Times New Roman" w:hAnsi="Times New Roman" w:cs="Times New Roman" w:eastAsiaTheme="minorEastAsia"/>
                <w:color w:val="000000" w:themeColor="text1"/>
                <w14:textFill>
                  <w14:solidFill>
                    <w14:schemeClr w14:val="tx1"/>
                  </w14:solidFill>
                </w14:textFill>
              </w:rPr>
              <w:t>）</w:t>
            </w:r>
          </w:p>
        </w:tc>
        <w:tc>
          <w:tcPr>
            <w:tcW w:w="1437" w:type="dxa"/>
            <w:tcBorders>
              <w:top w:val="single" w:color="auto" w:sz="4" w:space="0"/>
              <w:left w:val="single" w:color="auto" w:sz="4" w:space="0"/>
              <w:bottom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不洒水</w:t>
            </w:r>
          </w:p>
        </w:tc>
        <w:tc>
          <w:tcPr>
            <w:tcW w:w="1275" w:type="dxa"/>
            <w:tcBorders>
              <w:top w:val="single" w:color="auto" w:sz="4" w:space="0"/>
              <w:left w:val="single" w:color="auto" w:sz="4" w:space="0"/>
              <w:bottom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10.14</w:t>
            </w:r>
          </w:p>
        </w:tc>
        <w:tc>
          <w:tcPr>
            <w:tcW w:w="1406" w:type="dxa"/>
            <w:tcBorders>
              <w:top w:val="single" w:color="auto" w:sz="4" w:space="0"/>
              <w:left w:val="single" w:color="auto" w:sz="4" w:space="0"/>
              <w:bottom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2.89</w:t>
            </w:r>
          </w:p>
        </w:tc>
        <w:tc>
          <w:tcPr>
            <w:tcW w:w="1406" w:type="dxa"/>
            <w:tcBorders>
              <w:top w:val="single" w:color="auto" w:sz="4" w:space="0"/>
              <w:left w:val="single" w:color="auto" w:sz="4" w:space="0"/>
              <w:bottom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1.15</w:t>
            </w:r>
          </w:p>
        </w:tc>
        <w:tc>
          <w:tcPr>
            <w:tcW w:w="1643" w:type="dxa"/>
            <w:tcBorders>
              <w:top w:val="single" w:color="auto" w:sz="4" w:space="0"/>
              <w:left w:val="single" w:color="auto" w:sz="4" w:space="0"/>
              <w:bottom w:val="single" w:color="auto" w:sz="4" w:space="0"/>
              <w:right w:val="nil"/>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0.86</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53" w:type="dxa"/>
            <w:vMerge w:val="continue"/>
            <w:tcBorders>
              <w:top w:val="single" w:color="auto" w:sz="4" w:space="0"/>
              <w:left w:val="nil"/>
              <w:bottom w:val="single" w:color="auto" w:sz="12"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437" w:type="dxa"/>
            <w:tcBorders>
              <w:top w:val="single" w:color="auto" w:sz="4" w:space="0"/>
              <w:left w:val="single" w:color="auto" w:sz="4" w:space="0"/>
              <w:bottom w:val="single" w:color="auto" w:sz="12"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洒水</w:t>
            </w:r>
          </w:p>
        </w:tc>
        <w:tc>
          <w:tcPr>
            <w:tcW w:w="1275" w:type="dxa"/>
            <w:tcBorders>
              <w:top w:val="single" w:color="auto" w:sz="4" w:space="0"/>
              <w:left w:val="single" w:color="auto" w:sz="4" w:space="0"/>
              <w:bottom w:val="single" w:color="auto" w:sz="12"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2.01</w:t>
            </w:r>
          </w:p>
        </w:tc>
        <w:tc>
          <w:tcPr>
            <w:tcW w:w="1406" w:type="dxa"/>
            <w:tcBorders>
              <w:top w:val="single" w:color="auto" w:sz="4" w:space="0"/>
              <w:left w:val="single" w:color="auto" w:sz="4" w:space="0"/>
              <w:bottom w:val="single" w:color="auto" w:sz="12"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1.4</w:t>
            </w:r>
          </w:p>
        </w:tc>
        <w:tc>
          <w:tcPr>
            <w:tcW w:w="1406" w:type="dxa"/>
            <w:tcBorders>
              <w:top w:val="single" w:color="auto" w:sz="4" w:space="0"/>
              <w:left w:val="single" w:color="auto" w:sz="4" w:space="0"/>
              <w:bottom w:val="single" w:color="auto" w:sz="12"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0.67</w:t>
            </w:r>
          </w:p>
        </w:tc>
        <w:tc>
          <w:tcPr>
            <w:tcW w:w="1643" w:type="dxa"/>
            <w:tcBorders>
              <w:top w:val="single" w:color="auto" w:sz="4" w:space="0"/>
              <w:left w:val="single" w:color="auto" w:sz="4" w:space="0"/>
              <w:bottom w:val="single" w:color="auto" w:sz="12" w:space="0"/>
              <w:right w:val="nil"/>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0.6</w:t>
            </w:r>
          </w:p>
        </w:tc>
      </w:tr>
    </w:tbl>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由上表可知经过洒水抑尘，可降低扬尘量70%左右，将其影响范围可控制在50m内。</w:t>
      </w:r>
    </w:p>
    <w:p>
      <w:pPr>
        <w:ind w:firstLine="560"/>
        <w:outlineLvl w:val="0"/>
        <w:rPr>
          <w:rFonts w:hint="default" w:ascii="Times New Roman" w:hAnsi="Times New Roman" w:cs="Times New Roman" w:eastAsiaTheme="minorEastAsia"/>
          <w:color w:val="000000" w:themeColor="text1"/>
          <w:sz w:val="24"/>
          <w:szCs w:val="22"/>
          <w14:textFill>
            <w14:solidFill>
              <w14:schemeClr w14:val="tx1"/>
            </w14:solidFill>
          </w14:textFill>
        </w:rPr>
      </w:pPr>
      <w:bookmarkStart w:id="176" w:name="_Toc29566"/>
      <w:r>
        <w:rPr>
          <w:rFonts w:hint="default" w:ascii="Times New Roman" w:hAnsi="Times New Roman" w:cs="Times New Roman" w:eastAsiaTheme="minorEastAsia"/>
          <w:color w:val="000000" w:themeColor="text1"/>
          <w:sz w:val="24"/>
          <w:szCs w:val="22"/>
          <w14:textFill>
            <w14:solidFill>
              <w14:schemeClr w14:val="tx1"/>
            </w14:solidFill>
          </w14:textFill>
        </w:rPr>
        <w:t>（3）施工扬尘污染防治措施</w:t>
      </w:r>
      <w:bookmarkEnd w:id="176"/>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为减轻扬尘的污染程度和影响范围，施工单位应严格加强管理，采取适当措施严格控制施工期间产生的扬尘。</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①施工单位必须在施工现场出入口明显位置设置扬尘防治公示牌，内容包括建设、施工、监理及监管等单位名称、扬尘防治负责人的名称、联系电话、举报电话等。</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②施工现场必须连续设置硬质围挡，围挡应坚固、美观，严禁围挡不严或敞开式施工，围挡高度不低于2.5米。</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③施工现场出入口和场内施工道路、材料加工堆放区、办公区、生活区必须采用混凝土硬化或用硬质砌块铺设，硬化后的地面应清扫整洁无浮土、积土，严禁使用其他软质材料铺设。</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④施工现场出入口必须配备车辆冲洗设施，设置排水、泥浆沉淀池等设施，建立冲洗制度并设专人管理，严禁车辆带泥上路。</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⑤施工现场集中堆放的土方和裸露场地必须采取覆盖、固化或绿化等防尘措施，严禁裸露。</w:t>
      </w:r>
    </w:p>
    <w:p>
      <w:pPr>
        <w:pStyle w:val="1297"/>
        <w:outlineLvl w:val="0"/>
        <w:rPr>
          <w:rFonts w:hint="default" w:ascii="Times New Roman" w:hAnsi="Times New Roman" w:cs="Times New Roman" w:eastAsiaTheme="minorEastAsia"/>
          <w:color w:val="000000" w:themeColor="text1"/>
          <w:sz w:val="24"/>
          <w:szCs w:val="22"/>
          <w14:textFill>
            <w14:solidFill>
              <w14:schemeClr w14:val="tx1"/>
            </w14:solidFill>
          </w14:textFill>
        </w:rPr>
      </w:pPr>
      <w:bookmarkStart w:id="177" w:name="_Toc12408"/>
      <w:r>
        <w:rPr>
          <w:rFonts w:hint="default" w:ascii="Times New Roman" w:hAnsi="Times New Roman" w:cs="Times New Roman" w:eastAsiaTheme="minorEastAsia"/>
          <w:color w:val="000000" w:themeColor="text1"/>
          <w:sz w:val="24"/>
          <w:szCs w:val="22"/>
          <w14:textFill>
            <w14:solidFill>
              <w14:schemeClr w14:val="tx1"/>
            </w14:solidFill>
          </w14:textFill>
        </w:rPr>
        <w:t>5.1.1.2 施工机械和运输车辆尾气影响分析</w:t>
      </w:r>
      <w:bookmarkEnd w:id="177"/>
    </w:p>
    <w:p>
      <w:pPr>
        <w:ind w:firstLine="560"/>
        <w:rPr>
          <w:rFonts w:hint="default" w:ascii="Times New Roman" w:hAnsi="Times New Roman" w:cs="Times New Roman" w:eastAsiaTheme="minorEastAsia"/>
          <w:bCs/>
          <w:color w:val="000000" w:themeColor="text1"/>
          <w:sz w:val="24"/>
          <w:szCs w:val="22"/>
          <w14:textFill>
            <w14:solidFill>
              <w14:schemeClr w14:val="tx1"/>
            </w14:solidFill>
          </w14:textFill>
        </w:rPr>
      </w:pPr>
      <w:r>
        <w:rPr>
          <w:rFonts w:hint="default" w:ascii="Times New Roman" w:hAnsi="Times New Roman" w:cs="Times New Roman" w:eastAsiaTheme="minorEastAsia"/>
          <w:bCs/>
          <w:color w:val="000000" w:themeColor="text1"/>
          <w:sz w:val="24"/>
          <w:szCs w:val="22"/>
          <w14:textFill>
            <w14:solidFill>
              <w14:schemeClr w14:val="tx1"/>
            </w14:solidFill>
          </w14:textFill>
        </w:rPr>
        <w:t>施工期间，使用机动车运送原材料、设备和建筑机械设备的运转，均会排放一定量的CO、NO</w:t>
      </w:r>
      <w:r>
        <w:rPr>
          <w:rFonts w:hint="default" w:ascii="Times New Roman" w:hAnsi="Times New Roman" w:cs="Times New Roman" w:eastAsiaTheme="minorEastAsia"/>
          <w:bCs/>
          <w:color w:val="000000" w:themeColor="text1"/>
          <w:sz w:val="24"/>
          <w:szCs w:val="22"/>
          <w:vertAlign w:val="subscript"/>
          <w14:textFill>
            <w14:solidFill>
              <w14:schemeClr w14:val="tx1"/>
            </w14:solidFill>
          </w14:textFill>
        </w:rPr>
        <w:t>2</w:t>
      </w:r>
      <w:r>
        <w:rPr>
          <w:rFonts w:hint="default" w:ascii="Times New Roman" w:hAnsi="Times New Roman" w:cs="Times New Roman" w:eastAsiaTheme="minorEastAsia"/>
          <w:bCs/>
          <w:color w:val="000000" w:themeColor="text1"/>
          <w:sz w:val="24"/>
          <w:szCs w:val="22"/>
          <w14:textFill>
            <w14:solidFill>
              <w14:schemeClr w14:val="tx1"/>
            </w14:solidFill>
          </w14:textFill>
        </w:rPr>
        <w:t>以及未完全燃烧的HC等，其特点是排放量小，且属间断性无组织排放，由于这一特点，加之施工场地较开阔，扩散条件良好，因此对其不加处理就可达到相应的排放标准。对此，本环评要求在施工期内多加注意施工设备的维护，使其处于正常的运行状态，从而可避免施工机械因非正常状态工作而产生废气超标的现象。</w:t>
      </w:r>
    </w:p>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5.1.2 施工期噪声影响预测评价</w:t>
      </w:r>
    </w:p>
    <w:p>
      <w:pPr>
        <w:ind w:firstLine="560"/>
        <w:rPr>
          <w:rFonts w:hint="default" w:ascii="Times New Roman" w:hAnsi="Times New Roman" w:cs="Times New Roman" w:eastAsiaTheme="minorEastAsia"/>
          <w:bCs/>
          <w:color w:val="000000" w:themeColor="text1"/>
          <w:sz w:val="24"/>
          <w:szCs w:val="22"/>
          <w14:textFill>
            <w14:solidFill>
              <w14:schemeClr w14:val="tx1"/>
            </w14:solidFill>
          </w14:textFill>
        </w:rPr>
      </w:pPr>
      <w:r>
        <w:rPr>
          <w:rFonts w:hint="default" w:ascii="Times New Roman" w:hAnsi="Times New Roman" w:cs="Times New Roman" w:eastAsiaTheme="minorEastAsia"/>
          <w:bCs/>
          <w:color w:val="000000" w:themeColor="text1"/>
          <w:sz w:val="24"/>
          <w:szCs w:val="22"/>
          <w14:textFill>
            <w14:solidFill>
              <w14:schemeClr w14:val="tx1"/>
            </w14:solidFill>
          </w14:textFill>
        </w:rPr>
        <w:t>（1）噪声源分析</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拟建项目施工期的噪声污染源主要包括施工机械噪声和运输车辆噪声，其特点是间歇或阵发性的。施工期各工段噪声级较高的机械设备主要有推土机、挖掘机、混凝土搅拌机、吊管机、定向钻机、冲击钻机、液压抓斗等，噪声级一般在78-100 dB（A）之间；施工过程中运输车辆一般使用中型、轻型载重自卸汽车等，其噪声源具有线源和流动源特征，噪声级在76-90 dB（A）之间。施工期主要噪声源及声级强度具体见下表。</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表5-1-3  各种机械设备的噪声值 单位：dB（A）</w:t>
      </w:r>
    </w:p>
    <w:tbl>
      <w:tblPr>
        <w:tblStyle w:val="91"/>
        <w:tblW w:w="0" w:type="auto"/>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839"/>
        <w:gridCol w:w="3134"/>
        <w:gridCol w:w="2747"/>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385" w:hRule="atLeast"/>
        </w:trPr>
        <w:tc>
          <w:tcPr>
            <w:tcW w:w="2839" w:type="dxa"/>
            <w:tcBorders>
              <w:top w:val="single" w:color="auto" w:sz="12" w:space="0"/>
              <w:left w:val="nil"/>
              <w:bottom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机械类型</w:t>
            </w:r>
          </w:p>
        </w:tc>
        <w:tc>
          <w:tcPr>
            <w:tcW w:w="3134" w:type="dxa"/>
            <w:tcBorders>
              <w:top w:val="single" w:color="auto" w:sz="12" w:space="0"/>
              <w:left w:val="single" w:color="auto" w:sz="4" w:space="0"/>
              <w:bottom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声源特点</w:t>
            </w:r>
          </w:p>
        </w:tc>
        <w:tc>
          <w:tcPr>
            <w:tcW w:w="2747" w:type="dxa"/>
            <w:tcBorders>
              <w:top w:val="single" w:color="auto" w:sz="12" w:space="0"/>
              <w:left w:val="single" w:color="auto" w:sz="4" w:space="0"/>
              <w:bottom w:val="single" w:color="auto" w:sz="4" w:space="0"/>
              <w:right w:val="nil"/>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噪声值</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839" w:type="dxa"/>
            <w:tcBorders>
              <w:top w:val="single" w:color="auto" w:sz="4" w:space="0"/>
              <w:left w:val="nil"/>
              <w:bottom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推土机</w:t>
            </w:r>
          </w:p>
        </w:tc>
        <w:tc>
          <w:tcPr>
            <w:tcW w:w="3134" w:type="dxa"/>
            <w:tcBorders>
              <w:top w:val="single" w:color="auto" w:sz="4" w:space="0"/>
              <w:left w:val="single" w:color="auto" w:sz="4" w:space="0"/>
              <w:bottom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不稳定源</w:t>
            </w:r>
          </w:p>
        </w:tc>
        <w:tc>
          <w:tcPr>
            <w:tcW w:w="2747" w:type="dxa"/>
            <w:tcBorders>
              <w:top w:val="single" w:color="auto" w:sz="4" w:space="0"/>
              <w:left w:val="single" w:color="auto" w:sz="4" w:space="0"/>
              <w:bottom w:val="single" w:color="auto" w:sz="4" w:space="0"/>
              <w:right w:val="nil"/>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78-96</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839" w:type="dxa"/>
            <w:tcBorders>
              <w:top w:val="single" w:color="auto" w:sz="4" w:space="0"/>
              <w:left w:val="nil"/>
              <w:bottom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挖掘机</w:t>
            </w:r>
          </w:p>
        </w:tc>
        <w:tc>
          <w:tcPr>
            <w:tcW w:w="3134" w:type="dxa"/>
            <w:tcBorders>
              <w:top w:val="single" w:color="auto" w:sz="4" w:space="0"/>
              <w:left w:val="single" w:color="auto" w:sz="4" w:space="0"/>
              <w:bottom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流动不稳定源</w:t>
            </w:r>
          </w:p>
        </w:tc>
        <w:tc>
          <w:tcPr>
            <w:tcW w:w="2747" w:type="dxa"/>
            <w:tcBorders>
              <w:top w:val="single" w:color="auto" w:sz="4" w:space="0"/>
              <w:left w:val="single" w:color="auto" w:sz="4" w:space="0"/>
              <w:bottom w:val="single" w:color="auto" w:sz="4" w:space="0"/>
              <w:right w:val="nil"/>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78-96</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839" w:type="dxa"/>
            <w:tcBorders>
              <w:top w:val="single" w:color="auto" w:sz="4" w:space="0"/>
              <w:left w:val="nil"/>
              <w:bottom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定向钻机</w:t>
            </w:r>
          </w:p>
        </w:tc>
        <w:tc>
          <w:tcPr>
            <w:tcW w:w="3134" w:type="dxa"/>
            <w:tcBorders>
              <w:top w:val="single" w:color="auto" w:sz="4" w:space="0"/>
              <w:left w:val="single" w:color="auto" w:sz="4" w:space="0"/>
              <w:bottom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流动不稳定源</w:t>
            </w:r>
          </w:p>
        </w:tc>
        <w:tc>
          <w:tcPr>
            <w:tcW w:w="2747" w:type="dxa"/>
            <w:tcBorders>
              <w:top w:val="single" w:color="auto" w:sz="4" w:space="0"/>
              <w:left w:val="single" w:color="auto" w:sz="4" w:space="0"/>
              <w:bottom w:val="single" w:color="auto" w:sz="4" w:space="0"/>
              <w:right w:val="nil"/>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90</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839" w:type="dxa"/>
            <w:tcBorders>
              <w:top w:val="single" w:color="auto" w:sz="4" w:space="0"/>
              <w:left w:val="nil"/>
              <w:bottom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冲击钻机</w:t>
            </w:r>
          </w:p>
        </w:tc>
        <w:tc>
          <w:tcPr>
            <w:tcW w:w="3134" w:type="dxa"/>
            <w:tcBorders>
              <w:top w:val="single" w:color="auto" w:sz="4" w:space="0"/>
              <w:left w:val="single" w:color="auto" w:sz="4" w:space="0"/>
              <w:bottom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不稳定源</w:t>
            </w:r>
          </w:p>
        </w:tc>
        <w:tc>
          <w:tcPr>
            <w:tcW w:w="2747" w:type="dxa"/>
            <w:tcBorders>
              <w:top w:val="single" w:color="auto" w:sz="4" w:space="0"/>
              <w:left w:val="single" w:color="auto" w:sz="4" w:space="0"/>
              <w:bottom w:val="single" w:color="auto" w:sz="4" w:space="0"/>
              <w:right w:val="nil"/>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95-100</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39" w:type="dxa"/>
            <w:tcBorders>
              <w:top w:val="single" w:color="auto" w:sz="4" w:space="0"/>
              <w:left w:val="nil"/>
              <w:bottom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振捣棒</w:t>
            </w:r>
          </w:p>
        </w:tc>
        <w:tc>
          <w:tcPr>
            <w:tcW w:w="3134" w:type="dxa"/>
            <w:tcBorders>
              <w:top w:val="single" w:color="auto" w:sz="4" w:space="0"/>
              <w:left w:val="single" w:color="auto" w:sz="4" w:space="0"/>
              <w:bottom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固定稳定源</w:t>
            </w:r>
          </w:p>
        </w:tc>
        <w:tc>
          <w:tcPr>
            <w:tcW w:w="2747" w:type="dxa"/>
            <w:tcBorders>
              <w:top w:val="single" w:color="auto" w:sz="4" w:space="0"/>
              <w:left w:val="single" w:color="auto" w:sz="4" w:space="0"/>
              <w:bottom w:val="single" w:color="auto" w:sz="4" w:space="0"/>
              <w:right w:val="nil"/>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93</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839" w:type="dxa"/>
            <w:tcBorders>
              <w:top w:val="single" w:color="auto" w:sz="4" w:space="0"/>
              <w:left w:val="nil"/>
              <w:bottom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电锯</w:t>
            </w:r>
          </w:p>
        </w:tc>
        <w:tc>
          <w:tcPr>
            <w:tcW w:w="3134" w:type="dxa"/>
            <w:tcBorders>
              <w:top w:val="single" w:color="auto" w:sz="4" w:space="0"/>
              <w:left w:val="single" w:color="auto" w:sz="4" w:space="0"/>
              <w:bottom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固定稳定源</w:t>
            </w:r>
          </w:p>
        </w:tc>
        <w:tc>
          <w:tcPr>
            <w:tcW w:w="2747" w:type="dxa"/>
            <w:tcBorders>
              <w:top w:val="single" w:color="auto" w:sz="4" w:space="0"/>
              <w:left w:val="single" w:color="auto" w:sz="4" w:space="0"/>
              <w:bottom w:val="single" w:color="auto" w:sz="4" w:space="0"/>
              <w:right w:val="nil"/>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100</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839" w:type="dxa"/>
            <w:tcBorders>
              <w:top w:val="single" w:color="auto" w:sz="4" w:space="0"/>
              <w:left w:val="nil"/>
              <w:bottom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打桩机</w:t>
            </w:r>
          </w:p>
        </w:tc>
        <w:tc>
          <w:tcPr>
            <w:tcW w:w="3134" w:type="dxa"/>
            <w:tcBorders>
              <w:top w:val="single" w:color="auto" w:sz="4" w:space="0"/>
              <w:left w:val="single" w:color="auto" w:sz="4" w:space="0"/>
              <w:bottom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不稳定源</w:t>
            </w:r>
          </w:p>
        </w:tc>
        <w:tc>
          <w:tcPr>
            <w:tcW w:w="2747" w:type="dxa"/>
            <w:tcBorders>
              <w:top w:val="single" w:color="auto" w:sz="4" w:space="0"/>
              <w:left w:val="single" w:color="auto" w:sz="4" w:space="0"/>
              <w:bottom w:val="single" w:color="auto" w:sz="4" w:space="0"/>
              <w:right w:val="nil"/>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85-100</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839" w:type="dxa"/>
            <w:tcBorders>
              <w:top w:val="single" w:color="auto" w:sz="4" w:space="0"/>
              <w:left w:val="nil"/>
              <w:bottom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混凝土搅拌机</w:t>
            </w:r>
          </w:p>
        </w:tc>
        <w:tc>
          <w:tcPr>
            <w:tcW w:w="3134" w:type="dxa"/>
            <w:tcBorders>
              <w:top w:val="single" w:color="auto" w:sz="4" w:space="0"/>
              <w:left w:val="single" w:color="auto" w:sz="4" w:space="0"/>
              <w:bottom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流动不稳定源</w:t>
            </w:r>
          </w:p>
        </w:tc>
        <w:tc>
          <w:tcPr>
            <w:tcW w:w="2747" w:type="dxa"/>
            <w:tcBorders>
              <w:top w:val="single" w:color="auto" w:sz="4" w:space="0"/>
              <w:left w:val="single" w:color="auto" w:sz="4" w:space="0"/>
              <w:bottom w:val="single" w:color="auto" w:sz="4" w:space="0"/>
              <w:right w:val="nil"/>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78-89</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839" w:type="dxa"/>
            <w:tcBorders>
              <w:top w:val="single" w:color="auto" w:sz="4" w:space="0"/>
              <w:left w:val="nil"/>
              <w:bottom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液压抓斗</w:t>
            </w:r>
          </w:p>
        </w:tc>
        <w:tc>
          <w:tcPr>
            <w:tcW w:w="3134" w:type="dxa"/>
            <w:tcBorders>
              <w:top w:val="single" w:color="auto" w:sz="4" w:space="0"/>
              <w:left w:val="single" w:color="auto" w:sz="4" w:space="0"/>
              <w:bottom w:val="single" w:color="auto" w:sz="4"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流动不稳定源</w:t>
            </w:r>
          </w:p>
        </w:tc>
        <w:tc>
          <w:tcPr>
            <w:tcW w:w="2747" w:type="dxa"/>
            <w:tcBorders>
              <w:top w:val="single" w:color="auto" w:sz="4" w:space="0"/>
              <w:left w:val="single" w:color="auto" w:sz="4" w:space="0"/>
              <w:bottom w:val="single" w:color="auto" w:sz="4" w:space="0"/>
              <w:right w:val="nil"/>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85-95</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839" w:type="dxa"/>
            <w:tcBorders>
              <w:top w:val="single" w:color="auto" w:sz="4" w:space="0"/>
              <w:left w:val="nil"/>
              <w:bottom w:val="single" w:color="auto" w:sz="12"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吊管机</w:t>
            </w:r>
          </w:p>
        </w:tc>
        <w:tc>
          <w:tcPr>
            <w:tcW w:w="3134" w:type="dxa"/>
            <w:tcBorders>
              <w:top w:val="single" w:color="auto" w:sz="4" w:space="0"/>
              <w:left w:val="single" w:color="auto" w:sz="4" w:space="0"/>
              <w:bottom w:val="single" w:color="auto" w:sz="12" w:space="0"/>
              <w:right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流动不稳定源</w:t>
            </w:r>
          </w:p>
        </w:tc>
        <w:tc>
          <w:tcPr>
            <w:tcW w:w="2747" w:type="dxa"/>
            <w:tcBorders>
              <w:top w:val="single" w:color="auto" w:sz="4" w:space="0"/>
              <w:left w:val="single" w:color="auto" w:sz="4" w:space="0"/>
              <w:bottom w:val="single" w:color="auto" w:sz="12" w:space="0"/>
              <w:right w:val="nil"/>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76-83</w:t>
            </w:r>
          </w:p>
        </w:tc>
      </w:tr>
    </w:tbl>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由于施工现场内设备的位置不断变化，而且同一施工阶段不同时间设备运行的数量也有变化，因此很难准确地预测施工现场的场界噪声值。一般施工场界噪声平均声级超过《建筑施工场界环境噪声排放标准》（GB12523-2011）中的要求15-25 dB（A）。</w:t>
      </w:r>
    </w:p>
    <w:p>
      <w:pPr>
        <w:ind w:firstLine="560"/>
        <w:rPr>
          <w:rFonts w:hint="default" w:ascii="Times New Roman" w:hAnsi="Times New Roman" w:cs="Times New Roman" w:eastAsiaTheme="minorEastAsia"/>
          <w:bCs/>
          <w:color w:val="000000" w:themeColor="text1"/>
          <w:sz w:val="24"/>
          <w:szCs w:val="22"/>
          <w14:textFill>
            <w14:solidFill>
              <w14:schemeClr w14:val="tx1"/>
            </w14:solidFill>
          </w14:textFill>
        </w:rPr>
      </w:pPr>
      <w:r>
        <w:rPr>
          <w:rFonts w:hint="default" w:ascii="Times New Roman" w:hAnsi="Times New Roman" w:cs="Times New Roman" w:eastAsiaTheme="minorEastAsia"/>
          <w:bCs/>
          <w:color w:val="000000" w:themeColor="text1"/>
          <w:sz w:val="24"/>
          <w:szCs w:val="22"/>
          <w14:textFill>
            <w14:solidFill>
              <w14:schemeClr w14:val="tx1"/>
            </w14:solidFill>
          </w14:textFill>
        </w:rPr>
        <w:t>（2）噪声预测模式</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为了反映施工噪声对施工现场及周围环境的最大影响，假设不存在任何声屏障，对于施工期间的噪声源的预测，通常视为点源预测计算。根据点声源衰减模式，可以估算出离声源不同距离敏感区的噪声值，点声源预测模式如下：</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object>
          <v:shape id="_x0000_i1025" o:spt="75" type="#_x0000_t75" style="height:21.75pt;width:144pt;" o:ole="t" filled="f" o:preferrelative="t" stroked="f" coordsize="21600,21600">
            <v:path/>
            <v:fill on="f" focussize="0,0"/>
            <v:stroke on="f" joinstyle="miter"/>
            <v:imagedata r:id="rId70" o:title=""/>
            <o:lock v:ext="edit" aspectratio="t"/>
            <w10:wrap type="none"/>
            <w10:anchorlock/>
          </v:shape>
          <o:OLEObject Type="Embed" ProgID="Equations" ShapeID="_x0000_i1025" DrawAspect="Content" ObjectID="_1468075725" r:id="rId69">
            <o:LockedField>false</o:LockedField>
          </o:OLEObject>
        </w:objec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式中：L</w:t>
      </w:r>
      <w:r>
        <w:rPr>
          <w:rFonts w:hint="default" w:ascii="Times New Roman" w:hAnsi="Times New Roman" w:cs="Times New Roman" w:eastAsiaTheme="minorEastAsia"/>
          <w:i/>
          <w:color w:val="000000" w:themeColor="text1"/>
          <w:sz w:val="24"/>
          <w:szCs w:val="22"/>
          <w:vertAlign w:val="subscript"/>
          <w14:textFill>
            <w14:solidFill>
              <w14:schemeClr w14:val="tx1"/>
            </w14:solidFill>
          </w14:textFill>
        </w:rPr>
        <w:t>P</w:t>
      </w:r>
      <w:r>
        <w:rPr>
          <w:rFonts w:hint="default" w:ascii="Times New Roman" w:hAnsi="Times New Roman" w:cs="Times New Roman" w:eastAsiaTheme="minorEastAsia"/>
          <w:color w:val="000000" w:themeColor="text1"/>
          <w:sz w:val="24"/>
          <w:szCs w:val="22"/>
          <w14:textFill>
            <w14:solidFill>
              <w14:schemeClr w14:val="tx1"/>
            </w14:solidFill>
          </w14:textFill>
        </w:rPr>
        <w:t>—距声源</w:t>
      </w:r>
      <w:r>
        <w:rPr>
          <w:rFonts w:hint="default" w:ascii="Times New Roman" w:hAnsi="Times New Roman" w:cs="Times New Roman" w:eastAsiaTheme="minorEastAsia"/>
          <w:i/>
          <w:color w:val="000000" w:themeColor="text1"/>
          <w:sz w:val="24"/>
          <w:szCs w:val="22"/>
          <w14:textFill>
            <w14:solidFill>
              <w14:schemeClr w14:val="tx1"/>
            </w14:solidFill>
          </w14:textFill>
        </w:rPr>
        <w:t>r</w:t>
      </w:r>
      <w:r>
        <w:rPr>
          <w:rFonts w:hint="default" w:ascii="Times New Roman" w:hAnsi="Times New Roman" w:cs="Times New Roman" w:eastAsiaTheme="minorEastAsia"/>
          <w:color w:val="000000" w:themeColor="text1"/>
          <w:sz w:val="24"/>
          <w:szCs w:val="22"/>
          <w14:textFill>
            <w14:solidFill>
              <w14:schemeClr w14:val="tx1"/>
            </w14:solidFill>
          </w14:textFill>
        </w:rPr>
        <w:t>米处的施工噪声预测值，dB（A）；</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L</w:t>
      </w:r>
      <w:r>
        <w:rPr>
          <w:rFonts w:hint="default" w:ascii="Times New Roman" w:hAnsi="Times New Roman" w:cs="Times New Roman" w:eastAsiaTheme="minorEastAsia"/>
          <w:i/>
          <w:color w:val="000000" w:themeColor="text1"/>
          <w:sz w:val="24"/>
          <w:szCs w:val="22"/>
          <w:vertAlign w:val="subscript"/>
          <w14:textFill>
            <w14:solidFill>
              <w14:schemeClr w14:val="tx1"/>
            </w14:solidFill>
          </w14:textFill>
        </w:rPr>
        <w:t>P</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0</w:t>
      </w:r>
      <w:r>
        <w:rPr>
          <w:rFonts w:hint="default" w:ascii="Times New Roman" w:hAnsi="Times New Roman" w:cs="Times New Roman" w:eastAsiaTheme="minorEastAsia"/>
          <w:color w:val="000000" w:themeColor="text1"/>
          <w:sz w:val="24"/>
          <w:szCs w:val="22"/>
          <w14:textFill>
            <w14:solidFill>
              <w14:schemeClr w14:val="tx1"/>
            </w14:solidFill>
          </w14:textFill>
        </w:rPr>
        <w:t>—距声源</w:t>
      </w:r>
      <w:r>
        <w:rPr>
          <w:rFonts w:hint="default" w:ascii="Times New Roman" w:hAnsi="Times New Roman" w:cs="Times New Roman" w:eastAsiaTheme="minorEastAsia"/>
          <w:i/>
          <w:color w:val="000000" w:themeColor="text1"/>
          <w:sz w:val="24"/>
          <w:szCs w:val="22"/>
          <w14:textFill>
            <w14:solidFill>
              <w14:schemeClr w14:val="tx1"/>
            </w14:solidFill>
          </w14:textFill>
        </w:rPr>
        <w:t>r</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0</w:t>
      </w:r>
      <w:r>
        <w:rPr>
          <w:rFonts w:hint="default" w:ascii="Times New Roman" w:hAnsi="Times New Roman" w:cs="Times New Roman" w:eastAsiaTheme="minorEastAsia"/>
          <w:color w:val="000000" w:themeColor="text1"/>
          <w:sz w:val="24"/>
          <w:szCs w:val="22"/>
          <w14:textFill>
            <w14:solidFill>
              <w14:schemeClr w14:val="tx1"/>
            </w14:solidFill>
          </w14:textFill>
        </w:rPr>
        <w:t>米处的参考声级，dB（A）；</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i/>
          <w:color w:val="000000" w:themeColor="text1"/>
          <w:sz w:val="24"/>
          <w:szCs w:val="22"/>
          <w14:textFill>
            <w14:solidFill>
              <w14:schemeClr w14:val="tx1"/>
            </w14:solidFill>
          </w14:textFill>
        </w:rPr>
        <w:t>r</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0</w:t>
      </w:r>
      <w:r>
        <w:rPr>
          <w:rFonts w:hint="default" w:ascii="Times New Roman" w:hAnsi="Times New Roman" w:cs="Times New Roman" w:eastAsiaTheme="minorEastAsia"/>
          <w:color w:val="000000" w:themeColor="text1"/>
          <w:sz w:val="24"/>
          <w:szCs w:val="22"/>
          <w14:textFill>
            <w14:solidFill>
              <w14:schemeClr w14:val="tx1"/>
            </w14:solidFill>
          </w14:textFill>
        </w:rPr>
        <w:t>—L</w:t>
      </w:r>
      <w:r>
        <w:rPr>
          <w:rFonts w:hint="default" w:ascii="Times New Roman" w:hAnsi="Times New Roman" w:cs="Times New Roman" w:eastAsiaTheme="minorEastAsia"/>
          <w:i/>
          <w:color w:val="000000" w:themeColor="text1"/>
          <w:sz w:val="24"/>
          <w:szCs w:val="22"/>
          <w:vertAlign w:val="subscript"/>
          <w14:textFill>
            <w14:solidFill>
              <w14:schemeClr w14:val="tx1"/>
            </w14:solidFill>
          </w14:textFill>
        </w:rPr>
        <w:t>P</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0</w:t>
      </w:r>
      <w:r>
        <w:rPr>
          <w:rFonts w:hint="default" w:ascii="Times New Roman" w:hAnsi="Times New Roman" w:cs="Times New Roman" w:eastAsiaTheme="minorEastAsia"/>
          <w:color w:val="000000" w:themeColor="text1"/>
          <w:sz w:val="24"/>
          <w:szCs w:val="22"/>
          <w14:textFill>
            <w14:solidFill>
              <w14:schemeClr w14:val="tx1"/>
            </w14:solidFill>
          </w14:textFill>
        </w:rPr>
        <w:t>噪声的测点距离（5 m或1 m），m；</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w:t>
      </w:r>
      <w:r>
        <w:rPr>
          <w:rFonts w:hint="default" w:ascii="Times New Roman" w:hAnsi="Times New Roman" w:cs="Times New Roman" w:eastAsiaTheme="minorEastAsia"/>
          <w:i/>
          <w:color w:val="000000" w:themeColor="text1"/>
          <w:sz w:val="24"/>
          <w:szCs w:val="22"/>
          <w14:textFill>
            <w14:solidFill>
              <w14:schemeClr w14:val="tx1"/>
            </w14:solidFill>
          </w14:textFill>
        </w:rPr>
        <w:t>L</w:t>
      </w:r>
      <w:r>
        <w:rPr>
          <w:rFonts w:hint="default" w:ascii="Times New Roman" w:hAnsi="Times New Roman" w:cs="Times New Roman" w:eastAsiaTheme="minorEastAsia"/>
          <w:color w:val="000000" w:themeColor="text1"/>
          <w:sz w:val="24"/>
          <w:szCs w:val="22"/>
          <w14:textFill>
            <w14:solidFill>
              <w14:schemeClr w14:val="tx1"/>
            </w14:solidFill>
          </w14:textFill>
        </w:rPr>
        <w:t>—采取各种措施后的噪声衰减量，dB（A）。</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噪声级的叠加公式如下：</w:t>
      </w:r>
    </w:p>
    <w:p>
      <w:pPr>
        <w:spacing w:line="240" w:lineRule="auto"/>
        <w:ind w:firstLine="0" w:firstLineChars="0"/>
        <w:jc w:val="center"/>
        <w:rPr>
          <w:rFonts w:hint="default" w:ascii="Times New Roman" w:hAnsi="Times New Roman" w:cs="Times New Roman" w:eastAsiaTheme="minorEastAsia"/>
          <w:color w:val="000000" w:themeColor="text1"/>
          <w:sz w:val="24"/>
          <w:szCs w:val="22"/>
          <w14:textFill>
            <w14:solidFill>
              <w14:schemeClr w14:val="tx1"/>
            </w14:solidFill>
          </w14:textFill>
        </w:rPr>
      </w:pPr>
      <m:oMathPara>
        <m:oMath>
          <m:sSub>
            <m:sSubPr>
              <m:ctrlPr>
                <w:rPr>
                  <w:rFonts w:hint="default" w:ascii="Cambria Math" w:hAnsi="Cambria Math" w:cs="Times New Roman" w:eastAsiaTheme="minorEastAsia"/>
                  <w:color w:val="000000" w:themeColor="text1"/>
                  <w:sz w:val="22"/>
                  <w:szCs w:val="21"/>
                  <w14:textFill>
                    <w14:solidFill>
                      <w14:schemeClr w14:val="tx1"/>
                    </w14:solidFill>
                  </w14:textFill>
                </w:rPr>
              </m:ctrlPr>
            </m:sSubPr>
            <m:e>
              <m:r>
                <m:rPr/>
                <w:rPr>
                  <w:rFonts w:hint="default" w:ascii="Cambria Math" w:hAnsi="Cambria Math" w:cs="Times New Roman" w:eastAsiaTheme="minorEastAsia"/>
                  <w:color w:val="000000" w:themeColor="text1"/>
                  <w:sz w:val="22"/>
                  <w:szCs w:val="21"/>
                  <w14:textFill>
                    <w14:solidFill>
                      <w14:schemeClr w14:val="tx1"/>
                    </w14:solidFill>
                  </w14:textFill>
                </w:rPr>
                <m:t>L</m:t>
              </m:r>
              <m:ctrlPr>
                <w:rPr>
                  <w:rFonts w:hint="default" w:ascii="Cambria Math" w:hAnsi="Cambria Math" w:cs="Times New Roman" w:eastAsiaTheme="minorEastAsia"/>
                  <w:color w:val="000000" w:themeColor="text1"/>
                  <w:sz w:val="22"/>
                  <w:szCs w:val="21"/>
                  <w14:textFill>
                    <w14:solidFill>
                      <w14:schemeClr w14:val="tx1"/>
                    </w14:solidFill>
                  </w14:textFill>
                </w:rPr>
              </m:ctrlPr>
            </m:e>
            <m:sub>
              <m:r>
                <m:rPr>
                  <m:sty m:val="p"/>
                </m:rPr>
                <w:rPr>
                  <w:rFonts w:hint="default" w:ascii="Cambria Math" w:hAnsi="Cambria Math" w:cs="Times New Roman" w:eastAsiaTheme="minorEastAsia"/>
                  <w:color w:val="000000" w:themeColor="text1"/>
                  <w:sz w:val="22"/>
                  <w:szCs w:val="21"/>
                  <w14:textFill>
                    <w14:solidFill>
                      <w14:schemeClr w14:val="tx1"/>
                    </w14:solidFill>
                  </w14:textFill>
                </w:rPr>
                <m:t>总</m:t>
              </m:r>
              <m:ctrlPr>
                <w:rPr>
                  <w:rFonts w:hint="default" w:ascii="Cambria Math" w:hAnsi="Cambria Math" w:cs="Times New Roman" w:eastAsiaTheme="minorEastAsia"/>
                  <w:color w:val="000000" w:themeColor="text1"/>
                  <w:sz w:val="22"/>
                  <w:szCs w:val="21"/>
                  <w14:textFill>
                    <w14:solidFill>
                      <w14:schemeClr w14:val="tx1"/>
                    </w14:solidFill>
                  </w14:textFill>
                </w:rPr>
              </m:ctrlPr>
            </m:sub>
          </m:sSub>
          <m:r>
            <m:rPr>
              <m:sty m:val="p"/>
            </m:rPr>
            <w:rPr>
              <w:rFonts w:hint="default" w:ascii="Cambria Math" w:hAnsi="Cambria Math" w:cs="Times New Roman" w:eastAsiaTheme="minorEastAsia"/>
              <w:color w:val="000000" w:themeColor="text1"/>
              <w:sz w:val="22"/>
              <w:szCs w:val="21"/>
              <w14:textFill>
                <w14:solidFill>
                  <w14:schemeClr w14:val="tx1"/>
                </w14:solidFill>
              </w14:textFill>
            </w:rPr>
            <m:t>=10log</m:t>
          </m:r>
          <m:d>
            <m:dPr>
              <m:ctrlPr>
                <w:rPr>
                  <w:rFonts w:hint="default" w:ascii="Cambria Math" w:hAnsi="Cambria Math" w:cs="Times New Roman" w:eastAsiaTheme="minorEastAsia"/>
                  <w:color w:val="000000" w:themeColor="text1"/>
                  <w:sz w:val="22"/>
                  <w:szCs w:val="21"/>
                  <w14:textFill>
                    <w14:solidFill>
                      <w14:schemeClr w14:val="tx1"/>
                    </w14:solidFill>
                  </w14:textFill>
                </w:rPr>
              </m:ctrlPr>
            </m:dPr>
            <m:e>
              <m:nary>
                <m:naryPr>
                  <m:chr m:val="∑"/>
                  <m:limLoc m:val="undOvr"/>
                  <m:ctrlPr>
                    <w:rPr>
                      <w:rFonts w:hint="default" w:ascii="Cambria Math" w:hAnsi="Cambria Math" w:cs="Times New Roman" w:eastAsiaTheme="minorEastAsia"/>
                      <w:color w:val="000000" w:themeColor="text1"/>
                      <w:sz w:val="22"/>
                      <w:szCs w:val="21"/>
                      <w14:textFill>
                        <w14:solidFill>
                          <w14:schemeClr w14:val="tx1"/>
                        </w14:solidFill>
                      </w14:textFill>
                    </w:rPr>
                  </m:ctrlPr>
                </m:naryPr>
                <m:sub>
                  <m:r>
                    <m:rPr/>
                    <w:rPr>
                      <w:rFonts w:hint="default" w:ascii="Cambria Math" w:hAnsi="Cambria Math" w:cs="Times New Roman" w:eastAsiaTheme="minorEastAsia"/>
                      <w:color w:val="000000" w:themeColor="text1"/>
                      <w:sz w:val="22"/>
                      <w:szCs w:val="21"/>
                      <w14:textFill>
                        <w14:solidFill>
                          <w14:schemeClr w14:val="tx1"/>
                        </w14:solidFill>
                      </w14:textFill>
                    </w:rPr>
                    <m:t>i</m:t>
                  </m:r>
                  <m:r>
                    <m:rPr>
                      <m:sty m:val="p"/>
                    </m:rPr>
                    <w:rPr>
                      <w:rFonts w:hint="default" w:ascii="Cambria Math" w:hAnsi="Cambria Math" w:cs="Times New Roman" w:eastAsiaTheme="minorEastAsia"/>
                      <w:color w:val="000000" w:themeColor="text1"/>
                      <w:sz w:val="22"/>
                      <w:szCs w:val="21"/>
                      <w14:textFill>
                        <w14:solidFill>
                          <w14:schemeClr w14:val="tx1"/>
                        </w14:solidFill>
                      </w14:textFill>
                    </w:rPr>
                    <m:t>=1</m:t>
                  </m:r>
                  <m:ctrlPr>
                    <w:rPr>
                      <w:rFonts w:hint="default" w:ascii="Cambria Math" w:hAnsi="Cambria Math" w:cs="Times New Roman" w:eastAsiaTheme="minorEastAsia"/>
                      <w:color w:val="000000" w:themeColor="text1"/>
                      <w:sz w:val="22"/>
                      <w:szCs w:val="21"/>
                      <w14:textFill>
                        <w14:solidFill>
                          <w14:schemeClr w14:val="tx1"/>
                        </w14:solidFill>
                      </w14:textFill>
                    </w:rPr>
                  </m:ctrlPr>
                </m:sub>
                <m:sup>
                  <m:r>
                    <m:rPr/>
                    <w:rPr>
                      <w:rFonts w:hint="default" w:ascii="Cambria Math" w:hAnsi="Cambria Math" w:cs="Times New Roman" w:eastAsiaTheme="minorEastAsia"/>
                      <w:color w:val="000000" w:themeColor="text1"/>
                      <w:sz w:val="22"/>
                      <w:szCs w:val="21"/>
                      <w14:textFill>
                        <w14:solidFill>
                          <w14:schemeClr w14:val="tx1"/>
                        </w14:solidFill>
                      </w14:textFill>
                    </w:rPr>
                    <m:t>n</m:t>
                  </m:r>
                  <m:ctrlPr>
                    <w:rPr>
                      <w:rFonts w:hint="default" w:ascii="Cambria Math" w:hAnsi="Cambria Math" w:cs="Times New Roman" w:eastAsiaTheme="minorEastAsia"/>
                      <w:color w:val="000000" w:themeColor="text1"/>
                      <w:sz w:val="22"/>
                      <w:szCs w:val="21"/>
                      <w14:textFill>
                        <w14:solidFill>
                          <w14:schemeClr w14:val="tx1"/>
                        </w14:solidFill>
                      </w14:textFill>
                    </w:rPr>
                  </m:ctrlPr>
                </m:sup>
                <m:e>
                  <m:sSup>
                    <m:sSupPr>
                      <m:ctrlPr>
                        <w:rPr>
                          <w:rFonts w:hint="default" w:ascii="Cambria Math" w:hAnsi="Cambria Math" w:cs="Times New Roman" w:eastAsiaTheme="minorEastAsia"/>
                          <w:color w:val="000000" w:themeColor="text1"/>
                          <w:sz w:val="22"/>
                          <w:szCs w:val="21"/>
                          <w14:textFill>
                            <w14:solidFill>
                              <w14:schemeClr w14:val="tx1"/>
                            </w14:solidFill>
                          </w14:textFill>
                        </w:rPr>
                      </m:ctrlPr>
                    </m:sSupPr>
                    <m:e>
                      <m:r>
                        <m:rPr>
                          <m:sty m:val="p"/>
                        </m:rPr>
                        <w:rPr>
                          <w:rFonts w:hint="default" w:ascii="Cambria Math" w:hAnsi="Cambria Math" w:cs="Times New Roman" w:eastAsiaTheme="minorEastAsia"/>
                          <w:color w:val="000000" w:themeColor="text1"/>
                          <w:sz w:val="22"/>
                          <w:szCs w:val="21"/>
                          <w14:textFill>
                            <w14:solidFill>
                              <w14:schemeClr w14:val="tx1"/>
                            </w14:solidFill>
                          </w14:textFill>
                        </w:rPr>
                        <m:t>10</m:t>
                      </m:r>
                      <m:ctrlPr>
                        <w:rPr>
                          <w:rFonts w:hint="default" w:ascii="Cambria Math" w:hAnsi="Cambria Math" w:cs="Times New Roman" w:eastAsiaTheme="minorEastAsia"/>
                          <w:color w:val="000000" w:themeColor="text1"/>
                          <w:sz w:val="22"/>
                          <w:szCs w:val="21"/>
                          <w14:textFill>
                            <w14:solidFill>
                              <w14:schemeClr w14:val="tx1"/>
                            </w14:solidFill>
                          </w14:textFill>
                        </w:rPr>
                      </m:ctrlPr>
                    </m:e>
                    <m:sup>
                      <m:r>
                        <m:rPr>
                          <m:sty m:val="p"/>
                        </m:rPr>
                        <w:rPr>
                          <w:rFonts w:hint="default" w:ascii="Cambria Math" w:hAnsi="Cambria Math" w:cs="Times New Roman" w:eastAsiaTheme="minorEastAsia"/>
                          <w:color w:val="000000" w:themeColor="text1"/>
                          <w:sz w:val="22"/>
                          <w:szCs w:val="21"/>
                          <w14:textFill>
                            <w14:solidFill>
                              <w14:schemeClr w14:val="tx1"/>
                            </w14:solidFill>
                          </w14:textFill>
                        </w:rPr>
                        <m:t>0.1</m:t>
                      </m:r>
                      <m:sSub>
                        <m:sSubPr>
                          <m:ctrlPr>
                            <w:rPr>
                              <w:rFonts w:hint="default" w:ascii="Cambria Math" w:hAnsi="Cambria Math" w:cs="Times New Roman" w:eastAsiaTheme="minorEastAsia"/>
                              <w:color w:val="000000" w:themeColor="text1"/>
                              <w:sz w:val="22"/>
                              <w:szCs w:val="21"/>
                              <w14:textFill>
                                <w14:solidFill>
                                  <w14:schemeClr w14:val="tx1"/>
                                </w14:solidFill>
                              </w14:textFill>
                            </w:rPr>
                          </m:ctrlPr>
                        </m:sSubPr>
                        <m:e>
                          <m:r>
                            <m:rPr/>
                            <w:rPr>
                              <w:rFonts w:hint="default" w:ascii="Cambria Math" w:hAnsi="Cambria Math" w:cs="Times New Roman" w:eastAsiaTheme="minorEastAsia"/>
                              <w:color w:val="000000" w:themeColor="text1"/>
                              <w:sz w:val="22"/>
                              <w:szCs w:val="21"/>
                              <w14:textFill>
                                <w14:solidFill>
                                  <w14:schemeClr w14:val="tx1"/>
                                </w14:solidFill>
                              </w14:textFill>
                            </w:rPr>
                            <m:t>L</m:t>
                          </m:r>
                          <m:ctrlPr>
                            <w:rPr>
                              <w:rFonts w:hint="default" w:ascii="Cambria Math" w:hAnsi="Cambria Math" w:cs="Times New Roman" w:eastAsiaTheme="minorEastAsia"/>
                              <w:color w:val="000000" w:themeColor="text1"/>
                              <w:sz w:val="22"/>
                              <w:szCs w:val="21"/>
                              <w14:textFill>
                                <w14:solidFill>
                                  <w14:schemeClr w14:val="tx1"/>
                                </w14:solidFill>
                              </w14:textFill>
                            </w:rPr>
                          </m:ctrlPr>
                        </m:e>
                        <m:sub>
                          <m:r>
                            <m:rPr/>
                            <w:rPr>
                              <w:rFonts w:hint="default" w:ascii="Cambria Math" w:hAnsi="Cambria Math" w:cs="Times New Roman" w:eastAsiaTheme="minorEastAsia"/>
                              <w:color w:val="000000" w:themeColor="text1"/>
                              <w:sz w:val="22"/>
                              <w:szCs w:val="21"/>
                              <w14:textFill>
                                <w14:solidFill>
                                  <w14:schemeClr w14:val="tx1"/>
                                </w14:solidFill>
                              </w14:textFill>
                            </w:rPr>
                            <m:t>i</m:t>
                          </m:r>
                          <m:ctrlPr>
                            <w:rPr>
                              <w:rFonts w:hint="default" w:ascii="Cambria Math" w:hAnsi="Cambria Math" w:cs="Times New Roman" w:eastAsiaTheme="minorEastAsia"/>
                              <w:color w:val="000000" w:themeColor="text1"/>
                              <w:sz w:val="22"/>
                              <w:szCs w:val="21"/>
                              <w14:textFill>
                                <w14:solidFill>
                                  <w14:schemeClr w14:val="tx1"/>
                                </w14:solidFill>
                              </w14:textFill>
                            </w:rPr>
                          </m:ctrlPr>
                        </m:sub>
                      </m:sSub>
                      <m:ctrlPr>
                        <w:rPr>
                          <w:rFonts w:hint="default" w:ascii="Cambria Math" w:hAnsi="Cambria Math" w:cs="Times New Roman" w:eastAsiaTheme="minorEastAsia"/>
                          <w:color w:val="000000" w:themeColor="text1"/>
                          <w:sz w:val="22"/>
                          <w:szCs w:val="21"/>
                          <w14:textFill>
                            <w14:solidFill>
                              <w14:schemeClr w14:val="tx1"/>
                            </w14:solidFill>
                          </w14:textFill>
                        </w:rPr>
                      </m:ctrlPr>
                    </m:sup>
                  </m:sSup>
                  <m:ctrlPr>
                    <w:rPr>
                      <w:rFonts w:hint="default" w:ascii="Cambria Math" w:hAnsi="Cambria Math" w:cs="Times New Roman" w:eastAsiaTheme="minorEastAsia"/>
                      <w:color w:val="000000" w:themeColor="text1"/>
                      <w:sz w:val="22"/>
                      <w:szCs w:val="21"/>
                      <w14:textFill>
                        <w14:solidFill>
                          <w14:schemeClr w14:val="tx1"/>
                        </w14:solidFill>
                      </w14:textFill>
                    </w:rPr>
                  </m:ctrlPr>
                </m:e>
              </m:nary>
              <m:ctrlPr>
                <w:rPr>
                  <w:rFonts w:hint="default" w:ascii="Cambria Math" w:hAnsi="Cambria Math" w:cs="Times New Roman" w:eastAsiaTheme="minorEastAsia"/>
                  <w:color w:val="000000" w:themeColor="text1"/>
                  <w:sz w:val="22"/>
                  <w:szCs w:val="21"/>
                  <w14:textFill>
                    <w14:solidFill>
                      <w14:schemeClr w14:val="tx1"/>
                    </w14:solidFill>
                  </w14:textFill>
                </w:rPr>
              </m:ctrlPr>
            </m:e>
          </m:d>
        </m:oMath>
      </m:oMathPara>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式中：</w:t>
      </w:r>
      <w:r>
        <w:rPr>
          <w:rFonts w:hint="default" w:ascii="Times New Roman" w:hAnsi="Times New Roman" w:cs="Times New Roman" w:eastAsiaTheme="minorEastAsia"/>
          <w:i/>
          <w:color w:val="000000" w:themeColor="text1"/>
          <w:sz w:val="24"/>
          <w:szCs w:val="22"/>
          <w14:textFill>
            <w14:solidFill>
              <w14:schemeClr w14:val="tx1"/>
            </w14:solidFill>
          </w14:textFill>
        </w:rPr>
        <w:t>L</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总</w:t>
      </w:r>
      <w:r>
        <w:rPr>
          <w:rFonts w:hint="default" w:ascii="Times New Roman" w:hAnsi="Times New Roman" w:cs="Times New Roman" w:eastAsiaTheme="minorEastAsia"/>
          <w:color w:val="000000" w:themeColor="text1"/>
          <w:sz w:val="24"/>
          <w:szCs w:val="22"/>
          <w14:textFill>
            <w14:solidFill>
              <w14:schemeClr w14:val="tx1"/>
            </w14:solidFill>
          </w14:textFill>
        </w:rPr>
        <w:t>—某点的总声压级；</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i/>
          <w:color w:val="000000" w:themeColor="text1"/>
          <w:sz w:val="24"/>
          <w:szCs w:val="22"/>
          <w14:textFill>
            <w14:solidFill>
              <w14:schemeClr w14:val="tx1"/>
            </w14:solidFill>
          </w14:textFill>
        </w:rPr>
        <w:t>n</w:t>
      </w:r>
      <w:r>
        <w:rPr>
          <w:rFonts w:hint="default" w:ascii="Times New Roman" w:hAnsi="Times New Roman" w:cs="Times New Roman" w:eastAsiaTheme="minorEastAsia"/>
          <w:color w:val="000000" w:themeColor="text1"/>
          <w:sz w:val="24"/>
          <w:szCs w:val="22"/>
          <w14:textFill>
            <w14:solidFill>
              <w14:schemeClr w14:val="tx1"/>
            </w14:solidFill>
          </w14:textFill>
        </w:rPr>
        <w:t>—声源总数；</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i/>
          <w:color w:val="000000" w:themeColor="text1"/>
          <w:sz w:val="24"/>
          <w:szCs w:val="22"/>
          <w14:textFill>
            <w14:solidFill>
              <w14:schemeClr w14:val="tx1"/>
            </w14:solidFill>
          </w14:textFill>
        </w:rPr>
        <w:t>L</w:t>
      </w:r>
      <w:r>
        <w:rPr>
          <w:rFonts w:hint="default" w:ascii="Times New Roman" w:hAnsi="Times New Roman" w:cs="Times New Roman" w:eastAsiaTheme="minorEastAsia"/>
          <w:i/>
          <w:color w:val="000000" w:themeColor="text1"/>
          <w:sz w:val="24"/>
          <w:szCs w:val="22"/>
          <w:vertAlign w:val="subscript"/>
          <w14:textFill>
            <w14:solidFill>
              <w14:schemeClr w14:val="tx1"/>
            </w14:solidFill>
          </w14:textFill>
        </w:rPr>
        <w:t>i</w:t>
      </w:r>
      <w:r>
        <w:rPr>
          <w:rFonts w:hint="default" w:ascii="Times New Roman" w:hAnsi="Times New Roman" w:cs="Times New Roman" w:eastAsiaTheme="minorEastAsia"/>
          <w:color w:val="000000" w:themeColor="text1"/>
          <w:sz w:val="24"/>
          <w:szCs w:val="22"/>
          <w14:textFill>
            <w14:solidFill>
              <w14:schemeClr w14:val="tx1"/>
            </w14:solidFill>
          </w14:textFill>
        </w:rPr>
        <w:t>—第</w:t>
      </w:r>
      <w:r>
        <w:rPr>
          <w:rFonts w:hint="default" w:ascii="Times New Roman" w:hAnsi="Times New Roman" w:cs="Times New Roman" w:eastAsiaTheme="minorEastAsia"/>
          <w:i/>
          <w:color w:val="000000" w:themeColor="text1"/>
          <w:sz w:val="24"/>
          <w:szCs w:val="22"/>
          <w14:textFill>
            <w14:solidFill>
              <w14:schemeClr w14:val="tx1"/>
            </w14:solidFill>
          </w14:textFill>
        </w:rPr>
        <w:t>i</w:t>
      </w:r>
      <w:r>
        <w:rPr>
          <w:rFonts w:hint="default" w:ascii="Times New Roman" w:hAnsi="Times New Roman" w:cs="Times New Roman" w:eastAsiaTheme="minorEastAsia"/>
          <w:color w:val="000000" w:themeColor="text1"/>
          <w:sz w:val="24"/>
          <w:szCs w:val="22"/>
          <w14:textFill>
            <w14:solidFill>
              <w14:schemeClr w14:val="tx1"/>
            </w14:solidFill>
          </w14:textFill>
        </w:rPr>
        <w:t>个噪声源在某一预测点处的声压级。</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（3）声环境影响分析</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施工期各种噪声源多为点声源，根据前述的预测方法和预测模式，考虑最不利情况对施工过程中各种设备噪声影响范围进行计算，得到表5-1-4的预测结果。</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表5-1-4    建筑施工主要噪声源经距离衰减后噪声值</w:t>
      </w:r>
    </w:p>
    <w:tbl>
      <w:tblPr>
        <w:tblStyle w:val="9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69"/>
        <w:gridCol w:w="1791"/>
        <w:gridCol w:w="644"/>
        <w:gridCol w:w="516"/>
        <w:gridCol w:w="518"/>
        <w:gridCol w:w="516"/>
        <w:gridCol w:w="708"/>
        <w:gridCol w:w="518"/>
        <w:gridCol w:w="644"/>
        <w:gridCol w:w="708"/>
        <w:gridCol w:w="731"/>
        <w:gridCol w:w="65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441" w:type="pct"/>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序号</w:t>
            </w:r>
          </w:p>
        </w:tc>
        <w:tc>
          <w:tcPr>
            <w:tcW w:w="1027" w:type="pct"/>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主要设备</w:t>
            </w:r>
          </w:p>
        </w:tc>
        <w:tc>
          <w:tcPr>
            <w:tcW w:w="3531" w:type="pct"/>
            <w:gridSpan w:val="10"/>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不同距离（m）处最大声压级（dB（A））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441" w:type="pct"/>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27" w:type="pct"/>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369"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c>
          <w:tcPr>
            <w:tcW w:w="29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w:t>
            </w:r>
          </w:p>
        </w:tc>
        <w:tc>
          <w:tcPr>
            <w:tcW w:w="297"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w:t>
            </w:r>
          </w:p>
        </w:tc>
        <w:tc>
          <w:tcPr>
            <w:tcW w:w="29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w:t>
            </w:r>
          </w:p>
        </w:tc>
        <w:tc>
          <w:tcPr>
            <w:tcW w:w="40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40</w:t>
            </w:r>
          </w:p>
        </w:tc>
        <w:tc>
          <w:tcPr>
            <w:tcW w:w="297"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50</w:t>
            </w:r>
          </w:p>
        </w:tc>
        <w:tc>
          <w:tcPr>
            <w:tcW w:w="369"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100</w:t>
            </w:r>
          </w:p>
        </w:tc>
        <w:tc>
          <w:tcPr>
            <w:tcW w:w="406" w:type="pct"/>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150</w:t>
            </w:r>
          </w:p>
        </w:tc>
        <w:tc>
          <w:tcPr>
            <w:tcW w:w="419" w:type="pct"/>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180</w:t>
            </w:r>
          </w:p>
        </w:tc>
        <w:tc>
          <w:tcPr>
            <w:tcW w:w="375"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441"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c>
          <w:tcPr>
            <w:tcW w:w="1027"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推土机</w:t>
            </w:r>
          </w:p>
        </w:tc>
        <w:tc>
          <w:tcPr>
            <w:tcW w:w="369"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96</w:t>
            </w:r>
          </w:p>
        </w:tc>
        <w:tc>
          <w:tcPr>
            <w:tcW w:w="29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82</w:t>
            </w:r>
          </w:p>
        </w:tc>
        <w:tc>
          <w:tcPr>
            <w:tcW w:w="297"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76</w:t>
            </w:r>
          </w:p>
        </w:tc>
        <w:tc>
          <w:tcPr>
            <w:tcW w:w="29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70</w:t>
            </w:r>
          </w:p>
        </w:tc>
        <w:tc>
          <w:tcPr>
            <w:tcW w:w="40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65.1</w:t>
            </w:r>
          </w:p>
        </w:tc>
        <w:tc>
          <w:tcPr>
            <w:tcW w:w="297"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62</w:t>
            </w:r>
          </w:p>
        </w:tc>
        <w:tc>
          <w:tcPr>
            <w:tcW w:w="369"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56</w:t>
            </w:r>
          </w:p>
        </w:tc>
        <w:tc>
          <w:tcPr>
            <w:tcW w:w="40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52.5</w:t>
            </w:r>
          </w:p>
        </w:tc>
        <w:tc>
          <w:tcPr>
            <w:tcW w:w="419"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50.9</w:t>
            </w:r>
          </w:p>
        </w:tc>
        <w:tc>
          <w:tcPr>
            <w:tcW w:w="375"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441"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c>
          <w:tcPr>
            <w:tcW w:w="1027"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挖掘机</w:t>
            </w:r>
          </w:p>
        </w:tc>
        <w:tc>
          <w:tcPr>
            <w:tcW w:w="369"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96</w:t>
            </w:r>
          </w:p>
        </w:tc>
        <w:tc>
          <w:tcPr>
            <w:tcW w:w="29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82</w:t>
            </w:r>
          </w:p>
        </w:tc>
        <w:tc>
          <w:tcPr>
            <w:tcW w:w="297"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76</w:t>
            </w:r>
          </w:p>
        </w:tc>
        <w:tc>
          <w:tcPr>
            <w:tcW w:w="29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70</w:t>
            </w:r>
          </w:p>
        </w:tc>
        <w:tc>
          <w:tcPr>
            <w:tcW w:w="40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65.1</w:t>
            </w:r>
          </w:p>
        </w:tc>
        <w:tc>
          <w:tcPr>
            <w:tcW w:w="297"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62</w:t>
            </w:r>
          </w:p>
        </w:tc>
        <w:tc>
          <w:tcPr>
            <w:tcW w:w="369"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56</w:t>
            </w:r>
          </w:p>
        </w:tc>
        <w:tc>
          <w:tcPr>
            <w:tcW w:w="40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52.5</w:t>
            </w:r>
          </w:p>
        </w:tc>
        <w:tc>
          <w:tcPr>
            <w:tcW w:w="419"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50.9</w:t>
            </w:r>
          </w:p>
        </w:tc>
        <w:tc>
          <w:tcPr>
            <w:tcW w:w="375"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441"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w:t>
            </w:r>
          </w:p>
        </w:tc>
        <w:tc>
          <w:tcPr>
            <w:tcW w:w="1027"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定向钻机</w:t>
            </w:r>
          </w:p>
        </w:tc>
        <w:tc>
          <w:tcPr>
            <w:tcW w:w="369"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90</w:t>
            </w:r>
          </w:p>
        </w:tc>
        <w:tc>
          <w:tcPr>
            <w:tcW w:w="29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76</w:t>
            </w:r>
          </w:p>
        </w:tc>
        <w:tc>
          <w:tcPr>
            <w:tcW w:w="297"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70</w:t>
            </w:r>
          </w:p>
        </w:tc>
        <w:tc>
          <w:tcPr>
            <w:tcW w:w="29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64</w:t>
            </w:r>
          </w:p>
        </w:tc>
        <w:tc>
          <w:tcPr>
            <w:tcW w:w="40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59.1</w:t>
            </w:r>
          </w:p>
        </w:tc>
        <w:tc>
          <w:tcPr>
            <w:tcW w:w="297"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56</w:t>
            </w:r>
          </w:p>
        </w:tc>
        <w:tc>
          <w:tcPr>
            <w:tcW w:w="369"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50</w:t>
            </w:r>
          </w:p>
        </w:tc>
        <w:tc>
          <w:tcPr>
            <w:tcW w:w="40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46.5</w:t>
            </w:r>
          </w:p>
        </w:tc>
        <w:tc>
          <w:tcPr>
            <w:tcW w:w="419"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44.9</w:t>
            </w:r>
          </w:p>
        </w:tc>
        <w:tc>
          <w:tcPr>
            <w:tcW w:w="375"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441"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w:t>
            </w:r>
          </w:p>
        </w:tc>
        <w:tc>
          <w:tcPr>
            <w:tcW w:w="1027"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冲击钻机</w:t>
            </w:r>
          </w:p>
        </w:tc>
        <w:tc>
          <w:tcPr>
            <w:tcW w:w="369"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100</w:t>
            </w:r>
          </w:p>
        </w:tc>
        <w:tc>
          <w:tcPr>
            <w:tcW w:w="29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86</w:t>
            </w:r>
          </w:p>
        </w:tc>
        <w:tc>
          <w:tcPr>
            <w:tcW w:w="297"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80</w:t>
            </w:r>
          </w:p>
        </w:tc>
        <w:tc>
          <w:tcPr>
            <w:tcW w:w="29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74</w:t>
            </w:r>
          </w:p>
        </w:tc>
        <w:tc>
          <w:tcPr>
            <w:tcW w:w="40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69.1</w:t>
            </w:r>
          </w:p>
        </w:tc>
        <w:tc>
          <w:tcPr>
            <w:tcW w:w="297"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66</w:t>
            </w:r>
          </w:p>
        </w:tc>
        <w:tc>
          <w:tcPr>
            <w:tcW w:w="369"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60</w:t>
            </w:r>
          </w:p>
        </w:tc>
        <w:tc>
          <w:tcPr>
            <w:tcW w:w="40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56.5</w:t>
            </w:r>
          </w:p>
        </w:tc>
        <w:tc>
          <w:tcPr>
            <w:tcW w:w="419"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54.9</w:t>
            </w:r>
          </w:p>
        </w:tc>
        <w:tc>
          <w:tcPr>
            <w:tcW w:w="375"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441"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w:t>
            </w:r>
          </w:p>
        </w:tc>
        <w:tc>
          <w:tcPr>
            <w:tcW w:w="1027"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振捣棒</w:t>
            </w:r>
          </w:p>
        </w:tc>
        <w:tc>
          <w:tcPr>
            <w:tcW w:w="369"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93</w:t>
            </w:r>
          </w:p>
        </w:tc>
        <w:tc>
          <w:tcPr>
            <w:tcW w:w="29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79</w:t>
            </w:r>
          </w:p>
        </w:tc>
        <w:tc>
          <w:tcPr>
            <w:tcW w:w="297"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73</w:t>
            </w:r>
          </w:p>
        </w:tc>
        <w:tc>
          <w:tcPr>
            <w:tcW w:w="29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67</w:t>
            </w:r>
          </w:p>
        </w:tc>
        <w:tc>
          <w:tcPr>
            <w:tcW w:w="40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62.1</w:t>
            </w:r>
          </w:p>
        </w:tc>
        <w:tc>
          <w:tcPr>
            <w:tcW w:w="297"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59</w:t>
            </w:r>
          </w:p>
        </w:tc>
        <w:tc>
          <w:tcPr>
            <w:tcW w:w="369"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53</w:t>
            </w:r>
          </w:p>
        </w:tc>
        <w:tc>
          <w:tcPr>
            <w:tcW w:w="40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49.5</w:t>
            </w:r>
          </w:p>
        </w:tc>
        <w:tc>
          <w:tcPr>
            <w:tcW w:w="419"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47.9</w:t>
            </w:r>
          </w:p>
        </w:tc>
        <w:tc>
          <w:tcPr>
            <w:tcW w:w="375"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441"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w:t>
            </w:r>
          </w:p>
        </w:tc>
        <w:tc>
          <w:tcPr>
            <w:tcW w:w="1027"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电锯</w:t>
            </w:r>
          </w:p>
        </w:tc>
        <w:tc>
          <w:tcPr>
            <w:tcW w:w="369"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100</w:t>
            </w:r>
          </w:p>
        </w:tc>
        <w:tc>
          <w:tcPr>
            <w:tcW w:w="29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86</w:t>
            </w:r>
          </w:p>
        </w:tc>
        <w:tc>
          <w:tcPr>
            <w:tcW w:w="297"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80</w:t>
            </w:r>
          </w:p>
        </w:tc>
        <w:tc>
          <w:tcPr>
            <w:tcW w:w="29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74</w:t>
            </w:r>
          </w:p>
        </w:tc>
        <w:tc>
          <w:tcPr>
            <w:tcW w:w="40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69.1</w:t>
            </w:r>
          </w:p>
        </w:tc>
        <w:tc>
          <w:tcPr>
            <w:tcW w:w="297"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66</w:t>
            </w:r>
          </w:p>
        </w:tc>
        <w:tc>
          <w:tcPr>
            <w:tcW w:w="369"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60</w:t>
            </w:r>
          </w:p>
        </w:tc>
        <w:tc>
          <w:tcPr>
            <w:tcW w:w="40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56.5</w:t>
            </w:r>
          </w:p>
        </w:tc>
        <w:tc>
          <w:tcPr>
            <w:tcW w:w="419"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54.9</w:t>
            </w:r>
          </w:p>
        </w:tc>
        <w:tc>
          <w:tcPr>
            <w:tcW w:w="375"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441"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w:t>
            </w:r>
          </w:p>
        </w:tc>
        <w:tc>
          <w:tcPr>
            <w:tcW w:w="1027"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打桩机</w:t>
            </w:r>
          </w:p>
        </w:tc>
        <w:tc>
          <w:tcPr>
            <w:tcW w:w="369"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100</w:t>
            </w:r>
          </w:p>
        </w:tc>
        <w:tc>
          <w:tcPr>
            <w:tcW w:w="29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86</w:t>
            </w:r>
          </w:p>
        </w:tc>
        <w:tc>
          <w:tcPr>
            <w:tcW w:w="297"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80</w:t>
            </w:r>
          </w:p>
        </w:tc>
        <w:tc>
          <w:tcPr>
            <w:tcW w:w="29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74</w:t>
            </w:r>
          </w:p>
        </w:tc>
        <w:tc>
          <w:tcPr>
            <w:tcW w:w="40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69.1</w:t>
            </w:r>
          </w:p>
        </w:tc>
        <w:tc>
          <w:tcPr>
            <w:tcW w:w="297"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66</w:t>
            </w:r>
          </w:p>
        </w:tc>
        <w:tc>
          <w:tcPr>
            <w:tcW w:w="369"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60</w:t>
            </w:r>
          </w:p>
        </w:tc>
        <w:tc>
          <w:tcPr>
            <w:tcW w:w="40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56.5</w:t>
            </w:r>
          </w:p>
        </w:tc>
        <w:tc>
          <w:tcPr>
            <w:tcW w:w="419"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54.9</w:t>
            </w:r>
          </w:p>
        </w:tc>
        <w:tc>
          <w:tcPr>
            <w:tcW w:w="375"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441"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w:t>
            </w:r>
          </w:p>
        </w:tc>
        <w:tc>
          <w:tcPr>
            <w:tcW w:w="1027"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混凝土搅拌机</w:t>
            </w:r>
          </w:p>
        </w:tc>
        <w:tc>
          <w:tcPr>
            <w:tcW w:w="369"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89</w:t>
            </w:r>
          </w:p>
        </w:tc>
        <w:tc>
          <w:tcPr>
            <w:tcW w:w="29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75</w:t>
            </w:r>
          </w:p>
        </w:tc>
        <w:tc>
          <w:tcPr>
            <w:tcW w:w="297"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69</w:t>
            </w:r>
          </w:p>
        </w:tc>
        <w:tc>
          <w:tcPr>
            <w:tcW w:w="29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63</w:t>
            </w:r>
          </w:p>
        </w:tc>
        <w:tc>
          <w:tcPr>
            <w:tcW w:w="40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58.1</w:t>
            </w:r>
          </w:p>
        </w:tc>
        <w:tc>
          <w:tcPr>
            <w:tcW w:w="297"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55</w:t>
            </w:r>
          </w:p>
        </w:tc>
        <w:tc>
          <w:tcPr>
            <w:tcW w:w="369"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49</w:t>
            </w:r>
          </w:p>
        </w:tc>
        <w:tc>
          <w:tcPr>
            <w:tcW w:w="40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45.5</w:t>
            </w:r>
          </w:p>
        </w:tc>
        <w:tc>
          <w:tcPr>
            <w:tcW w:w="419"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43.9</w:t>
            </w:r>
          </w:p>
        </w:tc>
        <w:tc>
          <w:tcPr>
            <w:tcW w:w="375"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441"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w:t>
            </w:r>
          </w:p>
        </w:tc>
        <w:tc>
          <w:tcPr>
            <w:tcW w:w="1027"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液压抓斗</w:t>
            </w:r>
          </w:p>
        </w:tc>
        <w:tc>
          <w:tcPr>
            <w:tcW w:w="369"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95</w:t>
            </w:r>
          </w:p>
        </w:tc>
        <w:tc>
          <w:tcPr>
            <w:tcW w:w="29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81</w:t>
            </w:r>
          </w:p>
        </w:tc>
        <w:tc>
          <w:tcPr>
            <w:tcW w:w="297"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75</w:t>
            </w:r>
          </w:p>
        </w:tc>
        <w:tc>
          <w:tcPr>
            <w:tcW w:w="29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69</w:t>
            </w:r>
          </w:p>
        </w:tc>
        <w:tc>
          <w:tcPr>
            <w:tcW w:w="40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64.1</w:t>
            </w:r>
          </w:p>
        </w:tc>
        <w:tc>
          <w:tcPr>
            <w:tcW w:w="297"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61</w:t>
            </w:r>
          </w:p>
        </w:tc>
        <w:tc>
          <w:tcPr>
            <w:tcW w:w="369"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55</w:t>
            </w:r>
          </w:p>
        </w:tc>
        <w:tc>
          <w:tcPr>
            <w:tcW w:w="40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51.5</w:t>
            </w:r>
          </w:p>
        </w:tc>
        <w:tc>
          <w:tcPr>
            <w:tcW w:w="419"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49.9</w:t>
            </w:r>
          </w:p>
        </w:tc>
        <w:tc>
          <w:tcPr>
            <w:tcW w:w="375"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441"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w:t>
            </w:r>
          </w:p>
        </w:tc>
        <w:tc>
          <w:tcPr>
            <w:tcW w:w="1027"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吊管机</w:t>
            </w:r>
          </w:p>
        </w:tc>
        <w:tc>
          <w:tcPr>
            <w:tcW w:w="369"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83</w:t>
            </w:r>
          </w:p>
        </w:tc>
        <w:tc>
          <w:tcPr>
            <w:tcW w:w="29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69</w:t>
            </w:r>
          </w:p>
        </w:tc>
        <w:tc>
          <w:tcPr>
            <w:tcW w:w="297"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63</w:t>
            </w:r>
          </w:p>
        </w:tc>
        <w:tc>
          <w:tcPr>
            <w:tcW w:w="29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57</w:t>
            </w:r>
          </w:p>
        </w:tc>
        <w:tc>
          <w:tcPr>
            <w:tcW w:w="40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52.1</w:t>
            </w:r>
          </w:p>
        </w:tc>
        <w:tc>
          <w:tcPr>
            <w:tcW w:w="297"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49</w:t>
            </w:r>
          </w:p>
        </w:tc>
        <w:tc>
          <w:tcPr>
            <w:tcW w:w="369"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43</w:t>
            </w:r>
          </w:p>
        </w:tc>
        <w:tc>
          <w:tcPr>
            <w:tcW w:w="406"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39.5</w:t>
            </w:r>
          </w:p>
        </w:tc>
        <w:tc>
          <w:tcPr>
            <w:tcW w:w="419"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37.9</w:t>
            </w:r>
          </w:p>
        </w:tc>
        <w:tc>
          <w:tcPr>
            <w:tcW w:w="375" w:type="pc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37</w:t>
            </w:r>
          </w:p>
        </w:tc>
      </w:tr>
    </w:tbl>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现场施工时具体投入多少台设备很难预测，假设上述设备各1台同时使用，将所产生的噪声叠加后预测对某个距离的总声压级，计算结果列入下表。</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表5-1-5  多台设备同时运转到达预定地点距离的总声压级   单位dB（A）</w:t>
      </w:r>
    </w:p>
    <w:tbl>
      <w:tblPr>
        <w:tblStyle w:val="91"/>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58"/>
        <w:gridCol w:w="951"/>
        <w:gridCol w:w="703"/>
        <w:gridCol w:w="659"/>
        <w:gridCol w:w="736"/>
        <w:gridCol w:w="659"/>
        <w:gridCol w:w="689"/>
        <w:gridCol w:w="649"/>
        <w:gridCol w:w="605"/>
        <w:gridCol w:w="603"/>
        <w:gridCol w:w="605"/>
        <w:gridCol w:w="60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58" w:type="dxa"/>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距离（m）</w:t>
            </w:r>
          </w:p>
        </w:tc>
        <w:tc>
          <w:tcPr>
            <w:tcW w:w="9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c>
          <w:tcPr>
            <w:tcW w:w="70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w:t>
            </w:r>
          </w:p>
        </w:tc>
        <w:tc>
          <w:tcPr>
            <w:tcW w:w="65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w:t>
            </w:r>
          </w:p>
        </w:tc>
        <w:tc>
          <w:tcPr>
            <w:tcW w:w="73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w:t>
            </w:r>
          </w:p>
        </w:tc>
        <w:tc>
          <w:tcPr>
            <w:tcW w:w="65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35</w:t>
            </w:r>
          </w:p>
        </w:tc>
        <w:tc>
          <w:tcPr>
            <w:tcW w:w="68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50</w:t>
            </w:r>
          </w:p>
        </w:tc>
        <w:tc>
          <w:tcPr>
            <w:tcW w:w="64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70</w:t>
            </w:r>
          </w:p>
        </w:tc>
        <w:tc>
          <w:tcPr>
            <w:tcW w:w="60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100</w:t>
            </w:r>
          </w:p>
        </w:tc>
        <w:tc>
          <w:tcPr>
            <w:tcW w:w="603" w:type="dxa"/>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200</w:t>
            </w:r>
          </w:p>
        </w:tc>
        <w:tc>
          <w:tcPr>
            <w:tcW w:w="605" w:type="dxa"/>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300</w:t>
            </w:r>
          </w:p>
        </w:tc>
        <w:tc>
          <w:tcPr>
            <w:tcW w:w="603" w:type="dxa"/>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58" w:type="dxa"/>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总声压级</w:t>
            </w:r>
          </w:p>
        </w:tc>
        <w:tc>
          <w:tcPr>
            <w:tcW w:w="951"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106.6</w:t>
            </w:r>
          </w:p>
        </w:tc>
        <w:tc>
          <w:tcPr>
            <w:tcW w:w="70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92.6</w:t>
            </w:r>
          </w:p>
        </w:tc>
        <w:tc>
          <w:tcPr>
            <w:tcW w:w="65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86.6</w:t>
            </w:r>
          </w:p>
        </w:tc>
        <w:tc>
          <w:tcPr>
            <w:tcW w:w="73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80.6</w:t>
            </w:r>
          </w:p>
        </w:tc>
        <w:tc>
          <w:tcPr>
            <w:tcW w:w="65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75.7</w:t>
            </w:r>
          </w:p>
        </w:tc>
        <w:tc>
          <w:tcPr>
            <w:tcW w:w="68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72.6</w:t>
            </w:r>
          </w:p>
        </w:tc>
        <w:tc>
          <w:tcPr>
            <w:tcW w:w="64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69.7</w:t>
            </w:r>
          </w:p>
        </w:tc>
        <w:tc>
          <w:tcPr>
            <w:tcW w:w="60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66.6</w:t>
            </w:r>
          </w:p>
        </w:tc>
        <w:tc>
          <w:tcPr>
            <w:tcW w:w="60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60.6</w:t>
            </w:r>
          </w:p>
        </w:tc>
        <w:tc>
          <w:tcPr>
            <w:tcW w:w="60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57.1</w:t>
            </w:r>
          </w:p>
        </w:tc>
        <w:tc>
          <w:tcPr>
            <w:tcW w:w="60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54.6</w:t>
            </w:r>
          </w:p>
        </w:tc>
      </w:tr>
    </w:tbl>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由表5.1-5可知，在没有其它防护和声障的情况下，昼间和夜间分别在距施工现场70 m和400 m处可满足《建筑施工场界环境噪声排放标准》（GB12523-2011）标准限值要求（昼间70 dB（A）、夜间55 dB（A））的要求。</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上述计算结果亦表明，必须采用相应的措施以减小施工噪声对周围环境的影响，以实现达标排放。主要措施如下：</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①从声源上控制：建设单位在与施工单位签订合同时，应要求其使用的主要机械设备为低噪声机械设备，例如选液压机械取代燃油机械。同时在施工过程中施工单位应设专人对设备进行定期保养和维护，并负责对现场工作人员进行培训，严格按操作规范使用各类机械；</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②合理安排时间：合理安排施工时间，严禁在夜间（22:00-6:00）施工，并尽可能避开午休时间（12:00-14:00）。特殊情况确需连续作业或夜间作业的，要采取有效措施降噪，事先做好周边群众工作，并取得当地环保部门和建设行政主管部门批准后施工；</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③施工总平面布置时，将高噪声设备布置在远离敏感点的位置，通过距离衰减，以减轻施工机械产生的噪声对周围环境敏感点的影响；</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④采用声屏障措施：建立临时声屏障，也可以在高噪声设备附近加设可移动的简易隔声屏，对相对固定的机械设备尽可能的设置操作棚，尽可能减少设备噪声对环境的影响；</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⑤车辆运输尽量在白天进行，控制车速，并控制在经过村庄时的鸣笛；</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⑥加强管理，尽量减少人为噪声（如钢管、模板等构件的装卸、搬运等）；</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⑦施工单位要加强对职工的教育，提高作业人员的环保意识，坚持科学组织、文明施工。建设管理部门应加强对施工工地的噪声管理，施工单位也应对施工噪声定期进行自查，避免施工噪声扰民。</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000000" w:themeColor="text1"/>
          <w:sz w:val="24"/>
          <w:szCs w:val="22"/>
          <w14:textFill>
            <w14:solidFill>
              <w14:schemeClr w14:val="tx1"/>
            </w14:solidFill>
          </w14:textFill>
        </w:rPr>
        <w:t>采取以上噪声控制措施，施工噪声经降噪、隔声、距离衰减后场界噪声可以满足《建筑施工场界环境噪声排放标准》（GB12523-2011）标准（昼间70 dB（A）、夜间55 dB（A））的要求；</w:t>
      </w:r>
      <w:r>
        <w:rPr>
          <w:rFonts w:hint="default" w:ascii="Times New Roman" w:hAnsi="Times New Roman" w:cs="Times New Roman" w:eastAsiaTheme="minorEastAsia"/>
          <w:color w:val="auto"/>
          <w:sz w:val="24"/>
          <w:szCs w:val="22"/>
          <w:highlight w:val="none"/>
        </w:rPr>
        <w:t>项目边界距离最近保护目标为</w:t>
      </w:r>
      <w:r>
        <w:rPr>
          <w:rFonts w:hint="default" w:ascii="Times New Roman" w:hAnsi="Times New Roman" w:cs="Times New Roman" w:eastAsiaTheme="minorEastAsia"/>
          <w:color w:val="auto"/>
          <w:sz w:val="24"/>
          <w:szCs w:val="22"/>
          <w:highlight w:val="none"/>
          <w:lang w:eastAsia="zh-CN"/>
        </w:rPr>
        <w:t>北</w:t>
      </w:r>
      <w:r>
        <w:rPr>
          <w:rFonts w:hint="default" w:ascii="Times New Roman" w:hAnsi="Times New Roman" w:cs="Times New Roman" w:eastAsiaTheme="minorEastAsia"/>
          <w:color w:val="auto"/>
          <w:sz w:val="24"/>
          <w:szCs w:val="22"/>
          <w:highlight w:val="none"/>
        </w:rPr>
        <w:t>侧的</w:t>
      </w:r>
      <w:r>
        <w:rPr>
          <w:rFonts w:hint="default" w:ascii="Times New Roman" w:hAnsi="Times New Roman" w:cs="Times New Roman" w:eastAsiaTheme="minorEastAsia"/>
          <w:color w:val="auto"/>
          <w:sz w:val="24"/>
          <w:szCs w:val="22"/>
          <w:highlight w:val="none"/>
          <w:lang w:eastAsia="zh-CN"/>
        </w:rPr>
        <w:t>鞠家窑屯</w:t>
      </w:r>
      <w:r>
        <w:rPr>
          <w:rFonts w:hint="default" w:ascii="Times New Roman" w:hAnsi="Times New Roman" w:cs="Times New Roman" w:eastAsiaTheme="minorEastAsia"/>
          <w:color w:val="auto"/>
          <w:sz w:val="24"/>
          <w:szCs w:val="22"/>
          <w:highlight w:val="none"/>
        </w:rPr>
        <w:t>，距离</w:t>
      </w:r>
      <w:r>
        <w:rPr>
          <w:rFonts w:hint="default" w:ascii="Times New Roman" w:hAnsi="Times New Roman" w:cs="Times New Roman" w:eastAsiaTheme="minorEastAsia"/>
          <w:color w:val="auto"/>
          <w:sz w:val="24"/>
          <w:szCs w:val="22"/>
          <w:highlight w:val="none"/>
          <w:lang w:val="en-US" w:eastAsia="zh-CN"/>
        </w:rPr>
        <w:t>863</w:t>
      </w:r>
      <w:r>
        <w:rPr>
          <w:rFonts w:hint="default" w:ascii="Times New Roman" w:hAnsi="Times New Roman" w:cs="Times New Roman" w:eastAsiaTheme="minorEastAsia"/>
          <w:color w:val="auto"/>
          <w:sz w:val="24"/>
          <w:szCs w:val="22"/>
          <w:highlight w:val="none"/>
        </w:rPr>
        <w:t>m，经距离衰减后对周围敏感点的声环境基本无影响。</w:t>
      </w:r>
    </w:p>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5.1.3 施工期水环境影响分析</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本工程对施工排放的废水要进行收集和处理。对工地一般性废水进行收集和沉淀，复用于制砂浆与场地洒水等。施工期生活污水排入临时防渗旱厕，采取以上措施后对水环境影响较小。</w:t>
      </w:r>
    </w:p>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5.1.4 施工期固体废物环境影响分析</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施工期固体废物主要是施工建筑垃圾及少量生活垃圾，施工期建筑垃圾</w:t>
      </w:r>
      <w:r>
        <w:rPr>
          <w:rFonts w:hint="default" w:ascii="Times New Roman" w:hAnsi="Times New Roman" w:cs="Times New Roman" w:eastAsiaTheme="minorEastAsia"/>
          <w:color w:val="000000" w:themeColor="text1"/>
          <w:kern w:val="0"/>
          <w:sz w:val="24"/>
          <w:szCs w:val="24"/>
          <w14:textFill>
            <w14:solidFill>
              <w14:schemeClr w14:val="tx1"/>
            </w14:solidFill>
          </w14:textFill>
        </w:rPr>
        <w:t>由施工单位</w:t>
      </w:r>
      <w:r>
        <w:rPr>
          <w:rFonts w:hint="default" w:ascii="Times New Roman" w:hAnsi="Times New Roman" w:cs="Times New Roman" w:eastAsiaTheme="minorEastAsia"/>
          <w:color w:val="000000" w:themeColor="text1"/>
          <w:sz w:val="24"/>
          <w:szCs w:val="22"/>
          <w14:textFill>
            <w14:solidFill>
              <w14:schemeClr w14:val="tx1"/>
            </w14:solidFill>
          </w14:textFill>
        </w:rPr>
        <w:t>送至附近垃圾处理厂处理，不得随意倾倒建筑垃圾。其次，施工人员的生活垃圾也要收集到指定的垃圾箱（桶）内，由施工单位负责拉运至先源乡垃圾收集点。</w:t>
      </w:r>
      <w:r>
        <w:rPr>
          <w:rFonts w:hint="default" w:ascii="Times New Roman" w:hAnsi="Times New Roman" w:cs="Times New Roman" w:eastAsiaTheme="minorEastAsia"/>
          <w:color w:val="000000" w:themeColor="text1"/>
          <w:sz w:val="24"/>
          <w:szCs w:val="22"/>
          <w:lang w:val="en-GB"/>
          <w14:textFill>
            <w14:solidFill>
              <w14:schemeClr w14:val="tx1"/>
            </w14:solidFill>
          </w14:textFill>
        </w:rPr>
        <w:t>挖方弃土用于回填，少量弃土用于厂区道路平整，</w:t>
      </w:r>
      <w:r>
        <w:rPr>
          <w:rFonts w:hint="default" w:ascii="Times New Roman" w:hAnsi="Times New Roman" w:cs="Times New Roman" w:eastAsiaTheme="minorEastAsia"/>
          <w:color w:val="000000" w:themeColor="text1"/>
          <w:sz w:val="24"/>
          <w:szCs w:val="22"/>
          <w14:textFill>
            <w14:solidFill>
              <w14:schemeClr w14:val="tx1"/>
            </w14:solidFill>
          </w14:textFill>
        </w:rPr>
        <w:t>若落实本评价提出的污染防治措施，则固体废物对周围环境不会产生较大影响。</w:t>
      </w:r>
    </w:p>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5.1.5 施工期生态影响分析</w:t>
      </w:r>
    </w:p>
    <w:p>
      <w:pPr>
        <w:ind w:firstLine="560"/>
        <w:outlineLvl w:val="0"/>
        <w:rPr>
          <w:rFonts w:hint="default" w:ascii="Times New Roman" w:hAnsi="Times New Roman" w:cs="Times New Roman" w:eastAsiaTheme="minorEastAsia"/>
          <w:color w:val="000000" w:themeColor="text1"/>
          <w:sz w:val="24"/>
          <w:szCs w:val="22"/>
          <w14:textFill>
            <w14:solidFill>
              <w14:schemeClr w14:val="tx1"/>
            </w14:solidFill>
          </w14:textFill>
        </w:rPr>
      </w:pPr>
      <w:bookmarkStart w:id="178" w:name="_Toc25463"/>
      <w:r>
        <w:rPr>
          <w:rFonts w:hint="default" w:ascii="Times New Roman" w:hAnsi="Times New Roman" w:cs="Times New Roman" w:eastAsiaTheme="minorEastAsia"/>
          <w:color w:val="000000" w:themeColor="text1"/>
          <w:sz w:val="24"/>
          <w:szCs w:val="22"/>
          <w14:textFill>
            <w14:solidFill>
              <w14:schemeClr w14:val="tx1"/>
            </w14:solidFill>
          </w14:textFill>
        </w:rPr>
        <w:t>1、对陆生植被的影响</w:t>
      </w:r>
      <w:bookmarkEnd w:id="178"/>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建设项目工程占地面积为143000m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szCs w:val="22"/>
          <w14:textFill>
            <w14:solidFill>
              <w14:schemeClr w14:val="tx1"/>
            </w14:solidFill>
          </w14:textFill>
        </w:rPr>
        <w:t>，占地类型为农用牧草地；建设项目的施工建设，将改变原有土地自然属性、覆盖特征、利用方式、土壤质地结构、土地功能，必然会对占地范围内的地表植被造成毁灭性破坏，导致占地区域内生物量显著下降，对生态系统产生影响。</w:t>
      </w:r>
    </w:p>
    <w:p>
      <w:pPr>
        <w:ind w:firstLine="560"/>
        <w:outlineLvl w:val="0"/>
        <w:rPr>
          <w:rFonts w:hint="default" w:ascii="Times New Roman" w:hAnsi="Times New Roman" w:cs="Times New Roman" w:eastAsiaTheme="minorEastAsia"/>
          <w:color w:val="000000" w:themeColor="text1"/>
          <w:sz w:val="24"/>
          <w:szCs w:val="22"/>
          <w14:textFill>
            <w14:solidFill>
              <w14:schemeClr w14:val="tx1"/>
            </w14:solidFill>
          </w14:textFill>
        </w:rPr>
      </w:pPr>
      <w:bookmarkStart w:id="179" w:name="_Toc23587"/>
      <w:r>
        <w:rPr>
          <w:rFonts w:hint="default" w:ascii="Times New Roman" w:hAnsi="Times New Roman" w:cs="Times New Roman" w:eastAsiaTheme="minorEastAsia"/>
          <w:color w:val="000000" w:themeColor="text1"/>
          <w:sz w:val="24"/>
          <w:szCs w:val="22"/>
          <w14:textFill>
            <w14:solidFill>
              <w14:schemeClr w14:val="tx1"/>
            </w14:solidFill>
          </w14:textFill>
        </w:rPr>
        <w:t>2、对陆生动物的影响</w:t>
      </w:r>
      <w:bookmarkEnd w:id="179"/>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建设项目所在区域人类活动频繁，不存在大型哺乳类野生动物，野生动物种类主要有野兔、野鸡、喜鹊、麻雀等常见物种，其数量相对较少。建设项目施工活动对野生动物的生存、迁移环境产生的影响很小。</w:t>
      </w:r>
    </w:p>
    <w:p>
      <w:pPr>
        <w:pStyle w:val="639"/>
        <w:rPr>
          <w:rFonts w:hint="default" w:ascii="Times New Roman" w:hAnsi="Times New Roman" w:cs="Times New Roman" w:eastAsiaTheme="minorEastAsia"/>
          <w:b/>
          <w:bCs w:val="0"/>
          <w:color w:val="000000" w:themeColor="text1"/>
          <w14:textFill>
            <w14:solidFill>
              <w14:schemeClr w14:val="tx1"/>
            </w14:solidFill>
          </w14:textFill>
        </w:rPr>
      </w:pPr>
      <w:bookmarkStart w:id="180" w:name="_Toc3798"/>
      <w:r>
        <w:rPr>
          <w:rFonts w:hint="default" w:ascii="Times New Roman" w:hAnsi="Times New Roman" w:cs="Times New Roman" w:eastAsiaTheme="minorEastAsia"/>
          <w:b/>
          <w:bCs w:val="0"/>
          <w:color w:val="000000" w:themeColor="text1"/>
          <w14:textFill>
            <w14:solidFill>
              <w14:schemeClr w14:val="tx1"/>
            </w14:solidFill>
          </w14:textFill>
        </w:rPr>
        <w:t>5.2 大气环境影响预测与评价</w:t>
      </w:r>
      <w:bookmarkEnd w:id="180"/>
    </w:p>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bookmarkStart w:id="181" w:name="_Toc253329217"/>
      <w:r>
        <w:rPr>
          <w:rFonts w:hint="default" w:ascii="Times New Roman" w:hAnsi="Times New Roman" w:cs="Times New Roman" w:eastAsiaTheme="minorEastAsia"/>
          <w:color w:val="000000" w:themeColor="text1"/>
          <w:sz w:val="24"/>
          <w:szCs w:val="24"/>
          <w14:textFill>
            <w14:solidFill>
              <w14:schemeClr w14:val="tx1"/>
            </w14:solidFill>
          </w14:textFill>
        </w:rPr>
        <w:t>5.2.1 大气环境影响预测</w:t>
      </w:r>
    </w:p>
    <w:p>
      <w:pPr>
        <w:ind w:firstLine="560"/>
        <w:rPr>
          <w:rFonts w:hint="default" w:ascii="Times New Roman" w:hAnsi="Times New Roman" w:cs="Times New Roman" w:eastAsiaTheme="minorEastAsia"/>
          <w:color w:val="auto"/>
          <w:sz w:val="24"/>
          <w:szCs w:val="22"/>
          <w:highlight w:val="none"/>
          <w:lang w:val="en-GB"/>
        </w:rPr>
      </w:pPr>
      <w:r>
        <w:rPr>
          <w:rFonts w:hint="default" w:ascii="Times New Roman" w:hAnsi="Times New Roman" w:cs="Times New Roman" w:eastAsiaTheme="minorEastAsia"/>
          <w:color w:val="000000" w:themeColor="text1"/>
          <w:sz w:val="24"/>
          <w:szCs w:val="24"/>
          <w14:textFill>
            <w14:solidFill>
              <w14:schemeClr w14:val="tx1"/>
            </w14:solidFill>
          </w14:textFill>
        </w:rPr>
        <w:t>根据《环境影响评价技术导则 大气环境》（HJ2.2-2018）中的规定，本次评价采用AERSCREEN模型进行估算模式预测分析，本项目主要污染物为TSP、PM</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10</w:t>
      </w:r>
      <w:r>
        <w:rPr>
          <w:rFonts w:hint="default" w:ascii="Times New Roman" w:hAnsi="Times New Roman" w:cs="Times New Roman" w:eastAsiaTheme="minorEastAsia"/>
          <w:color w:val="000000" w:themeColor="text1"/>
          <w:sz w:val="24"/>
          <w:szCs w:val="24"/>
          <w14:textFill>
            <w14:solidFill>
              <w14:schemeClr w14:val="tx1"/>
            </w14:solidFill>
          </w14:textFill>
        </w:rPr>
        <w:t>、SO</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、NO</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X</w:t>
      </w:r>
      <w:r>
        <w:rPr>
          <w:rFonts w:hint="default" w:ascii="Times New Roman" w:hAnsi="Times New Roman" w:cs="Times New Roman" w:eastAsiaTheme="minorEastAsia"/>
          <w:color w:val="000000" w:themeColor="text1"/>
          <w:sz w:val="24"/>
          <w:szCs w:val="24"/>
          <w14:textFill>
            <w14:solidFill>
              <w14:schemeClr w14:val="tx1"/>
            </w14:solidFill>
          </w14:textFill>
        </w:rPr>
        <w:t>、NH</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和H</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S，通过AERSCREEN模型预测结果，本项目污染物</w:t>
      </w:r>
      <w:r>
        <w:rPr>
          <w:rFonts w:hint="default" w:ascii="Times New Roman" w:hAnsi="Times New Roman" w:cs="Times New Roman" w:eastAsiaTheme="minorEastAsia"/>
          <w:color w:val="000000" w:themeColor="text1"/>
          <w:sz w:val="24"/>
          <w:szCs w:val="22"/>
          <w:lang w:val="en-GB"/>
          <w14:textFill>
            <w14:solidFill>
              <w14:schemeClr w14:val="tx1"/>
            </w14:solidFill>
          </w14:textFill>
        </w:rPr>
        <w:t>最大地面浓度占标率</w:t>
      </w:r>
      <w:r>
        <w:rPr>
          <w:rFonts w:hint="default" w:ascii="Times New Roman" w:hAnsi="Times New Roman" w:cs="Times New Roman" w:eastAsiaTheme="minorEastAsia"/>
          <w:color w:val="000000" w:themeColor="text1"/>
          <w:sz w:val="24"/>
          <w:szCs w:val="22"/>
          <w14:textFill>
            <w14:solidFill>
              <w14:schemeClr w14:val="tx1"/>
            </w14:solidFill>
          </w14:textFill>
        </w:rPr>
        <w:t>1%≤</w:t>
      </w:r>
      <w:r>
        <w:rPr>
          <w:rFonts w:hint="default" w:ascii="Times New Roman" w:hAnsi="Times New Roman" w:cs="Times New Roman" w:eastAsiaTheme="minorEastAsia"/>
          <w:color w:val="000000" w:themeColor="text1"/>
          <w:sz w:val="24"/>
          <w:szCs w:val="22"/>
          <w:lang w:val="en-GB"/>
          <w14:textFill>
            <w14:solidFill>
              <w14:schemeClr w14:val="tx1"/>
            </w14:solidFill>
          </w14:textFill>
        </w:rPr>
        <w:t>P</w:t>
      </w:r>
      <w:r>
        <w:rPr>
          <w:rFonts w:hint="default" w:ascii="Times New Roman" w:hAnsi="Times New Roman" w:cs="Times New Roman" w:eastAsiaTheme="minorEastAsia"/>
          <w:color w:val="000000" w:themeColor="text1"/>
          <w:sz w:val="24"/>
          <w:szCs w:val="22"/>
          <w:vertAlign w:val="subscript"/>
          <w:lang w:val="en-GB"/>
          <w14:textFill>
            <w14:solidFill>
              <w14:schemeClr w14:val="tx1"/>
            </w14:solidFill>
          </w14:textFill>
        </w:rPr>
        <w:t>max</w:t>
      </w:r>
      <w:r>
        <w:rPr>
          <w:rFonts w:hint="default" w:ascii="Times New Roman" w:hAnsi="Times New Roman" w:cs="Times New Roman" w:eastAsiaTheme="minorEastAsia"/>
          <w:color w:val="auto"/>
          <w:sz w:val="24"/>
          <w:szCs w:val="22"/>
          <w:highlight w:val="none"/>
          <w:lang w:val="en-GB"/>
        </w:rPr>
        <w:t>（</w:t>
      </w:r>
      <w:r>
        <w:rPr>
          <w:rFonts w:hint="default" w:ascii="Times New Roman" w:hAnsi="Times New Roman" w:cs="Times New Roman" w:eastAsiaTheme="minorEastAsia"/>
          <w:color w:val="auto"/>
          <w:sz w:val="24"/>
          <w:szCs w:val="22"/>
          <w:highlight w:val="none"/>
          <w:lang w:val="en-GB" w:eastAsia="zh-CN"/>
        </w:rPr>
        <w:t>生物质锅炉氮氧化物</w:t>
      </w:r>
      <w:r>
        <w:rPr>
          <w:rFonts w:hint="default" w:ascii="Times New Roman" w:hAnsi="Times New Roman" w:cs="Times New Roman" w:eastAsiaTheme="minorEastAsia"/>
          <w:color w:val="auto"/>
          <w:sz w:val="24"/>
          <w:szCs w:val="22"/>
          <w:highlight w:val="none"/>
          <w:lang w:val="en-GB"/>
        </w:rPr>
        <w:t>）=</w:t>
      </w:r>
      <w:r>
        <w:rPr>
          <w:rFonts w:hint="default" w:ascii="Times New Roman" w:hAnsi="Times New Roman" w:cs="Times New Roman" w:eastAsiaTheme="minorEastAsia"/>
          <w:color w:val="auto"/>
          <w:sz w:val="24"/>
          <w:szCs w:val="22"/>
          <w:highlight w:val="none"/>
          <w:lang w:val="en-US" w:eastAsia="zh-CN"/>
        </w:rPr>
        <w:t>4.1114</w:t>
      </w:r>
      <w:r>
        <w:rPr>
          <w:rFonts w:hint="default" w:ascii="Times New Roman" w:hAnsi="Times New Roman" w:cs="Times New Roman" w:eastAsiaTheme="minorEastAsia"/>
          <w:color w:val="auto"/>
          <w:sz w:val="24"/>
          <w:szCs w:val="22"/>
          <w:highlight w:val="none"/>
          <w:lang w:val="en-GB"/>
        </w:rPr>
        <w:t>%</w:t>
      </w:r>
      <w:r>
        <w:rPr>
          <w:rFonts w:hint="default" w:ascii="Times New Roman" w:hAnsi="Times New Roman" w:cs="Times New Roman" w:eastAsiaTheme="minorEastAsia"/>
          <w:color w:val="auto"/>
          <w:sz w:val="24"/>
          <w:szCs w:val="22"/>
          <w:highlight w:val="none"/>
        </w:rPr>
        <w:t>&lt;10%，故</w:t>
      </w:r>
      <w:r>
        <w:rPr>
          <w:rFonts w:hint="default" w:ascii="Times New Roman" w:hAnsi="Times New Roman" w:cs="Times New Roman" w:eastAsiaTheme="minorEastAsia"/>
          <w:color w:val="auto"/>
          <w:sz w:val="24"/>
          <w:szCs w:val="22"/>
          <w:highlight w:val="none"/>
          <w:lang w:val="en-GB"/>
        </w:rPr>
        <w:t>确定本项目环境空气评价工作级别为二级。</w:t>
      </w:r>
    </w:p>
    <w:p>
      <w:pPr>
        <w:ind w:firstLine="560"/>
        <w:rPr>
          <w:rFonts w:hint="default" w:ascii="Times New Roman" w:hAnsi="Times New Roman" w:cs="Times New Roman" w:eastAsiaTheme="minorEastAsia"/>
          <w:color w:val="000000" w:themeColor="text1"/>
          <w:sz w:val="24"/>
          <w:szCs w:val="22"/>
          <w:lang w:val="en-GB"/>
          <w14:textFill>
            <w14:solidFill>
              <w14:schemeClr w14:val="tx1"/>
            </w14:solidFill>
          </w14:textFill>
        </w:rPr>
      </w:pPr>
      <w:r>
        <w:rPr>
          <w:rFonts w:hint="default" w:ascii="Times New Roman" w:hAnsi="Times New Roman" w:cs="Times New Roman" w:eastAsiaTheme="minorEastAsia"/>
          <w:color w:val="auto"/>
          <w:sz w:val="24"/>
          <w:szCs w:val="22"/>
          <w:highlight w:val="none"/>
        </w:rPr>
        <w:t>故</w:t>
      </w:r>
      <w:r>
        <w:rPr>
          <w:rFonts w:hint="default" w:ascii="Times New Roman" w:hAnsi="Times New Roman" w:cs="Times New Roman" w:eastAsiaTheme="minorEastAsia"/>
          <w:color w:val="auto"/>
          <w:sz w:val="24"/>
          <w:szCs w:val="22"/>
          <w:highlight w:val="none"/>
          <w:lang w:val="en-GB"/>
        </w:rPr>
        <w:t>确定本项目环境空气评价工作级别为二级</w:t>
      </w:r>
      <w:r>
        <w:rPr>
          <w:rFonts w:hint="default" w:ascii="Times New Roman" w:hAnsi="Times New Roman" w:cs="Times New Roman" w:eastAsiaTheme="minorEastAsia"/>
          <w:color w:val="auto"/>
          <w:sz w:val="24"/>
          <w:szCs w:val="24"/>
          <w:highlight w:val="none"/>
          <w:lang w:val="en-GB"/>
        </w:rPr>
        <w:t>，不进</w:t>
      </w:r>
      <w:r>
        <w:rPr>
          <w:rFonts w:hint="default" w:ascii="Times New Roman" w:hAnsi="Times New Roman" w:cs="Times New Roman" w:eastAsiaTheme="minorEastAsia"/>
          <w:color w:val="000000" w:themeColor="text1"/>
          <w:sz w:val="24"/>
          <w:szCs w:val="24"/>
          <w:lang w:val="en-GB"/>
          <w14:textFill>
            <w14:solidFill>
              <w14:schemeClr w14:val="tx1"/>
            </w14:solidFill>
          </w14:textFill>
        </w:rPr>
        <w:t>行一步预测与评价，只对污染物排放量进行核算。</w:t>
      </w:r>
    </w:p>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5.2.2 项目污染物排放量核算</w:t>
      </w:r>
    </w:p>
    <w:p>
      <w:pPr>
        <w:pStyle w:val="1854"/>
        <w:autoSpaceDE w:val="0"/>
        <w:autoSpaceDN w:val="0"/>
        <w:spacing w:line="500" w:lineRule="exact"/>
        <w:ind w:firstLine="482" w:firstLineChars="201"/>
        <w:jc w:val="both"/>
        <w:textAlignment w:val="bottom"/>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本项目大气污染物有组织排放量核算见表5-2-1。</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表5-2-1 大气污染物有组织排放量核算</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850"/>
        <w:gridCol w:w="1463"/>
        <w:gridCol w:w="1675"/>
        <w:gridCol w:w="1562"/>
        <w:gridCol w:w="15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41" w:type="dxa"/>
            <w:tcBorders>
              <w:top w:val="single" w:color="auto" w:sz="1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序号</w:t>
            </w:r>
          </w:p>
        </w:tc>
        <w:tc>
          <w:tcPr>
            <w:tcW w:w="1850" w:type="dxa"/>
            <w:tcBorders>
              <w:top w:val="single" w:color="auto" w:sz="1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排放口编号</w:t>
            </w:r>
          </w:p>
        </w:tc>
        <w:tc>
          <w:tcPr>
            <w:tcW w:w="1463" w:type="dxa"/>
            <w:tcBorders>
              <w:top w:val="single" w:color="auto" w:sz="1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污染物</w:t>
            </w:r>
          </w:p>
        </w:tc>
        <w:tc>
          <w:tcPr>
            <w:tcW w:w="1675" w:type="dxa"/>
            <w:tcBorders>
              <w:top w:val="single" w:color="auto" w:sz="1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核算排放浓度</w:t>
            </w:r>
          </w:p>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（mg/m</w:t>
            </w:r>
            <w:r>
              <w:rPr>
                <w:rFonts w:hint="default" w:ascii="Times New Roman" w:hAnsi="Times New Roman" w:cs="Times New Roman" w:eastAsiaTheme="minorEastAsia"/>
                <w:color w:val="000000" w:themeColor="text1"/>
                <w:vertAlign w:val="superscript"/>
                <w14:textFill>
                  <w14:solidFill>
                    <w14:schemeClr w14:val="tx1"/>
                  </w14:solidFill>
                </w14:textFill>
              </w:rPr>
              <w:t>3</w:t>
            </w:r>
            <w:r>
              <w:rPr>
                <w:rFonts w:hint="default" w:ascii="Times New Roman" w:hAnsi="Times New Roman" w:cs="Times New Roman" w:eastAsiaTheme="minorEastAsia"/>
                <w:color w:val="000000" w:themeColor="text1"/>
                <w14:textFill>
                  <w14:solidFill>
                    <w14:schemeClr w14:val="tx1"/>
                  </w14:solidFill>
                </w14:textFill>
              </w:rPr>
              <w:t>）</w:t>
            </w:r>
          </w:p>
        </w:tc>
        <w:tc>
          <w:tcPr>
            <w:tcW w:w="1562" w:type="dxa"/>
            <w:tcBorders>
              <w:top w:val="single" w:color="auto" w:sz="12" w:space="0"/>
            </w:tcBorders>
            <w:vAlign w:val="center"/>
          </w:tcPr>
          <w:p>
            <w:pPr>
              <w:pStyle w:val="666"/>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核算排放速率</w:t>
            </w:r>
          </w:p>
          <w:p>
            <w:pPr>
              <w:pStyle w:val="666"/>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（kg/h）</w:t>
            </w:r>
          </w:p>
        </w:tc>
        <w:tc>
          <w:tcPr>
            <w:tcW w:w="1529" w:type="dxa"/>
            <w:tcBorders>
              <w:top w:val="single" w:color="auto" w:sz="12" w:space="0"/>
            </w:tcBorders>
            <w:vAlign w:val="center"/>
          </w:tcPr>
          <w:p>
            <w:pPr>
              <w:pStyle w:val="666"/>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核算年排放量</w:t>
            </w:r>
          </w:p>
          <w:p>
            <w:pPr>
              <w:pStyle w:val="666"/>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720" w:type="dxa"/>
            <w:gridSpan w:val="6"/>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一般排放口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641"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c>
          <w:tcPr>
            <w:tcW w:w="1850"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DA001</w:t>
            </w:r>
          </w:p>
        </w:tc>
        <w:tc>
          <w:tcPr>
            <w:tcW w:w="1463"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颗粒物</w:t>
            </w:r>
          </w:p>
        </w:tc>
        <w:tc>
          <w:tcPr>
            <w:tcW w:w="1675" w:type="dxa"/>
            <w:tcBorders>
              <w:bottom w:val="single" w:color="auto" w:sz="2" w:space="0"/>
            </w:tcBorders>
            <w:vAlign w:val="center"/>
          </w:tcPr>
          <w:p>
            <w:pPr>
              <w:pStyle w:val="666"/>
              <w:spacing w:line="320" w:lineRule="exact"/>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27.34</w:t>
            </w:r>
          </w:p>
        </w:tc>
        <w:tc>
          <w:tcPr>
            <w:tcW w:w="1562" w:type="dxa"/>
            <w:tcBorders>
              <w:bottom w:val="single" w:color="auto" w:sz="2" w:space="0"/>
            </w:tcBorders>
            <w:vAlign w:val="center"/>
          </w:tcPr>
          <w:p>
            <w:pPr>
              <w:pStyle w:val="666"/>
              <w:spacing w:line="320" w:lineRule="exact"/>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0.00037</w:t>
            </w:r>
          </w:p>
        </w:tc>
        <w:tc>
          <w:tcPr>
            <w:tcW w:w="1529"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1"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850"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463"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SO</w:t>
            </w:r>
            <w:r>
              <w:rPr>
                <w:rFonts w:hint="default" w:ascii="Times New Roman" w:hAnsi="Times New Roman" w:cs="Times New Roman" w:eastAsiaTheme="minorEastAsia"/>
                <w:color w:val="000000" w:themeColor="text1"/>
                <w:vertAlign w:val="subscript"/>
                <w14:textFill>
                  <w14:solidFill>
                    <w14:schemeClr w14:val="tx1"/>
                  </w14:solidFill>
                </w14:textFill>
              </w:rPr>
              <w:t>2</w:t>
            </w:r>
          </w:p>
        </w:tc>
        <w:tc>
          <w:tcPr>
            <w:tcW w:w="1675" w:type="dxa"/>
            <w:tcBorders>
              <w:top w:val="single" w:color="auto" w:sz="2" w:space="0"/>
              <w:bottom w:val="single" w:color="auto" w:sz="2" w:space="0"/>
            </w:tcBorders>
            <w:vAlign w:val="center"/>
          </w:tcPr>
          <w:p>
            <w:pPr>
              <w:pStyle w:val="666"/>
              <w:spacing w:line="320" w:lineRule="exact"/>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19.14</w:t>
            </w:r>
          </w:p>
        </w:tc>
        <w:tc>
          <w:tcPr>
            <w:tcW w:w="1562" w:type="dxa"/>
            <w:tcBorders>
              <w:top w:val="single" w:color="auto" w:sz="2" w:space="0"/>
              <w:bottom w:val="single" w:color="auto" w:sz="2" w:space="0"/>
            </w:tcBorders>
            <w:vAlign w:val="center"/>
          </w:tcPr>
          <w:p>
            <w:pPr>
              <w:pStyle w:val="666"/>
              <w:spacing w:line="320" w:lineRule="exact"/>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0.00026</w:t>
            </w:r>
          </w:p>
        </w:tc>
        <w:tc>
          <w:tcPr>
            <w:tcW w:w="1529"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1"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850"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463"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NO</w:t>
            </w:r>
            <w:r>
              <w:rPr>
                <w:rFonts w:hint="default" w:ascii="Times New Roman" w:hAnsi="Times New Roman" w:cs="Times New Roman" w:eastAsiaTheme="minorEastAsia"/>
                <w:color w:val="000000" w:themeColor="text1"/>
                <w:vertAlign w:val="subscript"/>
                <w14:textFill>
                  <w14:solidFill>
                    <w14:schemeClr w14:val="tx1"/>
                  </w14:solidFill>
                </w14:textFill>
              </w:rPr>
              <w:t>X</w:t>
            </w:r>
          </w:p>
        </w:tc>
        <w:tc>
          <w:tcPr>
            <w:tcW w:w="1675" w:type="dxa"/>
            <w:tcBorders>
              <w:top w:val="single" w:color="auto" w:sz="2" w:space="0"/>
            </w:tcBorders>
            <w:vAlign w:val="center"/>
          </w:tcPr>
          <w:p>
            <w:pPr>
              <w:pStyle w:val="666"/>
              <w:spacing w:line="320" w:lineRule="exact"/>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176.73</w:t>
            </w:r>
          </w:p>
        </w:tc>
        <w:tc>
          <w:tcPr>
            <w:tcW w:w="1562" w:type="dxa"/>
            <w:tcBorders>
              <w:top w:val="single" w:color="auto" w:sz="2" w:space="0"/>
            </w:tcBorders>
            <w:vAlign w:val="center"/>
          </w:tcPr>
          <w:p>
            <w:pPr>
              <w:pStyle w:val="666"/>
              <w:spacing w:line="320" w:lineRule="exact"/>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0.0024</w:t>
            </w:r>
          </w:p>
        </w:tc>
        <w:tc>
          <w:tcPr>
            <w:tcW w:w="1529"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641"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c>
          <w:tcPr>
            <w:tcW w:w="1850"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DA002</w:t>
            </w:r>
          </w:p>
        </w:tc>
        <w:tc>
          <w:tcPr>
            <w:tcW w:w="1463"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NH</w:t>
            </w:r>
            <w:r>
              <w:rPr>
                <w:rFonts w:hint="default" w:ascii="Times New Roman" w:hAnsi="Times New Roman" w:cs="Times New Roman" w:eastAsiaTheme="minorEastAsia"/>
                <w:color w:val="000000" w:themeColor="text1"/>
                <w:vertAlign w:val="subscript"/>
                <w14:textFill>
                  <w14:solidFill>
                    <w14:schemeClr w14:val="tx1"/>
                  </w14:solidFill>
                </w14:textFill>
              </w:rPr>
              <w:t>3</w:t>
            </w:r>
          </w:p>
        </w:tc>
        <w:tc>
          <w:tcPr>
            <w:tcW w:w="1675" w:type="dxa"/>
            <w:tcBorders>
              <w:top w:val="single" w:color="auto" w:sz="2" w:space="0"/>
            </w:tcBorders>
            <w:vAlign w:val="center"/>
          </w:tcPr>
          <w:p>
            <w:pPr>
              <w:pStyle w:val="666"/>
              <w:spacing w:line="320" w:lineRule="exact"/>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0.4</w:t>
            </w:r>
          </w:p>
        </w:tc>
        <w:tc>
          <w:tcPr>
            <w:tcW w:w="1562" w:type="dxa"/>
            <w:tcBorders>
              <w:top w:val="single" w:color="auto" w:sz="2" w:space="0"/>
            </w:tcBorders>
            <w:vAlign w:val="center"/>
          </w:tcPr>
          <w:p>
            <w:pPr>
              <w:pStyle w:val="666"/>
              <w:spacing w:line="320" w:lineRule="exact"/>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0.0008</w:t>
            </w:r>
          </w:p>
        </w:tc>
        <w:tc>
          <w:tcPr>
            <w:tcW w:w="1529"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41"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850"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463" w:type="dxa"/>
            <w:tcBorders>
              <w:top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H</w:t>
            </w:r>
            <w:r>
              <w:rPr>
                <w:rFonts w:hint="default" w:ascii="Times New Roman" w:hAnsi="Times New Roman" w:cs="Times New Roman" w:eastAsiaTheme="minorEastAsia"/>
                <w:color w:val="000000" w:themeColor="text1"/>
                <w:vertAlign w:val="subscript"/>
                <w14:textFill>
                  <w14:solidFill>
                    <w14:schemeClr w14:val="tx1"/>
                  </w14:solidFill>
                </w14:textFill>
              </w:rPr>
              <w:t>2</w:t>
            </w:r>
            <w:r>
              <w:rPr>
                <w:rFonts w:hint="default" w:ascii="Times New Roman" w:hAnsi="Times New Roman" w:cs="Times New Roman" w:eastAsiaTheme="minorEastAsia"/>
                <w:color w:val="000000" w:themeColor="text1"/>
                <w14:textFill>
                  <w14:solidFill>
                    <w14:schemeClr w14:val="tx1"/>
                  </w14:solidFill>
                </w14:textFill>
              </w:rPr>
              <w:t>S</w:t>
            </w:r>
          </w:p>
        </w:tc>
        <w:tc>
          <w:tcPr>
            <w:tcW w:w="1675" w:type="dxa"/>
            <w:tcBorders>
              <w:top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0.25</w:t>
            </w:r>
          </w:p>
        </w:tc>
        <w:tc>
          <w:tcPr>
            <w:tcW w:w="1562" w:type="dxa"/>
            <w:tcBorders>
              <w:top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0.0005</w:t>
            </w:r>
          </w:p>
        </w:tc>
        <w:tc>
          <w:tcPr>
            <w:tcW w:w="1529" w:type="dxa"/>
            <w:tcBorders>
              <w:top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641"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w:t>
            </w:r>
          </w:p>
        </w:tc>
        <w:tc>
          <w:tcPr>
            <w:tcW w:w="1850"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DA003</w:t>
            </w:r>
          </w:p>
        </w:tc>
        <w:tc>
          <w:tcPr>
            <w:tcW w:w="1463"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颗粒物</w:t>
            </w:r>
          </w:p>
        </w:tc>
        <w:tc>
          <w:tcPr>
            <w:tcW w:w="1675" w:type="dxa"/>
            <w:tcBorders>
              <w:top w:val="single" w:color="auto" w:sz="2" w:space="0"/>
            </w:tcBorders>
            <w:vAlign w:val="center"/>
          </w:tcPr>
          <w:p>
            <w:pPr>
              <w:pStyle w:val="666"/>
              <w:spacing w:line="320" w:lineRule="exact"/>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8.7</w:t>
            </w:r>
          </w:p>
        </w:tc>
        <w:tc>
          <w:tcPr>
            <w:tcW w:w="1562" w:type="dxa"/>
            <w:tcBorders>
              <w:top w:val="single" w:color="auto" w:sz="2" w:space="0"/>
            </w:tcBorders>
            <w:vAlign w:val="center"/>
          </w:tcPr>
          <w:p>
            <w:pPr>
              <w:pStyle w:val="666"/>
              <w:spacing w:line="320" w:lineRule="exact"/>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0.04</w:t>
            </w:r>
          </w:p>
        </w:tc>
        <w:tc>
          <w:tcPr>
            <w:tcW w:w="1529"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641"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850"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463" w:type="dxa"/>
            <w:tcBorders>
              <w:top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SO</w:t>
            </w:r>
            <w:r>
              <w:rPr>
                <w:rFonts w:hint="default" w:ascii="Times New Roman" w:hAnsi="Times New Roman" w:cs="Times New Roman" w:eastAsiaTheme="minorEastAsia"/>
                <w:color w:val="000000" w:themeColor="text1"/>
                <w:vertAlign w:val="subscript"/>
                <w14:textFill>
                  <w14:solidFill>
                    <w14:schemeClr w14:val="tx1"/>
                  </w14:solidFill>
                </w14:textFill>
              </w:rPr>
              <w:t>2</w:t>
            </w:r>
          </w:p>
        </w:tc>
        <w:tc>
          <w:tcPr>
            <w:tcW w:w="1675" w:type="dxa"/>
            <w:tcBorders>
              <w:top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258.69</w:t>
            </w:r>
          </w:p>
        </w:tc>
        <w:tc>
          <w:tcPr>
            <w:tcW w:w="1562" w:type="dxa"/>
            <w:tcBorders>
              <w:top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1.19</w:t>
            </w:r>
          </w:p>
        </w:tc>
        <w:tc>
          <w:tcPr>
            <w:tcW w:w="1529" w:type="dxa"/>
            <w:tcBorders>
              <w:top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0.357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41"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850"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463" w:type="dxa"/>
            <w:tcBorders>
              <w:top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NO</w:t>
            </w:r>
            <w:r>
              <w:rPr>
                <w:rFonts w:hint="default" w:ascii="Times New Roman" w:hAnsi="Times New Roman" w:cs="Times New Roman" w:eastAsiaTheme="minorEastAsia"/>
                <w:color w:val="000000" w:themeColor="text1"/>
                <w:vertAlign w:val="subscript"/>
                <w14:textFill>
                  <w14:solidFill>
                    <w14:schemeClr w14:val="tx1"/>
                  </w14:solidFill>
                </w14:textFill>
              </w:rPr>
              <w:t>X</w:t>
            </w:r>
          </w:p>
        </w:tc>
        <w:tc>
          <w:tcPr>
            <w:tcW w:w="1675" w:type="dxa"/>
            <w:tcBorders>
              <w:top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155.07</w:t>
            </w:r>
          </w:p>
        </w:tc>
        <w:tc>
          <w:tcPr>
            <w:tcW w:w="1562" w:type="dxa"/>
            <w:tcBorders>
              <w:top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0.71</w:t>
            </w:r>
          </w:p>
        </w:tc>
        <w:tc>
          <w:tcPr>
            <w:tcW w:w="1529" w:type="dxa"/>
            <w:tcBorders>
              <w:top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0.214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91" w:type="dxa"/>
            <w:gridSpan w:val="2"/>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一般排放口合计</w:t>
            </w:r>
          </w:p>
        </w:tc>
        <w:tc>
          <w:tcPr>
            <w:tcW w:w="4700" w:type="dxa"/>
            <w:gridSpan w:val="3"/>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颗粒物</w:t>
            </w:r>
          </w:p>
        </w:tc>
        <w:tc>
          <w:tcPr>
            <w:tcW w:w="152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0.122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91" w:type="dxa"/>
            <w:gridSpan w:val="2"/>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4700" w:type="dxa"/>
            <w:gridSpan w:val="3"/>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SO</w:t>
            </w:r>
            <w:r>
              <w:rPr>
                <w:rFonts w:hint="default" w:ascii="Times New Roman" w:hAnsi="Times New Roman" w:cs="Times New Roman" w:eastAsiaTheme="minorEastAsia"/>
                <w:color w:val="000000" w:themeColor="text1"/>
                <w:vertAlign w:val="subscript"/>
                <w14:textFill>
                  <w14:solidFill>
                    <w14:schemeClr w14:val="tx1"/>
                  </w14:solidFill>
                </w14:textFill>
              </w:rPr>
              <w:t>2</w:t>
            </w:r>
          </w:p>
        </w:tc>
        <w:tc>
          <w:tcPr>
            <w:tcW w:w="152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0.358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491" w:type="dxa"/>
            <w:gridSpan w:val="2"/>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4700" w:type="dxa"/>
            <w:gridSpan w:val="3"/>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NO</w:t>
            </w:r>
            <w:r>
              <w:rPr>
                <w:rFonts w:hint="default" w:ascii="Times New Roman" w:hAnsi="Times New Roman" w:cs="Times New Roman" w:eastAsiaTheme="minorEastAsia"/>
                <w:color w:val="000000" w:themeColor="text1"/>
                <w:vertAlign w:val="subscript"/>
                <w14:textFill>
                  <w14:solidFill>
                    <w14:schemeClr w14:val="tx1"/>
                  </w14:solidFill>
                </w14:textFill>
              </w:rPr>
              <w:t>X</w:t>
            </w:r>
          </w:p>
        </w:tc>
        <w:tc>
          <w:tcPr>
            <w:tcW w:w="152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0.225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491" w:type="dxa"/>
            <w:gridSpan w:val="2"/>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4700" w:type="dxa"/>
            <w:gridSpan w:val="3"/>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NH</w:t>
            </w:r>
            <w:r>
              <w:rPr>
                <w:rFonts w:hint="default" w:ascii="Times New Roman" w:hAnsi="Times New Roman" w:cs="Times New Roman" w:eastAsiaTheme="minorEastAsia"/>
                <w:color w:val="000000" w:themeColor="text1"/>
                <w:vertAlign w:val="subscript"/>
                <w14:textFill>
                  <w14:solidFill>
                    <w14:schemeClr w14:val="tx1"/>
                  </w14:solidFill>
                </w14:textFill>
              </w:rPr>
              <w:t>3</w:t>
            </w:r>
          </w:p>
        </w:tc>
        <w:tc>
          <w:tcPr>
            <w:tcW w:w="152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491" w:type="dxa"/>
            <w:gridSpan w:val="2"/>
            <w:vMerge w:val="continue"/>
            <w:tcBorders>
              <w:bottom w:val="single" w:color="auto" w:sz="1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4700" w:type="dxa"/>
            <w:gridSpan w:val="3"/>
            <w:tcBorders>
              <w:bottom w:val="single" w:color="auto" w:sz="1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H</w:t>
            </w:r>
            <w:r>
              <w:rPr>
                <w:rFonts w:hint="default" w:ascii="Times New Roman" w:hAnsi="Times New Roman" w:cs="Times New Roman" w:eastAsiaTheme="minorEastAsia"/>
                <w:color w:val="000000" w:themeColor="text1"/>
                <w:vertAlign w:val="subscript"/>
                <w14:textFill>
                  <w14:solidFill>
                    <w14:schemeClr w14:val="tx1"/>
                  </w14:solidFill>
                </w14:textFill>
              </w:rPr>
              <w:t>2</w:t>
            </w:r>
            <w:r>
              <w:rPr>
                <w:rFonts w:hint="default" w:ascii="Times New Roman" w:hAnsi="Times New Roman" w:cs="Times New Roman" w:eastAsiaTheme="minorEastAsia"/>
                <w:color w:val="000000" w:themeColor="text1"/>
                <w14:textFill>
                  <w14:solidFill>
                    <w14:schemeClr w14:val="tx1"/>
                  </w14:solidFill>
                </w14:textFill>
              </w:rPr>
              <w:t>S</w:t>
            </w:r>
          </w:p>
        </w:tc>
        <w:tc>
          <w:tcPr>
            <w:tcW w:w="1529" w:type="dxa"/>
            <w:tcBorders>
              <w:bottom w:val="single" w:color="auto" w:sz="1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0.004</w:t>
            </w:r>
          </w:p>
        </w:tc>
      </w:tr>
    </w:tbl>
    <w:p>
      <w:pPr>
        <w:pStyle w:val="952"/>
        <w:spacing w:line="520" w:lineRule="exact"/>
        <w:ind w:firstLine="560"/>
        <w:jc w:val="both"/>
        <w:textAlignment w:val="center"/>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本项目大气污染物无组织排放量核算见表5-2-2。</w:t>
      </w:r>
    </w:p>
    <w:p>
      <w:pPr>
        <w:pStyle w:val="643"/>
        <w:rPr>
          <w:rFonts w:hint="default" w:ascii="Times New Roman" w:hAnsi="Times New Roman" w:cs="Times New Roman" w:eastAsiaTheme="minorEastAsia"/>
          <w:b/>
          <w:color w:val="000000" w:themeColor="text1"/>
          <w:sz w:val="28"/>
          <w:szCs w:val="28"/>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表5-2-2 大气污染物无组织排放量核算表</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2"/>
        <w:gridCol w:w="1013"/>
        <w:gridCol w:w="966"/>
        <w:gridCol w:w="970"/>
        <w:gridCol w:w="1250"/>
        <w:gridCol w:w="1734"/>
        <w:gridCol w:w="1399"/>
        <w:gridCol w:w="9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62"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序号</w:t>
            </w:r>
          </w:p>
        </w:tc>
        <w:tc>
          <w:tcPr>
            <w:tcW w:w="1013" w:type="dxa"/>
            <w:vMerge w:val="restart"/>
            <w:tcBorders>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排放口编号</w:t>
            </w:r>
          </w:p>
        </w:tc>
        <w:tc>
          <w:tcPr>
            <w:tcW w:w="966" w:type="dxa"/>
            <w:vMerge w:val="restart"/>
            <w:tcBorders>
              <w:lef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产物环节</w:t>
            </w:r>
          </w:p>
        </w:tc>
        <w:tc>
          <w:tcPr>
            <w:tcW w:w="970"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污染物</w:t>
            </w:r>
          </w:p>
        </w:tc>
        <w:tc>
          <w:tcPr>
            <w:tcW w:w="1250" w:type="dxa"/>
            <w:vMerge w:val="restart"/>
            <w:tcBorders>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主要污染防治措施</w:t>
            </w:r>
          </w:p>
        </w:tc>
        <w:tc>
          <w:tcPr>
            <w:tcW w:w="3133" w:type="dxa"/>
            <w:gridSpan w:val="2"/>
            <w:tcBorders>
              <w:left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国家或地方污染物排放标准</w:t>
            </w:r>
          </w:p>
        </w:tc>
        <w:tc>
          <w:tcPr>
            <w:tcW w:w="926"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462"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13" w:type="dxa"/>
            <w:vMerge w:val="continue"/>
            <w:tcBorders>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66" w:type="dxa"/>
            <w:vMerge w:val="continue"/>
            <w:tcBorders>
              <w:lef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70"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250" w:type="dxa"/>
            <w:vMerge w:val="continue"/>
            <w:tcBorders>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734" w:type="dxa"/>
            <w:tcBorders>
              <w:top w:val="single" w:color="auto" w:sz="2" w:space="0"/>
              <w:left w:val="single" w:color="auto" w:sz="2" w:space="0"/>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标准名称</w:t>
            </w:r>
          </w:p>
        </w:tc>
        <w:tc>
          <w:tcPr>
            <w:tcW w:w="1399" w:type="dxa"/>
            <w:tcBorders>
              <w:top w:val="single" w:color="auto" w:sz="2" w:space="0"/>
              <w:lef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浓度限值（mg/m</w:t>
            </w:r>
            <w:r>
              <w:rPr>
                <w:rFonts w:hint="default" w:ascii="Times New Roman" w:hAnsi="Times New Roman" w:cs="Times New Roman" w:eastAsiaTheme="minorEastAsia"/>
                <w:color w:val="000000" w:themeColor="text1"/>
                <w:vertAlign w:val="superscript"/>
                <w14:textFill>
                  <w14:solidFill>
                    <w14:schemeClr w14:val="tx1"/>
                  </w14:solidFill>
                </w14:textFill>
              </w:rPr>
              <w:t>3</w:t>
            </w:r>
            <w:r>
              <w:rPr>
                <w:rFonts w:hint="default" w:ascii="Times New Roman" w:hAnsi="Times New Roman" w:cs="Times New Roman" w:eastAsiaTheme="minorEastAsia"/>
                <w:color w:val="000000" w:themeColor="text1"/>
                <w14:textFill>
                  <w14:solidFill>
                    <w14:schemeClr w14:val="tx1"/>
                  </w14:solidFill>
                </w14:textFill>
              </w:rPr>
              <w:t>）</w:t>
            </w:r>
          </w:p>
        </w:tc>
        <w:tc>
          <w:tcPr>
            <w:tcW w:w="926"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462"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c>
          <w:tcPr>
            <w:tcW w:w="1013" w:type="dxa"/>
            <w:vMerge w:val="restart"/>
            <w:tcBorders>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MF0001</w:t>
            </w:r>
          </w:p>
        </w:tc>
        <w:tc>
          <w:tcPr>
            <w:tcW w:w="966" w:type="dxa"/>
            <w:vMerge w:val="restart"/>
            <w:tcBorders>
              <w:lef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牛舍</w:t>
            </w:r>
          </w:p>
        </w:tc>
        <w:tc>
          <w:tcPr>
            <w:tcW w:w="970"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NH</w:t>
            </w:r>
            <w:r>
              <w:rPr>
                <w:rFonts w:hint="default" w:ascii="Times New Roman" w:hAnsi="Times New Roman" w:cs="Times New Roman" w:eastAsiaTheme="minorEastAsia"/>
                <w:color w:val="000000" w:themeColor="text1"/>
                <w:vertAlign w:val="subscript"/>
                <w14:textFill>
                  <w14:solidFill>
                    <w14:schemeClr w14:val="tx1"/>
                  </w14:solidFill>
                </w14:textFill>
              </w:rPr>
              <w:t>3</w:t>
            </w:r>
          </w:p>
        </w:tc>
        <w:tc>
          <w:tcPr>
            <w:tcW w:w="1250" w:type="dxa"/>
            <w:vMerge w:val="restart"/>
            <w:tcBorders>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喷洒EM菌除臭剂</w:t>
            </w:r>
          </w:p>
        </w:tc>
        <w:tc>
          <w:tcPr>
            <w:tcW w:w="1734" w:type="dxa"/>
            <w:vMerge w:val="restart"/>
            <w:tcBorders>
              <w:left w:val="single" w:color="auto" w:sz="2" w:space="0"/>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《恶臭污染物排放标准》（GB14554-93）</w:t>
            </w:r>
          </w:p>
        </w:tc>
        <w:tc>
          <w:tcPr>
            <w:tcW w:w="1399" w:type="dxa"/>
            <w:tcBorders>
              <w:left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厂界1.5</w:t>
            </w:r>
          </w:p>
        </w:tc>
        <w:tc>
          <w:tcPr>
            <w:tcW w:w="926"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62"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13" w:type="dxa"/>
            <w:vMerge w:val="continue"/>
            <w:tcBorders>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66" w:type="dxa"/>
            <w:vMerge w:val="continue"/>
            <w:tcBorders>
              <w:lef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70"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H</w:t>
            </w:r>
            <w:r>
              <w:rPr>
                <w:rFonts w:hint="default" w:ascii="Times New Roman" w:hAnsi="Times New Roman" w:cs="Times New Roman" w:eastAsiaTheme="minorEastAsia"/>
                <w:color w:val="000000" w:themeColor="text1"/>
                <w:vertAlign w:val="subscript"/>
                <w14:textFill>
                  <w14:solidFill>
                    <w14:schemeClr w14:val="tx1"/>
                  </w14:solidFill>
                </w14:textFill>
              </w:rPr>
              <w:t>2</w:t>
            </w:r>
            <w:r>
              <w:rPr>
                <w:rFonts w:hint="default" w:ascii="Times New Roman" w:hAnsi="Times New Roman" w:cs="Times New Roman" w:eastAsiaTheme="minorEastAsia"/>
                <w:color w:val="000000" w:themeColor="text1"/>
                <w14:textFill>
                  <w14:solidFill>
                    <w14:schemeClr w14:val="tx1"/>
                  </w14:solidFill>
                </w14:textFill>
              </w:rPr>
              <w:t>S</w:t>
            </w:r>
          </w:p>
        </w:tc>
        <w:tc>
          <w:tcPr>
            <w:tcW w:w="1250" w:type="dxa"/>
            <w:vMerge w:val="continue"/>
            <w:tcBorders>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734" w:type="dxa"/>
            <w:vMerge w:val="continue"/>
            <w:tcBorders>
              <w:left w:val="single" w:color="auto" w:sz="2" w:space="0"/>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399" w:type="dxa"/>
            <w:tcBorders>
              <w:top w:val="single" w:color="auto" w:sz="2" w:space="0"/>
              <w:lef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厂界0.06</w:t>
            </w:r>
          </w:p>
        </w:tc>
        <w:tc>
          <w:tcPr>
            <w:tcW w:w="926"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462"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13" w:type="dxa"/>
            <w:vMerge w:val="continue"/>
            <w:tcBorders>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66" w:type="dxa"/>
            <w:vMerge w:val="continue"/>
            <w:tcBorders>
              <w:lef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70" w:type="dxa"/>
            <w:tcBorders>
              <w:top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臭气浓度</w:t>
            </w:r>
          </w:p>
        </w:tc>
        <w:tc>
          <w:tcPr>
            <w:tcW w:w="1250" w:type="dxa"/>
            <w:vMerge w:val="continue"/>
            <w:tcBorders>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734" w:type="dxa"/>
            <w:vMerge w:val="continue"/>
            <w:tcBorders>
              <w:left w:val="single" w:color="auto" w:sz="2" w:space="0"/>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399" w:type="dxa"/>
            <w:tcBorders>
              <w:top w:val="single" w:color="auto" w:sz="4" w:space="0"/>
              <w:lef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厂界20（无量纲）</w:t>
            </w:r>
          </w:p>
        </w:tc>
        <w:tc>
          <w:tcPr>
            <w:tcW w:w="926" w:type="dxa"/>
            <w:tcBorders>
              <w:top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62"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c>
          <w:tcPr>
            <w:tcW w:w="1013" w:type="dxa"/>
            <w:vMerge w:val="restart"/>
            <w:tcBorders>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MF0002</w:t>
            </w:r>
          </w:p>
        </w:tc>
        <w:tc>
          <w:tcPr>
            <w:tcW w:w="966" w:type="dxa"/>
            <w:vMerge w:val="restart"/>
            <w:tcBorders>
              <w:lef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粪污处理区</w:t>
            </w:r>
          </w:p>
        </w:tc>
        <w:tc>
          <w:tcPr>
            <w:tcW w:w="97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NH</w:t>
            </w:r>
            <w:r>
              <w:rPr>
                <w:rFonts w:hint="default" w:ascii="Times New Roman" w:hAnsi="Times New Roman" w:cs="Times New Roman" w:eastAsiaTheme="minorEastAsia"/>
                <w:color w:val="000000" w:themeColor="text1"/>
                <w:vertAlign w:val="subscript"/>
                <w14:textFill>
                  <w14:solidFill>
                    <w14:schemeClr w14:val="tx1"/>
                  </w14:solidFill>
                </w14:textFill>
              </w:rPr>
              <w:t>3</w:t>
            </w:r>
          </w:p>
        </w:tc>
        <w:tc>
          <w:tcPr>
            <w:tcW w:w="1250" w:type="dxa"/>
            <w:vMerge w:val="restart"/>
            <w:tcBorders>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喷洒生物除臭剂</w:t>
            </w:r>
          </w:p>
        </w:tc>
        <w:tc>
          <w:tcPr>
            <w:tcW w:w="1734" w:type="dxa"/>
            <w:vMerge w:val="restart"/>
            <w:tcBorders>
              <w:left w:val="single" w:color="auto" w:sz="2" w:space="0"/>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《恶臭污染物排放标准》（GB14554-93）</w:t>
            </w:r>
          </w:p>
        </w:tc>
        <w:tc>
          <w:tcPr>
            <w:tcW w:w="1399" w:type="dxa"/>
            <w:tcBorders>
              <w:left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厂界1.5</w:t>
            </w:r>
          </w:p>
        </w:tc>
        <w:tc>
          <w:tcPr>
            <w:tcW w:w="92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462"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13" w:type="dxa"/>
            <w:vMerge w:val="continue"/>
            <w:tcBorders>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66" w:type="dxa"/>
            <w:vMerge w:val="continue"/>
            <w:tcBorders>
              <w:lef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7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H</w:t>
            </w:r>
            <w:r>
              <w:rPr>
                <w:rFonts w:hint="default" w:ascii="Times New Roman" w:hAnsi="Times New Roman" w:cs="Times New Roman" w:eastAsiaTheme="minorEastAsia"/>
                <w:color w:val="000000" w:themeColor="text1"/>
                <w:vertAlign w:val="subscript"/>
                <w14:textFill>
                  <w14:solidFill>
                    <w14:schemeClr w14:val="tx1"/>
                  </w14:solidFill>
                </w14:textFill>
              </w:rPr>
              <w:t>2</w:t>
            </w:r>
            <w:r>
              <w:rPr>
                <w:rFonts w:hint="default" w:ascii="Times New Roman" w:hAnsi="Times New Roman" w:cs="Times New Roman" w:eastAsiaTheme="minorEastAsia"/>
                <w:color w:val="000000" w:themeColor="text1"/>
                <w14:textFill>
                  <w14:solidFill>
                    <w14:schemeClr w14:val="tx1"/>
                  </w14:solidFill>
                </w14:textFill>
              </w:rPr>
              <w:t>S</w:t>
            </w:r>
          </w:p>
        </w:tc>
        <w:tc>
          <w:tcPr>
            <w:tcW w:w="1250" w:type="dxa"/>
            <w:vMerge w:val="continue"/>
            <w:tcBorders>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734" w:type="dxa"/>
            <w:vMerge w:val="continue"/>
            <w:tcBorders>
              <w:left w:val="single" w:color="auto" w:sz="2" w:space="0"/>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399" w:type="dxa"/>
            <w:tcBorders>
              <w:top w:val="single" w:color="auto" w:sz="2" w:space="0"/>
              <w:lef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厂界0.06</w:t>
            </w:r>
          </w:p>
        </w:tc>
        <w:tc>
          <w:tcPr>
            <w:tcW w:w="92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62"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13" w:type="dxa"/>
            <w:vMerge w:val="continue"/>
            <w:tcBorders>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66" w:type="dxa"/>
            <w:vMerge w:val="continue"/>
            <w:tcBorders>
              <w:lef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70" w:type="dxa"/>
            <w:tcBorders>
              <w:top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臭气浓度</w:t>
            </w:r>
          </w:p>
        </w:tc>
        <w:tc>
          <w:tcPr>
            <w:tcW w:w="1250" w:type="dxa"/>
            <w:vMerge w:val="continue"/>
            <w:tcBorders>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734" w:type="dxa"/>
            <w:vMerge w:val="continue"/>
            <w:tcBorders>
              <w:left w:val="single" w:color="auto" w:sz="2" w:space="0"/>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399" w:type="dxa"/>
            <w:tcBorders>
              <w:top w:val="single" w:color="auto" w:sz="4" w:space="0"/>
              <w:lef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厂界20（无量纲）</w:t>
            </w:r>
          </w:p>
        </w:tc>
        <w:tc>
          <w:tcPr>
            <w:tcW w:w="92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462"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w:t>
            </w:r>
          </w:p>
        </w:tc>
        <w:tc>
          <w:tcPr>
            <w:tcW w:w="1013" w:type="dxa"/>
            <w:tcBorders>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ME0003</w:t>
            </w:r>
          </w:p>
        </w:tc>
        <w:tc>
          <w:tcPr>
            <w:tcW w:w="966" w:type="dxa"/>
            <w:tcBorders>
              <w:lef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饲料加工</w:t>
            </w:r>
          </w:p>
        </w:tc>
        <w:tc>
          <w:tcPr>
            <w:tcW w:w="970" w:type="dxa"/>
            <w:tcBorders>
              <w:top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颗粒物</w:t>
            </w:r>
          </w:p>
        </w:tc>
        <w:tc>
          <w:tcPr>
            <w:tcW w:w="1250" w:type="dxa"/>
            <w:tcBorders>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c>
          <w:tcPr>
            <w:tcW w:w="1734" w:type="dxa"/>
            <w:tcBorders>
              <w:left w:val="single" w:color="auto" w:sz="2" w:space="0"/>
              <w:righ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《大气污染物综合排放标准》（GB16297-1996）</w:t>
            </w:r>
          </w:p>
        </w:tc>
        <w:tc>
          <w:tcPr>
            <w:tcW w:w="1399" w:type="dxa"/>
            <w:tcBorders>
              <w:top w:val="single" w:color="auto" w:sz="4" w:space="0"/>
              <w:left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表2无组织排放监控浓度限值</w:t>
            </w:r>
          </w:p>
        </w:tc>
        <w:tc>
          <w:tcPr>
            <w:tcW w:w="92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411" w:type="dxa"/>
            <w:gridSpan w:val="4"/>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无组织排放总计</w:t>
            </w:r>
          </w:p>
        </w:tc>
        <w:tc>
          <w:tcPr>
            <w:tcW w:w="4383" w:type="dxa"/>
            <w:gridSpan w:val="3"/>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NH</w:t>
            </w:r>
            <w:r>
              <w:rPr>
                <w:rFonts w:hint="default" w:ascii="Times New Roman" w:hAnsi="Times New Roman" w:cs="Times New Roman" w:eastAsiaTheme="minorEastAsia"/>
                <w:color w:val="000000" w:themeColor="text1"/>
                <w:vertAlign w:val="subscript"/>
                <w14:textFill>
                  <w14:solidFill>
                    <w14:schemeClr w14:val="tx1"/>
                  </w14:solidFill>
                </w14:textFill>
              </w:rPr>
              <w:t>3</w:t>
            </w:r>
          </w:p>
        </w:tc>
        <w:tc>
          <w:tcPr>
            <w:tcW w:w="92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3411" w:type="dxa"/>
            <w:gridSpan w:val="4"/>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4383" w:type="dxa"/>
            <w:gridSpan w:val="3"/>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H</w:t>
            </w:r>
            <w:r>
              <w:rPr>
                <w:rFonts w:hint="default" w:ascii="Times New Roman" w:hAnsi="Times New Roman" w:cs="Times New Roman" w:eastAsiaTheme="minorEastAsia"/>
                <w:color w:val="000000" w:themeColor="text1"/>
                <w:vertAlign w:val="subscript"/>
                <w14:textFill>
                  <w14:solidFill>
                    <w14:schemeClr w14:val="tx1"/>
                  </w14:solidFill>
                </w14:textFill>
              </w:rPr>
              <w:t>2</w:t>
            </w:r>
            <w:r>
              <w:rPr>
                <w:rFonts w:hint="default" w:ascii="Times New Roman" w:hAnsi="Times New Roman" w:cs="Times New Roman" w:eastAsiaTheme="minorEastAsia"/>
                <w:color w:val="000000" w:themeColor="text1"/>
                <w14:textFill>
                  <w14:solidFill>
                    <w14:schemeClr w14:val="tx1"/>
                  </w14:solidFill>
                </w14:textFill>
              </w:rPr>
              <w:t>S</w:t>
            </w:r>
          </w:p>
        </w:tc>
        <w:tc>
          <w:tcPr>
            <w:tcW w:w="92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411" w:type="dxa"/>
            <w:gridSpan w:val="4"/>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4383" w:type="dxa"/>
            <w:gridSpan w:val="3"/>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颗粒物</w:t>
            </w:r>
          </w:p>
        </w:tc>
        <w:tc>
          <w:tcPr>
            <w:tcW w:w="92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0.04</w:t>
            </w:r>
          </w:p>
        </w:tc>
      </w:tr>
    </w:tbl>
    <w:p>
      <w:pPr>
        <w:pStyle w:val="952"/>
        <w:spacing w:line="520" w:lineRule="exact"/>
        <w:ind w:firstLine="560"/>
        <w:jc w:val="both"/>
        <w:textAlignment w:val="center"/>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本项目大气污染物年排放量核算见表5-2-3。</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表5-2-3 本项目大气污染物年排放量核算表</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06"/>
        <w:gridCol w:w="2907"/>
        <w:gridCol w:w="29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0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序号</w:t>
            </w:r>
          </w:p>
        </w:tc>
        <w:tc>
          <w:tcPr>
            <w:tcW w:w="290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污染物</w:t>
            </w:r>
          </w:p>
        </w:tc>
        <w:tc>
          <w:tcPr>
            <w:tcW w:w="290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0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c>
          <w:tcPr>
            <w:tcW w:w="290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颗粒物</w:t>
            </w:r>
          </w:p>
        </w:tc>
        <w:tc>
          <w:tcPr>
            <w:tcW w:w="290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0.162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0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c>
          <w:tcPr>
            <w:tcW w:w="290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SO</w:t>
            </w:r>
            <w:r>
              <w:rPr>
                <w:rFonts w:hint="default" w:ascii="Times New Roman" w:hAnsi="Times New Roman" w:cs="Times New Roman" w:eastAsiaTheme="minorEastAsia"/>
                <w:color w:val="000000" w:themeColor="text1"/>
                <w:vertAlign w:val="subscript"/>
                <w14:textFill>
                  <w14:solidFill>
                    <w14:schemeClr w14:val="tx1"/>
                  </w14:solidFill>
                </w14:textFill>
              </w:rPr>
              <w:t>2</w:t>
            </w:r>
          </w:p>
        </w:tc>
        <w:tc>
          <w:tcPr>
            <w:tcW w:w="290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0.358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90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w:t>
            </w:r>
          </w:p>
        </w:tc>
        <w:tc>
          <w:tcPr>
            <w:tcW w:w="290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NO</w:t>
            </w:r>
            <w:r>
              <w:rPr>
                <w:rFonts w:hint="default" w:ascii="Times New Roman" w:hAnsi="Times New Roman" w:cs="Times New Roman" w:eastAsiaTheme="minorEastAsia"/>
                <w:color w:val="000000" w:themeColor="text1"/>
                <w:vertAlign w:val="subscript"/>
                <w14:textFill>
                  <w14:solidFill>
                    <w14:schemeClr w14:val="tx1"/>
                  </w14:solidFill>
                </w14:textFill>
              </w:rPr>
              <w:t>X</w:t>
            </w:r>
          </w:p>
        </w:tc>
        <w:tc>
          <w:tcPr>
            <w:tcW w:w="290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0.225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90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w:t>
            </w:r>
          </w:p>
        </w:tc>
        <w:tc>
          <w:tcPr>
            <w:tcW w:w="290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NH</w:t>
            </w:r>
            <w:r>
              <w:rPr>
                <w:rFonts w:hint="default" w:ascii="Times New Roman" w:hAnsi="Times New Roman" w:cs="Times New Roman" w:eastAsiaTheme="minorEastAsia"/>
                <w:color w:val="000000" w:themeColor="text1"/>
                <w:vertAlign w:val="subscript"/>
                <w14:textFill>
                  <w14:solidFill>
                    <w14:schemeClr w14:val="tx1"/>
                  </w14:solidFill>
                </w14:textFill>
              </w:rPr>
              <w:t>3</w:t>
            </w:r>
          </w:p>
        </w:tc>
        <w:tc>
          <w:tcPr>
            <w:tcW w:w="290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06"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w:t>
            </w:r>
          </w:p>
        </w:tc>
        <w:tc>
          <w:tcPr>
            <w:tcW w:w="290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H</w:t>
            </w:r>
            <w:r>
              <w:rPr>
                <w:rFonts w:hint="default" w:ascii="Times New Roman" w:hAnsi="Times New Roman" w:cs="Times New Roman" w:eastAsiaTheme="minorEastAsia"/>
                <w:color w:val="000000" w:themeColor="text1"/>
                <w:vertAlign w:val="subscript"/>
                <w14:textFill>
                  <w14:solidFill>
                    <w14:schemeClr w14:val="tx1"/>
                  </w14:solidFill>
                </w14:textFill>
              </w:rPr>
              <w:t>2</w:t>
            </w:r>
            <w:r>
              <w:rPr>
                <w:rFonts w:hint="default" w:ascii="Times New Roman" w:hAnsi="Times New Roman" w:cs="Times New Roman" w:eastAsiaTheme="minorEastAsia"/>
                <w:color w:val="000000" w:themeColor="text1"/>
                <w14:textFill>
                  <w14:solidFill>
                    <w14:schemeClr w14:val="tx1"/>
                  </w14:solidFill>
                </w14:textFill>
              </w:rPr>
              <w:t>S</w:t>
            </w:r>
          </w:p>
        </w:tc>
        <w:tc>
          <w:tcPr>
            <w:tcW w:w="290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0.009</w:t>
            </w:r>
          </w:p>
        </w:tc>
      </w:tr>
      <w:bookmarkEnd w:id="181"/>
    </w:tbl>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bookmarkStart w:id="182" w:name="_Toc503165336"/>
      <w:r>
        <w:rPr>
          <w:rFonts w:hint="default" w:ascii="Times New Roman" w:hAnsi="Times New Roman" w:cs="Times New Roman" w:eastAsiaTheme="minorEastAsia"/>
          <w:color w:val="000000" w:themeColor="text1"/>
          <w:sz w:val="24"/>
          <w:szCs w:val="24"/>
          <w14:textFill>
            <w14:solidFill>
              <w14:schemeClr w14:val="tx1"/>
            </w14:solidFill>
          </w14:textFill>
        </w:rPr>
        <w:t>5.2.3 异味影响分析</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本项目牛舍恶臭、固液分离间、粪污处理区会产生恶臭气体，主要为氨、硫化氢，同时散发恶臭异味，本评价结合项目采取的异味控制措施，分析其环境影响。</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本项目对牛舍、粪污处理区采用定期通风换气、喷洒除臭剂，减少恶臭气体影响，除臭剂采用添加EM生物菌型除臭剂，能够有效降低恶臭异味影响，根据《环境影响评价技术导则 大气环境》（HJ2.2-2018）中的规定，采用AERSCREEN模型进行估算模式预测分析，</w:t>
      </w:r>
      <w:r>
        <w:rPr>
          <w:rFonts w:hint="default" w:ascii="Times New Roman" w:hAnsi="Times New Roman" w:cs="Times New Roman" w:eastAsiaTheme="minorEastAsia"/>
          <w:color w:val="auto"/>
          <w:sz w:val="24"/>
          <w:szCs w:val="22"/>
          <w:highlight w:val="none"/>
        </w:rPr>
        <w:t>通过AERSCREEN模型预测结果，恶臭最大落地浓度对应距离为</w:t>
      </w:r>
      <w:r>
        <w:rPr>
          <w:rFonts w:hint="default" w:ascii="Times New Roman" w:hAnsi="Times New Roman" w:cs="Times New Roman" w:eastAsiaTheme="minorEastAsia"/>
          <w:color w:val="auto"/>
          <w:sz w:val="24"/>
          <w:szCs w:val="22"/>
          <w:highlight w:val="none"/>
          <w:lang w:val="en-US" w:eastAsia="zh-CN"/>
        </w:rPr>
        <w:t>241</w:t>
      </w:r>
      <w:r>
        <w:rPr>
          <w:rFonts w:hint="default" w:ascii="Times New Roman" w:hAnsi="Times New Roman" w:cs="Times New Roman" w:eastAsiaTheme="minorEastAsia"/>
          <w:color w:val="auto"/>
          <w:sz w:val="24"/>
          <w:szCs w:val="22"/>
          <w:highlight w:val="none"/>
        </w:rPr>
        <w:t>m，本项目距离最近敏感目标</w:t>
      </w:r>
      <w:r>
        <w:rPr>
          <w:rFonts w:hint="default" w:ascii="Times New Roman" w:hAnsi="Times New Roman" w:cs="Times New Roman" w:eastAsiaTheme="minorEastAsia"/>
          <w:color w:val="auto"/>
          <w:sz w:val="24"/>
          <w:szCs w:val="22"/>
          <w:highlight w:val="none"/>
          <w:lang w:val="en-GB"/>
        </w:rPr>
        <w:t>为</w:t>
      </w:r>
      <w:r>
        <w:rPr>
          <w:rFonts w:hint="default" w:ascii="Times New Roman" w:hAnsi="Times New Roman" w:cs="Times New Roman" w:eastAsiaTheme="minorEastAsia"/>
          <w:color w:val="auto"/>
          <w:sz w:val="24"/>
          <w:szCs w:val="22"/>
          <w:highlight w:val="none"/>
          <w:lang w:val="en-GB" w:eastAsia="zh-CN"/>
        </w:rPr>
        <w:t>北</w:t>
      </w:r>
      <w:r>
        <w:rPr>
          <w:rFonts w:hint="default" w:ascii="Times New Roman" w:hAnsi="Times New Roman" w:cs="Times New Roman" w:eastAsiaTheme="minorEastAsia"/>
          <w:color w:val="auto"/>
          <w:sz w:val="24"/>
          <w:szCs w:val="22"/>
          <w:highlight w:val="none"/>
          <w:lang w:val="en-GB"/>
        </w:rPr>
        <w:t>侧的</w:t>
      </w:r>
      <w:r>
        <w:rPr>
          <w:rFonts w:hint="default" w:ascii="Times New Roman" w:hAnsi="Times New Roman" w:cs="Times New Roman" w:eastAsiaTheme="minorEastAsia"/>
          <w:color w:val="auto"/>
          <w:sz w:val="24"/>
          <w:szCs w:val="22"/>
          <w:highlight w:val="none"/>
          <w:lang w:val="en-GB" w:eastAsia="zh-CN"/>
        </w:rPr>
        <w:t>鞠家窑屯</w:t>
      </w:r>
      <w:r>
        <w:rPr>
          <w:rFonts w:hint="default" w:ascii="Times New Roman" w:hAnsi="Times New Roman" w:cs="Times New Roman" w:eastAsiaTheme="minorEastAsia"/>
          <w:color w:val="auto"/>
          <w:sz w:val="24"/>
          <w:szCs w:val="22"/>
          <w:highlight w:val="none"/>
          <w:lang w:val="en-US" w:eastAsia="zh-CN"/>
        </w:rPr>
        <w:t>863</w:t>
      </w:r>
      <w:r>
        <w:rPr>
          <w:rFonts w:hint="default" w:ascii="Times New Roman" w:hAnsi="Times New Roman" w:cs="Times New Roman" w:eastAsiaTheme="minorEastAsia"/>
          <w:color w:val="auto"/>
          <w:sz w:val="24"/>
          <w:szCs w:val="22"/>
          <w:highlight w:val="none"/>
          <w:lang w:val="en-GB"/>
        </w:rPr>
        <w:t>m</w:t>
      </w:r>
      <w:r>
        <w:rPr>
          <w:rFonts w:hint="default" w:ascii="Times New Roman" w:hAnsi="Times New Roman" w:cs="Times New Roman" w:eastAsiaTheme="minorEastAsia"/>
          <w:color w:val="auto"/>
          <w:sz w:val="24"/>
          <w:szCs w:val="22"/>
          <w:highlight w:val="none"/>
        </w:rPr>
        <w:t>，异味对其影响甚微。本</w:t>
      </w:r>
      <w:r>
        <w:rPr>
          <w:rFonts w:hint="default" w:ascii="Times New Roman" w:hAnsi="Times New Roman" w:cs="Times New Roman" w:eastAsiaTheme="minorEastAsia"/>
          <w:color w:val="000000" w:themeColor="text1"/>
          <w:sz w:val="24"/>
          <w:szCs w:val="22"/>
          <w14:textFill>
            <w14:solidFill>
              <w14:schemeClr w14:val="tx1"/>
            </w14:solidFill>
          </w14:textFill>
        </w:rPr>
        <w:t>项目采取了有效的异味防治措施，异味对环境保护目标几乎无影响，因此项目运行过程中异味对周边大气环境影响可接受。</w:t>
      </w:r>
    </w:p>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5.2.4 卫生防护距离</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参考《禽养殖业污染防治技术规范》（HJ/T81-2001）中规定的畜禽养殖场选址应设在禁建区域常年主导风向下风向或侧风向处，厂界与禁建区域边界的最小距离不得小于500m要求，本项目以厂界参考设置500m卫生防护距离，在500m卫生防护距离内不得规划建设学校、医院、居民区、办公楼等敏感设施。</w:t>
      </w:r>
    </w:p>
    <w:p>
      <w:pPr>
        <w:pStyle w:val="1167"/>
        <w:rPr>
          <w:rFonts w:hint="default" w:ascii="Times New Roman" w:hAnsi="Times New Roman" w:cs="Times New Roman" w:eastAsiaTheme="minorEastAsia"/>
          <w:color w:val="000000" w:themeColor="text1"/>
          <w:sz w:val="22"/>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5.2.5 大气环境影响预测结论</w:t>
      </w:r>
      <w:bookmarkEnd w:id="182"/>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本项目主要污染物为PM</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10</w:t>
      </w:r>
      <w:r>
        <w:rPr>
          <w:rFonts w:hint="default" w:ascii="Times New Roman" w:hAnsi="Times New Roman" w:cs="Times New Roman" w:eastAsiaTheme="minorEastAsia"/>
          <w:color w:val="000000" w:themeColor="text1"/>
          <w:sz w:val="24"/>
          <w:szCs w:val="24"/>
          <w14:textFill>
            <w14:solidFill>
              <w14:schemeClr w14:val="tx1"/>
            </w14:solidFill>
          </w14:textFill>
        </w:rPr>
        <w:t>、SO</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、NO</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X</w:t>
      </w:r>
      <w:r>
        <w:rPr>
          <w:rFonts w:hint="default" w:ascii="Times New Roman" w:hAnsi="Times New Roman" w:cs="Times New Roman" w:eastAsiaTheme="minorEastAsia"/>
          <w:color w:val="000000" w:themeColor="text1"/>
          <w:sz w:val="24"/>
          <w:szCs w:val="24"/>
          <w14:textFill>
            <w14:solidFill>
              <w14:schemeClr w14:val="tx1"/>
            </w14:solidFill>
          </w14:textFill>
        </w:rPr>
        <w:t>、NH</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和H</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S，通过AERSCREEN模型估算结果可知，项目各污染物最大落地浓度占标率均低于10%，不进行进一步预测与评价，项目不设置大气环境防护距离。</w:t>
      </w:r>
      <w:r>
        <w:rPr>
          <w:rFonts w:hint="default" w:ascii="Times New Roman" w:hAnsi="Times New Roman" w:cs="Times New Roman" w:eastAsiaTheme="minorEastAsia"/>
          <w:color w:val="000000" w:themeColor="text1"/>
          <w:sz w:val="24"/>
          <w:szCs w:val="22"/>
          <w14:textFill>
            <w14:solidFill>
              <w14:schemeClr w14:val="tx1"/>
            </w14:solidFill>
          </w14:textFill>
        </w:rPr>
        <w:t>本项目所在区域为环境空气质量达标区，大气污染物</w:t>
      </w:r>
      <w:r>
        <w:rPr>
          <w:rFonts w:hint="default" w:ascii="Times New Roman" w:hAnsi="Times New Roman" w:cs="Times New Roman" w:eastAsiaTheme="minorEastAsia"/>
          <w:color w:val="000000" w:themeColor="text1"/>
          <w:sz w:val="24"/>
          <w:szCs w:val="24"/>
          <w14:textFill>
            <w14:solidFill>
              <w14:schemeClr w14:val="tx1"/>
            </w14:solidFill>
          </w14:textFill>
        </w:rPr>
        <w:t>对大气环境影响可接受。</w:t>
      </w:r>
    </w:p>
    <w:p>
      <w:pPr>
        <w:pStyle w:val="639"/>
        <w:rPr>
          <w:rFonts w:hint="default" w:ascii="Times New Roman" w:hAnsi="Times New Roman" w:cs="Times New Roman" w:eastAsiaTheme="minorEastAsia"/>
          <w:color w:val="000000" w:themeColor="text1"/>
          <w:sz w:val="28"/>
          <w:szCs w:val="28"/>
          <w14:textFill>
            <w14:solidFill>
              <w14:schemeClr w14:val="tx1"/>
            </w14:solidFill>
          </w14:textFill>
        </w:rPr>
      </w:pPr>
      <w:bookmarkStart w:id="183" w:name="_Toc472338493"/>
      <w:bookmarkStart w:id="184" w:name="_Toc27529"/>
      <w:r>
        <w:rPr>
          <w:rFonts w:hint="default" w:ascii="Times New Roman" w:hAnsi="Times New Roman" w:cs="Times New Roman" w:eastAsiaTheme="minorEastAsia"/>
          <w:color w:val="000000" w:themeColor="text1"/>
          <w:sz w:val="28"/>
          <w:szCs w:val="28"/>
          <w14:textFill>
            <w14:solidFill>
              <w14:schemeClr w14:val="tx1"/>
            </w14:solidFill>
          </w14:textFill>
        </w:rPr>
        <w:t>5.3 地表水环境影响</w:t>
      </w:r>
      <w:bookmarkEnd w:id="183"/>
      <w:r>
        <w:rPr>
          <w:rFonts w:hint="default" w:ascii="Times New Roman" w:hAnsi="Times New Roman" w:cs="Times New Roman" w:eastAsiaTheme="minorEastAsia"/>
          <w:color w:val="000000" w:themeColor="text1"/>
          <w:sz w:val="28"/>
          <w:szCs w:val="28"/>
          <w14:textFill>
            <w14:solidFill>
              <w14:schemeClr w14:val="tx1"/>
            </w14:solidFill>
          </w14:textFill>
        </w:rPr>
        <w:t>预测与评价</w:t>
      </w:r>
      <w:bookmarkEnd w:id="184"/>
    </w:p>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5.3.1 地表水环境影响分析</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本项目运营期废水污染源主要为牛尿、牛舍冲洗废水、牛舍喷淋废水、挤奶厅清洗废水、生活污水等</w:t>
      </w:r>
      <w:r>
        <w:rPr>
          <w:rFonts w:hint="default" w:ascii="Times New Roman" w:hAnsi="Times New Roman" w:cs="Times New Roman" w:eastAsiaTheme="minorEastAsia"/>
          <w:color w:val="000000" w:themeColor="text1"/>
          <w:sz w:val="24"/>
          <w:szCs w:val="22"/>
          <w14:textFill>
            <w14:solidFill>
              <w14:schemeClr w14:val="tx1"/>
            </w14:solidFill>
          </w14:textFill>
        </w:rPr>
        <w:t>，牛尿、牛舍冲洗废水、牛舍喷淋水经牛舍粪沟统一收集，与挤奶厅清洗废水一同运至固液分离间进行固液分离，分离后液体排入黑膜沼气池发酵，生活污水进入化粪池后利用吸污车定期抽运至黑膜沼气池，发酵后定期还田</w:t>
      </w:r>
      <w:r>
        <w:rPr>
          <w:rFonts w:hint="default" w:ascii="Times New Roman" w:hAnsi="Times New Roman" w:cs="Times New Roman" w:eastAsiaTheme="minorEastAsia"/>
          <w:color w:val="000000" w:themeColor="text1"/>
          <w:sz w:val="24"/>
          <w:szCs w:val="24"/>
          <w14:textFill>
            <w14:solidFill>
              <w14:schemeClr w14:val="tx1"/>
            </w14:solidFill>
          </w14:textFill>
        </w:rPr>
        <w:t>，对地表水环境无影响</w:t>
      </w:r>
      <w:r>
        <w:rPr>
          <w:rFonts w:hint="default" w:ascii="Times New Roman" w:hAnsi="Times New Roman" w:cs="Times New Roman" w:eastAsiaTheme="minorEastAsia"/>
          <w:color w:val="000000" w:themeColor="text1"/>
          <w:sz w:val="24"/>
          <w:szCs w:val="22"/>
          <w14:textFill>
            <w14:solidFill>
              <w14:schemeClr w14:val="tx1"/>
            </w14:solidFill>
          </w14:textFill>
        </w:rPr>
        <w:t>。</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本项目设置一座黑膜沼气池，位于厂区内南部，1座，容积5400m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，配套设置储液池1座，总容积10800m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，本项目废水平均产生量为21.74m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/d，黑膜沼气池及储液池共可以存储废水6个月以上，满足沼液冬储夏排还田需求。</w:t>
      </w:r>
    </w:p>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5.3.2 土地消纳分析</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沼液、卧床垫料废物定期还田。根据《畜禽粪污土地承载力测算技术指南》（农办牧[2018]1号）计算配套消纳土地面积，根据指南中测算原则，畜禽粪污土地承载力及规模养殖场配套土地面积测算以粪肥氮养分供给和植物氮养分需求为基础进行核算，因此本项目选择以氮为基础进行测算。</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（1）粪肥养分供给量：</w:t>
      </w:r>
    </w:p>
    <w:p>
      <w:pPr>
        <w:spacing w:line="240" w:lineRule="auto"/>
        <w:ind w:firstLine="0" w:firstLineChars="0"/>
        <w:jc w:val="center"/>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drawing>
          <wp:inline distT="0" distB="0" distL="0" distR="0">
            <wp:extent cx="3691255" cy="406400"/>
            <wp:effectExtent l="0" t="0" r="4445" b="0"/>
            <wp:docPr id="21" name="图片 78" descr="W02018012265107815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8" descr="W02018012265107815018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3691255" cy="406400"/>
                    </a:xfrm>
                    <a:prstGeom prst="rect">
                      <a:avLst/>
                    </a:prstGeom>
                    <a:noFill/>
                    <a:ln>
                      <a:noFill/>
                    </a:ln>
                  </pic:spPr>
                </pic:pic>
              </a:graphicData>
            </a:graphic>
          </wp:inline>
        </w:drawing>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存栏量：本项目存栏1500头奶牛，根据指南中对牛当量规定：1头猪为1个牛当量，100头猪相当于15头奶牛，本项目相当于存栏10000头猪。</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氮排泄量：根据指南要求，综合考虑牛粪污在收集和贮存过程中损失，单位猪当量氮养分供给量为7.0kg，卧床垫料定期还田，尿液发酵后全部进行还田，因此氮排泄量取推荐值的80%，氮排泄量（以猪计）为：5.6kg/头。</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养分留：由于本项目产生的固体粪便属于固体粪便堆肥，粪污收集处理过程中氮留存率推荐值62%；</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因此本项目全年粪肥养分供给量=10000×5.6×0.62=34720kg/a。</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2）单位土地粪肥养分需求量</w:t>
      </w:r>
    </w:p>
    <w:p>
      <w:pPr>
        <w:spacing w:line="240" w:lineRule="auto"/>
        <w:ind w:firstLine="0" w:firstLineChars="0"/>
        <w:jc w:val="center"/>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drawing>
          <wp:inline distT="0" distB="0" distL="0" distR="0">
            <wp:extent cx="2980055" cy="525145"/>
            <wp:effectExtent l="0" t="0" r="0" b="0"/>
            <wp:docPr id="22" name="图片 79" descr="W02018012265107815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9" descr="W020180122651078153037"/>
                    <pic:cNvPicPr>
                      <a:picLocks noChangeAspect="1" noChangeArrowheads="1"/>
                    </pic:cNvPicPr>
                  </pic:nvPicPr>
                  <pic:blipFill>
                    <a:blip r:embed="rId72" cstate="print">
                      <a:extLst>
                        <a:ext uri="{28A0092B-C50C-407E-A947-70E740481C1C}">
                          <a14:useLocalDpi xmlns:a14="http://schemas.microsoft.com/office/drawing/2010/main" val="0"/>
                        </a:ext>
                      </a:extLst>
                    </a:blip>
                    <a:srcRect l="7988"/>
                    <a:stretch>
                      <a:fillRect/>
                    </a:stretch>
                  </pic:blipFill>
                  <pic:spPr>
                    <a:xfrm>
                      <a:off x="0" y="0"/>
                      <a:ext cx="2980055" cy="525145"/>
                    </a:xfrm>
                    <a:prstGeom prst="rect">
                      <a:avLst/>
                    </a:prstGeom>
                    <a:noFill/>
                    <a:ln>
                      <a:noFill/>
                    </a:ln>
                  </pic:spPr>
                </pic:pic>
              </a:graphicData>
            </a:graphic>
          </wp:inline>
        </w:drawing>
      </w:r>
    </w:p>
    <w:p>
      <w:pPr>
        <w:ind w:firstLine="560"/>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本项目沼液用于先源乡草原，就在本项目周边，草原作物为苜蓿、饲用燕麦，先源乡苜蓿、饲用燕麦的产量按2000kg/亩计；由指南表1可知每100kg产量苜蓿需要吸收氮量为0.2kg，磷0.2kg，每100kg产量饲用燕麦需要吸收氮量为2.5kg，磷0.8kg，还田草原苜蓿与饲用燕麦种植量各为50%，那么单位土地养分需求量：27kg/亩，根据指南表2，施肥供给养分占比取45%，粪肥占施肥比例：50%，粪肥当季利用率：25%。</w:t>
      </w:r>
    </w:p>
    <w:p>
      <w:pPr>
        <w:ind w:firstLine="560"/>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单位土地粪肥养分需求量=27×0.45×0.5/0.25=24.3kg/亩。</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因此本项目粪污配套消纳土地最小面积为1428亩，本项目已与先源乡政府，签订粪污还田协议书（见附件），签订还田面积为1500亩，满足土地消纳要求，沼液、卧床垫料由建设单位用罐车拉运至消纳</w:t>
      </w:r>
      <w:r>
        <w:rPr>
          <w:rFonts w:hint="default" w:ascii="Times New Roman" w:hAnsi="Times New Roman" w:cs="Times New Roman" w:eastAsiaTheme="minorEastAsia"/>
          <w:color w:val="000000" w:themeColor="text1"/>
          <w:sz w:val="24"/>
          <w:szCs w:val="24"/>
          <w14:textFill>
            <w14:solidFill>
              <w14:schemeClr w14:val="tx1"/>
            </w14:solidFill>
          </w14:textFill>
        </w:rPr>
        <w:t>土地，采用重力自压式进行还田</w:t>
      </w:r>
      <w:r>
        <w:rPr>
          <w:rFonts w:hint="default" w:ascii="Times New Roman" w:hAnsi="Times New Roman" w:cs="Times New Roman" w:eastAsiaTheme="minorEastAsia"/>
          <w:color w:val="000000" w:themeColor="text1"/>
          <w:sz w:val="24"/>
          <w:szCs w:val="22"/>
          <w14:textFill>
            <w14:solidFill>
              <w14:schemeClr w14:val="tx1"/>
            </w14:solidFill>
          </w14:textFill>
        </w:rPr>
        <w:t>。</w:t>
      </w:r>
    </w:p>
    <w:p>
      <w:pPr>
        <w:pStyle w:val="639"/>
        <w:rPr>
          <w:rFonts w:hint="default" w:ascii="Times New Roman" w:hAnsi="Times New Roman" w:cs="Times New Roman" w:eastAsiaTheme="minorEastAsia"/>
          <w:b/>
          <w:bCs w:val="0"/>
          <w:color w:val="000000" w:themeColor="text1"/>
          <w14:textFill>
            <w14:solidFill>
              <w14:schemeClr w14:val="tx1"/>
            </w14:solidFill>
          </w14:textFill>
        </w:rPr>
      </w:pPr>
      <w:bookmarkStart w:id="185" w:name="_Toc472338494"/>
      <w:bookmarkStart w:id="186" w:name="_Toc22072"/>
      <w:r>
        <w:rPr>
          <w:rFonts w:hint="default" w:ascii="Times New Roman" w:hAnsi="Times New Roman" w:cs="Times New Roman" w:eastAsiaTheme="minorEastAsia"/>
          <w:b/>
          <w:bCs w:val="0"/>
          <w:color w:val="000000" w:themeColor="text1"/>
          <w14:textFill>
            <w14:solidFill>
              <w14:schemeClr w14:val="tx1"/>
            </w14:solidFill>
          </w14:textFill>
        </w:rPr>
        <w:t>5.4 地下水环境影响预测</w:t>
      </w:r>
      <w:bookmarkEnd w:id="185"/>
      <w:r>
        <w:rPr>
          <w:rFonts w:hint="default" w:ascii="Times New Roman" w:hAnsi="Times New Roman" w:cs="Times New Roman" w:eastAsiaTheme="minorEastAsia"/>
          <w:b/>
          <w:bCs w:val="0"/>
          <w:color w:val="000000" w:themeColor="text1"/>
          <w14:textFill>
            <w14:solidFill>
              <w14:schemeClr w14:val="tx1"/>
            </w14:solidFill>
          </w14:textFill>
        </w:rPr>
        <w:t>与评价</w:t>
      </w:r>
      <w:bookmarkEnd w:id="186"/>
    </w:p>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5.4.1 评价区域水文地质条件</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(1)水文地质单元划分</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项目位于安达市，评价区域位于松辽盆地北部的中央拗陷区，沉积了巨厚的沉积物，其中第四系松散堆积物广布全区，总的规律是西北部厚（80-100m），东南部薄（40-60m）。基底岩性为第三系及白垩系的沉积岩类。其中与城区工程地质勘察密切相关的地层有第四系中更新冲击、湖积层和上更新通冲积层，主要岩性自上而下分别为粉质黏土、粉细砂、粉质黏土和细砂、中砂等，它们相互成层，为多层地下水的赋存创造了极其有利的条件。从盆地形成发展演化乃至新生代以来的新构造运动所塑造的地貌观看，均为四周高、中部低的典型汇水盆地。地下水从盆地周边向盆地中心运动的水动力方式，又使其具有正向渗入型自流水盆地的特征。各地质历史时期从四周向湖盆中心，沉积物由粗向细呈规律性的分布，水动力也显示出强渗入到滞留现象。根据地下水赋存条件、地形地貌和水文地质特征，区内分为以第四系孔隙潜水、孔隙承压水及第三系、白垩系裂隙孔隙层间承压水为主的盆地水文地质单元和以风化裂隙、构造裂隙为主的盆周水文地质地块。由于盆地具有完整独立的补给、迳流、排泄系统，故将安达及其周边地区自流水盆地确定为</w:t>
      </w:r>
      <w:r>
        <w:rPr>
          <w:rFonts w:hint="default" w:ascii="Times New Roman" w:hAnsi="Times New Roman" w:cs="Times New Roman" w:eastAsiaTheme="minorEastAsia"/>
          <w:color w:val="000000" w:themeColor="text1"/>
          <w:sz w:val="24"/>
          <w:szCs w:val="22"/>
          <w14:textFill>
            <w14:solidFill>
              <w14:schemeClr w14:val="tx1"/>
            </w14:solidFill>
          </w14:textFill>
        </w:rPr>
        <w:fldChar w:fldCharType="begin"/>
      </w:r>
      <w:r>
        <w:rPr>
          <w:rFonts w:hint="default" w:ascii="Times New Roman" w:hAnsi="Times New Roman" w:cs="Times New Roman" w:eastAsiaTheme="minorEastAsia"/>
          <w:color w:val="000000" w:themeColor="text1"/>
          <w:sz w:val="24"/>
          <w:szCs w:val="22"/>
          <w14:textFill>
            <w14:solidFill>
              <w14:schemeClr w14:val="tx1"/>
            </w14:solidFill>
          </w14:textFill>
        </w:rPr>
        <w:instrText xml:space="preserve"> = 1 \* ROMAN \* MERGEFORMAT </w:instrText>
      </w:r>
      <w:r>
        <w:rPr>
          <w:rFonts w:hint="default" w:ascii="Times New Roman" w:hAnsi="Times New Roman" w:cs="Times New Roman" w:eastAsiaTheme="minorEastAsia"/>
          <w:color w:val="000000" w:themeColor="text1"/>
          <w:sz w:val="24"/>
          <w:szCs w:val="22"/>
          <w14:textFill>
            <w14:solidFill>
              <w14:schemeClr w14:val="tx1"/>
            </w14:solidFill>
          </w14:textFill>
        </w:rPr>
        <w:fldChar w:fldCharType="separate"/>
      </w:r>
      <w:r>
        <w:rPr>
          <w:rFonts w:hint="default" w:ascii="Times New Roman" w:hAnsi="Times New Roman" w:cs="Times New Roman" w:eastAsiaTheme="minorEastAsia"/>
          <w:sz w:val="24"/>
          <w:szCs w:val="22"/>
        </w:rPr>
        <w:t>I</w:t>
      </w:r>
      <w:r>
        <w:rPr>
          <w:rFonts w:hint="default" w:ascii="Times New Roman" w:hAnsi="Times New Roman" w:cs="Times New Roman" w:eastAsiaTheme="minorEastAsia"/>
          <w:color w:val="000000" w:themeColor="text1"/>
          <w:sz w:val="24"/>
          <w:szCs w:val="22"/>
          <w14:textFill>
            <w14:solidFill>
              <w14:schemeClr w14:val="tx1"/>
            </w14:solidFill>
          </w14:textFill>
        </w:rPr>
        <w:fldChar w:fldCharType="end"/>
      </w:r>
      <w:r>
        <w:rPr>
          <w:rFonts w:hint="default" w:ascii="Times New Roman" w:hAnsi="Times New Roman" w:cs="Times New Roman" w:eastAsiaTheme="minorEastAsia"/>
          <w:color w:val="000000" w:themeColor="text1"/>
          <w:sz w:val="24"/>
          <w:szCs w:val="22"/>
          <w14:textFill>
            <w14:solidFill>
              <w14:schemeClr w14:val="tx1"/>
            </w14:solidFill>
          </w14:textFill>
        </w:rPr>
        <w:t>级水文地质单元。</w:t>
      </w:r>
    </w:p>
    <w:p>
      <w:pPr>
        <w:numPr>
          <w:ilvl w:val="0"/>
          <w:numId w:val="3"/>
        </w:num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含水岩系、岩组结构组成和分布特征</w:t>
      </w:r>
    </w:p>
    <w:p>
      <w:pPr>
        <w:ind w:firstLine="560" w:firstLineChars="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盆地成因于中新生代以来的持续下降、不断堆积，且各地质时期受物源区水系的控制，盆地盖层形成了砂砾岩、砂岩、粉砂岩、泥岩、砂质泥岩等互层的岩石组合，为地下水（尤其是承压水）的赋存提供了十分有利的地层岩性条件。区内岩石根据地下水赋存条件、水理性质及水利特征，可分为松散类孔隙水岩系、碎屑岩类裂隙孔隙水含水岩系、基岩裂隙水含水岩系三大类型，同时根据各含水层的埋藏条件、成因类型及水利联系，其中的松散岩类孔隙水含水岩系又分为第四系潜水含水岩组及第四系承压含水岩组；碎屑岩类裂隙孔隙水含水岩组又分为第三系均匀层间承压水含水岩组及白垩系不均匀层间承压水含水岩组；基岩裂隙水含水岩系又分为构造裂隙水含水岩组及风化裂隙水含水岩组。</w:t>
      </w:r>
    </w:p>
    <w:p>
      <w:pPr>
        <w:numPr>
          <w:ilvl w:val="0"/>
          <w:numId w:val="3"/>
        </w:num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地下水的补给、迳流、排泄</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地区地下水的补给来源主要为大气降水、地表水的渗入补给潜水，潜水越流补给承压水以及地下水侧向径流补给、承压水含水层间的越流补给。其中第四系孔隙潜水和承压水含水层大面积出露于地表，大气降水的补给是最主要的补给方式，对下伏的各承压含水岩组来说，在区内都或多或少地与之有直接接触，可不同程度地接受大气降水的间接补给，在各类承压蓄水盆地构造边界，与之相邻的含水层也多是孔隙潜水和孔隙承压水，并在地表有一定范围的出露，均可构成其补给区。地下水的径流方向主要受地质构造和地形地貌条件的控制，由山前平原向中部低平原汇流。受区域水文地质条件的控制，地下水的径流方向总的趋势是由东北和北部向南部径流。地下水的排泄主要有四种方式：一是人工开采排泄，二是潜水蒸发排泄，三是由北向南径流排泄，四是层间的越流排泄。</w:t>
      </w:r>
    </w:p>
    <w:p>
      <w:pPr>
        <w:numPr>
          <w:ilvl w:val="0"/>
          <w:numId w:val="3"/>
        </w:num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区域地下水概况</w:t>
      </w:r>
    </w:p>
    <w:p>
      <w:pPr>
        <w:ind w:firstLine="560" w:firstLineChars="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首地址构造、地形地貌的制约，评价区内无天然河流经过，属于积水闭流区。本区所处的松辽盆地为我国东部新华夏第二沉积带，为中新生代的大型沉积盆地，周围为山脉，丘陵所环绕，中央是一片广阔的平原，从而构成一个良好的地下水汇集径流贮存盆地，低吸水资源丰富，部分地区2m以下可见浅层潜水，第四系底部砂砾石含水层为主要含水层位，类型为承压含水层，含水层约厚度8-12m，含水层顶板埋深20-30m，单井产水量一般1000-3000t/d。</w:t>
      </w:r>
    </w:p>
    <w:p>
      <w:pPr>
        <w:ind w:firstLine="560" w:firstLineChars="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地下水动态变化及形成途径有三个方面，一是渗透作用，由地表水、大气降水渗透至地下而形成，这是主要形式；二是径流作用，在水头作用下，由区外侧向径流所形成的地下水；三是凝结作用形成的地下水，既有空气、土壤中的水蒸气，还有受温差变化的影响而产生的液态水。</w:t>
      </w:r>
    </w:p>
    <w:p>
      <w:pPr>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评价区域水文地质图见图5-4-1。</w:t>
      </w:r>
    </w:p>
    <w:p>
      <w:pPr>
        <w:pStyle w:val="643"/>
        <w:rPr>
          <w:rFonts w:hint="default" w:ascii="Times New Roman" w:hAnsi="Times New Roman" w:cs="Times New Roman" w:eastAsiaTheme="minorEastAsia"/>
          <w:color w:val="auto"/>
          <w:sz w:val="22"/>
          <w:szCs w:val="18"/>
          <w:highlight w:val="none"/>
        </w:rPr>
        <w:sectPr>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12" w:charSpace="0"/>
        </w:sectPr>
      </w:pPr>
    </w:p>
    <w:p>
      <w:pPr>
        <w:widowControl w:val="0"/>
        <w:adjustRightInd/>
        <w:snapToGrid/>
        <w:spacing w:line="240" w:lineRule="auto"/>
        <w:ind w:firstLine="0" w:firstLineChars="0"/>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4940300</wp:posOffset>
                </wp:positionH>
                <wp:positionV relativeFrom="paragraph">
                  <wp:posOffset>3091180</wp:posOffset>
                </wp:positionV>
                <wp:extent cx="124460" cy="124460"/>
                <wp:effectExtent l="4445" t="4445" r="23495" b="23495"/>
                <wp:wrapNone/>
                <wp:docPr id="54" name="矩形 59"/>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solidFill>
                          <a:srgbClr val="FF0000"/>
                        </a:solidFill>
                        <a:ln w="9525" cmpd="sng">
                          <a:solidFill>
                            <a:srgbClr val="FF0000"/>
                          </a:solidFill>
                          <a:miter lim="800000"/>
                          <a:tailEnd type="triangle" w="sm" len="med"/>
                        </a:ln>
                        <a:effectLst/>
                      </wps:spPr>
                      <wps:txbx>
                        <w:txbxContent>
                          <w:p>
                            <w:pPr>
                              <w:ind w:firstLine="560"/>
                            </w:pPr>
                          </w:p>
                        </w:txbxContent>
                      </wps:txbx>
                      <wps:bodyPr rot="0" vert="horz" wrap="square" lIns="91440" tIns="45720" rIns="91440" bIns="45720" anchor="t" anchorCtr="0" upright="1">
                        <a:noAutofit/>
                      </wps:bodyPr>
                    </wps:wsp>
                  </a:graphicData>
                </a:graphic>
              </wp:anchor>
            </w:drawing>
          </mc:Choice>
          <mc:Fallback>
            <w:pict>
              <v:rect id="矩形 59" o:spid="_x0000_s1026" o:spt="1" style="position:absolute;left:0pt;margin-left:389pt;margin-top:243.4pt;height:9.8pt;width:9.8pt;z-index:251663360;mso-width-relative:page;mso-height-relative:page;" fillcolor="#FF0000" filled="t" stroked="t" coordsize="21600,21600" o:gfxdata="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Jka&#10;rdoAAAALAQAADwAAAAAAAAABACAAAAAiAAAAZHJzL2Rvd25yZXYueG1sUEsBAhQAFAAAAAgAh07i&#10;QFtXqZ1ZAgAAwQQAAA4AAAAAAAAAAQAgAAAAKQEAAGRycy9lMm9Eb2MueG1sUEsFBgAAAAAGAAYA&#10;WQEAAPQFAAAAAA==&#10;">
                <v:fill on="t" focussize="0,0"/>
                <v:stroke color="#FF0000" miterlimit="8" joinstyle="miter" endarrow="block" endarrowwidth="narrow"/>
                <v:imagedata o:title=""/>
                <o:lock v:ext="edit" aspectratio="f"/>
                <v:textbox>
                  <w:txbxContent>
                    <w:p>
                      <w:pPr>
                        <w:ind w:firstLine="560"/>
                      </w:pPr>
                    </w:p>
                  </w:txbxContent>
                </v:textbox>
              </v:rect>
            </w:pict>
          </mc:Fallback>
        </mc:AlternateContent>
      </w:r>
      <w:r>
        <w:rPr>
          <w:rFonts w:hint="default" w:ascii="Times New Roman" w:hAnsi="Times New Roman" w:cs="Times New Roman" w:eastAsiaTheme="minorEastAsia"/>
          <w:color w:val="000000" w:themeColor="text1"/>
          <w:sz w:val="24"/>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4103370</wp:posOffset>
                </wp:positionH>
                <wp:positionV relativeFrom="paragraph">
                  <wp:posOffset>2608580</wp:posOffset>
                </wp:positionV>
                <wp:extent cx="1181100" cy="482600"/>
                <wp:effectExtent l="0" t="0" r="0" b="0"/>
                <wp:wrapNone/>
                <wp:docPr id="55" name="文本框 60"/>
                <wp:cNvGraphicFramePr/>
                <a:graphic xmlns:a="http://schemas.openxmlformats.org/drawingml/2006/main">
                  <a:graphicData uri="http://schemas.microsoft.com/office/word/2010/wordprocessingShape">
                    <wps:wsp>
                      <wps:cNvSpPr txBox="1">
                        <a:spLocks noChangeArrowheads="1"/>
                      </wps:cNvSpPr>
                      <wps:spPr bwMode="auto">
                        <a:xfrm>
                          <a:off x="0" y="0"/>
                          <a:ext cx="1833245" cy="684530"/>
                        </a:xfrm>
                        <a:prstGeom prst="rect">
                          <a:avLst/>
                        </a:prstGeom>
                        <a:noFill/>
                        <a:ln>
                          <a:noFill/>
                        </a:ln>
                        <a:effectLst/>
                      </wps:spPr>
                      <wps:txbx>
                        <w:txbxContent>
                          <w:p>
                            <w:pPr>
                              <w:ind w:firstLine="420"/>
                              <w:rPr>
                                <w:rFonts w:eastAsia="宋体"/>
                                <w:b/>
                                <w:bCs/>
                                <w:color w:val="FF0000"/>
                                <w:sz w:val="21"/>
                                <w:szCs w:val="21"/>
                              </w:rPr>
                            </w:pPr>
                            <w:r>
                              <w:rPr>
                                <w:rFonts w:hint="eastAsia"/>
                                <w:b/>
                                <w:bCs/>
                                <w:color w:val="FF0000"/>
                                <w:sz w:val="21"/>
                                <w:szCs w:val="21"/>
                              </w:rPr>
                              <w:t>项目所在地</w:t>
                            </w:r>
                          </w:p>
                        </w:txbxContent>
                      </wps:txbx>
                      <wps:bodyPr rot="0" vert="horz" wrap="square" lIns="91440" tIns="45720" rIns="91440" bIns="45720" anchor="t" anchorCtr="0" upright="1">
                        <a:noAutofit/>
                      </wps:bodyPr>
                    </wps:wsp>
                  </a:graphicData>
                </a:graphic>
              </wp:anchor>
            </w:drawing>
          </mc:Choice>
          <mc:Fallback>
            <w:pict>
              <v:shape id="文本框 60" o:spid="_x0000_s1026" o:spt="202" type="#_x0000_t202" style="position:absolute;left:0pt;margin-left:323.1pt;margin-top:205.4pt;height:38pt;width:93pt;z-index:251664384;mso-width-relative:page;mso-height-relative:page;" filled="f" stroked="f" coordsize="21600,21600" o:gfxdata="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bXyNH1wAAAAsB&#10;AAAPAAAAAAAAAAEAIAAAACIAAABkcnMvZG93bnJldi54bWxQSwECFAAUAAAACACHTuJA15ARWRwC&#10;AAAlBAAADgAAAAAAAAABACAAAAAmAQAAZHJzL2Uyb0RvYy54bWxQSwUGAAAAAAYABgBZAQAAtAUA&#10;AAAA&#10;">
                <v:fill on="f" focussize="0,0"/>
                <v:stroke on="f"/>
                <v:imagedata o:title=""/>
                <o:lock v:ext="edit" aspectratio="f"/>
                <v:textbox>
                  <w:txbxContent>
                    <w:p>
                      <w:pPr>
                        <w:ind w:firstLine="420"/>
                        <w:rPr>
                          <w:rFonts w:eastAsia="宋体"/>
                          <w:b/>
                          <w:bCs/>
                          <w:color w:val="FF0000"/>
                          <w:sz w:val="21"/>
                          <w:szCs w:val="21"/>
                        </w:rPr>
                      </w:pPr>
                      <w:r>
                        <w:rPr>
                          <w:rFonts w:hint="eastAsia"/>
                          <w:b/>
                          <w:bCs/>
                          <w:color w:val="FF0000"/>
                          <w:sz w:val="21"/>
                          <w:szCs w:val="21"/>
                        </w:rPr>
                        <w:t>项目所在地</w:t>
                      </w:r>
                    </w:p>
                  </w:txbxContent>
                </v:textbox>
              </v:shape>
            </w:pict>
          </mc:Fallback>
        </mc:AlternateContent>
      </w:r>
      <w:r>
        <w:rPr>
          <w:rFonts w:hint="default" w:ascii="Times New Roman" w:hAnsi="Times New Roman" w:cs="Times New Roman" w:eastAsiaTheme="minorEastAsia"/>
          <w:color w:val="000000" w:themeColor="text1"/>
          <w:sz w:val="24"/>
          <w14:textFill>
            <w14:solidFill>
              <w14:schemeClr w14:val="tx1"/>
            </w14:solidFill>
          </w14:textFill>
        </w:rPr>
        <w:drawing>
          <wp:inline distT="0" distB="0" distL="114300" distR="114300">
            <wp:extent cx="8990965" cy="4924425"/>
            <wp:effectExtent l="0" t="0" r="635" b="9525"/>
            <wp:docPr id="3" name="图片 3" descr="163548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35480707"/>
                    <pic:cNvPicPr>
                      <a:picLocks noChangeAspect="1"/>
                    </pic:cNvPicPr>
                  </pic:nvPicPr>
                  <pic:blipFill>
                    <a:blip r:embed="rId73" cstate="print"/>
                    <a:stretch>
                      <a:fillRect/>
                    </a:stretch>
                  </pic:blipFill>
                  <pic:spPr>
                    <a:xfrm>
                      <a:off x="0" y="0"/>
                      <a:ext cx="8990965" cy="4924425"/>
                    </a:xfrm>
                    <a:prstGeom prst="rect">
                      <a:avLst/>
                    </a:prstGeom>
                  </pic:spPr>
                </pic:pic>
              </a:graphicData>
            </a:graphic>
          </wp:inline>
        </w:drawing>
      </w:r>
    </w:p>
    <w:p>
      <w:pPr>
        <w:pStyle w:val="643"/>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图5-4-1 项目所在区域综合水文地质图</w:t>
      </w:r>
    </w:p>
    <w:p>
      <w:pPr>
        <w:pStyle w:val="643"/>
        <w:rPr>
          <w:rFonts w:hint="default" w:ascii="Times New Roman" w:hAnsi="Times New Roman" w:cs="Times New Roman" w:eastAsiaTheme="minorEastAsia"/>
          <w:color w:val="000000" w:themeColor="text1"/>
          <w14:textFill>
            <w14:solidFill>
              <w14:schemeClr w14:val="tx1"/>
            </w14:solidFill>
          </w14:textFill>
        </w:rPr>
        <w:sectPr>
          <w:headerReference r:id="rId34" w:type="default"/>
          <w:pgSz w:w="16838" w:h="11906" w:orient="landscape"/>
          <w:pgMar w:top="1701" w:right="1701" w:bottom="1701" w:left="1474" w:header="1134" w:footer="1134" w:gutter="0"/>
          <w:pgBorders>
            <w:top w:val="none" w:sz="0" w:space="0"/>
            <w:left w:val="none" w:sz="0" w:space="0"/>
            <w:bottom w:val="none" w:sz="0" w:space="0"/>
            <w:right w:val="none" w:sz="0" w:space="0"/>
          </w:pgBorders>
          <w:cols w:space="720" w:num="1"/>
          <w:docGrid w:linePitch="381" w:charSpace="0"/>
        </w:sectPr>
      </w:pPr>
    </w:p>
    <w:p>
      <w:pPr>
        <w:pStyle w:val="1167"/>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5.4.2 预测情景设定</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（1）渗水量的计算</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根据《环境影响评价技术导则 地下水环境》（HJ610-2016），本项目正常工况下渗滤液的渗漏量结合项目的工程分析和《给水排水构筑物施工及验收规范》（GB50141-2008）进行确定。</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本项目黑膜沼气池、固液分离间、沼液储池均按一般防渗区要求进行防渗处理，根据《环境影响评价技术导则 地下水环境》（HJ610-2016），正常工况下的渗漏不予预测，主要进行非正常状态下的渗漏预测。</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本项目废水污染物浓度最高的单元为固液分离间内水池，因此将固液分离间内水池作为渗漏预测对象。</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本项目固液分离间内水池40m</w:t>
      </w:r>
      <w:r>
        <w:rPr>
          <w:rFonts w:hint="default" w:ascii="Times New Roman" w:hAnsi="Times New Roman" w:cs="Times New Roman" w:eastAsiaTheme="minorEastAsia"/>
          <w:color w:val="000000" w:themeColor="text1"/>
          <w:sz w:val="24"/>
          <w:szCs w:val="24"/>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（5m×8m），平均每天收集废水量为21.74m</w:t>
      </w:r>
      <w:r>
        <w:rPr>
          <w:rFonts w:hint="default" w:ascii="Times New Roman" w:hAnsi="Times New Roman" w:cs="Times New Roman" w:eastAsiaTheme="minorEastAsia"/>
          <w:color w:val="000000" w:themeColor="text1"/>
          <w:sz w:val="24"/>
          <w:szCs w:val="24"/>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。固液分离间内水池为钢筋混凝土水池（钢筋混凝土水池渗水量不得超过2L/m</w:t>
      </w:r>
      <w:r>
        <w:rPr>
          <w:rFonts w:hint="default" w:ascii="Times New Roman" w:hAnsi="Times New Roman" w:cs="Times New Roman" w:eastAsiaTheme="minorEastAsia"/>
          <w:color w:val="000000" w:themeColor="text1"/>
          <w:sz w:val="24"/>
          <w:szCs w:val="24"/>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·d），本项目集污池渗水量按照2L/m</w:t>
      </w:r>
      <w:r>
        <w:rPr>
          <w:rFonts w:hint="default" w:ascii="Times New Roman" w:hAnsi="Times New Roman" w:cs="Times New Roman" w:eastAsiaTheme="minorEastAsia"/>
          <w:color w:val="000000" w:themeColor="text1"/>
          <w:sz w:val="24"/>
          <w:szCs w:val="24"/>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·d 进行计算，渗水面积40m</w:t>
      </w:r>
      <w:r>
        <w:rPr>
          <w:rFonts w:hint="default" w:ascii="Times New Roman" w:hAnsi="Times New Roman" w:cs="Times New Roman" w:eastAsiaTheme="minorEastAsia"/>
          <w:color w:val="000000" w:themeColor="text1"/>
          <w:sz w:val="24"/>
          <w:szCs w:val="24"/>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，则渗水量为0.08m</w:t>
      </w:r>
      <w:r>
        <w:rPr>
          <w:rFonts w:hint="default" w:ascii="Times New Roman" w:hAnsi="Times New Roman" w:cs="Times New Roman" w:eastAsiaTheme="minorEastAsia"/>
          <w:color w:val="000000" w:themeColor="text1"/>
          <w:sz w:val="24"/>
          <w:szCs w:val="24"/>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/d。非正常工况下，即化粪池防渗层破裂或老化，防渗系数下降一个数量级，渗水量0.8m</w:t>
      </w:r>
      <w:r>
        <w:rPr>
          <w:rFonts w:hint="default" w:ascii="Times New Roman" w:hAnsi="Times New Roman" w:cs="Times New Roman" w:eastAsiaTheme="minorEastAsia"/>
          <w:color w:val="000000" w:themeColor="text1"/>
          <w:sz w:val="24"/>
          <w:szCs w:val="24"/>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/d。</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（2）预测因子的选择</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本项目废水成分简单，影响地下水的主要污染物为COD、NH</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-N，各项污染物的标准指数见表5-4-1。</w:t>
      </w:r>
    </w:p>
    <w:p>
      <w:pPr>
        <w:pStyle w:val="643"/>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表5-4-1  地下水各项污染物的标准指数一览表（mg/L）</w:t>
      </w:r>
    </w:p>
    <w:tbl>
      <w:tblPr>
        <w:tblStyle w:val="9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517"/>
        <w:gridCol w:w="3328"/>
        <w:gridCol w:w="19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污染物名称</w:t>
            </w:r>
          </w:p>
        </w:tc>
        <w:tc>
          <w:tcPr>
            <w:tcW w:w="151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污染物浓度</w:t>
            </w:r>
          </w:p>
        </w:tc>
        <w:tc>
          <w:tcPr>
            <w:tcW w:w="3328" w:type="dxa"/>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GB/T14848-2017（III 类标准）</w:t>
            </w:r>
          </w:p>
        </w:tc>
        <w:tc>
          <w:tcPr>
            <w:tcW w:w="195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标准指数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702"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COD</w:t>
            </w:r>
          </w:p>
        </w:tc>
        <w:tc>
          <w:tcPr>
            <w:tcW w:w="151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16556</w:t>
            </w:r>
          </w:p>
        </w:tc>
        <w:tc>
          <w:tcPr>
            <w:tcW w:w="332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20（GB3838-2002Ⅱ类）</w:t>
            </w:r>
          </w:p>
        </w:tc>
        <w:tc>
          <w:tcPr>
            <w:tcW w:w="195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827.8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702"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NH</w:t>
            </w:r>
            <w:r>
              <w:rPr>
                <w:rFonts w:hint="default" w:ascii="Times New Roman" w:hAnsi="Times New Roman" w:cs="Times New Roman" w:eastAsiaTheme="minorEastAsia"/>
                <w:color w:val="000000" w:themeColor="text1"/>
                <w:vertAlign w:val="subscript"/>
                <w14:textFill>
                  <w14:solidFill>
                    <w14:schemeClr w14:val="tx1"/>
                  </w14:solidFill>
                </w14:textFill>
              </w:rPr>
              <w:t>3</w:t>
            </w:r>
            <w:r>
              <w:rPr>
                <w:rFonts w:hint="default" w:ascii="Times New Roman" w:hAnsi="Times New Roman" w:cs="Times New Roman" w:eastAsiaTheme="minorEastAsia"/>
                <w:color w:val="000000" w:themeColor="text1"/>
                <w14:textFill>
                  <w14:solidFill>
                    <w14:schemeClr w14:val="tx1"/>
                  </w14:solidFill>
                </w14:textFill>
              </w:rPr>
              <w:t>-N</w:t>
            </w:r>
          </w:p>
        </w:tc>
        <w:tc>
          <w:tcPr>
            <w:tcW w:w="151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2380</w:t>
            </w:r>
          </w:p>
        </w:tc>
        <w:tc>
          <w:tcPr>
            <w:tcW w:w="332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0.5</w:t>
            </w:r>
          </w:p>
        </w:tc>
        <w:tc>
          <w:tcPr>
            <w:tcW w:w="195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4760</w:t>
            </w:r>
          </w:p>
        </w:tc>
      </w:tr>
    </w:tbl>
    <w:p>
      <w:pPr>
        <w:spacing w:line="500" w:lineRule="exact"/>
        <w:ind w:firstLine="560"/>
        <w:rPr>
          <w:rFonts w:hint="default" w:ascii="Times New Roman" w:hAnsi="Times New Roman" w:cs="Times New Roman" w:eastAsiaTheme="minorEastAsia"/>
          <w:color w:val="000000" w:themeColor="text1"/>
          <w:szCs w:val="28"/>
          <w14:textFill>
            <w14:solidFill>
              <w14:schemeClr w14:val="tx1"/>
            </w14:solidFill>
          </w14:textFill>
        </w:rPr>
      </w:pPr>
      <w:r>
        <w:rPr>
          <w:rFonts w:hint="default" w:ascii="Times New Roman" w:hAnsi="Times New Roman" w:cs="Times New Roman" w:eastAsiaTheme="minorEastAsia"/>
          <w:color w:val="000000" w:themeColor="text1"/>
          <w:szCs w:val="28"/>
          <w14:textFill>
            <w14:solidFill>
              <w14:schemeClr w14:val="tx1"/>
            </w14:solidFill>
          </w14:textFill>
        </w:rPr>
        <w:t>本项目选择氨氮作为预测因子，氨氮的渗漏量为0.024kg/d。</w:t>
      </w:r>
    </w:p>
    <w:p>
      <w:pPr>
        <w:spacing w:line="500" w:lineRule="exact"/>
        <w:ind w:firstLine="560"/>
        <w:rPr>
          <w:rFonts w:hint="default" w:ascii="Times New Roman" w:hAnsi="Times New Roman" w:cs="Times New Roman" w:eastAsiaTheme="minorEastAsia"/>
          <w:color w:val="000000" w:themeColor="text1"/>
          <w:szCs w:val="28"/>
          <w14:textFill>
            <w14:solidFill>
              <w14:schemeClr w14:val="tx1"/>
            </w14:solidFill>
          </w14:textFill>
        </w:rPr>
      </w:pPr>
      <w:r>
        <w:rPr>
          <w:rFonts w:hint="default" w:ascii="Times New Roman" w:hAnsi="Times New Roman" w:cs="Times New Roman" w:eastAsiaTheme="minorEastAsia"/>
          <w:color w:val="000000" w:themeColor="text1"/>
          <w:szCs w:val="28"/>
          <w14:textFill>
            <w14:solidFill>
              <w14:schemeClr w14:val="tx1"/>
            </w14:solidFill>
          </w14:textFill>
        </w:rPr>
        <w:t>（3）预测模型选择</w:t>
      </w:r>
    </w:p>
    <w:p>
      <w:pPr>
        <w:spacing w:line="500" w:lineRule="exact"/>
        <w:ind w:firstLine="560"/>
        <w:rPr>
          <w:rFonts w:hint="default" w:ascii="Times New Roman" w:hAnsi="Times New Roman" w:cs="Times New Roman" w:eastAsiaTheme="minorEastAsia"/>
          <w:color w:val="000000" w:themeColor="text1"/>
          <w:szCs w:val="28"/>
          <w14:textFill>
            <w14:solidFill>
              <w14:schemeClr w14:val="tx1"/>
            </w14:solidFill>
          </w14:textFill>
        </w:rPr>
      </w:pPr>
      <w:r>
        <w:rPr>
          <w:rFonts w:hint="default" w:ascii="Times New Roman" w:hAnsi="Times New Roman" w:cs="Times New Roman" w:eastAsiaTheme="minorEastAsia"/>
          <w:color w:val="000000" w:themeColor="text1"/>
          <w:szCs w:val="28"/>
          <w14:textFill>
            <w14:solidFill>
              <w14:schemeClr w14:val="tx1"/>
            </w14:solidFill>
          </w14:textFill>
        </w:rPr>
        <w:t>本次污染物模拟预测过程不考虑污染物在含水层中的吸附、挥发、生物化学反应，模型中各项参数予以保守性考虑。从保守性角度考虑，假设污染质在运移中不与含水层介质发生反应，即只考虑运移过程中的对流、弥散作用。在国际上有很多用保守型污染物作为模拟因子的环境质量评价的成功实例，保守型考虑符合环境影响评价风险最大的原则。</w:t>
      </w:r>
    </w:p>
    <w:p>
      <w:pPr>
        <w:spacing w:line="500" w:lineRule="exact"/>
        <w:ind w:firstLine="560"/>
        <w:rPr>
          <w:rFonts w:hint="default" w:ascii="Times New Roman" w:hAnsi="Times New Roman" w:cs="Times New Roman" w:eastAsiaTheme="minorEastAsia"/>
          <w:color w:val="000000" w:themeColor="text1"/>
          <w:szCs w:val="28"/>
          <w14:textFill>
            <w14:solidFill>
              <w14:schemeClr w14:val="tx1"/>
            </w14:solidFill>
          </w14:textFill>
        </w:rPr>
      </w:pPr>
      <w:r>
        <w:rPr>
          <w:rFonts w:hint="default" w:ascii="Times New Roman" w:hAnsi="Times New Roman" w:cs="Times New Roman" w:eastAsiaTheme="minorEastAsia"/>
          <w:color w:val="000000" w:themeColor="text1"/>
          <w:szCs w:val="28"/>
          <w14:textFill>
            <w14:solidFill>
              <w14:schemeClr w14:val="tx1"/>
            </w14:solidFill>
          </w14:textFill>
        </w:rPr>
        <w:t>预测模型采用连续注入示踪剂—平面连续点源解析模型。</w:t>
      </w:r>
    </w:p>
    <w:p>
      <w:pPr>
        <w:spacing w:line="240" w:lineRule="auto"/>
        <w:ind w:firstLine="0" w:firstLineChars="0"/>
        <w:jc w:val="center"/>
        <w:rPr>
          <w:rFonts w:hint="default" w:ascii="Times New Roman" w:hAnsi="Times New Roman" w:cs="Times New Roman" w:eastAsiaTheme="minorEastAsia"/>
          <w:color w:val="000000" w:themeColor="text1"/>
          <w:szCs w:val="28"/>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drawing>
          <wp:inline distT="0" distB="0" distL="0" distR="0">
            <wp:extent cx="3615055" cy="1151255"/>
            <wp:effectExtent l="0" t="0" r="444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3615055" cy="1151255"/>
                    </a:xfrm>
                    <a:prstGeom prst="rect">
                      <a:avLst/>
                    </a:prstGeom>
                    <a:noFill/>
                    <a:ln>
                      <a:noFill/>
                    </a:ln>
                  </pic:spPr>
                </pic:pic>
              </a:graphicData>
            </a:graphic>
          </wp:inline>
        </w:drawing>
      </w:r>
    </w:p>
    <w:p>
      <w:pPr>
        <w:spacing w:line="500" w:lineRule="exact"/>
        <w:ind w:firstLine="560"/>
        <w:rPr>
          <w:rFonts w:hint="default" w:ascii="Times New Roman" w:hAnsi="Times New Roman" w:cs="Times New Roman" w:eastAsiaTheme="minorEastAsia"/>
          <w:color w:val="000000" w:themeColor="text1"/>
          <w:szCs w:val="28"/>
          <w14:textFill>
            <w14:solidFill>
              <w14:schemeClr w14:val="tx1"/>
            </w14:solidFill>
          </w14:textFill>
        </w:rPr>
      </w:pPr>
      <w:r>
        <w:rPr>
          <w:rFonts w:hint="default" w:ascii="Times New Roman" w:hAnsi="Times New Roman" w:cs="Times New Roman" w:eastAsiaTheme="minorEastAsia"/>
          <w:color w:val="000000" w:themeColor="text1"/>
          <w:szCs w:val="28"/>
          <w14:textFill>
            <w14:solidFill>
              <w14:schemeClr w14:val="tx1"/>
            </w14:solidFill>
          </w14:textFill>
        </w:rPr>
        <w:t>x，y—计算点处的位置坐标；</w:t>
      </w:r>
    </w:p>
    <w:p>
      <w:pPr>
        <w:spacing w:line="500" w:lineRule="exact"/>
        <w:ind w:firstLine="560"/>
        <w:rPr>
          <w:rFonts w:hint="default" w:ascii="Times New Roman" w:hAnsi="Times New Roman" w:cs="Times New Roman" w:eastAsiaTheme="minorEastAsia"/>
          <w:color w:val="000000" w:themeColor="text1"/>
          <w:szCs w:val="28"/>
          <w14:textFill>
            <w14:solidFill>
              <w14:schemeClr w14:val="tx1"/>
            </w14:solidFill>
          </w14:textFill>
        </w:rPr>
      </w:pPr>
      <w:r>
        <w:rPr>
          <w:rFonts w:hint="default" w:ascii="Times New Roman" w:hAnsi="Times New Roman" w:cs="Times New Roman" w:eastAsiaTheme="minorEastAsia"/>
          <w:color w:val="000000" w:themeColor="text1"/>
          <w:szCs w:val="28"/>
          <w14:textFill>
            <w14:solidFill>
              <w14:schemeClr w14:val="tx1"/>
            </w14:solidFill>
          </w14:textFill>
        </w:rPr>
        <w:t>t—时间，d；</w:t>
      </w:r>
    </w:p>
    <w:p>
      <w:pPr>
        <w:spacing w:line="500" w:lineRule="exact"/>
        <w:ind w:firstLine="560"/>
        <w:rPr>
          <w:rFonts w:hint="default" w:ascii="Times New Roman" w:hAnsi="Times New Roman" w:cs="Times New Roman" w:eastAsiaTheme="minorEastAsia"/>
          <w:color w:val="000000" w:themeColor="text1"/>
          <w:szCs w:val="28"/>
          <w14:textFill>
            <w14:solidFill>
              <w14:schemeClr w14:val="tx1"/>
            </w14:solidFill>
          </w14:textFill>
        </w:rPr>
      </w:pPr>
      <w:r>
        <w:rPr>
          <w:rFonts w:hint="default" w:ascii="Times New Roman" w:hAnsi="Times New Roman" w:cs="Times New Roman" w:eastAsiaTheme="minorEastAsia"/>
          <w:color w:val="000000" w:themeColor="text1"/>
          <w:szCs w:val="28"/>
          <w14:textFill>
            <w14:solidFill>
              <w14:schemeClr w14:val="tx1"/>
            </w14:solidFill>
          </w14:textFill>
        </w:rPr>
        <w:t>C(x，y，t)—t时刻点x，y处的示踪剂浓度，mg/L；</w:t>
      </w:r>
    </w:p>
    <w:p>
      <w:pPr>
        <w:spacing w:line="500" w:lineRule="exact"/>
        <w:ind w:firstLine="560"/>
        <w:rPr>
          <w:rFonts w:hint="default" w:ascii="Times New Roman" w:hAnsi="Times New Roman" w:cs="Times New Roman" w:eastAsiaTheme="minorEastAsia"/>
          <w:color w:val="000000" w:themeColor="text1"/>
          <w:szCs w:val="28"/>
          <w14:textFill>
            <w14:solidFill>
              <w14:schemeClr w14:val="tx1"/>
            </w14:solidFill>
          </w14:textFill>
        </w:rPr>
      </w:pPr>
      <w:r>
        <w:rPr>
          <w:rFonts w:hint="default" w:ascii="Times New Roman" w:hAnsi="Times New Roman" w:cs="Times New Roman" w:eastAsiaTheme="minorEastAsia"/>
          <w:color w:val="000000" w:themeColor="text1"/>
          <w:szCs w:val="28"/>
          <w14:textFill>
            <w14:solidFill>
              <w14:schemeClr w14:val="tx1"/>
            </w14:solidFill>
          </w14:textFill>
        </w:rPr>
        <w:t>M—含水层的厚度，m；</w:t>
      </w:r>
    </w:p>
    <w:p>
      <w:pPr>
        <w:spacing w:line="500" w:lineRule="exact"/>
        <w:ind w:firstLine="560"/>
        <w:rPr>
          <w:rFonts w:hint="default" w:ascii="Times New Roman" w:hAnsi="Times New Roman" w:cs="Times New Roman" w:eastAsiaTheme="minorEastAsia"/>
          <w:color w:val="000000" w:themeColor="text1"/>
          <w:szCs w:val="28"/>
          <w14:textFill>
            <w14:solidFill>
              <w14:schemeClr w14:val="tx1"/>
            </w14:solidFill>
          </w14:textFill>
        </w:rPr>
      </w:pPr>
      <w:r>
        <w:rPr>
          <w:rFonts w:hint="default" w:ascii="Times New Roman" w:hAnsi="Times New Roman" w:cs="Times New Roman" w:eastAsiaTheme="minorEastAsia"/>
          <w:color w:val="000000" w:themeColor="text1"/>
          <w:szCs w:val="28"/>
          <w14:textFill>
            <w14:solidFill>
              <w14:schemeClr w14:val="tx1"/>
            </w14:solidFill>
          </w14:textFill>
        </w:rPr>
        <w:t>m</w:t>
      </w:r>
      <w:r>
        <w:rPr>
          <w:rFonts w:hint="default" w:ascii="Times New Roman" w:hAnsi="Times New Roman" w:cs="Times New Roman" w:eastAsiaTheme="minorEastAsia"/>
          <w:color w:val="000000" w:themeColor="text1"/>
          <w:szCs w:val="28"/>
          <w:vertAlign w:val="subscript"/>
          <w14:textFill>
            <w14:solidFill>
              <w14:schemeClr w14:val="tx1"/>
            </w14:solidFill>
          </w14:textFill>
        </w:rPr>
        <w:t>t</w:t>
      </w:r>
      <w:r>
        <w:rPr>
          <w:rFonts w:hint="default" w:ascii="Times New Roman" w:hAnsi="Times New Roman" w:cs="Times New Roman" w:eastAsiaTheme="minorEastAsia"/>
          <w:color w:val="000000" w:themeColor="text1"/>
          <w:szCs w:val="28"/>
          <w14:textFill>
            <w14:solidFill>
              <w14:schemeClr w14:val="tx1"/>
            </w14:solidFill>
          </w14:textFill>
        </w:rPr>
        <w:t>—单位时间注入示踪剂的质量，kg/d；</w:t>
      </w:r>
    </w:p>
    <w:p>
      <w:pPr>
        <w:spacing w:line="500" w:lineRule="exact"/>
        <w:ind w:firstLine="560"/>
        <w:rPr>
          <w:rFonts w:hint="default" w:ascii="Times New Roman" w:hAnsi="Times New Roman" w:cs="Times New Roman" w:eastAsiaTheme="minorEastAsia"/>
          <w:color w:val="000000" w:themeColor="text1"/>
          <w:szCs w:val="28"/>
          <w14:textFill>
            <w14:solidFill>
              <w14:schemeClr w14:val="tx1"/>
            </w14:solidFill>
          </w14:textFill>
        </w:rPr>
      </w:pPr>
      <w:r>
        <w:rPr>
          <w:rFonts w:hint="default" w:ascii="Times New Roman" w:hAnsi="Times New Roman" w:cs="Times New Roman" w:eastAsiaTheme="minorEastAsia"/>
          <w:color w:val="000000" w:themeColor="text1"/>
          <w:szCs w:val="28"/>
          <w14:textFill>
            <w14:solidFill>
              <w14:schemeClr w14:val="tx1"/>
            </w14:solidFill>
          </w14:textFill>
        </w:rPr>
        <w:t>u—水流速度，m/d；</w:t>
      </w:r>
    </w:p>
    <w:p>
      <w:pPr>
        <w:spacing w:line="500" w:lineRule="exact"/>
        <w:ind w:firstLine="560"/>
        <w:rPr>
          <w:rFonts w:hint="default" w:ascii="Times New Roman" w:hAnsi="Times New Roman" w:cs="Times New Roman" w:eastAsiaTheme="minorEastAsia"/>
          <w:color w:val="000000" w:themeColor="text1"/>
          <w:szCs w:val="28"/>
          <w14:textFill>
            <w14:solidFill>
              <w14:schemeClr w14:val="tx1"/>
            </w14:solidFill>
          </w14:textFill>
        </w:rPr>
      </w:pPr>
      <w:r>
        <w:rPr>
          <w:rFonts w:hint="default" w:ascii="Times New Roman" w:hAnsi="Times New Roman" w:cs="Times New Roman" w:eastAsiaTheme="minorEastAsia"/>
          <w:color w:val="000000" w:themeColor="text1"/>
          <w:szCs w:val="28"/>
          <w14:textFill>
            <w14:solidFill>
              <w14:schemeClr w14:val="tx1"/>
            </w14:solidFill>
          </w14:textFill>
        </w:rPr>
        <w:t>n—有效孔隙度，无量纲；</w:t>
      </w:r>
    </w:p>
    <w:p>
      <w:pPr>
        <w:spacing w:line="500" w:lineRule="exact"/>
        <w:ind w:firstLine="560"/>
        <w:rPr>
          <w:rFonts w:hint="default" w:ascii="Times New Roman" w:hAnsi="Times New Roman" w:cs="Times New Roman" w:eastAsiaTheme="minorEastAsia"/>
          <w:color w:val="000000" w:themeColor="text1"/>
          <w:szCs w:val="28"/>
          <w14:textFill>
            <w14:solidFill>
              <w14:schemeClr w14:val="tx1"/>
            </w14:solidFill>
          </w14:textFill>
        </w:rPr>
      </w:pPr>
      <w:r>
        <w:rPr>
          <w:rFonts w:hint="default" w:ascii="Times New Roman" w:hAnsi="Times New Roman" w:cs="Times New Roman" w:eastAsiaTheme="minorEastAsia"/>
          <w:color w:val="000000" w:themeColor="text1"/>
          <w:szCs w:val="28"/>
          <w14:textFill>
            <w14:solidFill>
              <w14:schemeClr w14:val="tx1"/>
            </w14:solidFill>
          </w14:textFill>
        </w:rPr>
        <w:t>D</w:t>
      </w:r>
      <w:r>
        <w:rPr>
          <w:rFonts w:hint="default" w:ascii="Times New Roman" w:hAnsi="Times New Roman" w:cs="Times New Roman" w:eastAsiaTheme="minorEastAsia"/>
          <w:color w:val="000000" w:themeColor="text1"/>
          <w:szCs w:val="28"/>
          <w:vertAlign w:val="subscript"/>
          <w14:textFill>
            <w14:solidFill>
              <w14:schemeClr w14:val="tx1"/>
            </w14:solidFill>
          </w14:textFill>
        </w:rPr>
        <w:t>L</w:t>
      </w:r>
      <w:r>
        <w:rPr>
          <w:rFonts w:hint="default" w:ascii="Times New Roman" w:hAnsi="Times New Roman" w:cs="Times New Roman" w:eastAsiaTheme="minorEastAsia"/>
          <w:color w:val="000000" w:themeColor="text1"/>
          <w:szCs w:val="28"/>
          <w14:textFill>
            <w14:solidFill>
              <w14:schemeClr w14:val="tx1"/>
            </w14:solidFill>
          </w14:textFill>
        </w:rPr>
        <w:t>—纵向弥散系数，m</w:t>
      </w:r>
      <w:r>
        <w:rPr>
          <w:rFonts w:hint="default" w:ascii="Times New Roman" w:hAnsi="Times New Roman" w:cs="Times New Roman" w:eastAsiaTheme="minorEastAsia"/>
          <w:color w:val="000000" w:themeColor="text1"/>
          <w:szCs w:val="28"/>
          <w:vertAlign w:val="superscript"/>
          <w14:textFill>
            <w14:solidFill>
              <w14:schemeClr w14:val="tx1"/>
            </w14:solidFill>
          </w14:textFill>
        </w:rPr>
        <w:t>2</w:t>
      </w:r>
      <w:r>
        <w:rPr>
          <w:rFonts w:hint="default" w:ascii="Times New Roman" w:hAnsi="Times New Roman" w:cs="Times New Roman" w:eastAsiaTheme="minorEastAsia"/>
          <w:color w:val="000000" w:themeColor="text1"/>
          <w:szCs w:val="28"/>
          <w14:textFill>
            <w14:solidFill>
              <w14:schemeClr w14:val="tx1"/>
            </w14:solidFill>
          </w14:textFill>
        </w:rPr>
        <w:t>/d；</w:t>
      </w:r>
    </w:p>
    <w:p>
      <w:pPr>
        <w:spacing w:line="500" w:lineRule="exact"/>
        <w:ind w:firstLine="560"/>
        <w:rPr>
          <w:rFonts w:hint="default" w:ascii="Times New Roman" w:hAnsi="Times New Roman" w:cs="Times New Roman" w:eastAsiaTheme="minorEastAsia"/>
          <w:color w:val="000000" w:themeColor="text1"/>
          <w:szCs w:val="28"/>
          <w14:textFill>
            <w14:solidFill>
              <w14:schemeClr w14:val="tx1"/>
            </w14:solidFill>
          </w14:textFill>
        </w:rPr>
      </w:pPr>
      <w:r>
        <w:rPr>
          <w:rFonts w:hint="default" w:ascii="Times New Roman" w:hAnsi="Times New Roman" w:cs="Times New Roman" w:eastAsiaTheme="minorEastAsia"/>
          <w:color w:val="000000" w:themeColor="text1"/>
          <w:szCs w:val="28"/>
          <w14:textFill>
            <w14:solidFill>
              <w14:schemeClr w14:val="tx1"/>
            </w14:solidFill>
          </w14:textFill>
        </w:rPr>
        <w:t>D</w:t>
      </w:r>
      <w:r>
        <w:rPr>
          <w:rFonts w:hint="default" w:ascii="Times New Roman" w:hAnsi="Times New Roman" w:cs="Times New Roman" w:eastAsiaTheme="minorEastAsia"/>
          <w:color w:val="000000" w:themeColor="text1"/>
          <w:szCs w:val="28"/>
          <w:vertAlign w:val="subscript"/>
          <w14:textFill>
            <w14:solidFill>
              <w14:schemeClr w14:val="tx1"/>
            </w14:solidFill>
          </w14:textFill>
        </w:rPr>
        <w:t>T</w:t>
      </w:r>
      <w:r>
        <w:rPr>
          <w:rFonts w:hint="default" w:ascii="Times New Roman" w:hAnsi="Times New Roman" w:cs="Times New Roman" w:eastAsiaTheme="minorEastAsia"/>
          <w:color w:val="000000" w:themeColor="text1"/>
          <w:szCs w:val="28"/>
          <w14:textFill>
            <w14:solidFill>
              <w14:schemeClr w14:val="tx1"/>
            </w14:solidFill>
          </w14:textFill>
        </w:rPr>
        <w:t>—横向y方向的弥散系数，m</w:t>
      </w:r>
      <w:r>
        <w:rPr>
          <w:rFonts w:hint="default" w:ascii="Times New Roman" w:hAnsi="Times New Roman" w:cs="Times New Roman" w:eastAsiaTheme="minorEastAsia"/>
          <w:color w:val="000000" w:themeColor="text1"/>
          <w:szCs w:val="28"/>
          <w:vertAlign w:val="superscript"/>
          <w14:textFill>
            <w14:solidFill>
              <w14:schemeClr w14:val="tx1"/>
            </w14:solidFill>
          </w14:textFill>
        </w:rPr>
        <w:t>2</w:t>
      </w:r>
      <w:r>
        <w:rPr>
          <w:rFonts w:hint="default" w:ascii="Times New Roman" w:hAnsi="Times New Roman" w:cs="Times New Roman" w:eastAsiaTheme="minorEastAsia"/>
          <w:color w:val="000000" w:themeColor="text1"/>
          <w:szCs w:val="28"/>
          <w14:textFill>
            <w14:solidFill>
              <w14:schemeClr w14:val="tx1"/>
            </w14:solidFill>
          </w14:textFill>
        </w:rPr>
        <w:t>/d；</w:t>
      </w:r>
    </w:p>
    <w:p>
      <w:pPr>
        <w:spacing w:line="500" w:lineRule="exact"/>
        <w:ind w:firstLine="560"/>
        <w:rPr>
          <w:rFonts w:hint="default" w:ascii="Times New Roman" w:hAnsi="Times New Roman" w:cs="Times New Roman" w:eastAsiaTheme="minorEastAsia"/>
          <w:color w:val="000000" w:themeColor="text1"/>
          <w:szCs w:val="28"/>
          <w14:textFill>
            <w14:solidFill>
              <w14:schemeClr w14:val="tx1"/>
            </w14:solidFill>
          </w14:textFill>
        </w:rPr>
      </w:pPr>
      <w:r>
        <w:rPr>
          <w:rFonts w:hint="default" w:ascii="Times New Roman" w:hAnsi="Times New Roman" w:cs="Times New Roman" w:eastAsiaTheme="minorEastAsia"/>
          <w:color w:val="000000" w:themeColor="text1"/>
          <w:szCs w:val="28"/>
          <w14:textFill>
            <w14:solidFill>
              <w14:schemeClr w14:val="tx1"/>
            </w14:solidFill>
          </w14:textFill>
        </w:rPr>
        <w:t>π—圆周率；</w:t>
      </w:r>
    </w:p>
    <w:p>
      <w:pPr>
        <w:spacing w:line="500" w:lineRule="exact"/>
        <w:ind w:firstLine="560"/>
        <w:rPr>
          <w:rFonts w:hint="default" w:ascii="Times New Roman" w:hAnsi="Times New Roman" w:cs="Times New Roman" w:eastAsiaTheme="minorEastAsia"/>
          <w:color w:val="000000" w:themeColor="text1"/>
          <w:szCs w:val="28"/>
          <w14:textFill>
            <w14:solidFill>
              <w14:schemeClr w14:val="tx1"/>
            </w14:solidFill>
          </w14:textFill>
        </w:rPr>
      </w:pPr>
      <w:r>
        <w:rPr>
          <w:rFonts w:hint="default" w:ascii="Times New Roman" w:hAnsi="Times New Roman" w:cs="Times New Roman" w:eastAsiaTheme="minorEastAsia"/>
          <w:color w:val="000000" w:themeColor="text1"/>
          <w:szCs w:val="28"/>
          <w14:textFill>
            <w14:solidFill>
              <w14:schemeClr w14:val="tx1"/>
            </w14:solidFill>
          </w14:textFill>
        </w:rPr>
        <w:t>K</w:t>
      </w:r>
      <w:r>
        <w:rPr>
          <w:rFonts w:hint="default" w:ascii="Times New Roman" w:hAnsi="Times New Roman" w:cs="Times New Roman" w:eastAsiaTheme="minorEastAsia"/>
          <w:color w:val="000000" w:themeColor="text1"/>
          <w:szCs w:val="28"/>
          <w:vertAlign w:val="subscript"/>
          <w14:textFill>
            <w14:solidFill>
              <w14:schemeClr w14:val="tx1"/>
            </w14:solidFill>
          </w14:textFill>
        </w:rPr>
        <w:t>0</w:t>
      </w:r>
      <w:r>
        <w:rPr>
          <w:rFonts w:hint="default" w:ascii="Times New Roman" w:hAnsi="Times New Roman" w:cs="Times New Roman" w:eastAsiaTheme="minorEastAsia"/>
          <w:color w:val="000000" w:themeColor="text1"/>
          <w:szCs w:val="28"/>
          <w14:textFill>
            <w14:solidFill>
              <w14:schemeClr w14:val="tx1"/>
            </w14:solidFill>
          </w14:textFill>
        </w:rPr>
        <w:t>(β)—第二类零阶修正贝塞尔函数；</w:t>
      </w:r>
    </w:p>
    <w:p>
      <w:pPr>
        <w:spacing w:line="240" w:lineRule="auto"/>
        <w:ind w:firstLine="560"/>
        <w:rPr>
          <w:rFonts w:hint="default" w:ascii="Times New Roman" w:hAnsi="Times New Roman" w:cs="Times New Roman" w:eastAsiaTheme="minorEastAsia"/>
          <w:color w:val="000000" w:themeColor="text1"/>
          <w:szCs w:val="28"/>
          <w14:textFill>
            <w14:solidFill>
              <w14:schemeClr w14:val="tx1"/>
            </w14:solidFill>
          </w14:textFill>
        </w:rPr>
      </w:pPr>
      <w:r>
        <w:rPr>
          <w:rFonts w:hint="default" w:ascii="Times New Roman" w:hAnsi="Times New Roman" w:cs="Times New Roman" w:eastAsiaTheme="minorEastAsia"/>
          <w:color w:val="000000" w:themeColor="text1"/>
          <w:szCs w:val="28"/>
          <w14:textFill>
            <w14:solidFill>
              <w14:schemeClr w14:val="tx1"/>
            </w14:solidFill>
          </w14:textFill>
        </w:rPr>
        <w:object>
          <v:shape id="_x0000_i1026" o:spt="75" type="#_x0000_t75" style="height:42pt;width:66.75pt;" o:ole="t" filled="f" o:preferrelative="t" stroked="f" coordsize="21600,21600">
            <v:path/>
            <v:fill on="f" focussize="0,0"/>
            <v:stroke on="f" joinstyle="miter"/>
            <v:imagedata r:id="rId76" o:title=""/>
            <o:lock v:ext="edit" aspectratio="t"/>
            <w10:wrap type="none"/>
            <w10:anchorlock/>
          </v:shape>
          <o:OLEObject Type="Embed" ProgID="Equation.3" ShapeID="_x0000_i1026" DrawAspect="Content" ObjectID="_1468075726" r:id="rId75">
            <o:LockedField>false</o:LockedField>
          </o:OLEObject>
        </w:object>
      </w:r>
      <w:r>
        <w:rPr>
          <w:rFonts w:hint="default" w:ascii="Times New Roman" w:hAnsi="Times New Roman" w:cs="Times New Roman" w:eastAsiaTheme="minorEastAsia"/>
          <w:color w:val="000000" w:themeColor="text1"/>
          <w:szCs w:val="28"/>
          <w14:textFill>
            <w14:solidFill>
              <w14:schemeClr w14:val="tx1"/>
            </w14:solidFill>
          </w14:textFill>
        </w:rPr>
        <w:t>—第一类越流系统函数。</w:t>
      </w:r>
    </w:p>
    <w:p>
      <w:pPr>
        <w:spacing w:line="500" w:lineRule="exact"/>
        <w:ind w:firstLine="560"/>
        <w:rPr>
          <w:rFonts w:hint="default" w:ascii="Times New Roman" w:hAnsi="Times New Roman" w:cs="Times New Roman" w:eastAsiaTheme="minorEastAsia"/>
          <w:color w:val="000000" w:themeColor="text1"/>
          <w:szCs w:val="28"/>
          <w14:textFill>
            <w14:solidFill>
              <w14:schemeClr w14:val="tx1"/>
            </w14:solidFill>
          </w14:textFill>
        </w:rPr>
      </w:pPr>
      <w:r>
        <w:rPr>
          <w:rFonts w:hint="default" w:ascii="Times New Roman" w:hAnsi="Times New Roman" w:cs="Times New Roman" w:eastAsiaTheme="minorEastAsia"/>
          <w:color w:val="000000" w:themeColor="text1"/>
          <w:szCs w:val="28"/>
          <w14:textFill>
            <w14:solidFill>
              <w14:schemeClr w14:val="tx1"/>
            </w14:solidFill>
          </w14:textFill>
        </w:rPr>
        <w:t>（4）预测条件概化</w:t>
      </w:r>
    </w:p>
    <w:p>
      <w:pPr>
        <w:spacing w:line="500" w:lineRule="exact"/>
        <w:ind w:firstLine="560"/>
        <w:rPr>
          <w:rFonts w:hint="default" w:ascii="Times New Roman" w:hAnsi="Times New Roman" w:cs="Times New Roman" w:eastAsiaTheme="minorEastAsia"/>
          <w:color w:val="000000" w:themeColor="text1"/>
          <w:szCs w:val="28"/>
          <w14:textFill>
            <w14:solidFill>
              <w14:schemeClr w14:val="tx1"/>
            </w14:solidFill>
          </w14:textFill>
        </w:rPr>
      </w:pPr>
      <w:r>
        <w:rPr>
          <w:rFonts w:hint="default" w:ascii="Times New Roman" w:hAnsi="Times New Roman" w:cs="Times New Roman" w:eastAsiaTheme="minorEastAsia"/>
          <w:color w:val="000000" w:themeColor="text1"/>
          <w:szCs w:val="28"/>
          <w14:textFill>
            <w14:solidFill>
              <w14:schemeClr w14:val="tx1"/>
            </w14:solidFill>
          </w14:textFill>
        </w:rPr>
        <w:t>厂区潜水流向总体由北向南，此次模拟计算，污染物泄漏点主要考虑厂区固液分离间内集污池，厂区潜水含水层岩性均为粉砂，渗透能力中等。</w:t>
      </w:r>
    </w:p>
    <w:p>
      <w:pPr>
        <w:spacing w:line="500" w:lineRule="exact"/>
        <w:ind w:firstLine="560"/>
        <w:rPr>
          <w:rFonts w:hint="default" w:ascii="Times New Roman" w:hAnsi="Times New Roman" w:cs="Times New Roman" w:eastAsiaTheme="minorEastAsia"/>
          <w:color w:val="000000" w:themeColor="text1"/>
          <w:szCs w:val="28"/>
          <w14:textFill>
            <w14:solidFill>
              <w14:schemeClr w14:val="tx1"/>
            </w14:solidFill>
          </w14:textFill>
        </w:rPr>
      </w:pPr>
      <w:r>
        <w:rPr>
          <w:rFonts w:hint="default" w:ascii="Times New Roman" w:hAnsi="Times New Roman" w:cs="Times New Roman" w:eastAsiaTheme="minorEastAsia"/>
          <w:color w:val="000000" w:themeColor="text1"/>
          <w:szCs w:val="28"/>
          <w14:textFill>
            <w14:solidFill>
              <w14:schemeClr w14:val="tx1"/>
            </w14:solidFill>
          </w14:textFill>
        </w:rPr>
        <w:t>（5）各项参数的确定</w:t>
      </w:r>
    </w:p>
    <w:p>
      <w:pPr>
        <w:spacing w:line="500" w:lineRule="exact"/>
        <w:ind w:firstLine="560"/>
        <w:rPr>
          <w:rFonts w:hint="default" w:ascii="Times New Roman" w:hAnsi="Times New Roman" w:cs="Times New Roman" w:eastAsiaTheme="minorEastAsia"/>
          <w:color w:val="000000" w:themeColor="text1"/>
          <w:szCs w:val="28"/>
          <w14:textFill>
            <w14:solidFill>
              <w14:schemeClr w14:val="tx1"/>
            </w14:solidFill>
          </w14:textFill>
        </w:rPr>
      </w:pPr>
      <w:r>
        <w:rPr>
          <w:rFonts w:hint="default" w:ascii="Times New Roman" w:hAnsi="Times New Roman" w:cs="Times New Roman" w:eastAsiaTheme="minorEastAsia"/>
          <w:color w:val="000000" w:themeColor="text1"/>
          <w:szCs w:val="28"/>
          <w14:textFill>
            <w14:solidFill>
              <w14:schemeClr w14:val="tx1"/>
            </w14:solidFill>
          </w14:textFill>
        </w:rPr>
        <w:t>含水层的有效影响厚度（M）：含水层厚度采用平均值2.5m。</w:t>
      </w:r>
    </w:p>
    <w:p>
      <w:pPr>
        <w:spacing w:line="500" w:lineRule="exact"/>
        <w:ind w:firstLine="560"/>
        <w:rPr>
          <w:rFonts w:hint="default" w:ascii="Times New Roman" w:hAnsi="Times New Roman" w:cs="Times New Roman" w:eastAsiaTheme="minorEastAsia"/>
          <w:color w:val="auto"/>
          <w:szCs w:val="28"/>
          <w:highlight w:val="none"/>
        </w:rPr>
      </w:pPr>
      <w:r>
        <w:rPr>
          <w:rFonts w:hint="default" w:ascii="Times New Roman" w:hAnsi="Times New Roman" w:cs="Times New Roman" w:eastAsiaTheme="minorEastAsia"/>
          <w:color w:val="auto"/>
          <w:szCs w:val="28"/>
          <w:highlight w:val="none"/>
        </w:rPr>
        <w:t>水流速度（u）：根据达西定律u=渗透系数×地下水水力坡度/有效孔隙度。潜含水层渗透系数按区内渗透系数的平均值确定（K=1.6m/d），水力坡度I=2‰，水流速度为0.025m/d。</w:t>
      </w:r>
    </w:p>
    <w:p>
      <w:pPr>
        <w:spacing w:line="500" w:lineRule="exact"/>
        <w:ind w:firstLine="560"/>
        <w:rPr>
          <w:rFonts w:hint="default" w:ascii="Times New Roman" w:hAnsi="Times New Roman" w:cs="Times New Roman" w:eastAsiaTheme="minorEastAsia"/>
          <w:color w:val="auto"/>
          <w:szCs w:val="28"/>
          <w:highlight w:val="none"/>
        </w:rPr>
      </w:pPr>
      <w:r>
        <w:rPr>
          <w:rFonts w:hint="default" w:ascii="Times New Roman" w:hAnsi="Times New Roman" w:cs="Times New Roman" w:eastAsiaTheme="minorEastAsia"/>
          <w:color w:val="auto"/>
          <w:szCs w:val="28"/>
          <w:highlight w:val="none"/>
        </w:rPr>
        <w:t>有效孔隙度（n）：含水层的有效孔隙度0.18。</w:t>
      </w:r>
    </w:p>
    <w:p>
      <w:pPr>
        <w:spacing w:line="500" w:lineRule="exact"/>
        <w:ind w:firstLine="560"/>
        <w:rPr>
          <w:rFonts w:hint="default" w:ascii="Times New Roman" w:hAnsi="Times New Roman" w:cs="Times New Roman" w:eastAsiaTheme="minorEastAsia"/>
          <w:color w:val="000000" w:themeColor="text1"/>
          <w:szCs w:val="28"/>
          <w14:textFill>
            <w14:solidFill>
              <w14:schemeClr w14:val="tx1"/>
            </w14:solidFill>
          </w14:textFill>
        </w:rPr>
      </w:pPr>
      <w:r>
        <w:rPr>
          <w:rFonts w:hint="default" w:ascii="Times New Roman" w:hAnsi="Times New Roman" w:cs="Times New Roman" w:eastAsiaTheme="minorEastAsia"/>
          <w:color w:val="000000" w:themeColor="text1"/>
          <w:szCs w:val="28"/>
          <w14:textFill>
            <w14:solidFill>
              <w14:schemeClr w14:val="tx1"/>
            </w14:solidFill>
          </w14:textFill>
        </w:rPr>
        <w:t>弥散系数：纵横弥散系数根据含水层岩性及渗透系数、水力坡度等因素，参照相同地区的经验值确定。</w:t>
      </w:r>
    </w:p>
    <w:p>
      <w:pPr>
        <w:spacing w:line="500" w:lineRule="exact"/>
        <w:ind w:firstLine="560"/>
        <w:rPr>
          <w:rFonts w:hint="default" w:ascii="Times New Roman" w:hAnsi="Times New Roman" w:cs="Times New Roman" w:eastAsiaTheme="minorEastAsia"/>
          <w:color w:val="000000" w:themeColor="text1"/>
          <w:szCs w:val="28"/>
          <w14:textFill>
            <w14:solidFill>
              <w14:schemeClr w14:val="tx1"/>
            </w14:solidFill>
          </w14:textFill>
        </w:rPr>
      </w:pPr>
      <w:r>
        <w:rPr>
          <w:rFonts w:hint="default" w:ascii="Times New Roman" w:hAnsi="Times New Roman" w:cs="Times New Roman" w:eastAsiaTheme="minorEastAsia"/>
          <w:color w:val="000000" w:themeColor="text1"/>
          <w:szCs w:val="28"/>
          <w14:textFill>
            <w14:solidFill>
              <w14:schemeClr w14:val="tx1"/>
            </w14:solidFill>
          </w14:textFill>
        </w:rPr>
        <w:t>各项参数的选取结果见表5-4-2 所示。</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表5-4-2各项计算参数选取结果一览表</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1245"/>
        <w:gridCol w:w="1246"/>
        <w:gridCol w:w="1246"/>
        <w:gridCol w:w="1246"/>
        <w:gridCol w:w="1246"/>
        <w:gridCol w:w="12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5" w:type="dxa"/>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参数</w:t>
            </w:r>
          </w:p>
        </w:tc>
        <w:tc>
          <w:tcPr>
            <w:tcW w:w="1245" w:type="dxa"/>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M</w:t>
            </w:r>
          </w:p>
        </w:tc>
        <w:tc>
          <w:tcPr>
            <w:tcW w:w="1246" w:type="dxa"/>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I</w:t>
            </w:r>
          </w:p>
        </w:tc>
        <w:tc>
          <w:tcPr>
            <w:tcW w:w="1246" w:type="dxa"/>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U</w:t>
            </w:r>
          </w:p>
        </w:tc>
        <w:tc>
          <w:tcPr>
            <w:tcW w:w="1246" w:type="dxa"/>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n</w:t>
            </w:r>
          </w:p>
        </w:tc>
        <w:tc>
          <w:tcPr>
            <w:tcW w:w="1246" w:type="dxa"/>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D</w:t>
            </w:r>
            <w:r>
              <w:rPr>
                <w:rFonts w:hint="default" w:ascii="Times New Roman" w:hAnsi="Times New Roman" w:cs="Times New Roman" w:eastAsiaTheme="minorEastAsia"/>
                <w:color w:val="000000" w:themeColor="text1"/>
                <w:vertAlign w:val="subscript"/>
                <w14:textFill>
                  <w14:solidFill>
                    <w14:schemeClr w14:val="tx1"/>
                  </w14:solidFill>
                </w14:textFill>
              </w:rPr>
              <w:t>L</w:t>
            </w:r>
          </w:p>
        </w:tc>
        <w:tc>
          <w:tcPr>
            <w:tcW w:w="1246" w:type="dxa"/>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D</w:t>
            </w:r>
            <w:r>
              <w:rPr>
                <w:rFonts w:hint="default" w:ascii="Times New Roman" w:hAnsi="Times New Roman" w:cs="Times New Roman" w:eastAsiaTheme="minorEastAsia"/>
                <w:color w:val="000000" w:themeColor="text1"/>
                <w:vertAlign w:val="subscript"/>
                <w14:textFill>
                  <w14:solidFill>
                    <w14:schemeClr w14:val="tx1"/>
                  </w14:solidFill>
                </w14:textFill>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5" w:type="dxa"/>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氨氮</w:t>
            </w:r>
          </w:p>
        </w:tc>
        <w:tc>
          <w:tcPr>
            <w:tcW w:w="1245" w:type="dxa"/>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2.5</w:t>
            </w:r>
          </w:p>
        </w:tc>
        <w:tc>
          <w:tcPr>
            <w:tcW w:w="1246" w:type="dxa"/>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0.002</w:t>
            </w:r>
          </w:p>
        </w:tc>
        <w:tc>
          <w:tcPr>
            <w:tcW w:w="1246" w:type="dxa"/>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0.025</w:t>
            </w:r>
          </w:p>
        </w:tc>
        <w:tc>
          <w:tcPr>
            <w:tcW w:w="1246" w:type="dxa"/>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0.18</w:t>
            </w:r>
          </w:p>
        </w:tc>
        <w:tc>
          <w:tcPr>
            <w:tcW w:w="1246" w:type="dxa"/>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0.7</w:t>
            </w:r>
          </w:p>
        </w:tc>
        <w:tc>
          <w:tcPr>
            <w:tcW w:w="1246" w:type="dxa"/>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0.07</w:t>
            </w:r>
          </w:p>
        </w:tc>
      </w:tr>
    </w:tbl>
    <w:p>
      <w:pPr>
        <w:spacing w:line="500" w:lineRule="exact"/>
        <w:ind w:firstLine="560"/>
        <w:rPr>
          <w:rFonts w:hint="default" w:ascii="Times New Roman" w:hAnsi="Times New Roman" w:cs="Times New Roman" w:eastAsiaTheme="minorEastAsia"/>
          <w:color w:val="000000" w:themeColor="text1"/>
          <w:szCs w:val="28"/>
          <w14:textFill>
            <w14:solidFill>
              <w14:schemeClr w14:val="tx1"/>
            </w14:solidFill>
          </w14:textFill>
        </w:rPr>
      </w:pPr>
      <w:r>
        <w:rPr>
          <w:rFonts w:hint="default" w:ascii="Times New Roman" w:hAnsi="Times New Roman" w:cs="Times New Roman" w:eastAsiaTheme="minorEastAsia"/>
          <w:color w:val="000000" w:themeColor="text1"/>
          <w:szCs w:val="28"/>
          <w14:textFill>
            <w14:solidFill>
              <w14:schemeClr w14:val="tx1"/>
            </w14:solidFill>
          </w14:textFill>
        </w:rPr>
        <w:t>（6）预测结果</w:t>
      </w:r>
    </w:p>
    <w:p>
      <w:pPr>
        <w:spacing w:line="500" w:lineRule="exact"/>
        <w:ind w:firstLine="560"/>
        <w:rPr>
          <w:rFonts w:hint="default" w:ascii="Times New Roman" w:hAnsi="Times New Roman" w:cs="Times New Roman" w:eastAsiaTheme="minorEastAsia"/>
          <w:color w:val="000000" w:themeColor="text1"/>
          <w:szCs w:val="28"/>
          <w14:textFill>
            <w14:solidFill>
              <w14:schemeClr w14:val="tx1"/>
            </w14:solidFill>
          </w14:textFill>
        </w:rPr>
      </w:pPr>
      <w:r>
        <w:rPr>
          <w:rFonts w:hint="default" w:ascii="Times New Roman" w:hAnsi="Times New Roman" w:cs="Times New Roman" w:eastAsiaTheme="minorEastAsia"/>
          <w:color w:val="000000" w:themeColor="text1"/>
          <w:szCs w:val="28"/>
          <w14:textFill>
            <w14:solidFill>
              <w14:schemeClr w14:val="tx1"/>
            </w14:solidFill>
          </w14:textFill>
        </w:rPr>
        <w:t>①污染物渗漏对地下水下游的影响</w:t>
      </w:r>
    </w:p>
    <w:p>
      <w:pPr>
        <w:spacing w:line="500" w:lineRule="exact"/>
        <w:ind w:firstLine="560"/>
        <w:rPr>
          <w:rFonts w:hint="default" w:ascii="Times New Roman" w:hAnsi="Times New Roman" w:cs="Times New Roman" w:eastAsiaTheme="minorEastAsia"/>
          <w:color w:val="000000" w:themeColor="text1"/>
          <w:szCs w:val="28"/>
          <w14:textFill>
            <w14:solidFill>
              <w14:schemeClr w14:val="tx1"/>
            </w14:solidFill>
          </w14:textFill>
        </w:rPr>
      </w:pPr>
      <w:r>
        <w:rPr>
          <w:rFonts w:hint="default" w:ascii="Times New Roman" w:hAnsi="Times New Roman" w:cs="Times New Roman" w:eastAsiaTheme="minorEastAsia"/>
          <w:color w:val="000000" w:themeColor="text1"/>
          <w:szCs w:val="28"/>
          <w14:textFill>
            <w14:solidFill>
              <w14:schemeClr w14:val="tx1"/>
            </w14:solidFill>
          </w14:textFill>
        </w:rPr>
        <w:t>非正常工况预下氨氮渗漏对含水层的影响测结果见图5-4-2至图5-4-3。</w:t>
      </w:r>
    </w:p>
    <w:p>
      <w:pPr>
        <w:spacing w:line="500" w:lineRule="exact"/>
        <w:ind w:firstLine="560"/>
        <w:rPr>
          <w:rFonts w:hint="default" w:ascii="Times New Roman" w:hAnsi="Times New Roman" w:cs="Times New Roman" w:eastAsiaTheme="minorEastAsia"/>
          <w:color w:val="000000" w:themeColor="text1"/>
          <w:szCs w:val="28"/>
          <w14:textFill>
            <w14:solidFill>
              <w14:schemeClr w14:val="tx1"/>
            </w14:solidFill>
          </w14:textFill>
        </w:rPr>
      </w:pPr>
    </w:p>
    <w:p>
      <w:pPr>
        <w:spacing w:line="240" w:lineRule="auto"/>
        <w:ind w:firstLine="0" w:firstLineChars="0"/>
        <w:jc w:val="center"/>
        <w:rPr>
          <w:rFonts w:hint="default" w:ascii="Times New Roman" w:hAnsi="Times New Roman" w:cs="Times New Roman" w:eastAsiaTheme="minorEastAsia"/>
          <w:color w:val="000000" w:themeColor="text1"/>
          <w:szCs w:val="28"/>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drawing>
          <wp:inline distT="0" distB="0" distL="0" distR="0">
            <wp:extent cx="4594225" cy="2695575"/>
            <wp:effectExtent l="0" t="0" r="15875" b="9525"/>
            <wp:docPr id="1171" name="图表 1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xml:space="preserve">图5-4-3  污染物氨氮100d污染物迁移预测 </w:t>
      </w:r>
    </w:p>
    <w:p>
      <w:pPr>
        <w:pStyle w:val="643"/>
        <w:spacing w:line="240" w:lineRule="auto"/>
        <w:rPr>
          <w:rFonts w:hint="default" w:ascii="Times New Roman" w:hAnsi="Times New Roman" w:cs="Times New Roman" w:eastAsiaTheme="minorEastAsia"/>
          <w:color w:val="000000" w:themeColor="text1"/>
          <w14:textFill>
            <w14:solidFill>
              <w14:schemeClr w14:val="tx1"/>
            </w14:solidFill>
          </w14:textFill>
        </w:rPr>
      </w:pPr>
    </w:p>
    <w:p>
      <w:pPr>
        <w:pStyle w:val="643"/>
        <w:spacing w:line="240" w:lineRule="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drawing>
          <wp:inline distT="0" distB="0" distL="0" distR="0">
            <wp:extent cx="4572000" cy="2743200"/>
            <wp:effectExtent l="0" t="0" r="19050" b="19050"/>
            <wp:docPr id="1178" name="图表 1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 xml:space="preserve">图5-4-4 污染物氨氮1000 d污染物迁移预测 </w:t>
      </w:r>
    </w:p>
    <w:p>
      <w:pPr>
        <w:ind w:firstLine="56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污染物超标扩散距离见表5-4-4。</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表5-4-3 污染物超标扩散距离</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134"/>
        <w:gridCol w:w="1276"/>
        <w:gridCol w:w="1559"/>
        <w:gridCol w:w="1985"/>
        <w:gridCol w:w="15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污染物</w:t>
            </w:r>
          </w:p>
        </w:tc>
        <w:tc>
          <w:tcPr>
            <w:tcW w:w="1134"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标准值</w:t>
            </w:r>
          </w:p>
        </w:tc>
        <w:tc>
          <w:tcPr>
            <w:tcW w:w="1276"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时间（d）</w:t>
            </w:r>
          </w:p>
        </w:tc>
        <w:tc>
          <w:tcPr>
            <w:tcW w:w="1559" w:type="dxa"/>
            <w:tcBorders>
              <w:right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污染物超标扩散距离（m）</w:t>
            </w:r>
          </w:p>
        </w:tc>
        <w:tc>
          <w:tcPr>
            <w:tcW w:w="1985" w:type="dxa"/>
            <w:tcBorders>
              <w:right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污染物超标扩散面积（m</w:t>
            </w:r>
            <w:r>
              <w:rPr>
                <w:rFonts w:hint="default" w:ascii="Times New Roman" w:hAnsi="Times New Roman" w:cs="Times New Roman" w:eastAsiaTheme="minorEastAsia"/>
                <w:color w:val="000000" w:themeColor="text1"/>
                <w:vertAlign w:val="superscript"/>
                <w14:textFill>
                  <w14:solidFill>
                    <w14:schemeClr w14:val="tx1"/>
                  </w14:solidFill>
                </w14:textFill>
              </w:rPr>
              <w:t>2</w:t>
            </w:r>
            <w:r>
              <w:rPr>
                <w:rFonts w:hint="default" w:ascii="Times New Roman" w:hAnsi="Times New Roman" w:cs="Times New Roman" w:eastAsiaTheme="minorEastAsia"/>
                <w:color w:val="000000" w:themeColor="text1"/>
                <w14:textFill>
                  <w14:solidFill>
                    <w14:schemeClr w14:val="tx1"/>
                  </w14:solidFill>
                </w14:textFill>
              </w:rPr>
              <w:t>）</w:t>
            </w:r>
          </w:p>
        </w:tc>
        <w:tc>
          <w:tcPr>
            <w:tcW w:w="1524" w:type="dxa"/>
            <w:tcBorders>
              <w:left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最大影响距离（m）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氨氮</w:t>
            </w:r>
          </w:p>
        </w:tc>
        <w:tc>
          <w:tcPr>
            <w:tcW w:w="1134" w:type="dxa"/>
            <w:vMerge w:val="restart"/>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0.5mg/L</w:t>
            </w:r>
          </w:p>
        </w:tc>
        <w:tc>
          <w:tcPr>
            <w:tcW w:w="1276"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100</w:t>
            </w:r>
          </w:p>
        </w:tc>
        <w:tc>
          <w:tcPr>
            <w:tcW w:w="1559" w:type="dxa"/>
            <w:tcBorders>
              <w:right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76</w:t>
            </w:r>
          </w:p>
        </w:tc>
        <w:tc>
          <w:tcPr>
            <w:tcW w:w="1985" w:type="dxa"/>
            <w:tcBorders>
              <w:right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324</w:t>
            </w:r>
          </w:p>
        </w:tc>
        <w:tc>
          <w:tcPr>
            <w:tcW w:w="1524" w:type="dxa"/>
            <w:tcBorders>
              <w:left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p>
        </w:tc>
        <w:tc>
          <w:tcPr>
            <w:tcW w:w="1134" w:type="dxa"/>
            <w:vMerge w:val="continue"/>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p>
        </w:tc>
        <w:tc>
          <w:tcPr>
            <w:tcW w:w="1276" w:type="dxa"/>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1000</w:t>
            </w:r>
          </w:p>
        </w:tc>
        <w:tc>
          <w:tcPr>
            <w:tcW w:w="1559" w:type="dxa"/>
            <w:tcBorders>
              <w:right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258</w:t>
            </w:r>
          </w:p>
        </w:tc>
        <w:tc>
          <w:tcPr>
            <w:tcW w:w="1985" w:type="dxa"/>
            <w:tcBorders>
              <w:right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706</w:t>
            </w:r>
          </w:p>
        </w:tc>
        <w:tc>
          <w:tcPr>
            <w:tcW w:w="1524" w:type="dxa"/>
            <w:tcBorders>
              <w:left w:val="single" w:color="auto" w:sz="2" w:space="0"/>
            </w:tcBorders>
            <w:vAlign w:val="center"/>
          </w:tcPr>
          <w:p>
            <w:pPr>
              <w:pStyle w:val="666"/>
              <w:widowControl w:val="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282</w:t>
            </w:r>
          </w:p>
        </w:tc>
      </w:tr>
    </w:tbl>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5.4.3 地下水环境影响预测结论</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污染物在潜水层以水平扩散为主，地下水流速缓慢；在非正常工况下，集污池年久失修导致防渗系数下降一个数量级，100d污染物氨氮超标扩散距离为76m，污染物超标扩散面积324m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szCs w:val="22"/>
          <w14:textFill>
            <w14:solidFill>
              <w14:schemeClr w14:val="tx1"/>
            </w14:solidFill>
          </w14:textFill>
        </w:rPr>
        <w:t>，最大影响距离84m；1000d污染物氨氮超标扩散距离为258m，污染物超标扩散面积706m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szCs w:val="22"/>
          <w14:textFill>
            <w14:solidFill>
              <w14:schemeClr w14:val="tx1"/>
            </w14:solidFill>
          </w14:textFill>
        </w:rPr>
        <w:t>，最大影响距离282m。区域潜水地下水流向为自北向南，配套有地下水跟踪监测井，对厂区内水井定期开展监测，可及时发现渗漏，降低对厂区内水井污染影响，距离本项目固液分离间最近地下水环境保护目标为厂区内新建饮用水井，距离为</w:t>
      </w:r>
      <w:r>
        <w:rPr>
          <w:rFonts w:hint="default" w:ascii="Times New Roman" w:hAnsi="Times New Roman" w:cs="Times New Roman" w:eastAsiaTheme="minorEastAsia"/>
          <w:color w:val="auto"/>
          <w:sz w:val="24"/>
          <w:szCs w:val="22"/>
          <w:highlight w:val="none"/>
          <w:lang w:val="en-US" w:eastAsia="zh-CN"/>
        </w:rPr>
        <w:t>35</w:t>
      </w:r>
      <w:r>
        <w:rPr>
          <w:rFonts w:hint="default" w:ascii="Times New Roman" w:hAnsi="Times New Roman" w:cs="Times New Roman" w:eastAsiaTheme="minorEastAsia"/>
          <w:color w:val="auto"/>
          <w:sz w:val="24"/>
          <w:szCs w:val="22"/>
          <w:highlight w:val="none"/>
        </w:rPr>
        <w:t>2m</w:t>
      </w:r>
      <w:r>
        <w:rPr>
          <w:rFonts w:hint="default" w:ascii="Times New Roman" w:hAnsi="Times New Roman" w:cs="Times New Roman" w:eastAsiaTheme="minorEastAsia"/>
          <w:color w:val="000000" w:themeColor="text1"/>
          <w:sz w:val="24"/>
          <w:szCs w:val="22"/>
          <w14:textFill>
            <w14:solidFill>
              <w14:schemeClr w14:val="tx1"/>
            </w14:solidFill>
          </w14:textFill>
        </w:rPr>
        <w:t>，因此项目建设对区域地下水环境影响较小。</w:t>
      </w:r>
    </w:p>
    <w:p>
      <w:pPr>
        <w:pStyle w:val="639"/>
        <w:rPr>
          <w:rFonts w:hint="default" w:ascii="Times New Roman" w:hAnsi="Times New Roman" w:cs="Times New Roman" w:eastAsiaTheme="minorEastAsia"/>
          <w:b/>
          <w:bCs w:val="0"/>
          <w:color w:val="000000" w:themeColor="text1"/>
          <w14:textFill>
            <w14:solidFill>
              <w14:schemeClr w14:val="tx1"/>
            </w14:solidFill>
          </w14:textFill>
        </w:rPr>
      </w:pPr>
      <w:bookmarkStart w:id="187" w:name="_Toc13898"/>
      <w:bookmarkStart w:id="188" w:name="_Toc358190086"/>
      <w:bookmarkStart w:id="189" w:name="_Toc472338496"/>
      <w:r>
        <w:rPr>
          <w:rFonts w:hint="default" w:ascii="Times New Roman" w:hAnsi="Times New Roman" w:cs="Times New Roman" w:eastAsiaTheme="minorEastAsia"/>
          <w:b/>
          <w:bCs w:val="0"/>
          <w:color w:val="000000" w:themeColor="text1"/>
          <w14:textFill>
            <w14:solidFill>
              <w14:schemeClr w14:val="tx1"/>
            </w14:solidFill>
          </w14:textFill>
        </w:rPr>
        <w:t>5.5 声环境影响预测与评价</w:t>
      </w:r>
      <w:bookmarkEnd w:id="187"/>
    </w:p>
    <w:p>
      <w:pPr>
        <w:pStyle w:val="1167"/>
        <w:rPr>
          <w:rFonts w:hint="default" w:ascii="Times New Roman" w:hAnsi="Times New Roman" w:cs="Times New Roman" w:eastAsiaTheme="minorEastAsia"/>
          <w:bCs/>
          <w:color w:val="000000" w:themeColor="text1"/>
          <w14:textFill>
            <w14:solidFill>
              <w14:schemeClr w14:val="tx1"/>
            </w14:solidFill>
          </w14:textFill>
        </w:rPr>
      </w:pPr>
      <w:bookmarkStart w:id="190" w:name="_Toc407350119"/>
      <w:bookmarkStart w:id="191" w:name="_Toc382814393"/>
      <w:bookmarkStart w:id="192" w:name="_Toc376078375"/>
      <w:bookmarkStart w:id="193" w:name="_Toc406416118"/>
      <w:bookmarkStart w:id="194" w:name="_Toc314409068"/>
      <w:bookmarkStart w:id="195" w:name="_Toc379530076"/>
      <w:r>
        <w:rPr>
          <w:rFonts w:hint="default" w:ascii="Times New Roman" w:hAnsi="Times New Roman" w:cs="Times New Roman" w:eastAsiaTheme="minorEastAsia"/>
          <w:color w:val="000000" w:themeColor="text1"/>
          <w14:textFill>
            <w14:solidFill>
              <w14:schemeClr w14:val="tx1"/>
            </w14:solidFill>
          </w14:textFill>
        </w:rPr>
        <w:t>5.5.1 本工程噪声源调查</w:t>
      </w:r>
      <w:bookmarkEnd w:id="190"/>
      <w:bookmarkEnd w:id="191"/>
      <w:bookmarkEnd w:id="192"/>
      <w:bookmarkEnd w:id="193"/>
      <w:bookmarkEnd w:id="194"/>
      <w:bookmarkEnd w:id="195"/>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bookmarkStart w:id="196" w:name="_Toc245356776"/>
      <w:bookmarkStart w:id="197" w:name="_Toc407350120"/>
      <w:bookmarkStart w:id="198" w:name="_Toc338163118"/>
      <w:bookmarkStart w:id="199" w:name="_Toc379530077"/>
      <w:bookmarkStart w:id="200" w:name="_Toc314409069"/>
      <w:bookmarkStart w:id="201" w:name="_Toc376078376"/>
      <w:bookmarkStart w:id="202" w:name="_Toc406416119"/>
      <w:bookmarkStart w:id="203" w:name="_Toc382814394"/>
      <w:r>
        <w:rPr>
          <w:rFonts w:hint="default" w:ascii="Times New Roman" w:hAnsi="Times New Roman" w:cs="Times New Roman" w:eastAsiaTheme="minorEastAsia"/>
          <w:color w:val="000000" w:themeColor="text1"/>
          <w:sz w:val="24"/>
          <w:szCs w:val="22"/>
          <w14:textFill>
            <w14:solidFill>
              <w14:schemeClr w14:val="tx1"/>
            </w14:solidFill>
          </w14:textFill>
        </w:rPr>
        <w:t>本项目噪声源为排气扇、机泵、风机等产生的设备噪声，具体见表5-5-1。</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表5-5-1  主要噪声设备预测源强一览表</w:t>
      </w:r>
    </w:p>
    <w:tbl>
      <w:tblPr>
        <w:tblStyle w:val="9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909"/>
        <w:gridCol w:w="850"/>
        <w:gridCol w:w="707"/>
        <w:gridCol w:w="707"/>
        <w:gridCol w:w="994"/>
        <w:gridCol w:w="668"/>
        <w:gridCol w:w="824"/>
        <w:gridCol w:w="935"/>
        <w:gridCol w:w="675"/>
        <w:gridCol w:w="935"/>
        <w:gridCol w:w="74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jc w:val="center"/>
        </w:trPr>
        <w:tc>
          <w:tcPr>
            <w:tcW w:w="909" w:type="dxa"/>
            <w:vMerge w:val="restart"/>
            <w:tcBorders>
              <w:top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生产线</w:t>
            </w:r>
          </w:p>
        </w:tc>
        <w:tc>
          <w:tcPr>
            <w:tcW w:w="850" w:type="dxa"/>
            <w:vMerge w:val="restart"/>
            <w:tcBorders>
              <w:top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噪声源</w:t>
            </w:r>
          </w:p>
        </w:tc>
        <w:tc>
          <w:tcPr>
            <w:tcW w:w="707" w:type="dxa"/>
            <w:vMerge w:val="restart"/>
            <w:tcBorders>
              <w:top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声源类型</w:t>
            </w:r>
          </w:p>
        </w:tc>
        <w:tc>
          <w:tcPr>
            <w:tcW w:w="1701" w:type="dxa"/>
            <w:gridSpan w:val="2"/>
            <w:tcBorders>
              <w:top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噪声源强</w:t>
            </w:r>
          </w:p>
        </w:tc>
        <w:tc>
          <w:tcPr>
            <w:tcW w:w="1492" w:type="dxa"/>
            <w:gridSpan w:val="2"/>
            <w:tcBorders>
              <w:top w:val="single" w:color="auto" w:sz="12" w:space="0"/>
              <w:bottom w:val="single" w:color="auto" w:sz="4" w:space="0"/>
            </w:tcBorders>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降噪措施</w:t>
            </w:r>
          </w:p>
        </w:tc>
        <w:tc>
          <w:tcPr>
            <w:tcW w:w="935" w:type="dxa"/>
            <w:vMerge w:val="restart"/>
            <w:tcBorders>
              <w:top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降噪效果</w:t>
            </w:r>
          </w:p>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[dB(A)]</w:t>
            </w:r>
          </w:p>
        </w:tc>
        <w:tc>
          <w:tcPr>
            <w:tcW w:w="1610" w:type="dxa"/>
            <w:gridSpan w:val="2"/>
            <w:tcBorders>
              <w:top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噪声排放值</w:t>
            </w:r>
          </w:p>
        </w:tc>
        <w:tc>
          <w:tcPr>
            <w:tcW w:w="748" w:type="dxa"/>
            <w:vMerge w:val="restart"/>
            <w:tcBorders>
              <w:top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持续时间/h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jc w:val="center"/>
        </w:trPr>
        <w:tc>
          <w:tcPr>
            <w:tcW w:w="909" w:type="dxa"/>
            <w:vMerge w:val="continue"/>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p>
        </w:tc>
        <w:tc>
          <w:tcPr>
            <w:tcW w:w="850" w:type="dxa"/>
            <w:vMerge w:val="continue"/>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p>
        </w:tc>
        <w:tc>
          <w:tcPr>
            <w:tcW w:w="707" w:type="dxa"/>
            <w:vMerge w:val="continue"/>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p>
        </w:tc>
        <w:tc>
          <w:tcPr>
            <w:tcW w:w="707" w:type="dxa"/>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核算</w:t>
            </w:r>
          </w:p>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方法</w:t>
            </w:r>
          </w:p>
        </w:tc>
        <w:tc>
          <w:tcPr>
            <w:tcW w:w="994" w:type="dxa"/>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噪声值</w:t>
            </w:r>
          </w:p>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[dB(A)]</w:t>
            </w:r>
          </w:p>
        </w:tc>
        <w:tc>
          <w:tcPr>
            <w:tcW w:w="668" w:type="dxa"/>
            <w:tcBorders>
              <w:top w:val="single" w:color="auto" w:sz="4" w:space="0"/>
              <w:right w:val="single" w:color="auto" w:sz="4" w:space="0"/>
            </w:tcBorders>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工艺</w:t>
            </w:r>
          </w:p>
        </w:tc>
        <w:tc>
          <w:tcPr>
            <w:tcW w:w="824" w:type="dxa"/>
            <w:tcBorders>
              <w:top w:val="single" w:color="auto" w:sz="4" w:space="0"/>
              <w:left w:val="single" w:color="auto" w:sz="4" w:space="0"/>
            </w:tcBorders>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降噪效果</w:t>
            </w:r>
          </w:p>
        </w:tc>
        <w:tc>
          <w:tcPr>
            <w:tcW w:w="935" w:type="dxa"/>
            <w:vMerge w:val="continue"/>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p>
        </w:tc>
        <w:tc>
          <w:tcPr>
            <w:tcW w:w="675" w:type="dxa"/>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核算方法</w:t>
            </w:r>
          </w:p>
        </w:tc>
        <w:tc>
          <w:tcPr>
            <w:tcW w:w="935" w:type="dxa"/>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噪声值</w:t>
            </w:r>
          </w:p>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[dB(A)]</w:t>
            </w:r>
          </w:p>
        </w:tc>
        <w:tc>
          <w:tcPr>
            <w:tcW w:w="748" w:type="dxa"/>
            <w:vMerge w:val="continue"/>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502" w:hRule="atLeast"/>
          <w:jc w:val="center"/>
        </w:trPr>
        <w:tc>
          <w:tcPr>
            <w:tcW w:w="909" w:type="dxa"/>
            <w:vAlign w:val="center"/>
          </w:tcPr>
          <w:p>
            <w:pPr>
              <w:pStyle w:val="666"/>
              <w:spacing w:line="360" w:lineRule="exact"/>
              <w:rPr>
                <w:rFonts w:hint="default" w:ascii="Times New Roman" w:hAnsi="Times New Roman" w:cs="Times New Roman" w:eastAsiaTheme="minorEastAsia"/>
                <w:color w:val="000000" w:themeColor="text1"/>
                <w:spacing w:val="-10"/>
                <w:lang w:eastAsia="zh-CN"/>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沼气</w:t>
            </w:r>
            <w:r>
              <w:rPr>
                <w:rFonts w:hint="default" w:ascii="Times New Roman" w:hAnsi="Times New Roman" w:cs="Times New Roman" w:eastAsiaTheme="minorEastAsia"/>
                <w:color w:val="000000" w:themeColor="text1"/>
                <w:spacing w:val="-10"/>
                <w:lang w:eastAsia="zh-CN"/>
                <w14:textFill>
                  <w14:solidFill>
                    <w14:schemeClr w14:val="tx1"/>
                  </w14:solidFill>
                </w14:textFill>
              </w:rPr>
              <w:t>火炬</w:t>
            </w:r>
          </w:p>
        </w:tc>
        <w:tc>
          <w:tcPr>
            <w:tcW w:w="850" w:type="dxa"/>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风机</w:t>
            </w:r>
          </w:p>
        </w:tc>
        <w:tc>
          <w:tcPr>
            <w:tcW w:w="707" w:type="dxa"/>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频发</w:t>
            </w:r>
          </w:p>
        </w:tc>
        <w:tc>
          <w:tcPr>
            <w:tcW w:w="707" w:type="dxa"/>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类比法</w:t>
            </w:r>
          </w:p>
        </w:tc>
        <w:tc>
          <w:tcPr>
            <w:tcW w:w="994" w:type="dxa"/>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85</w:t>
            </w:r>
          </w:p>
        </w:tc>
        <w:tc>
          <w:tcPr>
            <w:tcW w:w="1492" w:type="dxa"/>
            <w:gridSpan w:val="2"/>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基础减振、隔声</w:t>
            </w:r>
          </w:p>
        </w:tc>
        <w:tc>
          <w:tcPr>
            <w:tcW w:w="935" w:type="dxa"/>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15</w:t>
            </w:r>
          </w:p>
        </w:tc>
        <w:tc>
          <w:tcPr>
            <w:tcW w:w="675" w:type="dxa"/>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类比法</w:t>
            </w:r>
          </w:p>
        </w:tc>
        <w:tc>
          <w:tcPr>
            <w:tcW w:w="935" w:type="dxa"/>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70</w:t>
            </w:r>
          </w:p>
        </w:tc>
        <w:tc>
          <w:tcPr>
            <w:tcW w:w="748" w:type="dxa"/>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4440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07" w:hRule="atLeast"/>
          <w:jc w:val="center"/>
        </w:trPr>
        <w:tc>
          <w:tcPr>
            <w:tcW w:w="909" w:type="dxa"/>
            <w:tcBorders>
              <w:top w:val="single" w:color="auto" w:sz="4" w:space="0"/>
              <w:bottom w:val="single" w:color="auto" w:sz="2" w:space="0"/>
            </w:tcBorders>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牛舍</w:t>
            </w:r>
          </w:p>
        </w:tc>
        <w:tc>
          <w:tcPr>
            <w:tcW w:w="850" w:type="dxa"/>
            <w:tcBorders>
              <w:top w:val="single" w:color="auto" w:sz="4" w:space="0"/>
              <w:bottom w:val="single" w:color="auto" w:sz="4" w:space="0"/>
            </w:tcBorders>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排气扇</w:t>
            </w:r>
          </w:p>
        </w:tc>
        <w:tc>
          <w:tcPr>
            <w:tcW w:w="707" w:type="dxa"/>
            <w:tcBorders>
              <w:top w:val="single" w:color="auto" w:sz="4" w:space="0"/>
              <w:bottom w:val="single" w:color="auto" w:sz="4" w:space="0"/>
            </w:tcBorders>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频发</w:t>
            </w:r>
          </w:p>
        </w:tc>
        <w:tc>
          <w:tcPr>
            <w:tcW w:w="707" w:type="dxa"/>
            <w:tcBorders>
              <w:top w:val="single" w:color="auto" w:sz="4" w:space="0"/>
              <w:bottom w:val="single" w:color="auto" w:sz="4" w:space="0"/>
            </w:tcBorders>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类比法</w:t>
            </w:r>
          </w:p>
        </w:tc>
        <w:tc>
          <w:tcPr>
            <w:tcW w:w="994" w:type="dxa"/>
            <w:tcBorders>
              <w:top w:val="single" w:color="auto" w:sz="4" w:space="0"/>
              <w:bottom w:val="single" w:color="auto" w:sz="4" w:space="0"/>
            </w:tcBorders>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85</w:t>
            </w:r>
          </w:p>
        </w:tc>
        <w:tc>
          <w:tcPr>
            <w:tcW w:w="1492" w:type="dxa"/>
            <w:gridSpan w:val="2"/>
            <w:tcBorders>
              <w:top w:val="single" w:color="auto" w:sz="4" w:space="0"/>
              <w:bottom w:val="single" w:color="auto" w:sz="4" w:space="0"/>
            </w:tcBorders>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基础减振、隔声</w:t>
            </w:r>
          </w:p>
        </w:tc>
        <w:tc>
          <w:tcPr>
            <w:tcW w:w="935" w:type="dxa"/>
            <w:tcBorders>
              <w:top w:val="single" w:color="auto" w:sz="4" w:space="0"/>
              <w:bottom w:val="single" w:color="auto" w:sz="4" w:space="0"/>
            </w:tcBorders>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15</w:t>
            </w:r>
          </w:p>
        </w:tc>
        <w:tc>
          <w:tcPr>
            <w:tcW w:w="675" w:type="dxa"/>
            <w:tcBorders>
              <w:top w:val="single" w:color="auto" w:sz="4" w:space="0"/>
              <w:bottom w:val="single" w:color="auto" w:sz="4" w:space="0"/>
            </w:tcBorders>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类比法</w:t>
            </w:r>
          </w:p>
        </w:tc>
        <w:tc>
          <w:tcPr>
            <w:tcW w:w="935" w:type="dxa"/>
            <w:tcBorders>
              <w:top w:val="single" w:color="auto" w:sz="4" w:space="0"/>
              <w:bottom w:val="single" w:color="auto" w:sz="4" w:space="0"/>
            </w:tcBorders>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70</w:t>
            </w:r>
          </w:p>
        </w:tc>
        <w:tc>
          <w:tcPr>
            <w:tcW w:w="748" w:type="dxa"/>
            <w:tcBorders>
              <w:bottom w:val="single" w:color="auto" w:sz="4" w:space="0"/>
            </w:tcBorders>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8760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615" w:hRule="atLeast"/>
          <w:jc w:val="center"/>
        </w:trPr>
        <w:tc>
          <w:tcPr>
            <w:tcW w:w="909" w:type="dxa"/>
            <w:tcBorders>
              <w:top w:val="single" w:color="auto" w:sz="2" w:space="0"/>
              <w:bottom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固液分离间</w:t>
            </w:r>
          </w:p>
        </w:tc>
        <w:tc>
          <w:tcPr>
            <w:tcW w:w="850" w:type="dxa"/>
            <w:tcBorders>
              <w:top w:val="single" w:color="auto" w:sz="4" w:space="0"/>
              <w:bottom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水泵</w:t>
            </w:r>
          </w:p>
        </w:tc>
        <w:tc>
          <w:tcPr>
            <w:tcW w:w="707" w:type="dxa"/>
            <w:tcBorders>
              <w:top w:val="single" w:color="auto" w:sz="4" w:space="0"/>
              <w:bottom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频发</w:t>
            </w:r>
          </w:p>
        </w:tc>
        <w:tc>
          <w:tcPr>
            <w:tcW w:w="707" w:type="dxa"/>
            <w:tcBorders>
              <w:top w:val="single" w:color="auto" w:sz="4" w:space="0"/>
              <w:bottom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类比法</w:t>
            </w:r>
          </w:p>
        </w:tc>
        <w:tc>
          <w:tcPr>
            <w:tcW w:w="994" w:type="dxa"/>
            <w:tcBorders>
              <w:top w:val="single" w:color="auto" w:sz="4" w:space="0"/>
              <w:bottom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92</w:t>
            </w:r>
          </w:p>
        </w:tc>
        <w:tc>
          <w:tcPr>
            <w:tcW w:w="1492" w:type="dxa"/>
            <w:gridSpan w:val="2"/>
            <w:tcBorders>
              <w:top w:val="single" w:color="auto" w:sz="4" w:space="0"/>
              <w:bottom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基础减振、软管连接</w:t>
            </w:r>
          </w:p>
        </w:tc>
        <w:tc>
          <w:tcPr>
            <w:tcW w:w="935" w:type="dxa"/>
            <w:tcBorders>
              <w:top w:val="single" w:color="auto" w:sz="4" w:space="0"/>
              <w:bottom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20</w:t>
            </w:r>
          </w:p>
        </w:tc>
        <w:tc>
          <w:tcPr>
            <w:tcW w:w="675" w:type="dxa"/>
            <w:tcBorders>
              <w:top w:val="single" w:color="auto" w:sz="4" w:space="0"/>
              <w:bottom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类比法</w:t>
            </w:r>
          </w:p>
        </w:tc>
        <w:tc>
          <w:tcPr>
            <w:tcW w:w="935" w:type="dxa"/>
            <w:tcBorders>
              <w:top w:val="single" w:color="auto" w:sz="4" w:space="0"/>
              <w:bottom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72</w:t>
            </w:r>
          </w:p>
        </w:tc>
        <w:tc>
          <w:tcPr>
            <w:tcW w:w="748" w:type="dxa"/>
            <w:tcBorders>
              <w:top w:val="single" w:color="auto" w:sz="4" w:space="0"/>
              <w:bottom w:val="single" w:color="auto" w:sz="12" w:space="0"/>
            </w:tcBorders>
            <w:vAlign w:val="center"/>
          </w:tcPr>
          <w:p>
            <w:pPr>
              <w:pStyle w:val="666"/>
              <w:spacing w:line="36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8760</w:t>
            </w:r>
          </w:p>
        </w:tc>
      </w:tr>
    </w:tbl>
    <w:p>
      <w:pPr>
        <w:autoSpaceDE w:val="0"/>
        <w:autoSpaceDN w:val="0"/>
        <w:spacing w:before="6" w:line="40" w:lineRule="exact"/>
        <w:ind w:firstLine="80"/>
        <w:jc w:val="left"/>
        <w:rPr>
          <w:rFonts w:hint="default" w:ascii="Times New Roman" w:hAnsi="Times New Roman" w:cs="Times New Roman" w:eastAsiaTheme="minorEastAsia"/>
          <w:color w:val="000000" w:themeColor="text1"/>
          <w:kern w:val="0"/>
          <w:sz w:val="4"/>
          <w:szCs w:val="4"/>
          <w14:textFill>
            <w14:solidFill>
              <w14:schemeClr w14:val="tx1"/>
            </w14:solidFill>
          </w14:textFill>
        </w:rPr>
      </w:pP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5.5.2 运行期噪声影响预测</w:t>
      </w:r>
      <w:bookmarkEnd w:id="196"/>
      <w:bookmarkEnd w:id="197"/>
      <w:bookmarkEnd w:id="198"/>
      <w:bookmarkEnd w:id="199"/>
      <w:bookmarkEnd w:id="200"/>
      <w:bookmarkEnd w:id="201"/>
      <w:bookmarkEnd w:id="202"/>
      <w:bookmarkEnd w:id="203"/>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（1）预测方法</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根据类比调查，确定其噪声源强，根据工程设备噪声源强分析及对其采取噪声控制措施，通过公式计算厂界噪声值。</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根据《环境影响评价技术导则 声环境》（HJ 2.4-2009）的技术要求，本次评价采取导则上推荐模式。</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（2）预测模式</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①声级计算</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建设项目声源在预测点产生的等效声级贡献值(Leq g)计算公式：</w:t>
      </w:r>
    </w:p>
    <w:p>
      <w:pPr>
        <w:spacing w:beforeLines="50" w:line="240" w:lineRule="auto"/>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object>
          <v:shape id="_x0000_i1027" o:spt="75" type="#_x0000_t75" style="height:32.25pt;width:129.75pt;" o:ole="t" filled="f" o:preferrelative="t" stroked="f" coordsize="21600,21600">
            <v:path/>
            <v:fill on="f" focussize="0,0"/>
            <v:stroke on="f" joinstyle="miter"/>
            <v:imagedata r:id="rId80" o:title=""/>
            <o:lock v:ext="edit" aspectratio="t"/>
            <w10:wrap type="none"/>
            <w10:anchorlock/>
          </v:shape>
          <o:OLEObject Type="Embed" ProgID="Equations" ShapeID="_x0000_i1027" DrawAspect="Content" ObjectID="_1468075727" r:id="rId79">
            <o:LockedField>false</o:LockedField>
          </o:OLEObject>
        </w:objec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式中：</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Leqg—建设项目声源在预测点的等效声级贡献值，dB(A)；</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LAi — i声源在预测点产生的A 声级，dB(A)；</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T   — 预测计算的时间段，s；</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ti   — i 声源在T 时段内的运行时间，s。</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②预测点的预测等效声级(L eq )计算公式</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object>
          <v:shape id="_x0000_i1028" o:spt="75" type="#_x0000_t75" style="height:21.75pt;width:141pt;" o:ole="t" filled="f" o:preferrelative="t" stroked="f" coordsize="21600,21600">
            <v:path/>
            <v:fill on="f" focussize="0,0"/>
            <v:stroke on="f" joinstyle="miter"/>
            <v:imagedata r:id="rId82" o:title=""/>
            <o:lock v:ext="edit" aspectratio="t"/>
            <w10:wrap type="none"/>
            <w10:anchorlock/>
          </v:shape>
          <o:OLEObject Type="Embed" ProgID="Equations" ShapeID="_x0000_i1028" DrawAspect="Content" ObjectID="_1468075728" r:id="rId81">
            <o:LockedField>false</o:LockedField>
          </o:OLEObject>
        </w:objec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式中：</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L</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eqg</w:t>
      </w:r>
      <w:r>
        <w:rPr>
          <w:rFonts w:hint="default" w:ascii="Times New Roman" w:hAnsi="Times New Roman" w:cs="Times New Roman" w:eastAsiaTheme="minorEastAsia"/>
          <w:color w:val="000000" w:themeColor="text1"/>
          <w:sz w:val="24"/>
          <w:szCs w:val="24"/>
          <w14:textFill>
            <w14:solidFill>
              <w14:schemeClr w14:val="tx1"/>
            </w14:solidFill>
          </w14:textFill>
        </w:rPr>
        <w:t>—建设项目声源在预测点的等效声级贡献值，dB(A)；</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L</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eqb</w:t>
      </w:r>
      <w:r>
        <w:rPr>
          <w:rFonts w:hint="default" w:ascii="Times New Roman" w:hAnsi="Times New Roman" w:cs="Times New Roman" w:eastAsiaTheme="minorEastAsia"/>
          <w:color w:val="000000" w:themeColor="text1"/>
          <w:sz w:val="24"/>
          <w:szCs w:val="24"/>
          <w14:textFill>
            <w14:solidFill>
              <w14:schemeClr w14:val="tx1"/>
            </w14:solidFill>
          </w14:textFill>
        </w:rPr>
        <w:t>— 预测点的背景值，dB(A)</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③户外声传播衰减计算</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户外声传播衰减包括几何发散（Adiv）、大气吸收（Aatm）、地面效应（Agr）、屏障屏蔽（Abar）、其他多方面效应（Amisc）引起的衰减。</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距声源点r处的A声级按下式计算：</w:t>
      </w:r>
    </w:p>
    <w:p>
      <w:pPr>
        <w:spacing w:line="240" w:lineRule="auto"/>
        <w:ind w:firstLine="0" w:firstLineChars="0"/>
        <w:jc w:val="center"/>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drawing>
          <wp:inline distT="0" distB="0" distL="0" distR="0">
            <wp:extent cx="3420745" cy="355600"/>
            <wp:effectExtent l="0" t="0" r="8255" b="6350"/>
            <wp:docPr id="3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3420745" cy="355600"/>
                    </a:xfrm>
                    <a:prstGeom prst="rect">
                      <a:avLst/>
                    </a:prstGeom>
                    <a:noFill/>
                    <a:ln>
                      <a:noFill/>
                    </a:ln>
                  </pic:spPr>
                </pic:pic>
              </a:graphicData>
            </a:graphic>
          </wp:inline>
        </w:drawing>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在预测中考虑反射引起的修正、屏障引起的衰减、双绕射、室内声源等效室外声源等影响和计算方法。</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（3）预测内容</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通过对本项目运行期噪声源源强进行影响预测，预测噪声源对厂界的影响程度。</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bookmarkStart w:id="204" w:name="_Toc245356784"/>
      <w:r>
        <w:rPr>
          <w:rFonts w:hint="default" w:ascii="Times New Roman" w:hAnsi="Times New Roman" w:cs="Times New Roman" w:eastAsiaTheme="minorEastAsia"/>
          <w:color w:val="000000" w:themeColor="text1"/>
          <w:sz w:val="24"/>
          <w:szCs w:val="24"/>
          <w14:textFill>
            <w14:solidFill>
              <w14:schemeClr w14:val="tx1"/>
            </w14:solidFill>
          </w14:textFill>
        </w:rPr>
        <w:t>（4）预测结果及分析</w:t>
      </w:r>
      <w:bookmarkEnd w:id="204"/>
    </w:p>
    <w:p>
      <w:pPr>
        <w:ind w:firstLine="560"/>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bookmarkStart w:id="205" w:name="_Toc407350121"/>
      <w:bookmarkStart w:id="206" w:name="_Toc245356785"/>
      <w:bookmarkStart w:id="207" w:name="_Toc376078377"/>
      <w:bookmarkStart w:id="208" w:name="_Toc314409070"/>
      <w:bookmarkStart w:id="209" w:name="_Toc338163119"/>
      <w:bookmarkStart w:id="210" w:name="_Toc382814395"/>
      <w:bookmarkStart w:id="211" w:name="_Toc379530078"/>
      <w:bookmarkStart w:id="212" w:name="_Toc406416120"/>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噪声预测采用网格布点法，以厂址中央为原点建立直角坐标系，以10×10m间距为步长。预测结果见表5-5-2。</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表5-5-2 厂界噪声级预测结果表(单位：Leq(dB))</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36"/>
        <w:gridCol w:w="2408"/>
        <w:gridCol w:w="2267"/>
        <w:gridCol w:w="18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5" w:hRule="atLeast"/>
        </w:trPr>
        <w:tc>
          <w:tcPr>
            <w:tcW w:w="2236"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项目</w:t>
            </w:r>
          </w:p>
        </w:tc>
        <w:tc>
          <w:tcPr>
            <w:tcW w:w="2408"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贡献值</w:t>
            </w:r>
          </w:p>
        </w:tc>
        <w:tc>
          <w:tcPr>
            <w:tcW w:w="2267"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执行标准</w:t>
            </w:r>
          </w:p>
        </w:tc>
        <w:tc>
          <w:tcPr>
            <w:tcW w:w="1809"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0" w:hRule="atLeast"/>
        </w:trPr>
        <w:tc>
          <w:tcPr>
            <w:tcW w:w="2236"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2408"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2267"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809"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2236" w:type="dxa"/>
            <w:vAlign w:val="center"/>
          </w:tcPr>
          <w:p>
            <w:pPr>
              <w:pStyle w:val="666"/>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▲1东厂界外1m</w:t>
            </w:r>
          </w:p>
        </w:tc>
        <w:tc>
          <w:tcPr>
            <w:tcW w:w="240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21.1</w:t>
            </w:r>
          </w:p>
        </w:tc>
        <w:tc>
          <w:tcPr>
            <w:tcW w:w="2267" w:type="dxa"/>
            <w:vAlign w:val="center"/>
          </w:tcPr>
          <w:p>
            <w:pPr>
              <w:pStyle w:val="666"/>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2类</w:t>
            </w:r>
          </w:p>
        </w:tc>
        <w:tc>
          <w:tcPr>
            <w:tcW w:w="1809" w:type="dxa"/>
            <w:vAlign w:val="center"/>
          </w:tcPr>
          <w:p>
            <w:pPr>
              <w:pStyle w:val="666"/>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2236" w:type="dxa"/>
            <w:vAlign w:val="center"/>
          </w:tcPr>
          <w:p>
            <w:pPr>
              <w:pStyle w:val="666"/>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▲2南厂界外1m</w:t>
            </w:r>
          </w:p>
        </w:tc>
        <w:tc>
          <w:tcPr>
            <w:tcW w:w="240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26.4</w:t>
            </w:r>
          </w:p>
        </w:tc>
        <w:tc>
          <w:tcPr>
            <w:tcW w:w="2267" w:type="dxa"/>
            <w:vAlign w:val="center"/>
          </w:tcPr>
          <w:p>
            <w:pPr>
              <w:pStyle w:val="666"/>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2类</w:t>
            </w:r>
          </w:p>
        </w:tc>
        <w:tc>
          <w:tcPr>
            <w:tcW w:w="1809" w:type="dxa"/>
            <w:vAlign w:val="center"/>
          </w:tcPr>
          <w:p>
            <w:pPr>
              <w:pStyle w:val="666"/>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2236" w:type="dxa"/>
            <w:vAlign w:val="center"/>
          </w:tcPr>
          <w:p>
            <w:pPr>
              <w:pStyle w:val="666"/>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▲3西厂界外1m</w:t>
            </w:r>
          </w:p>
        </w:tc>
        <w:tc>
          <w:tcPr>
            <w:tcW w:w="240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31.6</w:t>
            </w:r>
          </w:p>
        </w:tc>
        <w:tc>
          <w:tcPr>
            <w:tcW w:w="2267" w:type="dxa"/>
            <w:vAlign w:val="center"/>
          </w:tcPr>
          <w:p>
            <w:pPr>
              <w:pStyle w:val="666"/>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2类</w:t>
            </w:r>
          </w:p>
        </w:tc>
        <w:tc>
          <w:tcPr>
            <w:tcW w:w="1809" w:type="dxa"/>
            <w:vAlign w:val="center"/>
          </w:tcPr>
          <w:p>
            <w:pPr>
              <w:pStyle w:val="666"/>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2236" w:type="dxa"/>
            <w:vAlign w:val="center"/>
          </w:tcPr>
          <w:p>
            <w:pPr>
              <w:pStyle w:val="666"/>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▲4北厂界外1m</w:t>
            </w:r>
          </w:p>
        </w:tc>
        <w:tc>
          <w:tcPr>
            <w:tcW w:w="240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15.8</w:t>
            </w:r>
          </w:p>
        </w:tc>
        <w:tc>
          <w:tcPr>
            <w:tcW w:w="2267" w:type="dxa"/>
            <w:vAlign w:val="center"/>
          </w:tcPr>
          <w:p>
            <w:pPr>
              <w:pStyle w:val="666"/>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2类</w:t>
            </w:r>
          </w:p>
        </w:tc>
        <w:tc>
          <w:tcPr>
            <w:tcW w:w="1809" w:type="dxa"/>
            <w:vAlign w:val="center"/>
          </w:tcPr>
          <w:p>
            <w:pPr>
              <w:pStyle w:val="666"/>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达标</w:t>
            </w:r>
          </w:p>
        </w:tc>
      </w:tr>
    </w:tbl>
    <w:p>
      <w:pPr>
        <w:spacing w:line="240" w:lineRule="auto"/>
        <w:ind w:firstLine="0" w:firstLineChars="0"/>
        <w:jc w:val="center"/>
        <w:rPr>
          <w:rFonts w:hint="default" w:ascii="Times New Roman" w:hAnsi="Times New Roman" w:cs="Times New Roman" w:eastAsiaTheme="minorEastAsia"/>
          <w:color w:val="000000" w:themeColor="text1"/>
          <w14:textFill>
            <w14:solidFill>
              <w14:schemeClr w14:val="tx1"/>
            </w14:solidFill>
          </w14:textFill>
        </w:rPr>
      </w:pPr>
    </w:p>
    <w:p>
      <w:pPr>
        <w:spacing w:line="240" w:lineRule="auto"/>
        <w:ind w:firstLine="0" w:firstLineChars="0"/>
        <w:jc w:val="left"/>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 xml:space="preserve"> </w:t>
      </w:r>
    </w:p>
    <w:p>
      <w:pPr>
        <w:pStyle w:val="2"/>
        <w:rPr>
          <w:rFonts w:hint="default" w:ascii="Times New Roman" w:hAnsi="Times New Roman" w:cs="Times New Roman" w:eastAsiaTheme="minorEastAsia"/>
          <w:color w:val="000000" w:themeColor="text1"/>
          <w:sz w:val="24"/>
          <w14:textFill>
            <w14:solidFill>
              <w14:schemeClr w14:val="tx1"/>
            </w14:solidFill>
          </w14:textFill>
        </w:rPr>
      </w:pPr>
    </w:p>
    <w:p>
      <w:pPr>
        <w:rPr>
          <w:rFonts w:hint="default"/>
        </w:rPr>
      </w:pP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5.5.3 声环境影响评价结论</w:t>
      </w:r>
      <w:bookmarkEnd w:id="205"/>
      <w:bookmarkEnd w:id="206"/>
      <w:bookmarkEnd w:id="207"/>
      <w:bookmarkEnd w:id="208"/>
      <w:bookmarkEnd w:id="209"/>
      <w:bookmarkEnd w:id="210"/>
      <w:bookmarkEnd w:id="211"/>
      <w:bookmarkEnd w:id="212"/>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由5-5-2可知，厂界噪声贡献值在15.8~31.6dB(A)之间，噪声预测值均满足《声环境质量标准》(GB3096-2008)中的2类声环境功能区噪声限值。</w:t>
      </w:r>
    </w:p>
    <w:p>
      <w:pPr>
        <w:pStyle w:val="639"/>
        <w:rPr>
          <w:rFonts w:hint="default" w:ascii="Times New Roman" w:hAnsi="Times New Roman" w:cs="Times New Roman" w:eastAsiaTheme="minorEastAsia"/>
          <w:b/>
          <w:bCs w:val="0"/>
          <w:color w:val="000000" w:themeColor="text1"/>
          <w14:textFill>
            <w14:solidFill>
              <w14:schemeClr w14:val="tx1"/>
            </w14:solidFill>
          </w14:textFill>
        </w:rPr>
      </w:pPr>
      <w:bookmarkStart w:id="213" w:name="_Toc3688"/>
      <w:r>
        <w:rPr>
          <w:rFonts w:hint="default" w:ascii="Times New Roman" w:hAnsi="Times New Roman" w:cs="Times New Roman" w:eastAsiaTheme="minorEastAsia"/>
          <w:b/>
          <w:bCs w:val="0"/>
          <w:color w:val="000000" w:themeColor="text1"/>
          <w14:textFill>
            <w14:solidFill>
              <w14:schemeClr w14:val="tx1"/>
            </w14:solidFill>
          </w14:textFill>
        </w:rPr>
        <w:t>5.6 固体废物环境影响分析</w:t>
      </w:r>
      <w:bookmarkEnd w:id="188"/>
      <w:bookmarkEnd w:id="189"/>
      <w:bookmarkEnd w:id="213"/>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5.6.1 固废处置影响分析</w:t>
      </w:r>
    </w:p>
    <w:p>
      <w:pPr>
        <w:spacing w:line="500" w:lineRule="exact"/>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根据污染因素分析，本项目固废污染源包括：牛粪污、病死牛、胎盘、废沼气脱硫剂、沼渣、卧床垫料废物、生活垃圾、医疗废物，具体分析如下：</w:t>
      </w:r>
    </w:p>
    <w:p>
      <w:pPr>
        <w:spacing w:line="500" w:lineRule="exact"/>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（1）牛粪污</w:t>
      </w:r>
    </w:p>
    <w:p>
      <w:pPr>
        <w:spacing w:line="500" w:lineRule="exact"/>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根据《畜禽养殖业污染治理工程技术规范》（HJ497-2009）中表A.2不同畜禽粪污日排泄量，每头牛排粪量20kg/d，本项目年存栏1500头奶牛，其中泌乳牛1200头，后备牛300头，泌乳牛按排粪量20kg/d计，后备牛按排粪量10kg/d计，因此产生牛粪约27t/d，即9855t/a。牛粪及经固液分离后干物质外委安达市瑞合玉米种植专业合作社堆肥还田。</w:t>
      </w:r>
    </w:p>
    <w:p>
      <w:pPr>
        <w:spacing w:line="500" w:lineRule="exact"/>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（2）病死牛、胎盘</w:t>
      </w:r>
    </w:p>
    <w:p>
      <w:pPr>
        <w:spacing w:line="500" w:lineRule="exact"/>
        <w:ind w:firstLine="56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奶牛存栏量1500头，死亡率约为1%，病死牛约15头/a，奶牛平均体重约为320kg，则项目奶牛病死牛尸体产生总量约为4.8t/a。</w:t>
      </w:r>
    </w:p>
    <w:p>
      <w:pPr>
        <w:spacing w:line="500" w:lineRule="exact"/>
        <w:ind w:firstLine="56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奶牛养殖场病死牛多发生于犊牛，生产后的犊牛死亡率约为2%。本项目预计常年待孕奶牛存栏量为300头，受胎率为95%，则受胎后的犊牛约为285头，即项目每年约产生6个死亡胎盘。胎盘（死胎按照胎盘重量计）平均重量约为4.5kg，则项目胎盘产生总量约为27 kg /a。</w:t>
      </w:r>
    </w:p>
    <w:p>
      <w:pPr>
        <w:spacing w:line="500" w:lineRule="exact"/>
        <w:ind w:firstLine="56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本项目年病死牛尸体及胎盘产生总量为4.827t，外委安达市题桥环保科技有限公司安全处置。</w:t>
      </w:r>
    </w:p>
    <w:p>
      <w:pPr>
        <w:spacing w:line="500" w:lineRule="exact"/>
        <w:ind w:firstLine="56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（3）废沼气脱硫剂</w:t>
      </w:r>
    </w:p>
    <w:p>
      <w:pPr>
        <w:spacing w:line="500" w:lineRule="exact"/>
        <w:ind w:firstLine="56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项目沼气脱硫采用干式脱硫，脱硫剂的主要成分为氧化铁，脱硫效率为95%，废沼气脱硫剂未纳入《国家危险废物名录（2021年版）》，主要成分为氧化铁，不属于危险废物，沼气脱硫装置中失去活性的废脱硫剂由生产厂家更换时回收处置，项目废脱硫剂产生量约为0.5t/a。</w:t>
      </w:r>
    </w:p>
    <w:p>
      <w:pPr>
        <w:spacing w:line="500" w:lineRule="exact"/>
        <w:ind w:firstLine="56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（4）沼渣</w:t>
      </w:r>
    </w:p>
    <w:p>
      <w:pPr>
        <w:spacing w:line="500" w:lineRule="exact"/>
        <w:ind w:firstLine="56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项目进入沼气池的含少量固体的液体部分为7936.1t/a，厌氧反应处理后的沼渣约占5%，产生量为396.805t/a。沼渣和牛粪、固液分离后干物质一起外运安达市瑞合玉米种植专业合作社堆肥处置。</w:t>
      </w:r>
    </w:p>
    <w:p>
      <w:pPr>
        <w:spacing w:line="500" w:lineRule="exact"/>
        <w:ind w:firstLine="56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（5）卧床垫料废物</w:t>
      </w:r>
    </w:p>
    <w:p>
      <w:pPr>
        <w:spacing w:line="500" w:lineRule="exact"/>
        <w:ind w:firstLine="56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牛舍卧床垫料，需要定期更换、补充，产生卧床垫料废物，卧床垫料废物产生量为10000t/a，定期还田。</w:t>
      </w:r>
    </w:p>
    <w:p>
      <w:pPr>
        <w:spacing w:line="500" w:lineRule="exact"/>
        <w:ind w:firstLine="56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（6）生活垃圾</w:t>
      </w:r>
    </w:p>
    <w:p>
      <w:pPr>
        <w:keepNext w:val="0"/>
        <w:keepLines w:val="0"/>
        <w:pageBreakBefore w:val="0"/>
        <w:kinsoku/>
        <w:wordWrap/>
        <w:overflowPunct/>
        <w:topLinePunct w:val="0"/>
        <w:bidi w:val="0"/>
        <w:adjustRightInd w:val="0"/>
        <w:snapToGrid w:val="0"/>
        <w:spacing w:line="500" w:lineRule="exact"/>
        <w:ind w:firstLine="56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生活垃圾产生量为0.5kg/d·人，本项目定员20人，产生总量为3.65t/a，属于一般固体废物，由建设单位负责拉运至先源乡垃圾收集点。</w:t>
      </w:r>
    </w:p>
    <w:p>
      <w:pPr>
        <w:keepNext w:val="0"/>
        <w:keepLines w:val="0"/>
        <w:pageBreakBefore w:val="0"/>
        <w:numPr>
          <w:ilvl w:val="0"/>
          <w:numId w:val="0"/>
        </w:numPr>
        <w:kinsoku/>
        <w:wordWrap/>
        <w:overflowPunct/>
        <w:topLinePunct w:val="0"/>
        <w:bidi w:val="0"/>
        <w:adjustRightInd w:val="0"/>
        <w:snapToGrid w:val="0"/>
        <w:spacing w:line="500" w:lineRule="exact"/>
        <w:ind w:leftChars="200"/>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lang w:val="en-US" w:eastAsia="zh-CN"/>
        </w:rPr>
        <w:t>7</w:t>
      </w:r>
      <w:r>
        <w:rPr>
          <w:rFonts w:hint="default" w:ascii="Times New Roman" w:hAnsi="Times New Roman" w:cs="Times New Roman" w:eastAsiaTheme="minorEastAsia"/>
          <w:color w:val="auto"/>
          <w:sz w:val="24"/>
          <w:szCs w:val="24"/>
          <w:highlight w:val="none"/>
          <w:lang w:eastAsia="zh-CN"/>
        </w:rPr>
        <w:t>）废活性炭</w:t>
      </w:r>
    </w:p>
    <w:p>
      <w:pPr>
        <w:pStyle w:val="2"/>
        <w:keepNext w:val="0"/>
        <w:keepLines w:val="0"/>
        <w:pageBreakBefore w:val="0"/>
        <w:numPr>
          <w:ilvl w:val="0"/>
          <w:numId w:val="0"/>
        </w:numPr>
        <w:kinsoku/>
        <w:wordWrap/>
        <w:overflowPunct/>
        <w:topLinePunct w:val="0"/>
        <w:bidi w:val="0"/>
        <w:adjustRightInd w:val="0"/>
        <w:snapToGrid w:val="0"/>
        <w:spacing w:line="500" w:lineRule="exact"/>
        <w:jc w:val="both"/>
        <w:rPr>
          <w:rFonts w:hint="default" w:ascii="Times New Roman" w:hAnsi="Times New Roman" w:cs="Times New Roman" w:eastAsiaTheme="minorEastAsia"/>
          <w:b w:val="0"/>
          <w:bCs/>
          <w:sz w:val="24"/>
          <w:szCs w:val="24"/>
          <w:lang w:val="en-US" w:eastAsia="zh-CN"/>
        </w:rPr>
      </w:pPr>
      <w:r>
        <w:rPr>
          <w:rFonts w:hint="default" w:ascii="Times New Roman" w:hAnsi="Times New Roman" w:cs="Times New Roman" w:eastAsiaTheme="minorEastAsia"/>
          <w:sz w:val="24"/>
          <w:szCs w:val="24"/>
          <w:lang w:val="en-US" w:eastAsia="zh-CN"/>
        </w:rPr>
        <w:t xml:space="preserve">   </w:t>
      </w:r>
      <w:r>
        <w:rPr>
          <w:rFonts w:hint="default" w:ascii="Times New Roman" w:hAnsi="Times New Roman" w:cs="Times New Roman" w:eastAsiaTheme="minorEastAsia"/>
          <w:b w:val="0"/>
          <w:bCs/>
          <w:sz w:val="24"/>
          <w:szCs w:val="24"/>
          <w:lang w:val="en-US" w:eastAsia="zh-CN"/>
        </w:rPr>
        <w:t xml:space="preserve"> 废活性炭产生量</w:t>
      </w:r>
      <w:r>
        <w:rPr>
          <w:rFonts w:hint="default" w:ascii="Times New Roman" w:hAnsi="Times New Roman" w:cs="Times New Roman" w:eastAsiaTheme="minorEastAsia"/>
          <w:b w:val="0"/>
          <w:bCs/>
          <w:color w:val="auto"/>
          <w:sz w:val="24"/>
          <w:szCs w:val="24"/>
          <w:highlight w:val="none"/>
        </w:rPr>
        <w:t>0.5t/a</w:t>
      </w:r>
      <w:r>
        <w:rPr>
          <w:rFonts w:hint="default" w:ascii="Times New Roman" w:hAnsi="Times New Roman" w:cs="Times New Roman" w:eastAsiaTheme="minorEastAsia"/>
          <w:b w:val="0"/>
          <w:bCs/>
          <w:color w:val="auto"/>
          <w:sz w:val="24"/>
          <w:szCs w:val="24"/>
          <w:highlight w:val="none"/>
          <w:lang w:eastAsia="zh-CN"/>
        </w:rPr>
        <w:t>，</w:t>
      </w:r>
      <w:r>
        <w:rPr>
          <w:rFonts w:hint="default" w:ascii="Times New Roman" w:hAnsi="Times New Roman" w:cs="Times New Roman" w:eastAsiaTheme="minorEastAsia"/>
          <w:b w:val="0"/>
          <w:bCs/>
          <w:color w:val="auto"/>
          <w:sz w:val="24"/>
          <w:szCs w:val="24"/>
          <w:highlight w:val="none"/>
        </w:rPr>
        <w:t>由生产厂家更换时回收处置</w:t>
      </w:r>
      <w:r>
        <w:rPr>
          <w:rFonts w:hint="default" w:ascii="Times New Roman" w:hAnsi="Times New Roman" w:cs="Times New Roman" w:eastAsiaTheme="minorEastAsia"/>
          <w:b w:val="0"/>
          <w:bCs/>
          <w:color w:val="auto"/>
          <w:sz w:val="24"/>
          <w:szCs w:val="24"/>
          <w:highlight w:val="none"/>
          <w:lang w:eastAsia="zh-CN"/>
        </w:rPr>
        <w:t>。</w:t>
      </w:r>
    </w:p>
    <w:p>
      <w:pPr>
        <w:keepNext w:val="0"/>
        <w:keepLines w:val="0"/>
        <w:pageBreakBefore w:val="0"/>
        <w:kinsoku/>
        <w:wordWrap/>
        <w:overflowPunct/>
        <w:topLinePunct w:val="0"/>
        <w:bidi w:val="0"/>
        <w:adjustRightInd w:val="0"/>
        <w:snapToGrid w:val="0"/>
        <w:spacing w:line="500" w:lineRule="exact"/>
        <w:ind w:firstLine="56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lang w:val="en-US" w:eastAsia="zh-CN"/>
        </w:rPr>
        <w:t>8</w:t>
      </w: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rPr>
        <w:t>医疗废物</w:t>
      </w:r>
    </w:p>
    <w:p>
      <w:pPr>
        <w:spacing w:line="500" w:lineRule="exact"/>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需要使用预防疾病用药，每年约使用药1000瓶、300袋，药瓶重量约为0.02kg/个，用药包装袋重量约为0.01kg/个，经计算，医疗废物废物总产生量约为0.023t/a。根据《国家危险废物名录（2021年版）》，属于HW01类危险废物，废物代码为841-001-01。医疗废物在危废暂存间存放，定期委托有资质的单位安全处置。</w:t>
      </w: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5.6.2 危废储存、运输影响分析</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（1）危废储存</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本项目危废暂存间位于厂区内西侧，远离生活区，便于危险废物的运输，设置警示标志。由于本项目危废主要为形态为固态，且桶装密闭贮存，因为对周边大气环境影响甚微。</w:t>
      </w:r>
      <w:r>
        <w:rPr>
          <w:rFonts w:hint="default" w:ascii="Times New Roman" w:hAnsi="Times New Roman" w:cs="Times New Roman" w:eastAsiaTheme="minorEastAsia"/>
          <w:color w:val="auto"/>
          <w:sz w:val="24"/>
          <w:szCs w:val="22"/>
          <w:highlight w:val="none"/>
        </w:rPr>
        <w:t>危废暂存间距离最近的环境敏感目标为</w:t>
      </w:r>
      <w:r>
        <w:rPr>
          <w:rFonts w:hint="default" w:ascii="Times New Roman" w:hAnsi="Times New Roman" w:cs="Times New Roman" w:eastAsiaTheme="minorEastAsia"/>
          <w:color w:val="auto"/>
          <w:sz w:val="24"/>
          <w:szCs w:val="22"/>
          <w:highlight w:val="none"/>
          <w:lang w:eastAsia="zh-CN"/>
        </w:rPr>
        <w:t>北</w:t>
      </w:r>
      <w:r>
        <w:rPr>
          <w:rFonts w:hint="default" w:ascii="Times New Roman" w:hAnsi="Times New Roman" w:cs="Times New Roman" w:eastAsiaTheme="minorEastAsia"/>
          <w:color w:val="auto"/>
          <w:sz w:val="24"/>
          <w:szCs w:val="22"/>
          <w:highlight w:val="none"/>
        </w:rPr>
        <w:t>侧</w:t>
      </w:r>
      <w:r>
        <w:rPr>
          <w:rFonts w:hint="default" w:ascii="Times New Roman" w:hAnsi="Times New Roman" w:cs="Times New Roman" w:eastAsiaTheme="minorEastAsia"/>
          <w:color w:val="auto"/>
          <w:sz w:val="24"/>
          <w:szCs w:val="22"/>
          <w:highlight w:val="none"/>
          <w:lang w:val="en-US" w:eastAsia="zh-CN"/>
        </w:rPr>
        <w:t>863</w:t>
      </w:r>
      <w:r>
        <w:rPr>
          <w:rFonts w:hint="default" w:ascii="Times New Roman" w:hAnsi="Times New Roman" w:cs="Times New Roman" w:eastAsiaTheme="minorEastAsia"/>
          <w:color w:val="auto"/>
          <w:sz w:val="24"/>
          <w:szCs w:val="22"/>
          <w:highlight w:val="none"/>
        </w:rPr>
        <w:t>m的</w:t>
      </w:r>
      <w:r>
        <w:rPr>
          <w:rFonts w:hint="default" w:ascii="Times New Roman" w:hAnsi="Times New Roman" w:cs="Times New Roman" w:eastAsiaTheme="minorEastAsia"/>
          <w:color w:val="auto"/>
          <w:sz w:val="24"/>
          <w:szCs w:val="22"/>
          <w:highlight w:val="none"/>
          <w:lang w:eastAsia="zh-CN"/>
        </w:rPr>
        <w:t>鞠家窑屯</w:t>
      </w:r>
      <w:r>
        <w:rPr>
          <w:rFonts w:hint="default" w:ascii="Times New Roman" w:hAnsi="Times New Roman" w:cs="Times New Roman" w:eastAsiaTheme="minorEastAsia"/>
          <w:color w:val="auto"/>
          <w:sz w:val="24"/>
          <w:szCs w:val="22"/>
          <w:highlight w:val="none"/>
        </w:rPr>
        <w:t>，对敏感目标</w:t>
      </w:r>
      <w:r>
        <w:rPr>
          <w:rFonts w:hint="default" w:ascii="Times New Roman" w:hAnsi="Times New Roman" w:cs="Times New Roman" w:eastAsiaTheme="minorEastAsia"/>
          <w:color w:val="000000" w:themeColor="text1"/>
          <w:sz w:val="24"/>
          <w:szCs w:val="22"/>
          <w14:textFill>
            <w14:solidFill>
              <w14:schemeClr w14:val="tx1"/>
            </w14:solidFill>
          </w14:textFill>
        </w:rPr>
        <w:t>无影响。</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本项目危废暂存间建筑面积为20m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szCs w:val="22"/>
          <w14:textFill>
            <w14:solidFill>
              <w14:schemeClr w14:val="tx1"/>
            </w14:solidFill>
          </w14:textFill>
        </w:rPr>
        <w:t>，主要采取桶装的贮存方式，临时贮存能力为6t，每年转运一次，产生量0.023t/a，满足临时贮存要求。</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在严格按照危险废物贮存场所（设施）进行建设的情况下，运营期加强管理，可大大减少危废暂存对周边环境的不利影响。因此，本项目危废暂存间选址合理。</w:t>
      </w:r>
    </w:p>
    <w:p>
      <w:pPr>
        <w:spacing w:line="500" w:lineRule="exact"/>
        <w:ind w:firstLine="352" w:firstLineChars="147"/>
        <w:rPr>
          <w:rFonts w:hint="default" w:ascii="Times New Roman" w:hAnsi="Times New Roman" w:cs="Times New Roman" w:eastAsiaTheme="minorEastAsia"/>
          <w:bCs/>
          <w:color w:val="000000" w:themeColor="text1"/>
          <w:sz w:val="24"/>
          <w:szCs w:val="22"/>
          <w14:textFill>
            <w14:solidFill>
              <w14:schemeClr w14:val="tx1"/>
            </w14:solidFill>
          </w14:textFill>
        </w:rPr>
      </w:pPr>
      <w:r>
        <w:rPr>
          <w:rFonts w:hint="default" w:ascii="Times New Roman" w:hAnsi="Times New Roman" w:cs="Times New Roman" w:eastAsiaTheme="minorEastAsia"/>
          <w:bCs/>
          <w:color w:val="000000" w:themeColor="text1"/>
          <w:sz w:val="24"/>
          <w:szCs w:val="22"/>
          <w14:textFill>
            <w14:solidFill>
              <w14:schemeClr w14:val="tx1"/>
            </w14:solidFill>
          </w14:textFill>
        </w:rPr>
        <w:t>（2）危险运输</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危险废物内部转运应参照《危险废物收集、贮存、运输技术规范》（HJ2025-2012）附录B填写《危险废物厂内转运记录表》，危险废物场外运输采用转移联单制度，委托有资质单位进行运输。</w:t>
      </w:r>
    </w:p>
    <w:p>
      <w:pPr>
        <w:pStyle w:val="639"/>
        <w:rPr>
          <w:rFonts w:hint="default" w:ascii="Times New Roman" w:hAnsi="Times New Roman" w:cs="Times New Roman" w:eastAsiaTheme="minorEastAsia"/>
          <w:b/>
          <w:bCs w:val="0"/>
          <w:color w:val="000000" w:themeColor="text1"/>
          <w14:textFill>
            <w14:solidFill>
              <w14:schemeClr w14:val="tx1"/>
            </w14:solidFill>
          </w14:textFill>
        </w:rPr>
      </w:pPr>
      <w:bookmarkStart w:id="214" w:name="_Toc21247"/>
      <w:r>
        <w:rPr>
          <w:rFonts w:hint="default" w:ascii="Times New Roman" w:hAnsi="Times New Roman" w:cs="Times New Roman" w:eastAsiaTheme="minorEastAsia"/>
          <w:b/>
          <w:bCs w:val="0"/>
          <w:color w:val="000000" w:themeColor="text1"/>
          <w14:textFill>
            <w14:solidFill>
              <w14:schemeClr w14:val="tx1"/>
            </w14:solidFill>
          </w14:textFill>
        </w:rPr>
        <w:t>5.7 土壤环境影响分析</w:t>
      </w:r>
      <w:bookmarkEnd w:id="214"/>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产生的污染物主要通过垂直入渗进入土壤，本项目废水主要涉及COD、氨氮等污染因子，废水以有机污染物为主，通过严格落实地下水分区防渗措施，可有效阻隔污染物随废水下渗进入土壤，项目对土壤影响很小。</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企业暂存的固废、危废等在运输、贮存或堆放过程中通过扩散、降水淋洗等直接或间接地影响土壤，通过落实土壤和地下水的污染防治措施，加强环境管理，固体废物不会改变厂区现有的土壤环境。</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本项目沼液还田可能会造成土壤中营养元素相对过剩，使耕层土壤富营养化，发生盐化。针对土壤环境产生的影响，采取改良耕作、间种套种等改良措施，减少对还田土壤环境影响。</w:t>
      </w:r>
    </w:p>
    <w:p>
      <w:pPr>
        <w:pStyle w:val="639"/>
        <w:rPr>
          <w:rFonts w:hint="default" w:ascii="Times New Roman" w:hAnsi="Times New Roman" w:cs="Times New Roman" w:eastAsiaTheme="minorEastAsia"/>
          <w:b/>
          <w:bCs w:val="0"/>
          <w:color w:val="000000" w:themeColor="text1"/>
          <w14:textFill>
            <w14:solidFill>
              <w14:schemeClr w14:val="tx1"/>
            </w14:solidFill>
          </w14:textFill>
        </w:rPr>
      </w:pPr>
      <w:bookmarkStart w:id="215" w:name="_Toc15508"/>
      <w:r>
        <w:rPr>
          <w:rFonts w:hint="default" w:ascii="Times New Roman" w:hAnsi="Times New Roman" w:cs="Times New Roman" w:eastAsiaTheme="minorEastAsia"/>
          <w:b/>
          <w:bCs w:val="0"/>
          <w:color w:val="000000" w:themeColor="text1"/>
          <w14:textFill>
            <w14:solidFill>
              <w14:schemeClr w14:val="tx1"/>
            </w14:solidFill>
          </w14:textFill>
        </w:rPr>
        <w:t>5.8 生态影响分析</w:t>
      </w:r>
      <w:bookmarkEnd w:id="215"/>
    </w:p>
    <w:p>
      <w:pPr>
        <w:spacing w:line="500" w:lineRule="exact"/>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w:t>
      </w:r>
      <w:r>
        <w:rPr>
          <w:rFonts w:hint="default" w:ascii="Times New Roman" w:hAnsi="Times New Roman" w:cs="Times New Roman" w:eastAsiaTheme="minorEastAsia"/>
          <w:color w:val="000000" w:themeColor="text1"/>
          <w:sz w:val="24"/>
          <w:szCs w:val="24"/>
          <w14:textFill>
            <w14:solidFill>
              <w14:schemeClr w14:val="tx1"/>
            </w14:solidFill>
          </w14:textFill>
        </w:rPr>
        <w:t>属于传统农业畜禽养殖，在农业生态系统中对农业资源的有效利用、农业生产持续发展、延长循环经济产业链、维护良好的人类生存环境等方面将起到积极促进作用，是农业生态系统中物质、能量流的重要组成部分，项目周围无受保护野生动物分布，生态系统相对简单，所以项目建设对所在区域生物物种的分布以及野生动物的迁移、栖息活动不会产生影响，对区域内生态影响很小。</w:t>
      </w:r>
    </w:p>
    <w:p>
      <w:pPr>
        <w:spacing w:line="500" w:lineRule="exact"/>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项目沼液用于周围农田施肥。沼液在保持和提高土壤肥力的效果上远远超过化肥。其中的磷属有机磷，肥效优于磷酸钙，不易被固定，相对提高了磷肥肥效，其中含有大量腐殖质，可改良土壤并提高产量，能提高土壤水分、温度、空气和肥效，适时满足作物生长发育的需要。由此可见，本工程沼液的有效利用可使周围农作物增产，对其产生有利的影响。</w:t>
      </w:r>
    </w:p>
    <w:p>
      <w:pPr>
        <w:pStyle w:val="7"/>
        <w:keepNext/>
        <w:keepLines/>
        <w:pageBreakBefore w:val="0"/>
        <w:widowControl/>
        <w:kinsoku/>
        <w:wordWrap/>
        <w:overflowPunct/>
        <w:topLinePunct w:val="0"/>
        <w:autoSpaceDE/>
        <w:autoSpaceDN/>
        <w:bidi w:val="0"/>
        <w:adjustRightInd w:val="0"/>
        <w:snapToGrid w:val="0"/>
        <w:spacing w:before="0" w:after="0" w:line="500" w:lineRule="exact"/>
        <w:ind w:left="0" w:leftChars="0" w:firstLine="0" w:firstLineChars="0"/>
        <w:textAlignment w:val="auto"/>
        <w:rPr>
          <w:rFonts w:hint="default" w:ascii="Times New Roman" w:hAnsi="Times New Roman" w:cs="Times New Roman" w:eastAsiaTheme="minorEastAsia"/>
          <w:b/>
          <w:bCs w:val="0"/>
          <w:sz w:val="30"/>
          <w:szCs w:val="30"/>
        </w:rPr>
      </w:pPr>
      <w:r>
        <w:rPr>
          <w:rFonts w:hint="default" w:ascii="Times New Roman" w:hAnsi="Times New Roman" w:cs="Times New Roman" w:eastAsiaTheme="minorEastAsia"/>
          <w:b/>
          <w:bCs w:val="0"/>
          <w:color w:val="000000" w:themeColor="text1"/>
          <w:sz w:val="30"/>
          <w:szCs w:val="30"/>
          <w14:textFill>
            <w14:solidFill>
              <w14:schemeClr w14:val="tx1"/>
            </w14:solidFill>
          </w14:textFill>
        </w:rPr>
        <w:t xml:space="preserve">5.9 </w:t>
      </w:r>
      <w:r>
        <w:rPr>
          <w:rFonts w:hint="default" w:ascii="Times New Roman" w:hAnsi="Times New Roman" w:cs="Times New Roman" w:eastAsiaTheme="minorEastAsia"/>
          <w:b/>
          <w:bCs w:val="0"/>
          <w:sz w:val="30"/>
          <w:szCs w:val="30"/>
        </w:rPr>
        <w:t>水土流失的影响分析</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水土流失主要指地表组成物质受流水、重力或人为作用造成的水和土的流失过程，它主要包括水的损失和土（土壤，母质，风化物，基岩）的流失两部分。此外，由于径流和土壤侵蚀中携带着大量的养分流失，所以水土流失过程也必然伴随着养分流失过程。水土流失造成的危害主要有破坏土地完整性、土壤肥力衰退，影响农业生产、影响水资源开发利用、加剧洪涝灾害等。为了避免本项目在施工及运营过程中造成区域水土流失，破坏当地生态环境，提出建议如下：</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①项目施工过程中利用拦挡物将施工过程中产生的废渣、弃土、弃石等几种围挡，避免在暴雨中被冲刷流失。</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②针对施工过程中产生的深坑、浅凹等陷区，及时用机械或人工进行平整，根据不同情况可改造成农、林、牧用地。</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③建议项目方在项目建成后，及时对周边裸露的地表进行绿化，减少土地裸露面积。</w:t>
      </w:r>
    </w:p>
    <w:p>
      <w:pPr>
        <w:pStyle w:val="639"/>
        <w:rPr>
          <w:rFonts w:hint="default" w:ascii="Times New Roman" w:hAnsi="Times New Roman" w:cs="Times New Roman" w:eastAsiaTheme="minorEastAsia"/>
          <w:b/>
          <w:bCs w:val="0"/>
          <w:color w:val="000000" w:themeColor="text1"/>
          <w14:textFill>
            <w14:solidFill>
              <w14:schemeClr w14:val="tx1"/>
            </w14:solidFill>
          </w14:textFill>
        </w:rPr>
      </w:pPr>
      <w:bookmarkStart w:id="216" w:name="_Toc16183"/>
      <w:r>
        <w:rPr>
          <w:rFonts w:hint="default" w:ascii="Times New Roman" w:hAnsi="Times New Roman" w:cs="Times New Roman" w:eastAsiaTheme="minorEastAsia"/>
          <w:b/>
          <w:bCs w:val="0"/>
          <w:color w:val="000000" w:themeColor="text1"/>
          <w:lang w:val="en-US" w:eastAsia="zh-CN"/>
          <w14:textFill>
            <w14:solidFill>
              <w14:schemeClr w14:val="tx1"/>
            </w14:solidFill>
          </w14:textFill>
        </w:rPr>
        <w:t>5.10</w:t>
      </w:r>
      <w:r>
        <w:rPr>
          <w:rFonts w:hint="default" w:ascii="Times New Roman" w:hAnsi="Times New Roman" w:cs="Times New Roman" w:eastAsiaTheme="minorEastAsia"/>
          <w:b/>
          <w:bCs w:val="0"/>
          <w:color w:val="000000" w:themeColor="text1"/>
          <w14:textFill>
            <w14:solidFill>
              <w14:schemeClr w14:val="tx1"/>
            </w14:solidFill>
          </w14:textFill>
        </w:rPr>
        <w:t>环境风险影响分析</w:t>
      </w:r>
      <w:bookmarkEnd w:id="216"/>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w:t>
      </w:r>
      <w:r>
        <w:rPr>
          <w:rFonts w:hint="default" w:ascii="Times New Roman" w:hAnsi="Times New Roman" w:cs="Times New Roman" w:eastAsiaTheme="minorEastAsia"/>
          <w:color w:val="000000" w:themeColor="text1"/>
          <w:lang w:val="en-US" w:eastAsia="zh-CN"/>
          <w14:textFill>
            <w14:solidFill>
              <w14:schemeClr w14:val="tx1"/>
            </w14:solidFill>
          </w14:textFill>
        </w:rPr>
        <w:t>10</w:t>
      </w:r>
      <w:r>
        <w:rPr>
          <w:rFonts w:hint="default" w:ascii="Times New Roman" w:hAnsi="Times New Roman" w:cs="Times New Roman" w:eastAsiaTheme="minorEastAsia"/>
          <w:color w:val="000000" w:themeColor="text1"/>
          <w14:textFill>
            <w14:solidFill>
              <w14:schemeClr w14:val="tx1"/>
            </w14:solidFill>
          </w14:textFill>
        </w:rPr>
        <w:t>.1 风险调查</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本项目危险物质主要为甲烷，风险源主要包括黑膜沼气池。黑膜沼气池中沼气量按照液面距离池顶高度0.5m的区域的容积计算，容积为1050m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，沼气中甲烷含量约为60%，甲烷密度为0.72kg/m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，因此黑膜沼气池中甲烷存在总量为0.39t。</w:t>
      </w: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w:t>
      </w:r>
      <w:r>
        <w:rPr>
          <w:rFonts w:hint="default" w:ascii="Times New Roman" w:hAnsi="Times New Roman" w:cs="Times New Roman" w:eastAsiaTheme="minorEastAsia"/>
          <w:color w:val="000000" w:themeColor="text1"/>
          <w:lang w:val="en-US" w:eastAsia="zh-CN"/>
          <w14:textFill>
            <w14:solidFill>
              <w14:schemeClr w14:val="tx1"/>
            </w14:solidFill>
          </w14:textFill>
        </w:rPr>
        <w:t>10</w:t>
      </w:r>
      <w:r>
        <w:rPr>
          <w:rFonts w:hint="default" w:ascii="Times New Roman" w:hAnsi="Times New Roman" w:cs="Times New Roman" w:eastAsiaTheme="minorEastAsia"/>
          <w:color w:val="000000" w:themeColor="text1"/>
          <w14:textFill>
            <w14:solidFill>
              <w14:schemeClr w14:val="tx1"/>
            </w14:solidFill>
          </w14:textFill>
        </w:rPr>
        <w:t>.2 环境风险潜势初判</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根据HJ169-2018中附录C，当Q&lt;1时，该项目环境风险潜势为Ⅰ，本项目Q值为0.039，因此本项目环境风险潜势为Ⅰ，展开简单分析。</w:t>
      </w: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w:t>
      </w:r>
      <w:r>
        <w:rPr>
          <w:rFonts w:hint="default" w:ascii="Times New Roman" w:hAnsi="Times New Roman" w:cs="Times New Roman" w:eastAsiaTheme="minorEastAsia"/>
          <w:color w:val="000000" w:themeColor="text1"/>
          <w:lang w:val="en-US" w:eastAsia="zh-CN"/>
          <w14:textFill>
            <w14:solidFill>
              <w14:schemeClr w14:val="tx1"/>
            </w14:solidFill>
          </w14:textFill>
        </w:rPr>
        <w:t>10</w:t>
      </w:r>
      <w:r>
        <w:rPr>
          <w:rFonts w:hint="default" w:ascii="Times New Roman" w:hAnsi="Times New Roman" w:cs="Times New Roman" w:eastAsiaTheme="minorEastAsia"/>
          <w:color w:val="000000" w:themeColor="text1"/>
          <w14:textFill>
            <w14:solidFill>
              <w14:schemeClr w14:val="tx1"/>
            </w14:solidFill>
          </w14:textFill>
        </w:rPr>
        <w:t>.3 风险识别</w:t>
      </w:r>
    </w:p>
    <w:p>
      <w:pPr>
        <w:pStyle w:val="129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w:t>
      </w:r>
      <w:r>
        <w:rPr>
          <w:rFonts w:hint="default" w:ascii="Times New Roman" w:hAnsi="Times New Roman" w:cs="Times New Roman" w:eastAsiaTheme="minorEastAsia"/>
          <w:color w:val="000000" w:themeColor="text1"/>
          <w:lang w:val="en-US" w:eastAsia="zh-CN"/>
          <w14:textFill>
            <w14:solidFill>
              <w14:schemeClr w14:val="tx1"/>
            </w14:solidFill>
          </w14:textFill>
        </w:rPr>
        <w:t>10</w:t>
      </w:r>
      <w:r>
        <w:rPr>
          <w:rFonts w:hint="default" w:ascii="Times New Roman" w:hAnsi="Times New Roman" w:cs="Times New Roman" w:eastAsiaTheme="minorEastAsia"/>
          <w:color w:val="000000" w:themeColor="text1"/>
          <w14:textFill>
            <w14:solidFill>
              <w14:schemeClr w14:val="tx1"/>
            </w14:solidFill>
          </w14:textFill>
        </w:rPr>
        <w:t>.3.1 风险源项</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（1）物质危险性识别</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kern w:val="24"/>
          <w:sz w:val="24"/>
          <w:szCs w:val="24"/>
          <w14:textFill>
            <w14:solidFill>
              <w14:schemeClr w14:val="tx1"/>
            </w14:solidFill>
          </w14:textFill>
        </w:rPr>
        <w:t>根据《建设项目环境风险评价技术导则》（HJ169-2018）附录B进行</w:t>
      </w:r>
      <w:r>
        <w:rPr>
          <w:rFonts w:hint="default" w:ascii="Times New Roman" w:hAnsi="Times New Roman" w:cs="Times New Roman" w:eastAsiaTheme="minorEastAsia"/>
          <w:color w:val="000000" w:themeColor="text1"/>
          <w:sz w:val="24"/>
          <w:szCs w:val="22"/>
          <w:lang w:val="en-GB"/>
          <w14:textFill>
            <w14:solidFill>
              <w14:schemeClr w14:val="tx1"/>
            </w14:solidFill>
          </w14:textFill>
        </w:rPr>
        <w:t>分析判定，</w:t>
      </w:r>
      <w:r>
        <w:rPr>
          <w:rFonts w:hint="default" w:ascii="Times New Roman" w:hAnsi="Times New Roman" w:cs="Times New Roman" w:eastAsiaTheme="minorEastAsia"/>
          <w:color w:val="000000" w:themeColor="text1"/>
          <w:sz w:val="24"/>
          <w:szCs w:val="22"/>
          <w14:textFill>
            <w14:solidFill>
              <w14:schemeClr w14:val="tx1"/>
            </w14:solidFill>
          </w14:textFill>
        </w:rPr>
        <w:t>本项目主要涉及的危险物质为甲烷。</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（2）生产系统危险性分析</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本项目危险物质危险性分析见表5-9-1。</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表5-9-1 本项目危险物质危险性分析一览表</w:t>
      </w:r>
    </w:p>
    <w:tbl>
      <w:tblPr>
        <w:tblStyle w:val="9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413"/>
        <w:gridCol w:w="1566"/>
        <w:gridCol w:w="940"/>
        <w:gridCol w:w="1252"/>
        <w:gridCol w:w="1252"/>
        <w:gridCol w:w="1095"/>
        <w:gridCol w:w="10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20" w:hRule="atLeast"/>
          <w:jc w:val="center"/>
        </w:trPr>
        <w:tc>
          <w:tcPr>
            <w:tcW w:w="1413" w:type="dxa"/>
            <w:tcBorders>
              <w:top w:val="single" w:color="auto" w:sz="12" w:space="0"/>
              <w:left w:val="nil"/>
              <w:bottom w:val="single" w:color="auto" w:sz="4" w:space="0"/>
            </w:tcBorders>
            <w:tcMar>
              <w:left w:w="108" w:type="dxa"/>
              <w:right w:w="108" w:type="dxa"/>
            </w:tcMar>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装置及单元名称</w:t>
            </w:r>
          </w:p>
        </w:tc>
        <w:tc>
          <w:tcPr>
            <w:tcW w:w="1566" w:type="dxa"/>
            <w:tcBorders>
              <w:top w:val="single" w:color="auto" w:sz="12" w:space="0"/>
              <w:bottom w:val="single" w:color="auto" w:sz="4" w:space="0"/>
              <w:right w:val="single" w:color="auto" w:sz="2" w:space="0"/>
            </w:tcBorders>
            <w:tcMar>
              <w:left w:w="108" w:type="dxa"/>
              <w:right w:w="108" w:type="dxa"/>
            </w:tcMar>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主要设备名称</w:t>
            </w:r>
          </w:p>
        </w:tc>
        <w:tc>
          <w:tcPr>
            <w:tcW w:w="940" w:type="dxa"/>
            <w:tcBorders>
              <w:top w:val="single" w:color="auto" w:sz="12" w:space="0"/>
              <w:left w:val="single" w:color="auto" w:sz="2"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主要物质</w:t>
            </w:r>
          </w:p>
        </w:tc>
        <w:tc>
          <w:tcPr>
            <w:tcW w:w="1252" w:type="dxa"/>
            <w:tcBorders>
              <w:top w:val="single" w:color="auto" w:sz="12" w:space="0"/>
              <w:bottom w:val="single" w:color="auto" w:sz="4" w:space="0"/>
            </w:tcBorders>
            <w:tcMar>
              <w:left w:w="108" w:type="dxa"/>
              <w:right w:w="108" w:type="dxa"/>
            </w:tcMar>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主要危险介质</w:t>
            </w:r>
          </w:p>
        </w:tc>
        <w:tc>
          <w:tcPr>
            <w:tcW w:w="1252" w:type="dxa"/>
            <w:tcBorders>
              <w:top w:val="single" w:color="auto" w:sz="12" w:space="0"/>
              <w:bottom w:val="single" w:color="auto" w:sz="4" w:space="0"/>
              <w:right w:val="single" w:color="auto" w:sz="2" w:space="0"/>
            </w:tcBorders>
            <w:tcMar>
              <w:left w:w="108" w:type="dxa"/>
              <w:right w:w="108" w:type="dxa"/>
            </w:tcMar>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易发事故</w:t>
            </w:r>
          </w:p>
        </w:tc>
        <w:tc>
          <w:tcPr>
            <w:tcW w:w="1095" w:type="dxa"/>
            <w:tcBorders>
              <w:top w:val="single" w:color="auto" w:sz="12" w:space="0"/>
              <w:left w:val="single" w:color="auto" w:sz="2" w:space="0"/>
              <w:bottom w:val="single" w:color="auto" w:sz="4" w:space="0"/>
              <w:right w:val="single" w:color="auto" w:sz="2" w:space="0"/>
            </w:tcBorders>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存储量/t</w:t>
            </w:r>
          </w:p>
        </w:tc>
        <w:tc>
          <w:tcPr>
            <w:tcW w:w="1094" w:type="dxa"/>
            <w:tcBorders>
              <w:top w:val="single" w:color="auto" w:sz="12" w:space="0"/>
              <w:left w:val="single" w:color="auto" w:sz="2" w:space="0"/>
              <w:bottom w:val="single" w:color="auto" w:sz="4" w:space="0"/>
              <w:right w:val="nil"/>
            </w:tcBorders>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临界量/t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110" w:hRule="atLeast"/>
          <w:jc w:val="center"/>
        </w:trPr>
        <w:tc>
          <w:tcPr>
            <w:tcW w:w="1413" w:type="dxa"/>
            <w:tcBorders>
              <w:top w:val="single" w:color="auto" w:sz="4" w:space="0"/>
              <w:left w:val="nil"/>
              <w:bottom w:val="single" w:color="auto" w:sz="4" w:space="0"/>
            </w:tcBorders>
            <w:tcMar>
              <w:left w:w="108" w:type="dxa"/>
              <w:right w:w="108" w:type="dxa"/>
            </w:tcMar>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黑膜沼气池</w:t>
            </w:r>
          </w:p>
        </w:tc>
        <w:tc>
          <w:tcPr>
            <w:tcW w:w="1566" w:type="dxa"/>
            <w:tcBorders>
              <w:top w:val="single" w:color="auto" w:sz="4" w:space="0"/>
              <w:bottom w:val="single" w:color="auto" w:sz="4" w:space="0"/>
              <w:right w:val="single" w:color="auto" w:sz="2" w:space="0"/>
            </w:tcBorders>
            <w:tcMar>
              <w:left w:w="108" w:type="dxa"/>
              <w:right w:w="108" w:type="dxa"/>
            </w:tcMar>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黑膜沼气池</w:t>
            </w:r>
          </w:p>
        </w:tc>
        <w:tc>
          <w:tcPr>
            <w:tcW w:w="940" w:type="dxa"/>
            <w:tcBorders>
              <w:top w:val="single" w:color="auto" w:sz="4" w:space="0"/>
              <w:left w:val="single" w:color="auto" w:sz="2" w:space="0"/>
              <w:bottom w:val="single" w:color="auto" w:sz="4" w:space="0"/>
            </w:tcBorders>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沼气</w:t>
            </w:r>
          </w:p>
        </w:tc>
        <w:tc>
          <w:tcPr>
            <w:tcW w:w="1252" w:type="dxa"/>
            <w:tcBorders>
              <w:top w:val="single" w:color="auto" w:sz="4" w:space="0"/>
              <w:bottom w:val="single" w:color="auto" w:sz="4" w:space="0"/>
            </w:tcBorders>
            <w:tcMar>
              <w:left w:w="108" w:type="dxa"/>
              <w:right w:w="108" w:type="dxa"/>
            </w:tcMar>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甲烷</w:t>
            </w:r>
          </w:p>
        </w:tc>
        <w:tc>
          <w:tcPr>
            <w:tcW w:w="1252" w:type="dxa"/>
            <w:tcBorders>
              <w:top w:val="single" w:color="auto" w:sz="4" w:space="0"/>
              <w:bottom w:val="single" w:color="auto" w:sz="4" w:space="0"/>
              <w:right w:val="single" w:color="auto" w:sz="2" w:space="0"/>
            </w:tcBorders>
            <w:tcMar>
              <w:left w:w="108" w:type="dxa"/>
              <w:right w:w="108" w:type="dxa"/>
            </w:tcMar>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爆炸</w:t>
            </w:r>
          </w:p>
        </w:tc>
        <w:tc>
          <w:tcPr>
            <w:tcW w:w="1095" w:type="dxa"/>
            <w:tcBorders>
              <w:top w:val="single" w:color="auto" w:sz="4" w:space="0"/>
              <w:left w:val="single" w:color="auto" w:sz="2" w:space="0"/>
              <w:bottom w:val="single" w:color="auto" w:sz="4" w:space="0"/>
              <w:right w:val="single" w:color="auto" w:sz="2" w:space="0"/>
            </w:tcBorders>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0.39</w:t>
            </w:r>
          </w:p>
        </w:tc>
        <w:tc>
          <w:tcPr>
            <w:tcW w:w="1094" w:type="dxa"/>
            <w:tcBorders>
              <w:top w:val="single" w:color="auto" w:sz="4" w:space="0"/>
              <w:left w:val="single" w:color="auto" w:sz="2" w:space="0"/>
              <w:bottom w:val="single" w:color="auto" w:sz="4" w:space="0"/>
              <w:right w:val="nil"/>
            </w:tcBorders>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110" w:hRule="atLeast"/>
          <w:jc w:val="center"/>
        </w:trPr>
        <w:tc>
          <w:tcPr>
            <w:tcW w:w="6423" w:type="dxa"/>
            <w:gridSpan w:val="5"/>
            <w:tcBorders>
              <w:top w:val="single" w:color="auto" w:sz="4" w:space="0"/>
              <w:left w:val="nil"/>
              <w:bottom w:val="single" w:color="auto" w:sz="12" w:space="0"/>
              <w:right w:val="single" w:color="auto" w:sz="2" w:space="0"/>
            </w:tcBorders>
            <w:tcMar>
              <w:left w:w="108" w:type="dxa"/>
              <w:right w:w="108" w:type="dxa"/>
            </w:tcMar>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总计</w:t>
            </w:r>
          </w:p>
        </w:tc>
        <w:tc>
          <w:tcPr>
            <w:tcW w:w="1095" w:type="dxa"/>
            <w:tcBorders>
              <w:top w:val="single" w:color="auto" w:sz="4" w:space="0"/>
              <w:left w:val="single" w:color="auto" w:sz="2" w:space="0"/>
              <w:bottom w:val="single" w:color="auto" w:sz="12" w:space="0"/>
              <w:right w:val="single" w:color="auto" w:sz="2" w:space="0"/>
            </w:tcBorders>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0.39</w:t>
            </w:r>
          </w:p>
        </w:tc>
        <w:tc>
          <w:tcPr>
            <w:tcW w:w="1094" w:type="dxa"/>
            <w:tcBorders>
              <w:top w:val="single" w:color="auto" w:sz="4" w:space="0"/>
              <w:left w:val="single" w:color="auto" w:sz="2" w:space="0"/>
              <w:bottom w:val="single" w:color="auto" w:sz="12" w:space="0"/>
              <w:right w:val="nil"/>
            </w:tcBorders>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w:t>
            </w:r>
          </w:p>
        </w:tc>
      </w:tr>
    </w:tbl>
    <w:p>
      <w:pPr>
        <w:pStyle w:val="129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w:t>
      </w:r>
      <w:r>
        <w:rPr>
          <w:rFonts w:hint="default" w:ascii="Times New Roman" w:hAnsi="Times New Roman" w:cs="Times New Roman" w:eastAsiaTheme="minorEastAsia"/>
          <w:color w:val="000000" w:themeColor="text1"/>
          <w:lang w:val="en-US" w:eastAsia="zh-CN"/>
          <w14:textFill>
            <w14:solidFill>
              <w14:schemeClr w14:val="tx1"/>
            </w14:solidFill>
          </w14:textFill>
        </w:rPr>
        <w:t>10</w:t>
      </w:r>
      <w:r>
        <w:rPr>
          <w:rFonts w:hint="default" w:ascii="Times New Roman" w:hAnsi="Times New Roman" w:cs="Times New Roman" w:eastAsiaTheme="minorEastAsia"/>
          <w:color w:val="000000" w:themeColor="text1"/>
          <w14:textFill>
            <w14:solidFill>
              <w14:schemeClr w14:val="tx1"/>
            </w14:solidFill>
          </w14:textFill>
        </w:rPr>
        <w:t>.3.2 环境风险类型</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本项目环境风险类型主要包括危险物质发生火灾、爆炸等引发的伴生/次生污染物排放污染大气环境。</w:t>
      </w:r>
    </w:p>
    <w:p>
      <w:pPr>
        <w:pStyle w:val="129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w:t>
      </w:r>
      <w:r>
        <w:rPr>
          <w:rFonts w:hint="default" w:ascii="Times New Roman" w:hAnsi="Times New Roman" w:cs="Times New Roman" w:eastAsiaTheme="minorEastAsia"/>
          <w:color w:val="000000" w:themeColor="text1"/>
          <w:lang w:val="en-US" w:eastAsia="zh-CN"/>
          <w14:textFill>
            <w14:solidFill>
              <w14:schemeClr w14:val="tx1"/>
            </w14:solidFill>
          </w14:textFill>
        </w:rPr>
        <w:t>10</w:t>
      </w:r>
      <w:r>
        <w:rPr>
          <w:rFonts w:hint="default" w:ascii="Times New Roman" w:hAnsi="Times New Roman" w:cs="Times New Roman" w:eastAsiaTheme="minorEastAsia"/>
          <w:color w:val="000000" w:themeColor="text1"/>
          <w14:textFill>
            <w14:solidFill>
              <w14:schemeClr w14:val="tx1"/>
            </w14:solidFill>
          </w14:textFill>
        </w:rPr>
        <w:t>.3.3 可能扩散途径和影响后果</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根据危险物质特性及生产过程特点分析，本项目涉及主要危险物质为甲烷。项目具有潜在危险的事故系统有黑膜沼气池，根据《建设项目环境风险评价技术导则》HJ169-2018中附录C进行识别，本项目Q值为0.45，环境风险潜势为Ⅰ，可能扩散途径和影响后果见表5-9-2。</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表5-9-2  本项目危险物质可能扩散途径和影响后果一览表</w:t>
      </w:r>
    </w:p>
    <w:tbl>
      <w:tblPr>
        <w:tblStyle w:val="9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52"/>
        <w:gridCol w:w="2552"/>
        <w:gridCol w:w="992"/>
        <w:gridCol w:w="467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852"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分类</w:t>
            </w:r>
          </w:p>
        </w:tc>
        <w:tc>
          <w:tcPr>
            <w:tcW w:w="2552"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主要环节</w:t>
            </w:r>
          </w:p>
        </w:tc>
        <w:tc>
          <w:tcPr>
            <w:tcW w:w="992"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主要危险物质</w:t>
            </w:r>
          </w:p>
        </w:tc>
        <w:tc>
          <w:tcPr>
            <w:tcW w:w="467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可能扩散途径和影响后果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10" w:hRule="atLeast"/>
          <w:jc w:val="center"/>
        </w:trPr>
        <w:tc>
          <w:tcPr>
            <w:tcW w:w="852"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黑膜沼气池</w:t>
            </w:r>
          </w:p>
        </w:tc>
        <w:tc>
          <w:tcPr>
            <w:tcW w:w="2552"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发酵产沼气</w:t>
            </w:r>
          </w:p>
        </w:tc>
        <w:tc>
          <w:tcPr>
            <w:tcW w:w="992"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甲烷</w:t>
            </w:r>
          </w:p>
        </w:tc>
        <w:tc>
          <w:tcPr>
            <w:tcW w:w="4677"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由于设备故障，管口破裂或误操作等因素引起物料外泄。遇火源发生火灾、爆炸事故；没有遇到火源进入大气环境造成污染。</w:t>
            </w:r>
          </w:p>
        </w:tc>
      </w:tr>
    </w:tbl>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w:t>
      </w:r>
      <w:r>
        <w:rPr>
          <w:rFonts w:hint="default" w:ascii="Times New Roman" w:hAnsi="Times New Roman" w:cs="Times New Roman" w:eastAsiaTheme="minorEastAsia"/>
          <w:color w:val="000000" w:themeColor="text1"/>
          <w:lang w:val="en-US" w:eastAsia="zh-CN"/>
          <w14:textFill>
            <w14:solidFill>
              <w14:schemeClr w14:val="tx1"/>
            </w14:solidFill>
          </w14:textFill>
        </w:rPr>
        <w:t>10</w:t>
      </w:r>
      <w:r>
        <w:rPr>
          <w:rFonts w:hint="default" w:ascii="Times New Roman" w:hAnsi="Times New Roman" w:cs="Times New Roman" w:eastAsiaTheme="minorEastAsia"/>
          <w:color w:val="000000" w:themeColor="text1"/>
          <w14:textFill>
            <w14:solidFill>
              <w14:schemeClr w14:val="tx1"/>
            </w14:solidFill>
          </w14:textFill>
        </w:rPr>
        <w:t>.4 环境风险防范措施及应急要求</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（1）沼气生产区安全管理措施</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黑膜沼气池区域应划定一定距离范围内为防爆区，并设立禁止明火标志，防爆区要加强通风，防治沼气蓄积;配备必要的消防器材。要加强定期巡査、调节、保养、维修，确保沼气贮存、输送设施气密性良好运营。各装置建构筑物之间留有足够的安全防护距离，建构筑物内外道路畅通并形成环状，以利消防和安全疏散。</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制定项目沼气</w:t>
      </w:r>
      <w:r>
        <w:rPr>
          <w:rFonts w:hint="default" w:ascii="Times New Roman" w:hAnsi="Times New Roman" w:cs="Times New Roman" w:eastAsiaTheme="minorEastAsia"/>
          <w:color w:val="000000" w:themeColor="text1"/>
          <w:sz w:val="24"/>
          <w:szCs w:val="22"/>
          <w:lang w:eastAsia="zh-CN"/>
          <w14:textFill>
            <w14:solidFill>
              <w14:schemeClr w14:val="tx1"/>
            </w14:solidFill>
          </w14:textFill>
        </w:rPr>
        <w:t>火炬燃烧</w:t>
      </w:r>
      <w:r>
        <w:rPr>
          <w:rFonts w:hint="default" w:ascii="Times New Roman" w:hAnsi="Times New Roman" w:cs="Times New Roman" w:eastAsiaTheme="minorEastAsia"/>
          <w:color w:val="000000" w:themeColor="text1"/>
          <w:sz w:val="24"/>
          <w:szCs w:val="22"/>
          <w14:textFill>
            <w14:solidFill>
              <w14:schemeClr w14:val="tx1"/>
            </w14:solidFill>
          </w14:textFill>
        </w:rPr>
        <w:t>运行和操作的巡回检查制度、检修制度、运行安全操作规程等各项规章制度。加强人员技术培训,防止沼气燃爆事故发生。</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（2）沼气</w:t>
      </w:r>
      <w:r>
        <w:rPr>
          <w:rFonts w:hint="default" w:ascii="Times New Roman" w:hAnsi="Times New Roman" w:cs="Times New Roman" w:eastAsiaTheme="minorEastAsia"/>
          <w:color w:val="000000" w:themeColor="text1"/>
          <w:sz w:val="24"/>
          <w:szCs w:val="22"/>
          <w:lang w:eastAsia="zh-CN"/>
          <w14:textFill>
            <w14:solidFill>
              <w14:schemeClr w14:val="tx1"/>
            </w14:solidFill>
          </w14:textFill>
        </w:rPr>
        <w:t>燃烧</w:t>
      </w:r>
      <w:r>
        <w:rPr>
          <w:rFonts w:hint="default" w:ascii="Times New Roman" w:hAnsi="Times New Roman" w:cs="Times New Roman" w:eastAsiaTheme="minorEastAsia"/>
          <w:color w:val="000000" w:themeColor="text1"/>
          <w:sz w:val="24"/>
          <w:szCs w:val="22"/>
          <w14:textFill>
            <w14:solidFill>
              <w14:schemeClr w14:val="tx1"/>
            </w14:solidFill>
          </w14:textFill>
        </w:rPr>
        <w:t>风险防范措施</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①输送沼气导管上的阀门要灵活、严密，不能漏气。</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②导气管应经常检查，确保不漏气。</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③导气管上应装上压力表。压力过高应排出气体;压力不足时应停止使用，重新进料充气，以防止回火。</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④使用沼气必须与可燃物保持一定的安全距离，以保证安全。</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⑤使用沼气时发现漏气，应立即打开门窗，熄灭室内各种火源，以防沼气爆炸。</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⑥下池检修或清除沉渣时,必须提高警惕,事先采取安全措施,防止窒息和中毒事故的发生。</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（3）疫病风险分析</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引起奶牛疾病的因素很多。若不慎发生传染病，应立即采取有效地控制措施：封闭—隔离—每天消毒—根据临床症状、解剖变化进行疾病的初步诊断—病畜的对症治疗—采样送检确诊—紧急预防接种—取各种综合性防治措施。总之，要做到行动迅速，方法得当，措施有力，尽可能的将损失降到最低。应立即按照计划组成防疫小组，尽快做出确切诊断，迅速向卫生防疫部门报告疫情。迅速隔离病牛，对危害较重的传染病应及时划区封锁，建立封锁带，出入人员和车辆要严格消毒，同时严格消毒污染环境。解除封锁的条件是在最后一头病牛痊愈后两个潜伏期内再无新病例出现，经过全面大消毒，报上级主管部门批准，方可解除封锁。</w:t>
      </w:r>
    </w:p>
    <w:p>
      <w:pPr>
        <w:pStyle w:val="1167"/>
        <w:rPr>
          <w:rFonts w:hint="default" w:ascii="Times New Roman" w:hAnsi="Times New Roman" w:cs="Times New Roman" w:eastAsiaTheme="minorEastAsia"/>
          <w:color w:val="000000" w:themeColor="text1"/>
          <w14:textFill>
            <w14:solidFill>
              <w14:schemeClr w14:val="tx1"/>
            </w14:solidFill>
          </w14:textFill>
        </w:rPr>
      </w:pPr>
    </w:p>
    <w:p>
      <w:pPr>
        <w:pStyle w:val="1167"/>
        <w:rPr>
          <w:rFonts w:hint="default" w:ascii="Times New Roman" w:hAnsi="Times New Roman" w:cs="Times New Roman" w:eastAsiaTheme="minorEastAsia"/>
          <w:color w:val="000000" w:themeColor="text1"/>
          <w14:textFill>
            <w14:solidFill>
              <w14:schemeClr w14:val="tx1"/>
            </w14:solidFill>
          </w14:textFill>
        </w:rPr>
      </w:pP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w:t>
      </w:r>
      <w:r>
        <w:rPr>
          <w:rFonts w:hint="default" w:ascii="Times New Roman" w:hAnsi="Times New Roman" w:cs="Times New Roman" w:eastAsiaTheme="minorEastAsia"/>
          <w:color w:val="000000" w:themeColor="text1"/>
          <w:lang w:val="en-US" w:eastAsia="zh-CN"/>
          <w14:textFill>
            <w14:solidFill>
              <w14:schemeClr w14:val="tx1"/>
            </w14:solidFill>
          </w14:textFill>
        </w:rPr>
        <w:t>10</w:t>
      </w:r>
      <w:r>
        <w:rPr>
          <w:rFonts w:hint="default" w:ascii="Times New Roman" w:hAnsi="Times New Roman" w:cs="Times New Roman" w:eastAsiaTheme="minorEastAsia"/>
          <w:color w:val="000000" w:themeColor="text1"/>
          <w14:textFill>
            <w14:solidFill>
              <w14:schemeClr w14:val="tx1"/>
            </w14:solidFill>
          </w14:textFill>
        </w:rPr>
        <w:t>.5 突发环境事件应急措施</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针对项目突发环境事件，建设单位应采取突发环境事件应急措施。在突发的风险事故中，能够迅速准确地处理事故和控制事态发展，把损失降到最低限度。企业应建立环境风险应急信息系统，并与当地政府形成区域联控（联动）机制，有效防范因污染物事故排放或安全生产事故可能引发的环境风险。</w:t>
      </w: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w:t>
      </w:r>
      <w:r>
        <w:rPr>
          <w:rFonts w:hint="default" w:ascii="Times New Roman" w:hAnsi="Times New Roman" w:cs="Times New Roman" w:eastAsiaTheme="minorEastAsia"/>
          <w:color w:val="000000" w:themeColor="text1"/>
          <w:lang w:val="en-US" w:eastAsia="zh-CN"/>
          <w14:textFill>
            <w14:solidFill>
              <w14:schemeClr w14:val="tx1"/>
            </w14:solidFill>
          </w14:textFill>
        </w:rPr>
        <w:t>10</w:t>
      </w:r>
      <w:r>
        <w:rPr>
          <w:rFonts w:hint="default" w:ascii="Times New Roman" w:hAnsi="Times New Roman" w:cs="Times New Roman" w:eastAsiaTheme="minorEastAsia"/>
          <w:color w:val="000000" w:themeColor="text1"/>
          <w14:textFill>
            <w14:solidFill>
              <w14:schemeClr w14:val="tx1"/>
            </w14:solidFill>
          </w14:textFill>
        </w:rPr>
        <w:t>.6 环境风险评价结论</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企业要从建设、生产、贮运等多方面积极采取防护措施，加强风险管理，通过相应的技术手段降低风险发生概率，并在风险事故发生后，及时采取风险防范措施，可以使风险事故对环境的危害得到有效控制，将事故风险控制在可以接受的范围内。建设项目环境风险简单分析内容表见下表：</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表5-</w:t>
      </w:r>
      <w:r>
        <w:rPr>
          <w:rFonts w:hint="default" w:ascii="Times New Roman" w:hAnsi="Times New Roman" w:cs="Times New Roman" w:eastAsiaTheme="minorEastAsia"/>
          <w:color w:val="000000" w:themeColor="text1"/>
          <w:lang w:val="en-US" w:eastAsia="zh-CN"/>
          <w14:textFill>
            <w14:solidFill>
              <w14:schemeClr w14:val="tx1"/>
            </w14:solidFill>
          </w14:textFill>
        </w:rPr>
        <w:t>10</w:t>
      </w:r>
      <w:r>
        <w:rPr>
          <w:rFonts w:hint="default" w:ascii="Times New Roman" w:hAnsi="Times New Roman" w:cs="Times New Roman" w:eastAsiaTheme="minorEastAsia"/>
          <w:color w:val="000000" w:themeColor="text1"/>
          <w14:textFill>
            <w14:solidFill>
              <w14:schemeClr w14:val="tx1"/>
            </w14:solidFill>
          </w14:textFill>
        </w:rPr>
        <w:t>-3  建设项目环境风险简单分析内容表</w:t>
      </w:r>
    </w:p>
    <w:tbl>
      <w:tblPr>
        <w:tblStyle w:val="9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30"/>
        <w:gridCol w:w="1427"/>
        <w:gridCol w:w="1575"/>
        <w:gridCol w:w="1287"/>
        <w:gridCol w:w="1277"/>
        <w:gridCol w:w="15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vAlign w:val="center"/>
          </w:tcPr>
          <w:p>
            <w:pPr>
              <w:pStyle w:val="666"/>
              <w:spacing w:line="36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建设项目名称</w:t>
            </w:r>
          </w:p>
        </w:tc>
        <w:tc>
          <w:tcPr>
            <w:tcW w:w="4065" w:type="pct"/>
            <w:gridSpan w:val="5"/>
            <w:vAlign w:val="center"/>
          </w:tcPr>
          <w:p>
            <w:pPr>
              <w:pStyle w:val="666"/>
              <w:spacing w:line="36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安达市宝源现代示范奶牛场项目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vAlign w:val="center"/>
          </w:tcPr>
          <w:p>
            <w:pPr>
              <w:pStyle w:val="666"/>
              <w:spacing w:line="36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建设地点</w:t>
            </w:r>
          </w:p>
        </w:tc>
        <w:tc>
          <w:tcPr>
            <w:tcW w:w="818" w:type="pct"/>
            <w:vAlign w:val="center"/>
          </w:tcPr>
          <w:p>
            <w:pPr>
              <w:pStyle w:val="666"/>
              <w:spacing w:line="36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（黑龙江）省</w:t>
            </w:r>
          </w:p>
        </w:tc>
        <w:tc>
          <w:tcPr>
            <w:tcW w:w="903" w:type="pct"/>
            <w:vAlign w:val="center"/>
          </w:tcPr>
          <w:p>
            <w:pPr>
              <w:pStyle w:val="666"/>
              <w:spacing w:line="36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（绥化）市</w:t>
            </w:r>
          </w:p>
        </w:tc>
        <w:tc>
          <w:tcPr>
            <w:tcW w:w="738" w:type="pct"/>
            <w:vAlign w:val="center"/>
          </w:tcPr>
          <w:p>
            <w:pPr>
              <w:pStyle w:val="666"/>
              <w:spacing w:line="36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（安达）市</w:t>
            </w:r>
          </w:p>
        </w:tc>
        <w:tc>
          <w:tcPr>
            <w:tcW w:w="732" w:type="pct"/>
            <w:vAlign w:val="center"/>
          </w:tcPr>
          <w:p>
            <w:pPr>
              <w:pStyle w:val="666"/>
              <w:spacing w:line="36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（先源）乡</w:t>
            </w:r>
          </w:p>
        </w:tc>
        <w:tc>
          <w:tcPr>
            <w:tcW w:w="874" w:type="pct"/>
            <w:vAlign w:val="center"/>
          </w:tcPr>
          <w:p>
            <w:pPr>
              <w:pStyle w:val="666"/>
              <w:spacing w:line="36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（红星村）村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vAlign w:val="center"/>
          </w:tcPr>
          <w:p>
            <w:pPr>
              <w:pStyle w:val="666"/>
              <w:spacing w:line="36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地理坐标</w:t>
            </w:r>
          </w:p>
        </w:tc>
        <w:tc>
          <w:tcPr>
            <w:tcW w:w="818" w:type="pct"/>
            <w:vAlign w:val="center"/>
          </w:tcPr>
          <w:p>
            <w:pPr>
              <w:pStyle w:val="666"/>
              <w:spacing w:line="36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经度</w:t>
            </w:r>
          </w:p>
        </w:tc>
        <w:tc>
          <w:tcPr>
            <w:tcW w:w="903" w:type="pct"/>
            <w:vAlign w:val="center"/>
          </w:tcPr>
          <w:p>
            <w:pPr>
              <w:pStyle w:val="666"/>
              <w:spacing w:line="36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125.47590</w:t>
            </w:r>
          </w:p>
        </w:tc>
        <w:tc>
          <w:tcPr>
            <w:tcW w:w="738" w:type="pct"/>
            <w:vAlign w:val="center"/>
          </w:tcPr>
          <w:p>
            <w:pPr>
              <w:pStyle w:val="666"/>
              <w:spacing w:line="36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纬度</w:t>
            </w:r>
          </w:p>
        </w:tc>
        <w:tc>
          <w:tcPr>
            <w:tcW w:w="1606" w:type="pct"/>
            <w:gridSpan w:val="2"/>
            <w:vAlign w:val="center"/>
          </w:tcPr>
          <w:p>
            <w:pPr>
              <w:pStyle w:val="666"/>
              <w:spacing w:line="36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46.50718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935" w:type="pct"/>
            <w:vAlign w:val="center"/>
          </w:tcPr>
          <w:p>
            <w:pPr>
              <w:pStyle w:val="666"/>
              <w:spacing w:line="36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主要危险物质及分布</w:t>
            </w:r>
          </w:p>
        </w:tc>
        <w:tc>
          <w:tcPr>
            <w:tcW w:w="818" w:type="pct"/>
            <w:vAlign w:val="center"/>
          </w:tcPr>
          <w:p>
            <w:pPr>
              <w:pStyle w:val="666"/>
              <w:spacing w:line="36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黑膜沼气池</w:t>
            </w:r>
          </w:p>
        </w:tc>
        <w:tc>
          <w:tcPr>
            <w:tcW w:w="3247" w:type="pct"/>
            <w:gridSpan w:val="4"/>
            <w:vAlign w:val="center"/>
          </w:tcPr>
          <w:p>
            <w:pPr>
              <w:pStyle w:val="666"/>
              <w:spacing w:line="36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发酵产生的甲烷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vAlign w:val="center"/>
          </w:tcPr>
          <w:p>
            <w:pPr>
              <w:pStyle w:val="666"/>
              <w:spacing w:line="36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环境影响途径及危害后果</w:t>
            </w:r>
          </w:p>
          <w:p>
            <w:pPr>
              <w:pStyle w:val="666"/>
              <w:spacing w:line="36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（大气、地下水等）</w:t>
            </w:r>
          </w:p>
        </w:tc>
        <w:tc>
          <w:tcPr>
            <w:tcW w:w="4065" w:type="pct"/>
            <w:gridSpan w:val="5"/>
            <w:vAlign w:val="center"/>
          </w:tcPr>
          <w:p>
            <w:pPr>
              <w:pStyle w:val="666"/>
              <w:spacing w:line="36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本项目环境风险事故主要是甲烷属于易燃易爆物质，可能发生火灾甚至爆炸。对大气造成环境影响。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vAlign w:val="center"/>
          </w:tcPr>
          <w:p>
            <w:pPr>
              <w:pStyle w:val="666"/>
              <w:spacing w:line="36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风险防范措施要求</w:t>
            </w:r>
          </w:p>
        </w:tc>
        <w:tc>
          <w:tcPr>
            <w:tcW w:w="4065" w:type="pct"/>
            <w:gridSpan w:val="5"/>
            <w:vAlign w:val="center"/>
          </w:tcPr>
          <w:p>
            <w:pPr>
              <w:pStyle w:val="666"/>
              <w:spacing w:line="360" w:lineRule="exact"/>
              <w:jc w:val="lef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（1）合理布置总平面。各装置建构筑物之间留有足够的安全防护距离，建构筑物内外道路畅通并形成环状，以利消防和安全疏散。</w:t>
            </w:r>
          </w:p>
          <w:p>
            <w:pPr>
              <w:pStyle w:val="666"/>
              <w:spacing w:line="360" w:lineRule="exact"/>
              <w:jc w:val="lef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（2）黑膜沼气池严格密封，选用可靠的设备和材料，以防泄漏、燃烧和爆炸等条件的形成。</w:t>
            </w:r>
          </w:p>
          <w:p>
            <w:pPr>
              <w:pStyle w:val="666"/>
              <w:spacing w:line="360" w:lineRule="exact"/>
              <w:jc w:val="lef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（3）沼气相关设备检修，要按检修管理标准和防火防爆安全管理标准执行。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vAlign w:val="center"/>
          </w:tcPr>
          <w:p>
            <w:pPr>
              <w:pStyle w:val="666"/>
              <w:spacing w:line="360" w:lineRule="exact"/>
              <w:jc w:val="lef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填表说明（列出相关信息及评价说明）：</w:t>
            </w:r>
          </w:p>
          <w:p>
            <w:pPr>
              <w:pStyle w:val="666"/>
              <w:spacing w:line="360" w:lineRule="exact"/>
              <w:jc w:val="left"/>
              <w:rPr>
                <w:rFonts w:hint="default" w:ascii="Times New Roman" w:hAnsi="Times New Roman" w:cs="Times New Roman" w:eastAsiaTheme="minorEastAsia"/>
                <w:color w:val="000000" w:themeColor="text1"/>
                <w:lang w:val="en-GB"/>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根据《建设项目环境风险评价技术导则》（HJ169-2018）附录B进行</w:t>
            </w:r>
            <w:r>
              <w:rPr>
                <w:rFonts w:hint="default" w:ascii="Times New Roman" w:hAnsi="Times New Roman" w:cs="Times New Roman" w:eastAsiaTheme="minorEastAsia"/>
                <w:color w:val="000000" w:themeColor="text1"/>
                <w:lang w:val="en-GB"/>
                <w14:textFill>
                  <w14:solidFill>
                    <w14:schemeClr w14:val="tx1"/>
                  </w14:solidFill>
                </w14:textFill>
              </w:rPr>
              <w:t>分析判定，</w:t>
            </w:r>
            <w:r>
              <w:rPr>
                <w:rFonts w:hint="default" w:ascii="Times New Roman" w:hAnsi="Times New Roman" w:cs="Times New Roman" w:eastAsiaTheme="minorEastAsia"/>
                <w:color w:val="000000" w:themeColor="text1"/>
                <w14:textFill>
                  <w14:solidFill>
                    <w14:schemeClr w14:val="tx1"/>
                  </w14:solidFill>
                </w14:textFill>
              </w:rPr>
              <w:t>本项目涉及危险物质主要</w:t>
            </w:r>
            <w:r>
              <w:rPr>
                <w:rFonts w:hint="default" w:ascii="Times New Roman" w:hAnsi="Times New Roman" w:cs="Times New Roman" w:eastAsiaTheme="minorEastAsia"/>
                <w:color w:val="000000" w:themeColor="text1"/>
                <w:lang w:val="en-GB"/>
                <w14:textFill>
                  <w14:solidFill>
                    <w14:schemeClr w14:val="tx1"/>
                  </w14:solidFill>
                </w14:textFill>
              </w:rPr>
              <w:t>为甲烷（沼气），</w:t>
            </w:r>
            <w:r>
              <w:rPr>
                <w:rFonts w:hint="default" w:ascii="Times New Roman" w:hAnsi="Times New Roman" w:cs="Times New Roman" w:eastAsiaTheme="minorEastAsia"/>
                <w:color w:val="000000" w:themeColor="text1"/>
                <w14:textFill>
                  <w14:solidFill>
                    <w14:schemeClr w14:val="tx1"/>
                  </w14:solidFill>
                </w14:textFill>
              </w:rPr>
              <w:t>可能扩散途径为发生火灾、爆炸事故产生污染物污染大气环境，因此环境风险类型主要为大气环境风险。本项目危险物质主要为</w:t>
            </w:r>
            <w:r>
              <w:rPr>
                <w:rFonts w:hint="default" w:ascii="Times New Roman" w:hAnsi="Times New Roman" w:cs="Times New Roman" w:eastAsiaTheme="minorEastAsia"/>
                <w:color w:val="000000" w:themeColor="text1"/>
                <w:lang w:val="en-GB"/>
                <w14:textFill>
                  <w14:solidFill>
                    <w14:schemeClr w14:val="tx1"/>
                  </w14:solidFill>
                </w14:textFill>
              </w:rPr>
              <w:t>甲烷</w:t>
            </w:r>
            <w:r>
              <w:rPr>
                <w:rFonts w:hint="default" w:ascii="Times New Roman" w:hAnsi="Times New Roman" w:cs="Times New Roman" w:eastAsiaTheme="minorEastAsia"/>
                <w:color w:val="000000" w:themeColor="text1"/>
                <w14:textFill>
                  <w14:solidFill>
                    <w14:schemeClr w14:val="tx1"/>
                  </w14:solidFill>
                </w14:textFill>
              </w:rPr>
              <w:t>，风险源主要包括黑膜沼气池，最大存在总量为0.45t，Q&lt;1，风险潜势为Ⅰ，开展简单分析。</w:t>
            </w:r>
          </w:p>
        </w:tc>
      </w:tr>
    </w:tbl>
    <w:p>
      <w:pPr>
        <w:ind w:firstLine="560"/>
        <w:rPr>
          <w:rFonts w:hint="default" w:ascii="Times New Roman" w:hAnsi="Times New Roman" w:cs="Times New Roman" w:eastAsiaTheme="minorEastAsia"/>
          <w:color w:val="000000" w:themeColor="text1"/>
          <w14:textFill>
            <w14:solidFill>
              <w14:schemeClr w14:val="tx1"/>
            </w14:solidFill>
          </w14:textFill>
        </w:rPr>
      </w:pPr>
    </w:p>
    <w:p>
      <w:pPr>
        <w:ind w:firstLine="560"/>
        <w:rPr>
          <w:rFonts w:hint="default" w:ascii="Times New Roman" w:hAnsi="Times New Roman" w:cs="Times New Roman" w:eastAsiaTheme="minorEastAsia"/>
          <w:color w:val="000000" w:themeColor="text1"/>
          <w14:textFill>
            <w14:solidFill>
              <w14:schemeClr w14:val="tx1"/>
            </w14:solidFill>
          </w14:textFill>
        </w:rPr>
        <w:sectPr>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12" w:charSpace="0"/>
        </w:sectPr>
      </w:pPr>
    </w:p>
    <w:p>
      <w:pPr>
        <w:pStyle w:val="641"/>
        <w:rPr>
          <w:rFonts w:hint="default" w:ascii="Times New Roman" w:hAnsi="Times New Roman" w:cs="Times New Roman" w:eastAsiaTheme="minorEastAsia"/>
          <w:color w:val="000000" w:themeColor="text1"/>
          <w14:textFill>
            <w14:solidFill>
              <w14:schemeClr w14:val="tx1"/>
            </w14:solidFill>
          </w14:textFill>
        </w:rPr>
      </w:pPr>
      <w:bookmarkStart w:id="217" w:name="_Toc2267"/>
      <w:r>
        <w:rPr>
          <w:rFonts w:hint="default" w:ascii="Times New Roman" w:hAnsi="Times New Roman" w:cs="Times New Roman" w:eastAsiaTheme="minorEastAsia"/>
          <w:color w:val="000000" w:themeColor="text1"/>
          <w14:textFill>
            <w14:solidFill>
              <w14:schemeClr w14:val="tx1"/>
            </w14:solidFill>
          </w14:textFill>
        </w:rPr>
        <w:t>6 环境保护措施及其可行性论证</w:t>
      </w:r>
      <w:bookmarkEnd w:id="217"/>
    </w:p>
    <w:p>
      <w:pPr>
        <w:pStyle w:val="639"/>
        <w:rPr>
          <w:rFonts w:hint="default" w:ascii="Times New Roman" w:hAnsi="Times New Roman" w:cs="Times New Roman" w:eastAsiaTheme="minorEastAsia"/>
          <w:color w:val="000000" w:themeColor="text1"/>
          <w14:textFill>
            <w14:solidFill>
              <w14:schemeClr w14:val="tx1"/>
            </w14:solidFill>
          </w14:textFill>
        </w:rPr>
      </w:pPr>
      <w:bookmarkStart w:id="218" w:name="_Toc458421840"/>
      <w:bookmarkStart w:id="219" w:name="_Toc18481"/>
      <w:r>
        <w:rPr>
          <w:rFonts w:hint="default" w:ascii="Times New Roman" w:hAnsi="Times New Roman" w:cs="Times New Roman" w:eastAsiaTheme="minorEastAsia"/>
          <w:color w:val="000000" w:themeColor="text1"/>
          <w14:textFill>
            <w14:solidFill>
              <w14:schemeClr w14:val="tx1"/>
            </w14:solidFill>
          </w14:textFill>
        </w:rPr>
        <w:t>6.1 施工期环境保护措施</w:t>
      </w:r>
      <w:bookmarkEnd w:id="218"/>
      <w:bookmarkEnd w:id="219"/>
    </w:p>
    <w:p>
      <w:pPr>
        <w:autoSpaceDE w:val="0"/>
        <w:autoSpaceDN w:val="0"/>
        <w:spacing w:line="500" w:lineRule="exact"/>
        <w:ind w:firstLine="560"/>
        <w:rPr>
          <w:rFonts w:hint="default" w:ascii="Times New Roman" w:hAnsi="Times New Roman" w:cs="Times New Roman" w:eastAsiaTheme="minorEastAsia"/>
          <w:color w:val="000000" w:themeColor="text1"/>
          <w:kern w:val="0"/>
          <w:sz w:val="24"/>
          <w:szCs w:val="24"/>
          <w14:textFill>
            <w14:solidFill>
              <w14:schemeClr w14:val="tx1"/>
            </w14:solidFill>
          </w14:textFill>
        </w:rPr>
      </w:pPr>
      <w:r>
        <w:rPr>
          <w:rFonts w:hint="default" w:ascii="Times New Roman" w:hAnsi="Times New Roman" w:cs="Times New Roman" w:eastAsiaTheme="minorEastAsia"/>
          <w:color w:val="000000" w:themeColor="text1"/>
          <w:kern w:val="0"/>
          <w:sz w:val="24"/>
          <w:szCs w:val="24"/>
          <w14:textFill>
            <w14:solidFill>
              <w14:schemeClr w14:val="tx1"/>
            </w14:solidFill>
          </w14:textFill>
        </w:rPr>
        <w:t>本项目建设过程中将会对周围环境产生不同程度的影响，为此本评价结合本项目建设的特点，特提出施工期污染防治措施。</w:t>
      </w: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6.1.1 施工废气</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（1）施工现场场界修建2.5m高围挡，封闭施工现场，既可有效防止粉尘及扬尘的污染，又可起到隔声的作用。</w:t>
      </w:r>
    </w:p>
    <w:p>
      <w:pPr>
        <w:ind w:firstLine="560"/>
        <w:rPr>
          <w:rFonts w:hint="default" w:ascii="Times New Roman" w:hAnsi="Times New Roman" w:cs="Times New Roman" w:eastAsiaTheme="minorEastAsia"/>
          <w:color w:val="000000" w:themeColor="text1"/>
          <w:kern w:val="0"/>
          <w:sz w:val="24"/>
          <w:szCs w:val="24"/>
          <w14:textFill>
            <w14:solidFill>
              <w14:schemeClr w14:val="tx1"/>
            </w14:solidFill>
          </w14:textFill>
        </w:rPr>
      </w:pPr>
      <w:r>
        <w:rPr>
          <w:rFonts w:hint="default" w:ascii="Times New Roman" w:hAnsi="Times New Roman" w:cs="Times New Roman" w:eastAsiaTheme="minorEastAsia"/>
          <w:color w:val="000000" w:themeColor="text1"/>
          <w:kern w:val="0"/>
          <w:sz w:val="24"/>
          <w:szCs w:val="24"/>
          <w14:textFill>
            <w14:solidFill>
              <w14:schemeClr w14:val="tx1"/>
            </w14:solidFill>
          </w14:textFill>
        </w:rPr>
        <w:t>（2）施工中所用粉状材料运输时应对车辆加盖蓬布，并在运输时减速慢行。</w:t>
      </w:r>
    </w:p>
    <w:p>
      <w:pPr>
        <w:ind w:firstLine="560"/>
        <w:rPr>
          <w:rFonts w:hint="default" w:ascii="Times New Roman" w:hAnsi="Times New Roman" w:cs="Times New Roman" w:eastAsiaTheme="minorEastAsia"/>
          <w:color w:val="000000" w:themeColor="text1"/>
          <w:kern w:val="0"/>
          <w:sz w:val="24"/>
          <w:szCs w:val="24"/>
          <w14:textFill>
            <w14:solidFill>
              <w14:schemeClr w14:val="tx1"/>
            </w14:solidFill>
          </w14:textFill>
        </w:rPr>
      </w:pPr>
      <w:r>
        <w:rPr>
          <w:rFonts w:hint="default" w:ascii="Times New Roman" w:hAnsi="Times New Roman" w:cs="Times New Roman" w:eastAsiaTheme="minorEastAsia"/>
          <w:color w:val="000000" w:themeColor="text1"/>
          <w:kern w:val="0"/>
          <w:sz w:val="24"/>
          <w:szCs w:val="24"/>
          <w14:textFill>
            <w14:solidFill>
              <w14:schemeClr w14:val="tx1"/>
            </w14:solidFill>
          </w14:textFill>
        </w:rPr>
        <w:t>（3）施工过程中所用建筑材料，必须设固定堆放场，特别是水泥、白灰等在堆放过程中应苫布盖好或建封闭库房存放，防止二次扬尘污染，不得随意堆放。</w:t>
      </w:r>
    </w:p>
    <w:p>
      <w:pPr>
        <w:ind w:firstLine="560"/>
        <w:rPr>
          <w:rFonts w:hint="default" w:ascii="Times New Roman" w:hAnsi="Times New Roman" w:cs="Times New Roman" w:eastAsiaTheme="minorEastAsia"/>
          <w:color w:val="000000" w:themeColor="text1"/>
          <w:kern w:val="0"/>
          <w:sz w:val="24"/>
          <w:szCs w:val="24"/>
          <w14:textFill>
            <w14:solidFill>
              <w14:schemeClr w14:val="tx1"/>
            </w14:solidFill>
          </w14:textFill>
        </w:rPr>
      </w:pPr>
      <w:r>
        <w:rPr>
          <w:rFonts w:hint="default" w:ascii="Times New Roman" w:hAnsi="Times New Roman" w:cs="Times New Roman" w:eastAsiaTheme="minorEastAsia"/>
          <w:color w:val="000000" w:themeColor="text1"/>
          <w:kern w:val="0"/>
          <w:sz w:val="24"/>
          <w:szCs w:val="24"/>
          <w14:textFill>
            <w14:solidFill>
              <w14:schemeClr w14:val="tx1"/>
            </w14:solidFill>
          </w14:textFill>
        </w:rPr>
        <w:t>（4）土方挖掘产生的弃土应及时运离施工现场，运输时应遮盖。施工场地应保持一定湿度，要定时洒水，防止粉尘及二次扬尘污染施工场地周围环境空气质量。</w:t>
      </w:r>
    </w:p>
    <w:p>
      <w:pPr>
        <w:ind w:firstLine="560"/>
        <w:rPr>
          <w:rFonts w:hint="default" w:ascii="Times New Roman" w:hAnsi="Times New Roman" w:cs="Times New Roman" w:eastAsiaTheme="minorEastAsia"/>
          <w:color w:val="000000" w:themeColor="text1"/>
          <w:kern w:val="0"/>
          <w:sz w:val="24"/>
          <w:szCs w:val="24"/>
          <w14:textFill>
            <w14:solidFill>
              <w14:schemeClr w14:val="tx1"/>
            </w14:solidFill>
          </w14:textFill>
        </w:rPr>
      </w:pPr>
      <w:r>
        <w:rPr>
          <w:rFonts w:hint="default" w:ascii="Times New Roman" w:hAnsi="Times New Roman" w:cs="Times New Roman" w:eastAsiaTheme="minorEastAsia"/>
          <w:color w:val="000000" w:themeColor="text1"/>
          <w:kern w:val="0"/>
          <w:sz w:val="24"/>
          <w:szCs w:val="24"/>
          <w14:textFill>
            <w14:solidFill>
              <w14:schemeClr w14:val="tx1"/>
            </w14:solidFill>
          </w14:textFill>
        </w:rPr>
        <w:t>采取以上措施，施工期粉尘中颗粒物排放浓度和排放速率满足</w:t>
      </w:r>
      <w:r>
        <w:rPr>
          <w:rFonts w:hint="default" w:ascii="Times New Roman" w:hAnsi="Times New Roman" w:cs="Times New Roman" w:eastAsiaTheme="minorEastAsia"/>
          <w:color w:val="000000" w:themeColor="text1"/>
          <w:sz w:val="24"/>
          <w:szCs w:val="22"/>
          <w14:textFill>
            <w14:solidFill>
              <w14:schemeClr w14:val="tx1"/>
            </w14:solidFill>
          </w14:textFill>
        </w:rPr>
        <w:t>《大气污染物综合排放标准》（GB16297-1996）表2二级标准限值。</w:t>
      </w: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6.1.2 施工噪声</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（1）在施工设备选型上，应选用正规厂家、噪声较低的环保型设备。</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（2）加强施工现场管理，保证现场设备安装质量，确保施工设备正常运行。</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（3）高噪声设备须封闭使用或四周加设隔声屏障，降低其使用时产生的噪声对周围环境的影响。</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（4）重型运输车在经过村屯行驶时禁止鸣笛，并限速行驶，严禁在22:00～6:00时间段内施工及运输，特别是噪声较大的基础施工和结构施工阶段。</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采取以上措施后，施工期场界噪声满足《建筑施工场界环境噪声排放标准》（GB12523-2011）排放限值要求。</w:t>
      </w:r>
    </w:p>
    <w:p>
      <w:pPr>
        <w:pStyle w:val="1167"/>
        <w:rPr>
          <w:rFonts w:hint="default" w:ascii="Times New Roman" w:hAnsi="Times New Roman" w:cs="Times New Roman" w:eastAsiaTheme="minorEastAsia"/>
          <w:color w:val="000000" w:themeColor="text1"/>
          <w14:textFill>
            <w14:solidFill>
              <w14:schemeClr w14:val="tx1"/>
            </w14:solidFill>
          </w14:textFill>
        </w:rPr>
      </w:pPr>
    </w:p>
    <w:p>
      <w:pPr>
        <w:pStyle w:val="1167"/>
        <w:rPr>
          <w:rFonts w:hint="default" w:ascii="Times New Roman" w:hAnsi="Times New Roman" w:cs="Times New Roman" w:eastAsiaTheme="minorEastAsia"/>
          <w:color w:val="000000" w:themeColor="text1"/>
          <w14:textFill>
            <w14:solidFill>
              <w14:schemeClr w14:val="tx1"/>
            </w14:solidFill>
          </w14:textFill>
        </w:rPr>
      </w:pP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6.1.3 施工废水</w:t>
      </w:r>
    </w:p>
    <w:p>
      <w:pPr>
        <w:autoSpaceDE w:val="0"/>
        <w:autoSpaceDN w:val="0"/>
        <w:spacing w:line="500" w:lineRule="exact"/>
        <w:ind w:firstLine="560"/>
        <w:rPr>
          <w:rFonts w:hint="default" w:ascii="Times New Roman" w:hAnsi="Times New Roman" w:cs="Times New Roman" w:eastAsiaTheme="minorEastAsia"/>
          <w:color w:val="000000" w:themeColor="text1"/>
          <w:kern w:val="0"/>
          <w:sz w:val="24"/>
          <w:szCs w:val="24"/>
          <w14:textFill>
            <w14:solidFill>
              <w14:schemeClr w14:val="tx1"/>
            </w14:solidFill>
          </w14:textFill>
        </w:rPr>
      </w:pPr>
      <w:r>
        <w:rPr>
          <w:rFonts w:hint="default" w:ascii="Times New Roman" w:hAnsi="Times New Roman" w:cs="Times New Roman" w:eastAsiaTheme="minorEastAsia"/>
          <w:color w:val="000000" w:themeColor="text1"/>
          <w:kern w:val="0"/>
          <w:sz w:val="24"/>
          <w:szCs w:val="24"/>
          <w14:textFill>
            <w14:solidFill>
              <w14:schemeClr w14:val="tx1"/>
            </w14:solidFill>
          </w14:textFill>
        </w:rPr>
        <w:t>对施工排放的废水要进行收集和处理。应对工地一般性废水进行收集和沉淀，复用于制砂浆与场地洒水等。</w:t>
      </w:r>
    </w:p>
    <w:p>
      <w:pPr>
        <w:autoSpaceDE w:val="0"/>
        <w:autoSpaceDN w:val="0"/>
        <w:spacing w:line="500" w:lineRule="exact"/>
        <w:ind w:firstLine="560"/>
        <w:rPr>
          <w:rFonts w:hint="default" w:ascii="Times New Roman" w:hAnsi="Times New Roman" w:cs="Times New Roman" w:eastAsiaTheme="minorEastAsia"/>
          <w:color w:val="000000" w:themeColor="text1"/>
          <w:kern w:val="0"/>
          <w:sz w:val="24"/>
          <w:szCs w:val="24"/>
          <w14:textFill>
            <w14:solidFill>
              <w14:schemeClr w14:val="tx1"/>
            </w14:solidFill>
          </w14:textFill>
        </w:rPr>
      </w:pPr>
      <w:r>
        <w:rPr>
          <w:rFonts w:hint="default" w:ascii="Times New Roman" w:hAnsi="Times New Roman" w:cs="Times New Roman" w:eastAsiaTheme="minorEastAsia"/>
          <w:color w:val="000000" w:themeColor="text1"/>
          <w:kern w:val="0"/>
          <w:sz w:val="24"/>
          <w:szCs w:val="24"/>
          <w14:textFill>
            <w14:solidFill>
              <w14:schemeClr w14:val="tx1"/>
            </w14:solidFill>
          </w14:textFill>
        </w:rPr>
        <w:t>施工人员生活污水统一排入临时防渗旱厕定期清淘外运堆肥。</w:t>
      </w: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6.1.4 施工固体废物</w:t>
      </w:r>
    </w:p>
    <w:p>
      <w:pPr>
        <w:autoSpaceDE w:val="0"/>
        <w:autoSpaceDN w:val="0"/>
        <w:spacing w:line="500" w:lineRule="exact"/>
        <w:ind w:firstLine="560"/>
        <w:rPr>
          <w:rFonts w:hint="default" w:ascii="Times New Roman" w:hAnsi="Times New Roman" w:cs="Times New Roman" w:eastAsiaTheme="minorEastAsia"/>
          <w:color w:val="000000" w:themeColor="text1"/>
          <w:kern w:val="0"/>
          <w:sz w:val="24"/>
          <w:szCs w:val="24"/>
          <w14:textFill>
            <w14:solidFill>
              <w14:schemeClr w14:val="tx1"/>
            </w14:solidFill>
          </w14:textFill>
        </w:rPr>
      </w:pPr>
      <w:r>
        <w:rPr>
          <w:rFonts w:hint="default" w:ascii="Times New Roman" w:hAnsi="Times New Roman" w:cs="Times New Roman" w:eastAsiaTheme="minorEastAsia"/>
          <w:color w:val="000000" w:themeColor="text1"/>
          <w:kern w:val="0"/>
          <w:sz w:val="24"/>
          <w:szCs w:val="24"/>
          <w14:textFill>
            <w14:solidFill>
              <w14:schemeClr w14:val="tx1"/>
            </w14:solidFill>
          </w14:textFill>
        </w:rPr>
        <w:t>建设施工期的固体废物主要为施工弃土及施工人员的少量生活垃圾等。</w:t>
      </w:r>
    </w:p>
    <w:p>
      <w:pPr>
        <w:autoSpaceDE w:val="0"/>
        <w:autoSpaceDN w:val="0"/>
        <w:spacing w:line="500" w:lineRule="exact"/>
        <w:ind w:firstLine="560"/>
        <w:rPr>
          <w:rFonts w:hint="default" w:ascii="Times New Roman" w:hAnsi="Times New Roman" w:cs="Times New Roman" w:eastAsiaTheme="minorEastAsia"/>
          <w:color w:val="000000" w:themeColor="text1"/>
          <w:kern w:val="0"/>
          <w:sz w:val="24"/>
          <w:szCs w:val="24"/>
          <w14:textFill>
            <w14:solidFill>
              <w14:schemeClr w14:val="tx1"/>
            </w14:solidFill>
          </w14:textFill>
        </w:rPr>
      </w:pPr>
      <w:r>
        <w:rPr>
          <w:rFonts w:hint="default" w:ascii="Times New Roman" w:hAnsi="Times New Roman" w:cs="Times New Roman" w:eastAsiaTheme="minorEastAsia"/>
          <w:color w:val="000000" w:themeColor="text1"/>
          <w:kern w:val="0"/>
          <w:sz w:val="24"/>
          <w:szCs w:val="24"/>
          <w14:textFill>
            <w14:solidFill>
              <w14:schemeClr w14:val="tx1"/>
            </w14:solidFill>
          </w14:textFill>
        </w:rPr>
        <w:t>（</w:t>
      </w:r>
      <w:r>
        <w:rPr>
          <w:rFonts w:hint="default" w:ascii="Times New Roman" w:hAnsi="Times New Roman" w:cs="Times New Roman" w:eastAsiaTheme="minorEastAsia"/>
          <w:color w:val="000000" w:themeColor="text1"/>
          <w:sz w:val="24"/>
          <w:szCs w:val="22"/>
          <w14:textFill>
            <w14:solidFill>
              <w14:schemeClr w14:val="tx1"/>
            </w14:solidFill>
          </w14:textFill>
        </w:rPr>
        <w:t>1</w:t>
      </w:r>
      <w:r>
        <w:rPr>
          <w:rFonts w:hint="default" w:ascii="Times New Roman" w:hAnsi="Times New Roman" w:cs="Times New Roman" w:eastAsiaTheme="minorEastAsia"/>
          <w:color w:val="000000" w:themeColor="text1"/>
          <w:kern w:val="0"/>
          <w:sz w:val="24"/>
          <w:szCs w:val="24"/>
          <w14:textFill>
            <w14:solidFill>
              <w14:schemeClr w14:val="tx1"/>
            </w14:solidFill>
          </w14:textFill>
        </w:rPr>
        <w:t>）施工过程中产生的建筑垃圾应及时清运，由施工单位</w:t>
      </w:r>
      <w:r>
        <w:rPr>
          <w:rFonts w:hint="default" w:ascii="Times New Roman" w:hAnsi="Times New Roman" w:cs="Times New Roman" w:eastAsiaTheme="minorEastAsia"/>
          <w:color w:val="000000" w:themeColor="text1"/>
          <w:sz w:val="24"/>
          <w:szCs w:val="22"/>
          <w14:textFill>
            <w14:solidFill>
              <w14:schemeClr w14:val="tx1"/>
            </w14:solidFill>
          </w14:textFill>
        </w:rPr>
        <w:t>送至肇源县利民城市垃圾处理厂处理，不得随意倾倒建筑垃圾。</w:t>
      </w:r>
      <w:r>
        <w:rPr>
          <w:rFonts w:hint="default" w:ascii="Times New Roman" w:hAnsi="Times New Roman" w:cs="Times New Roman" w:eastAsiaTheme="minorEastAsia"/>
          <w:color w:val="000000" w:themeColor="text1"/>
          <w:kern w:val="0"/>
          <w:sz w:val="24"/>
          <w:szCs w:val="24"/>
          <w14:textFill>
            <w14:solidFill>
              <w14:schemeClr w14:val="tx1"/>
            </w14:solidFill>
          </w14:textFill>
        </w:rPr>
        <w:t>运出废物应使用苫布遮盖，不得沿街洒落泥土。</w:t>
      </w:r>
      <w:r>
        <w:rPr>
          <w:rFonts w:hint="default" w:ascii="Times New Roman" w:hAnsi="Times New Roman" w:cs="Times New Roman" w:eastAsiaTheme="minorEastAsia"/>
          <w:color w:val="000000" w:themeColor="text1"/>
          <w:sz w:val="24"/>
          <w:szCs w:val="22"/>
          <w:lang w:val="en-GB"/>
          <w14:textFill>
            <w14:solidFill>
              <w14:schemeClr w14:val="tx1"/>
            </w14:solidFill>
          </w14:textFill>
        </w:rPr>
        <w:t>挖方弃土用于回填，少量弃土用于厂区道路平整。</w:t>
      </w:r>
    </w:p>
    <w:p>
      <w:pPr>
        <w:autoSpaceDE w:val="0"/>
        <w:autoSpaceDN w:val="0"/>
        <w:spacing w:line="500" w:lineRule="exact"/>
        <w:ind w:firstLine="560"/>
        <w:rPr>
          <w:rFonts w:hint="default" w:ascii="Times New Roman" w:hAnsi="Times New Roman" w:cs="Times New Roman" w:eastAsiaTheme="minorEastAsia"/>
          <w:color w:val="000000" w:themeColor="text1"/>
          <w:kern w:val="0"/>
          <w:sz w:val="24"/>
          <w:szCs w:val="24"/>
          <w14:textFill>
            <w14:solidFill>
              <w14:schemeClr w14:val="tx1"/>
            </w14:solidFill>
          </w14:textFill>
        </w:rPr>
      </w:pPr>
      <w:r>
        <w:rPr>
          <w:rFonts w:hint="default" w:ascii="Times New Roman" w:hAnsi="Times New Roman" w:cs="Times New Roman" w:eastAsiaTheme="minorEastAsia"/>
          <w:color w:val="000000" w:themeColor="text1"/>
          <w:kern w:val="0"/>
          <w:sz w:val="24"/>
          <w:szCs w:val="24"/>
          <w14:textFill>
            <w14:solidFill>
              <w14:schemeClr w14:val="tx1"/>
            </w14:solidFill>
          </w14:textFill>
        </w:rPr>
        <w:t>（</w:t>
      </w:r>
      <w:r>
        <w:rPr>
          <w:rFonts w:hint="default" w:ascii="Times New Roman" w:hAnsi="Times New Roman" w:cs="Times New Roman" w:eastAsiaTheme="minorEastAsia"/>
          <w:color w:val="000000" w:themeColor="text1"/>
          <w:sz w:val="24"/>
          <w:szCs w:val="22"/>
          <w14:textFill>
            <w14:solidFill>
              <w14:schemeClr w14:val="tx1"/>
            </w14:solidFill>
          </w14:textFill>
        </w:rPr>
        <w:t>2</w:t>
      </w:r>
      <w:r>
        <w:rPr>
          <w:rFonts w:hint="default" w:ascii="Times New Roman" w:hAnsi="Times New Roman" w:cs="Times New Roman" w:eastAsiaTheme="minorEastAsia"/>
          <w:color w:val="000000" w:themeColor="text1"/>
          <w:kern w:val="0"/>
          <w:sz w:val="24"/>
          <w:szCs w:val="24"/>
          <w14:textFill>
            <w14:solidFill>
              <w14:schemeClr w14:val="tx1"/>
            </w14:solidFill>
          </w14:textFill>
        </w:rPr>
        <w:t>）施工人员产生的生活垃圾量较少，设置固定垃圾箱存放，集中收集后由施工单位负责拉运至义顺乡垃圾收集点，位于本项目南侧</w:t>
      </w:r>
      <w:r>
        <w:rPr>
          <w:rFonts w:hint="default" w:ascii="Times New Roman" w:hAnsi="Times New Roman" w:cs="Times New Roman" w:eastAsiaTheme="minorEastAsia"/>
          <w:color w:val="000000" w:themeColor="text1"/>
          <w:sz w:val="24"/>
          <w:szCs w:val="22"/>
          <w14:textFill>
            <w14:solidFill>
              <w14:schemeClr w14:val="tx1"/>
            </w14:solidFill>
          </w14:textFill>
        </w:rPr>
        <w:t>3.5km</w:t>
      </w:r>
      <w:r>
        <w:rPr>
          <w:rFonts w:hint="default" w:ascii="Times New Roman" w:hAnsi="Times New Roman" w:cs="Times New Roman" w:eastAsiaTheme="minorEastAsia"/>
          <w:color w:val="000000" w:themeColor="text1"/>
          <w:kern w:val="0"/>
          <w:sz w:val="24"/>
          <w:szCs w:val="24"/>
          <w14:textFill>
            <w14:solidFill>
              <w14:schemeClr w14:val="tx1"/>
            </w14:solidFill>
          </w14:textFill>
        </w:rPr>
        <w:t>，不得随意丢弃。</w:t>
      </w: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6.1.5 施工期生态保护措施</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建设项目施工期，在建、构物基础施工进行挖方作业时，避开雨季和大风日，并对临时堆土采取遮盖措施，同时加快工程的施工进度，以缩短地面裸露时间，减少水土流失量。厂区地基开挖及平整产生的土石方及时回填，分块实施，及时平整压实。施工期物料运输车辆应在规定施工便道行驶，禁止破坏施工区外绿地草坪。</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针对工程在建设过程中可能引起、加剧水土流失的主要特点，按照“开发建设与水土流失防治并重”的方针，在工程施工前就水土流失方面预先与施工单位签订防治水土流失责任书，并且做好填挖土方的平衡工作，尽可能减少弃土、弃渣。在施工期，对工程拟建地尚未开发的区域不得随意破坏其原有地表植被，并约束施工单位文明施工，减少不必要的水土流失。</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本工程开发区域沙化土壤分布较少，区域内沙化土地所占的比重较小，为减轻植被破坏和生态系统受工程影响可能导致的沙化现象，防患于未然，建设单位应采取以下措施进行控制:</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1、施工设备如有临时放置尽量不破坏原有地貌，施工结束后及时对现场进行清理，对破坏的土地进行平整并压实，利于植被自然恢复。</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2、施工结束后要立即对施工现场进行回填平整，并尽可能覆土压实，基本程序是回填-平整-覆土-压实。工程回填物应首先考虑弃土、弃石和弃渣，并做到“挖填平衡”。</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3、施工时要特别注意保护原始地表与天然植被，划定施工活动范围，严格控制和管理车辆及重型机械的运行范围，所有车辆采用“一”字型作业法，避免并行开辟新路，以减少风蚀沙化活动的范围。</w:t>
      </w:r>
    </w:p>
    <w:p>
      <w:pPr>
        <w:pStyle w:val="639"/>
        <w:rPr>
          <w:rFonts w:hint="default" w:ascii="Times New Roman" w:hAnsi="Times New Roman" w:cs="Times New Roman" w:eastAsiaTheme="minorEastAsia"/>
          <w:b/>
          <w:bCs w:val="0"/>
          <w:color w:val="000000" w:themeColor="text1"/>
          <w14:textFill>
            <w14:solidFill>
              <w14:schemeClr w14:val="tx1"/>
            </w14:solidFill>
          </w14:textFill>
        </w:rPr>
      </w:pPr>
      <w:bookmarkStart w:id="220" w:name="_Toc245356817"/>
      <w:bookmarkStart w:id="221" w:name="_Toc243652829"/>
      <w:bookmarkStart w:id="222" w:name="_Toc246177226"/>
      <w:bookmarkStart w:id="223" w:name="_Toc288640058"/>
      <w:bookmarkStart w:id="224" w:name="_Toc458421841"/>
      <w:bookmarkStart w:id="225" w:name="_Toc17053"/>
      <w:r>
        <w:rPr>
          <w:rFonts w:hint="default" w:ascii="Times New Roman" w:hAnsi="Times New Roman" w:cs="Times New Roman" w:eastAsiaTheme="minorEastAsia"/>
          <w:b/>
          <w:bCs w:val="0"/>
          <w:color w:val="000000" w:themeColor="text1"/>
          <w14:textFill>
            <w14:solidFill>
              <w14:schemeClr w14:val="tx1"/>
            </w14:solidFill>
          </w14:textFill>
        </w:rPr>
        <w:t>6.</w:t>
      </w:r>
      <w:bookmarkEnd w:id="220"/>
      <w:bookmarkEnd w:id="221"/>
      <w:bookmarkEnd w:id="222"/>
      <w:r>
        <w:rPr>
          <w:rFonts w:hint="default" w:ascii="Times New Roman" w:hAnsi="Times New Roman" w:cs="Times New Roman" w:eastAsiaTheme="minorEastAsia"/>
          <w:b/>
          <w:bCs w:val="0"/>
          <w:color w:val="000000" w:themeColor="text1"/>
          <w14:textFill>
            <w14:solidFill>
              <w14:schemeClr w14:val="tx1"/>
            </w14:solidFill>
          </w14:textFill>
        </w:rPr>
        <w:t>2 运营期环境保护措施</w:t>
      </w:r>
      <w:bookmarkEnd w:id="223"/>
      <w:bookmarkEnd w:id="224"/>
      <w:bookmarkEnd w:id="225"/>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6.2.1 地表水环境保护措施</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雨污分流，厂区内设置雨水雨水收集管沟，雨水汇流后排至厂区外边沟。运营期废水污染源主要为牛尿、牛舍冲洗废水、牛舍喷淋废水、挤奶厅清洗废水、生活污水等，牛尿、牛舍冲洗废水、牛舍喷淋水经牛舍粪沟统一收集，与挤奶厅清洗废水一同运至固液分离间进行固液分离，分离后液体排入黑膜沼气池发酵，生活污水进入化粪池后利用吸污车定期抽运至黑膜沼气池，</w:t>
      </w:r>
      <w:r>
        <w:rPr>
          <w:rFonts w:hint="default" w:ascii="Times New Roman" w:hAnsi="Times New Roman" w:cs="Times New Roman" w:eastAsiaTheme="minorEastAsia"/>
          <w:color w:val="000000" w:themeColor="text1"/>
          <w:sz w:val="24"/>
          <w:szCs w:val="24"/>
          <w14:textFill>
            <w14:solidFill>
              <w14:schemeClr w14:val="tx1"/>
            </w14:solidFill>
          </w14:textFill>
        </w:rPr>
        <w:t>发酵后进入沼液储池，满足《畜禽粪便还田技术规范》（GB/T 25246-2010）表2卫生要求，定期还田，由罐车拉运至消纳土地，采用重力自压式进行还田</w:t>
      </w:r>
      <w:r>
        <w:rPr>
          <w:rFonts w:hint="default" w:ascii="Times New Roman" w:hAnsi="Times New Roman" w:cs="Times New Roman" w:eastAsiaTheme="minorEastAsia"/>
          <w:color w:val="000000" w:themeColor="text1"/>
          <w:sz w:val="24"/>
          <w:szCs w:val="22"/>
          <w14:textFill>
            <w14:solidFill>
              <w14:schemeClr w14:val="tx1"/>
            </w14:solidFill>
          </w14:textFill>
        </w:rPr>
        <w:t>。</w:t>
      </w: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6.2.2 大气环境保护措施</w:t>
      </w:r>
    </w:p>
    <w:p>
      <w:pPr>
        <w:pStyle w:val="129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6.2.2.1 有组织废气</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（1）沼气经脱硫后送至</w:t>
      </w:r>
      <w:r>
        <w:rPr>
          <w:rFonts w:hint="default" w:ascii="Times New Roman" w:hAnsi="Times New Roman" w:cs="Times New Roman" w:eastAsiaTheme="minorEastAsia"/>
          <w:color w:val="auto"/>
          <w:sz w:val="24"/>
          <w:szCs w:val="22"/>
          <w:highlight w:val="none"/>
          <w:lang w:eastAsia="zh-CN"/>
        </w:rPr>
        <w:t>火炬</w:t>
      </w:r>
      <w:r>
        <w:rPr>
          <w:rFonts w:hint="default" w:ascii="Times New Roman" w:hAnsi="Times New Roman" w:cs="Times New Roman" w:eastAsiaTheme="minorEastAsia"/>
          <w:color w:val="auto"/>
          <w:sz w:val="24"/>
          <w:szCs w:val="22"/>
          <w:highlight w:val="none"/>
        </w:rPr>
        <w:t>燃烧</w:t>
      </w:r>
      <w:r>
        <w:rPr>
          <w:rFonts w:hint="default" w:ascii="Times New Roman" w:hAnsi="Times New Roman" w:cs="Times New Roman" w:eastAsiaTheme="minorEastAsia"/>
          <w:color w:val="auto"/>
          <w:sz w:val="24"/>
          <w:szCs w:val="22"/>
          <w:highlight w:val="none"/>
          <w:lang w:eastAsia="zh-CN"/>
        </w:rPr>
        <w:t>消耗掉</w:t>
      </w:r>
      <w:r>
        <w:rPr>
          <w:rFonts w:hint="default" w:ascii="Times New Roman" w:hAnsi="Times New Roman" w:cs="Times New Roman" w:eastAsiaTheme="minorEastAsia"/>
          <w:color w:val="auto"/>
          <w:sz w:val="24"/>
          <w:szCs w:val="22"/>
          <w:highlight w:val="none"/>
        </w:rPr>
        <w:t>，沼气燃烧废气中SO</w:t>
      </w:r>
      <w:r>
        <w:rPr>
          <w:rFonts w:hint="default" w:ascii="Times New Roman" w:hAnsi="Times New Roman" w:cs="Times New Roman" w:eastAsiaTheme="minorEastAsia"/>
          <w:color w:val="auto"/>
          <w:sz w:val="24"/>
          <w:szCs w:val="22"/>
          <w:highlight w:val="none"/>
          <w:vertAlign w:val="subscript"/>
        </w:rPr>
        <w:t>2</w:t>
      </w:r>
      <w:r>
        <w:rPr>
          <w:rFonts w:hint="default" w:ascii="Times New Roman" w:hAnsi="Times New Roman" w:cs="Times New Roman" w:eastAsiaTheme="minorEastAsia"/>
          <w:color w:val="auto"/>
          <w:sz w:val="24"/>
          <w:szCs w:val="22"/>
          <w:highlight w:val="none"/>
        </w:rPr>
        <w:t>排放速率为0.00026kg/h（0.0011t/a），颗粒物排放速率为0.00037kg/h（0.0016t/a），NO</w:t>
      </w:r>
      <w:r>
        <w:rPr>
          <w:rFonts w:hint="default" w:ascii="Times New Roman" w:hAnsi="Times New Roman" w:cs="Times New Roman" w:eastAsiaTheme="minorEastAsia"/>
          <w:color w:val="auto"/>
          <w:sz w:val="24"/>
          <w:szCs w:val="22"/>
          <w:highlight w:val="none"/>
          <w:vertAlign w:val="subscript"/>
        </w:rPr>
        <w:t>x</w:t>
      </w:r>
      <w:r>
        <w:rPr>
          <w:rFonts w:hint="default" w:ascii="Times New Roman" w:hAnsi="Times New Roman" w:cs="Times New Roman" w:eastAsiaTheme="minorEastAsia"/>
          <w:color w:val="auto"/>
          <w:sz w:val="24"/>
          <w:szCs w:val="22"/>
          <w:highlight w:val="none"/>
        </w:rPr>
        <w:t>排放速率为0.0024kg/h（0.01t/a）。基准烟气量为13.58Nm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/h。SO</w:t>
      </w:r>
      <w:r>
        <w:rPr>
          <w:rFonts w:hint="default" w:ascii="Times New Roman" w:hAnsi="Times New Roman" w:cs="Times New Roman" w:eastAsiaTheme="minorEastAsia"/>
          <w:color w:val="auto"/>
          <w:sz w:val="24"/>
          <w:szCs w:val="22"/>
          <w:highlight w:val="none"/>
          <w:vertAlign w:val="subscript"/>
        </w:rPr>
        <w:t>2</w:t>
      </w:r>
      <w:r>
        <w:rPr>
          <w:rFonts w:hint="default" w:ascii="Times New Roman" w:hAnsi="Times New Roman" w:cs="Times New Roman" w:eastAsiaTheme="minorEastAsia"/>
          <w:color w:val="auto"/>
          <w:sz w:val="24"/>
          <w:szCs w:val="22"/>
          <w:highlight w:val="none"/>
        </w:rPr>
        <w:t>排放浓度为19.14mg/m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，颗粒物排放浓度为27.24mg/m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，NO</w:t>
      </w:r>
      <w:r>
        <w:rPr>
          <w:rFonts w:hint="default" w:ascii="Times New Roman" w:hAnsi="Times New Roman" w:cs="Times New Roman" w:eastAsiaTheme="minorEastAsia"/>
          <w:color w:val="auto"/>
          <w:sz w:val="24"/>
          <w:szCs w:val="22"/>
          <w:highlight w:val="none"/>
          <w:vertAlign w:val="subscript"/>
        </w:rPr>
        <w:t>x</w:t>
      </w:r>
      <w:r>
        <w:rPr>
          <w:rFonts w:hint="default" w:ascii="Times New Roman" w:hAnsi="Times New Roman" w:cs="Times New Roman" w:eastAsiaTheme="minorEastAsia"/>
          <w:color w:val="auto"/>
          <w:sz w:val="24"/>
          <w:szCs w:val="22"/>
          <w:highlight w:val="none"/>
        </w:rPr>
        <w:t>排放浓度为176.73mg/m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。沼气燃烧废气满足《大气污染物综合排放标准》（GB16297-1996）中表2二级标准后经15m高排气筒排放。</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（2）固液分离间恶臭</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本项目建设固液分离间对牛舍内产生的牛尿、牛舍冲洗废水、挤奶厅清洗废水等进行固液分离，固液分离后的固体外运处置堆肥。固液分离间操作产生恶臭气体，主要为氨和硫化氢，固液分离间密闭，</w:t>
      </w:r>
      <w:r>
        <w:rPr>
          <w:rFonts w:hint="default" w:ascii="Times New Roman" w:hAnsi="Times New Roman" w:cs="Times New Roman" w:eastAsiaTheme="minorEastAsia"/>
          <w:color w:val="auto"/>
          <w:sz w:val="24"/>
          <w:szCs w:val="24"/>
          <w:highlight w:val="none"/>
        </w:rPr>
        <w:t>负压收集废气送活性炭吸附装置处理后通过15 m高排气筒排放，配套风机风量为2000 m</w:t>
      </w:r>
      <w:r>
        <w:rPr>
          <w:rFonts w:hint="default" w:ascii="Times New Roman" w:hAnsi="Times New Roman" w:cs="Times New Roman" w:eastAsiaTheme="minorEastAsia"/>
          <w:color w:val="auto"/>
          <w:sz w:val="24"/>
          <w:szCs w:val="24"/>
          <w:highlight w:val="none"/>
          <w:vertAlign w:val="superscript"/>
        </w:rPr>
        <w:t>3</w:t>
      </w:r>
      <w:r>
        <w:rPr>
          <w:rFonts w:hint="default" w:ascii="Times New Roman" w:hAnsi="Times New Roman" w:cs="Times New Roman" w:eastAsiaTheme="minorEastAsia"/>
          <w:color w:val="auto"/>
          <w:sz w:val="24"/>
          <w:szCs w:val="24"/>
          <w:highlight w:val="none"/>
        </w:rPr>
        <w:t>/h。</w:t>
      </w:r>
      <w:r>
        <w:rPr>
          <w:rFonts w:hint="default" w:ascii="Times New Roman" w:hAnsi="Times New Roman" w:cs="Times New Roman" w:eastAsiaTheme="minorEastAsia"/>
          <w:color w:val="auto"/>
          <w:sz w:val="24"/>
          <w:szCs w:val="22"/>
          <w:highlight w:val="none"/>
        </w:rPr>
        <w:t>本项目固液分离间采用活性炭吸附除臭，去除率为70%，集气率为90%，则固液分离间NH</w:t>
      </w:r>
      <w:r>
        <w:rPr>
          <w:rFonts w:hint="default" w:ascii="Times New Roman" w:hAnsi="Times New Roman" w:cs="Times New Roman" w:eastAsiaTheme="minorEastAsia"/>
          <w:color w:val="auto"/>
          <w:sz w:val="24"/>
          <w:szCs w:val="22"/>
          <w:highlight w:val="none"/>
          <w:vertAlign w:val="subscript"/>
        </w:rPr>
        <w:t>3</w:t>
      </w:r>
      <w:r>
        <w:rPr>
          <w:rFonts w:hint="default" w:ascii="Times New Roman" w:hAnsi="Times New Roman" w:cs="Times New Roman" w:eastAsiaTheme="minorEastAsia"/>
          <w:color w:val="auto"/>
          <w:sz w:val="24"/>
          <w:szCs w:val="22"/>
          <w:highlight w:val="none"/>
        </w:rPr>
        <w:t>、H</w:t>
      </w:r>
      <w:r>
        <w:rPr>
          <w:rFonts w:hint="default" w:ascii="Times New Roman" w:hAnsi="Times New Roman" w:cs="Times New Roman" w:eastAsiaTheme="minorEastAsia"/>
          <w:color w:val="auto"/>
          <w:sz w:val="24"/>
          <w:szCs w:val="22"/>
          <w:highlight w:val="none"/>
          <w:vertAlign w:val="subscript"/>
        </w:rPr>
        <w:t>2</w:t>
      </w:r>
      <w:r>
        <w:rPr>
          <w:rFonts w:hint="default" w:ascii="Times New Roman" w:hAnsi="Times New Roman" w:cs="Times New Roman" w:eastAsiaTheme="minorEastAsia"/>
          <w:color w:val="auto"/>
          <w:sz w:val="24"/>
          <w:szCs w:val="22"/>
          <w:highlight w:val="none"/>
        </w:rPr>
        <w:t>S有组织排放速率分别为0.0008kg/h和0.0005kg/h。NH</w:t>
      </w:r>
      <w:r>
        <w:rPr>
          <w:rFonts w:hint="default" w:ascii="Times New Roman" w:hAnsi="Times New Roman" w:cs="Times New Roman" w:eastAsiaTheme="minorEastAsia"/>
          <w:color w:val="auto"/>
          <w:sz w:val="24"/>
          <w:szCs w:val="22"/>
          <w:highlight w:val="none"/>
          <w:vertAlign w:val="subscript"/>
        </w:rPr>
        <w:t>3</w:t>
      </w:r>
      <w:r>
        <w:rPr>
          <w:rFonts w:hint="default" w:ascii="Times New Roman" w:hAnsi="Times New Roman" w:cs="Times New Roman" w:eastAsiaTheme="minorEastAsia"/>
          <w:color w:val="auto"/>
          <w:sz w:val="24"/>
          <w:szCs w:val="22"/>
          <w:highlight w:val="none"/>
        </w:rPr>
        <w:t>排放浓度为0.4mg/m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，H</w:t>
      </w:r>
      <w:r>
        <w:rPr>
          <w:rFonts w:hint="default" w:ascii="Times New Roman" w:hAnsi="Times New Roman" w:cs="Times New Roman" w:eastAsiaTheme="minorEastAsia"/>
          <w:color w:val="auto"/>
          <w:sz w:val="24"/>
          <w:szCs w:val="22"/>
          <w:highlight w:val="none"/>
          <w:vertAlign w:val="subscript"/>
        </w:rPr>
        <w:t>2</w:t>
      </w:r>
      <w:r>
        <w:rPr>
          <w:rFonts w:hint="default" w:ascii="Times New Roman" w:hAnsi="Times New Roman" w:cs="Times New Roman" w:eastAsiaTheme="minorEastAsia"/>
          <w:color w:val="auto"/>
          <w:sz w:val="24"/>
          <w:szCs w:val="22"/>
          <w:highlight w:val="none"/>
        </w:rPr>
        <w:t>S排放浓度为0.25mg/m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。固液分离间排放废气满足</w:t>
      </w:r>
      <w:r>
        <w:rPr>
          <w:rFonts w:hint="default" w:ascii="Times New Roman" w:hAnsi="Times New Roman" w:cs="Times New Roman" w:eastAsiaTheme="minorEastAsia"/>
          <w:color w:val="auto"/>
          <w:sz w:val="24"/>
          <w:szCs w:val="24"/>
          <w:highlight w:val="none"/>
        </w:rPr>
        <w:t>《恶臭污染物排放标准》（GB14554-93）中表2恶臭污染物排放标准值</w:t>
      </w:r>
      <w:r>
        <w:rPr>
          <w:rFonts w:hint="default" w:ascii="Times New Roman" w:hAnsi="Times New Roman" w:cs="Times New Roman" w:eastAsiaTheme="minorEastAsia"/>
          <w:color w:val="auto"/>
          <w:sz w:val="24"/>
          <w:szCs w:val="22"/>
          <w:highlight w:val="none"/>
        </w:rPr>
        <w:t>后经15m高排气筒排放。</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（3）生物质采暖锅炉</w:t>
      </w:r>
    </w:p>
    <w:p>
      <w:pPr>
        <w:spacing w:line="480" w:lineRule="exact"/>
        <w:ind w:firstLine="592"/>
        <w:rPr>
          <w:rFonts w:hint="default" w:ascii="Times New Roman" w:hAnsi="Times New Roman" w:cs="Times New Roman" w:eastAsiaTheme="minorEastAsia"/>
          <w:sz w:val="24"/>
          <w:szCs w:val="24"/>
        </w:rPr>
      </w:pPr>
      <w:r>
        <w:rPr>
          <w:rFonts w:hint="default" w:ascii="Times New Roman" w:hAnsi="Times New Roman" w:cs="Times New Roman" w:eastAsiaTheme="minorEastAsia"/>
          <w:snapToGrid w:val="0"/>
          <w:color w:val="auto"/>
          <w:spacing w:val="8"/>
          <w:sz w:val="24"/>
          <w:szCs w:val="24"/>
          <w:highlight w:val="none"/>
        </w:rPr>
        <w:t>本项目设锅炉房一座，新建1台7MW生物质热水锅炉，配套安装布袋除尘器。设置1个烟囱，高度为2</w:t>
      </w:r>
      <w:r>
        <w:rPr>
          <w:rFonts w:hint="default" w:ascii="Times New Roman" w:hAnsi="Times New Roman" w:cs="Times New Roman" w:eastAsiaTheme="minorEastAsia"/>
          <w:snapToGrid w:val="0"/>
          <w:color w:val="auto"/>
          <w:spacing w:val="8"/>
          <w:sz w:val="24"/>
          <w:szCs w:val="24"/>
          <w:highlight w:val="none"/>
          <w:lang w:val="en-US" w:eastAsia="zh-CN"/>
        </w:rPr>
        <w:t>5</w:t>
      </w:r>
      <w:r>
        <w:rPr>
          <w:rFonts w:hint="default" w:ascii="Times New Roman" w:hAnsi="Times New Roman" w:cs="Times New Roman" w:eastAsiaTheme="minorEastAsia"/>
          <w:snapToGrid w:val="0"/>
          <w:color w:val="auto"/>
          <w:spacing w:val="8"/>
          <w:sz w:val="24"/>
          <w:szCs w:val="24"/>
          <w:highlight w:val="none"/>
        </w:rPr>
        <w:t>m。锅炉燃料为生物质颗粒，主要用于采暖。锅炉年运行时间150d左右，每天运行时间20h，约消耗生物质成型燃料2100t/a。</w:t>
      </w:r>
      <w:r>
        <w:rPr>
          <w:rFonts w:hint="default" w:ascii="Times New Roman" w:hAnsi="Times New Roman" w:cs="Times New Roman" w:eastAsiaTheme="minorEastAsia"/>
          <w:color w:val="auto"/>
          <w:sz w:val="24"/>
          <w:szCs w:val="24"/>
          <w:highlight w:val="none"/>
        </w:rPr>
        <w:t>锅炉烟气产生量为1.38×10</w:t>
      </w:r>
      <w:r>
        <w:rPr>
          <w:rFonts w:hint="default" w:ascii="Times New Roman" w:hAnsi="Times New Roman" w:cs="Times New Roman" w:eastAsiaTheme="minorEastAsia"/>
          <w:color w:val="auto"/>
          <w:sz w:val="24"/>
          <w:szCs w:val="24"/>
          <w:highlight w:val="none"/>
          <w:vertAlign w:val="superscript"/>
        </w:rPr>
        <w:t>7</w:t>
      </w:r>
      <w:r>
        <w:rPr>
          <w:rFonts w:hint="default" w:ascii="Times New Roman" w:hAnsi="Times New Roman" w:cs="Times New Roman" w:eastAsiaTheme="minorEastAsia"/>
          <w:color w:val="auto"/>
          <w:sz w:val="24"/>
          <w:szCs w:val="24"/>
          <w:highlight w:val="none"/>
        </w:rPr>
        <w:t>m</w:t>
      </w:r>
      <w:r>
        <w:rPr>
          <w:rFonts w:hint="default" w:ascii="Times New Roman" w:hAnsi="Times New Roman" w:cs="Times New Roman" w:eastAsiaTheme="minorEastAsia"/>
          <w:color w:val="auto"/>
          <w:sz w:val="24"/>
          <w:szCs w:val="24"/>
          <w:highlight w:val="none"/>
          <w:vertAlign w:val="superscript"/>
        </w:rPr>
        <w:t>3</w:t>
      </w:r>
      <w:r>
        <w:rPr>
          <w:rFonts w:hint="default" w:ascii="Times New Roman" w:hAnsi="Times New Roman" w:cs="Times New Roman" w:eastAsiaTheme="minorEastAsia"/>
          <w:color w:val="auto"/>
          <w:sz w:val="24"/>
          <w:szCs w:val="24"/>
          <w:highlight w:val="none"/>
        </w:rPr>
        <w:t>/a，颗粒物产生浓度为170.29mg/m</w:t>
      </w:r>
      <w:r>
        <w:rPr>
          <w:rFonts w:hint="default" w:ascii="Times New Roman" w:hAnsi="Times New Roman" w:cs="Times New Roman" w:eastAsiaTheme="minorEastAsia"/>
          <w:color w:val="auto"/>
          <w:sz w:val="24"/>
          <w:szCs w:val="24"/>
          <w:highlight w:val="none"/>
          <w:vertAlign w:val="superscript"/>
        </w:rPr>
        <w:t>3</w:t>
      </w:r>
      <w:r>
        <w:rPr>
          <w:rFonts w:hint="default" w:ascii="Times New Roman" w:hAnsi="Times New Roman" w:cs="Times New Roman" w:eastAsiaTheme="minorEastAsia"/>
          <w:color w:val="auto"/>
          <w:sz w:val="24"/>
          <w:szCs w:val="24"/>
          <w:highlight w:val="none"/>
        </w:rPr>
        <w:t>，产生量2350kg/a；SO</w:t>
      </w:r>
      <w:r>
        <w:rPr>
          <w:rFonts w:hint="default" w:ascii="Times New Roman" w:hAnsi="Times New Roman" w:cs="Times New Roman" w:eastAsiaTheme="minorEastAsia"/>
          <w:color w:val="auto"/>
          <w:sz w:val="24"/>
          <w:szCs w:val="24"/>
          <w:highlight w:val="none"/>
          <w:vertAlign w:val="subscript"/>
        </w:rPr>
        <w:t>2</w:t>
      </w:r>
      <w:r>
        <w:rPr>
          <w:rFonts w:hint="default" w:ascii="Times New Roman" w:hAnsi="Times New Roman" w:cs="Times New Roman" w:eastAsiaTheme="minorEastAsia"/>
          <w:color w:val="auto"/>
          <w:sz w:val="24"/>
          <w:szCs w:val="24"/>
          <w:highlight w:val="none"/>
        </w:rPr>
        <w:t>产生浓度为</w:t>
      </w:r>
      <w:r>
        <w:rPr>
          <w:rFonts w:hint="default" w:ascii="Times New Roman" w:hAnsi="Times New Roman" w:cs="Times New Roman" w:eastAsiaTheme="minorEastAsia"/>
          <w:sz w:val="24"/>
          <w:szCs w:val="24"/>
        </w:rPr>
        <w:t>258.69mg/m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，产生量3570kg/a；NO</w:t>
      </w:r>
      <w:r>
        <w:rPr>
          <w:rFonts w:hint="default" w:ascii="Times New Roman" w:hAnsi="Times New Roman" w:cs="Times New Roman" w:eastAsiaTheme="minorEastAsia"/>
          <w:sz w:val="24"/>
          <w:szCs w:val="24"/>
          <w:vertAlign w:val="subscript"/>
        </w:rPr>
        <w:t>X</w:t>
      </w:r>
      <w:r>
        <w:rPr>
          <w:rFonts w:hint="default" w:ascii="Times New Roman" w:hAnsi="Times New Roman" w:cs="Times New Roman" w:eastAsiaTheme="minorEastAsia"/>
          <w:sz w:val="24"/>
          <w:szCs w:val="24"/>
        </w:rPr>
        <w:t>产生浓度为155.07mg/m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，产生量2140kg/a。布袋除尘器除尘效率95%。经处理后颗粒物排放浓度为8.7mg/m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、排放量120kg/a；SO</w:t>
      </w:r>
      <w:r>
        <w:rPr>
          <w:rFonts w:hint="default" w:ascii="Times New Roman" w:hAnsi="Times New Roman" w:cs="Times New Roman" w:eastAsiaTheme="minorEastAsia"/>
          <w:sz w:val="24"/>
          <w:szCs w:val="24"/>
          <w:vertAlign w:val="subscript"/>
        </w:rPr>
        <w:t>2</w:t>
      </w:r>
      <w:r>
        <w:rPr>
          <w:rFonts w:hint="default" w:ascii="Times New Roman" w:hAnsi="Times New Roman" w:cs="Times New Roman" w:eastAsiaTheme="minorEastAsia"/>
          <w:sz w:val="24"/>
          <w:szCs w:val="24"/>
        </w:rPr>
        <w:t>排放浓度258.69mg/m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、排放量3570kg/a；NO</w:t>
      </w:r>
      <w:r>
        <w:rPr>
          <w:rFonts w:hint="default" w:ascii="Times New Roman" w:hAnsi="Times New Roman" w:cs="Times New Roman" w:eastAsiaTheme="minorEastAsia"/>
          <w:sz w:val="24"/>
          <w:szCs w:val="24"/>
          <w:vertAlign w:val="subscript"/>
        </w:rPr>
        <w:t>X</w:t>
      </w:r>
      <w:r>
        <w:rPr>
          <w:rFonts w:hint="default" w:ascii="Times New Roman" w:hAnsi="Times New Roman" w:cs="Times New Roman" w:eastAsiaTheme="minorEastAsia"/>
          <w:sz w:val="24"/>
          <w:szCs w:val="24"/>
        </w:rPr>
        <w:t>排放浓度为155.07mg/m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、排放量2140kg/a；烟气黑度＜1，各污染物排放浓度满足《锅炉大气污染物排放标准》（GB13271-2014）中表2燃煤锅炉标准，能够做到达标排放。</w:t>
      </w:r>
    </w:p>
    <w:p>
      <w:pPr>
        <w:pStyle w:val="1297"/>
        <w:rPr>
          <w:rFonts w:hint="default" w:ascii="Times New Roman" w:hAnsi="Times New Roman" w:cs="Times New Roman" w:eastAsiaTheme="minorEastAsia"/>
          <w:b/>
          <w:bCs/>
          <w:color w:val="000000" w:themeColor="text1"/>
          <w14:textFill>
            <w14:solidFill>
              <w14:schemeClr w14:val="tx1"/>
            </w14:solidFill>
          </w14:textFill>
        </w:rPr>
      </w:pPr>
      <w:r>
        <w:rPr>
          <w:rFonts w:hint="default" w:ascii="Times New Roman" w:hAnsi="Times New Roman" w:cs="Times New Roman" w:eastAsiaTheme="minorEastAsia"/>
          <w:b/>
          <w:bCs/>
          <w:color w:val="000000" w:themeColor="text1"/>
          <w14:textFill>
            <w14:solidFill>
              <w14:schemeClr w14:val="tx1"/>
            </w14:solidFill>
          </w14:textFill>
        </w:rPr>
        <w:t>6.2.2.2 无组织废气</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（1）牛舍恶臭</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牛舍恶臭污染物中主要成分为氨、硫化氢，本项目牛舍恶臭气体氨产生速率为0.048kg/h，硫化氢产生速率为0.006kg/h。采取加强牛舍卫生管理、改善饲料营养结构和增加清粪次数等措施，具体方法如下：</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①保持牛舍的清洁，及时清除牛舍粪便，牛舍保持干燥清洁；加强通风换气，及时排除有害气体，保持空气清新。</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②定期采取喷洒生物除臭剂，可起到降低牛舍内恶臭浓度的作用。</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fldChar w:fldCharType="begin"/>
      </w:r>
      <w:r>
        <w:rPr>
          <w:rFonts w:hint="default" w:ascii="Times New Roman" w:hAnsi="Times New Roman" w:cs="Times New Roman" w:eastAsiaTheme="minorEastAsia"/>
          <w:color w:val="000000" w:themeColor="text1"/>
          <w:sz w:val="24"/>
          <w:szCs w:val="22"/>
          <w14:textFill>
            <w14:solidFill>
              <w14:schemeClr w14:val="tx1"/>
            </w14:solidFill>
          </w14:textFill>
        </w:rPr>
        <w:instrText xml:space="preserve"> = 3 \* GB3 </w:instrText>
      </w:r>
      <w:r>
        <w:rPr>
          <w:rFonts w:hint="default" w:ascii="Times New Roman" w:hAnsi="Times New Roman" w:cs="Times New Roman" w:eastAsiaTheme="minorEastAsia"/>
          <w:color w:val="000000" w:themeColor="text1"/>
          <w:sz w:val="24"/>
          <w:szCs w:val="22"/>
          <w14:textFill>
            <w14:solidFill>
              <w14:schemeClr w14:val="tx1"/>
            </w14:solidFill>
          </w14:textFill>
        </w:rPr>
        <w:fldChar w:fldCharType="separate"/>
      </w:r>
      <w:r>
        <w:rPr>
          <w:rFonts w:hint="default" w:ascii="Times New Roman" w:hAnsi="Times New Roman" w:cs="Times New Roman" w:eastAsiaTheme="minorEastAsia"/>
          <w:color w:val="000000" w:themeColor="text1"/>
          <w:sz w:val="24"/>
          <w:szCs w:val="22"/>
          <w14:textFill>
            <w14:solidFill>
              <w14:schemeClr w14:val="tx1"/>
            </w14:solidFill>
          </w14:textFill>
        </w:rPr>
        <w:t>③</w:t>
      </w:r>
      <w:r>
        <w:rPr>
          <w:rFonts w:hint="default" w:ascii="Times New Roman" w:hAnsi="Times New Roman" w:cs="Times New Roman" w:eastAsiaTheme="minorEastAsia"/>
          <w:color w:val="000000" w:themeColor="text1"/>
          <w:sz w:val="24"/>
          <w:szCs w:val="22"/>
          <w14:textFill>
            <w14:solidFill>
              <w14:schemeClr w14:val="tx1"/>
            </w14:solidFill>
          </w14:textFill>
        </w:rPr>
        <w:fldChar w:fldCharType="end"/>
      </w:r>
      <w:r>
        <w:rPr>
          <w:rFonts w:hint="default" w:ascii="Times New Roman" w:hAnsi="Times New Roman" w:cs="Times New Roman" w:eastAsiaTheme="minorEastAsia"/>
          <w:color w:val="000000" w:themeColor="text1"/>
          <w:sz w:val="24"/>
          <w:szCs w:val="22"/>
          <w14:textFill>
            <w14:solidFill>
              <w14:schemeClr w14:val="tx1"/>
            </w14:solidFill>
          </w14:textFill>
        </w:rPr>
        <w:t>在牛舍内、粪便和日粮中投放EM菌剂等有益微生物复合制剂，能有效地降解NH</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、H</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2</w:t>
      </w:r>
      <w:r>
        <w:rPr>
          <w:rFonts w:hint="default" w:ascii="Times New Roman" w:hAnsi="Times New Roman" w:cs="Times New Roman" w:eastAsiaTheme="minorEastAsia"/>
          <w:color w:val="000000" w:themeColor="text1"/>
          <w:sz w:val="24"/>
          <w:szCs w:val="22"/>
          <w14:textFill>
            <w14:solidFill>
              <w14:schemeClr w14:val="tx1"/>
            </w14:solidFill>
          </w14:textFill>
        </w:rPr>
        <w:t>S等有害气体，EM菌剂中含有多种有效微生物菌群，其中的好气和光合微生物能利用H</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2</w:t>
      </w:r>
      <w:r>
        <w:rPr>
          <w:rFonts w:hint="default" w:ascii="Times New Roman" w:hAnsi="Times New Roman" w:cs="Times New Roman" w:eastAsiaTheme="minorEastAsia"/>
          <w:color w:val="000000" w:themeColor="text1"/>
          <w:sz w:val="24"/>
          <w:szCs w:val="22"/>
          <w14:textFill>
            <w14:solidFill>
              <w14:schemeClr w14:val="tx1"/>
            </w14:solidFill>
          </w14:textFill>
        </w:rPr>
        <w:t>S进行光合作用，放线菌产生的分泌物对病原微生物有抑制作用等；一方面抑制臭气成分的产生，另一方面对上述有害成分直接利用，从而达到净化空气的目的。</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fldChar w:fldCharType="begin"/>
      </w:r>
      <w:r>
        <w:rPr>
          <w:rFonts w:hint="default" w:ascii="Times New Roman" w:hAnsi="Times New Roman" w:cs="Times New Roman" w:eastAsiaTheme="minorEastAsia"/>
          <w:color w:val="000000" w:themeColor="text1"/>
          <w:sz w:val="24"/>
          <w:szCs w:val="22"/>
          <w14:textFill>
            <w14:solidFill>
              <w14:schemeClr w14:val="tx1"/>
            </w14:solidFill>
          </w14:textFill>
        </w:rPr>
        <w:instrText xml:space="preserve"> = 4 \* GB3 </w:instrText>
      </w:r>
      <w:r>
        <w:rPr>
          <w:rFonts w:hint="default" w:ascii="Times New Roman" w:hAnsi="Times New Roman" w:cs="Times New Roman" w:eastAsiaTheme="minorEastAsia"/>
          <w:color w:val="000000" w:themeColor="text1"/>
          <w:sz w:val="24"/>
          <w:szCs w:val="22"/>
          <w14:textFill>
            <w14:solidFill>
              <w14:schemeClr w14:val="tx1"/>
            </w14:solidFill>
          </w14:textFill>
        </w:rPr>
        <w:fldChar w:fldCharType="separate"/>
      </w:r>
      <w:r>
        <w:rPr>
          <w:rFonts w:hint="default" w:ascii="Times New Roman" w:hAnsi="Times New Roman" w:cs="Times New Roman" w:eastAsiaTheme="minorEastAsia"/>
          <w:color w:val="000000" w:themeColor="text1"/>
          <w:sz w:val="24"/>
          <w:szCs w:val="22"/>
          <w14:textFill>
            <w14:solidFill>
              <w14:schemeClr w14:val="tx1"/>
            </w14:solidFill>
          </w14:textFill>
        </w:rPr>
        <w:t>④</w:t>
      </w:r>
      <w:r>
        <w:rPr>
          <w:rFonts w:hint="default" w:ascii="Times New Roman" w:hAnsi="Times New Roman" w:cs="Times New Roman" w:eastAsiaTheme="minorEastAsia"/>
          <w:color w:val="000000" w:themeColor="text1"/>
          <w:sz w:val="24"/>
          <w:szCs w:val="22"/>
          <w14:textFill>
            <w14:solidFill>
              <w14:schemeClr w14:val="tx1"/>
            </w14:solidFill>
          </w14:textFill>
        </w:rPr>
        <w:fldChar w:fldCharType="end"/>
      </w:r>
      <w:r>
        <w:rPr>
          <w:rFonts w:hint="default" w:ascii="Times New Roman" w:hAnsi="Times New Roman" w:cs="Times New Roman" w:eastAsiaTheme="minorEastAsia"/>
          <w:color w:val="000000" w:themeColor="text1"/>
          <w:sz w:val="24"/>
          <w:szCs w:val="22"/>
          <w14:textFill>
            <w14:solidFill>
              <w14:schemeClr w14:val="tx1"/>
            </w14:solidFill>
          </w14:textFill>
        </w:rPr>
        <w:t>合理配合日粮和使用添加剂以减少有害气体的排放量。降低粪尿中有害气体的产生量。</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根据《生物发酵床养殖技术对养殖场污染物去除效果的研究》（林启才、张振文、杜丽劳、李英杰，陕西省环境科学研究院，2017年）的研究资料，养牛小区加垫料后与传统养殖方式相比，H</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2</w:t>
      </w:r>
      <w:r>
        <w:rPr>
          <w:rFonts w:hint="default" w:ascii="Times New Roman" w:hAnsi="Times New Roman" w:cs="Times New Roman" w:eastAsiaTheme="minorEastAsia"/>
          <w:color w:val="000000" w:themeColor="text1"/>
          <w:sz w:val="24"/>
          <w:szCs w:val="22"/>
          <w14:textFill>
            <w14:solidFill>
              <w14:schemeClr w14:val="tx1"/>
            </w14:solidFill>
          </w14:textFill>
        </w:rPr>
        <w:t>S削减28-45%，平均为38.9%，NH</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削减40-58%，平均削减47%。本项目采用生物发酵床对氨气的去除率40%，对硫化氢的去除率为30%。</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根据广东省微生物研究所罗永华等人的研究，微生物除臭剂（由氨氧化细菌、硫氧化细菌等多种微生物复合发酵制成的生物除臭剂EM生物菌）对氨气的去除率65.2~75.2（评价取70%），对硫化氢的去除率则可达90%以上（评价取90%）。本项目牛舍采用EM生物菌对氨气的去除率取70%，对硫化氢的去除率为90%。</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综上，本项目牛舍恶臭氨气排放速率为0.007kg/h，硫化氢排放速率为0.0004kg/h。</w:t>
      </w:r>
    </w:p>
    <w:p>
      <w:pPr>
        <w:spacing w:line="500" w:lineRule="exact"/>
        <w:ind w:firstLine="560"/>
        <w:rPr>
          <w:rFonts w:hint="default" w:ascii="Times New Roman" w:hAnsi="Times New Roman" w:cs="Times New Roman" w:eastAsiaTheme="minorEastAsia"/>
          <w:bCs/>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根据估算模式预测结果，</w:t>
      </w:r>
      <w:r>
        <w:rPr>
          <w:rFonts w:hint="default" w:ascii="Times New Roman" w:hAnsi="Times New Roman" w:cs="Times New Roman" w:eastAsiaTheme="minorEastAsia"/>
          <w:color w:val="auto"/>
          <w:sz w:val="24"/>
          <w:szCs w:val="22"/>
          <w:highlight w:val="none"/>
        </w:rPr>
        <w:t>牛舍无组织氨、硫化氢排放厂界处最大浓度分别为0.008</w:t>
      </w:r>
      <w:r>
        <w:rPr>
          <w:rFonts w:hint="default" w:ascii="Times New Roman" w:hAnsi="Times New Roman" w:cs="Times New Roman" w:eastAsiaTheme="minorEastAsia"/>
          <w:bCs/>
          <w:color w:val="auto"/>
          <w:sz w:val="24"/>
          <w:szCs w:val="22"/>
          <w:highlight w:val="none"/>
        </w:rPr>
        <w:t>mg/m</w:t>
      </w:r>
      <w:r>
        <w:rPr>
          <w:rFonts w:hint="default" w:ascii="Times New Roman" w:hAnsi="Times New Roman" w:cs="Times New Roman" w:eastAsiaTheme="minorEastAsia"/>
          <w:bCs/>
          <w:color w:val="auto"/>
          <w:sz w:val="24"/>
          <w:szCs w:val="22"/>
          <w:highlight w:val="none"/>
          <w:vertAlign w:val="superscript"/>
        </w:rPr>
        <w:t>3</w:t>
      </w:r>
      <w:r>
        <w:rPr>
          <w:rFonts w:hint="default" w:ascii="Times New Roman" w:hAnsi="Times New Roman" w:cs="Times New Roman" w:eastAsiaTheme="minorEastAsia"/>
          <w:bCs/>
          <w:color w:val="auto"/>
          <w:sz w:val="24"/>
          <w:szCs w:val="22"/>
          <w:highlight w:val="none"/>
        </w:rPr>
        <w:t>和0.0004 mg/m</w:t>
      </w:r>
      <w:r>
        <w:rPr>
          <w:rFonts w:hint="default" w:ascii="Times New Roman" w:hAnsi="Times New Roman" w:cs="Times New Roman" w:eastAsiaTheme="minorEastAsia"/>
          <w:bCs/>
          <w:color w:val="auto"/>
          <w:sz w:val="24"/>
          <w:szCs w:val="22"/>
          <w:highlight w:val="none"/>
          <w:vertAlign w:val="superscript"/>
        </w:rPr>
        <w:t>3</w:t>
      </w:r>
      <w:r>
        <w:rPr>
          <w:rFonts w:hint="default" w:ascii="Times New Roman" w:hAnsi="Times New Roman" w:cs="Times New Roman" w:eastAsiaTheme="minorEastAsia"/>
          <w:bCs/>
          <w:color w:val="auto"/>
          <w:sz w:val="24"/>
          <w:szCs w:val="22"/>
          <w:highlight w:val="none"/>
        </w:rPr>
        <w:t>，满足</w:t>
      </w:r>
      <w:r>
        <w:rPr>
          <w:rFonts w:hint="default" w:ascii="Times New Roman" w:hAnsi="Times New Roman" w:cs="Times New Roman" w:eastAsiaTheme="minorEastAsia"/>
          <w:color w:val="auto"/>
          <w:sz w:val="24"/>
          <w:szCs w:val="22"/>
          <w:highlight w:val="none"/>
        </w:rPr>
        <w:t>氨、硫化氢在厂界浓度满足《恶臭污染物排放标准》（GB14554-93）表1中</w:t>
      </w:r>
      <w:r>
        <w:rPr>
          <w:rFonts w:hint="default" w:ascii="Times New Roman" w:hAnsi="Times New Roman" w:cs="Times New Roman" w:eastAsiaTheme="minorEastAsia"/>
          <w:color w:val="000000" w:themeColor="text1"/>
          <w:sz w:val="24"/>
          <w:szCs w:val="22"/>
          <w14:textFill>
            <w14:solidFill>
              <w14:schemeClr w14:val="tx1"/>
            </w14:solidFill>
          </w14:textFill>
        </w:rPr>
        <w:t>二级新改扩建标准值（氨为1.5mg/m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，硫化氢为0.06mg/m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），臭气浓度满足《畜禽养殖业污染物排放标准》（GB18596-2001）中表7标准限值。</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（2）粪污处理区恶臭</w:t>
      </w:r>
    </w:p>
    <w:p>
      <w:pPr>
        <w:spacing w:line="480" w:lineRule="exact"/>
        <w:ind w:firstLine="56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000000" w:themeColor="text1"/>
          <w:sz w:val="24"/>
          <w:szCs w:val="22"/>
          <w14:textFill>
            <w14:solidFill>
              <w14:schemeClr w14:val="tx1"/>
            </w14:solidFill>
          </w14:textFill>
        </w:rPr>
        <w:t>本项目粪污处理区包括固液分离间、黑膜沼气池和沼液储存池，固液分离间恶臭气体集气率90%，活性炭吸附后经15m高排气筒排出，未收集到的10%逸出</w:t>
      </w:r>
      <w:r>
        <w:rPr>
          <w:rFonts w:hint="default" w:ascii="Times New Roman" w:hAnsi="Times New Roman" w:cs="Times New Roman" w:eastAsiaTheme="minorEastAsia"/>
          <w:color w:val="auto"/>
          <w:sz w:val="24"/>
          <w:szCs w:val="22"/>
          <w:highlight w:val="none"/>
        </w:rPr>
        <w:t>，</w:t>
      </w:r>
      <w:r>
        <w:rPr>
          <w:rFonts w:hint="default" w:ascii="Times New Roman" w:hAnsi="Times New Roman" w:cs="Times New Roman" w:eastAsiaTheme="minorEastAsia"/>
          <w:color w:val="auto"/>
          <w:sz w:val="24"/>
          <w:szCs w:val="24"/>
          <w:highlight w:val="none"/>
        </w:rPr>
        <w:t>氨、硫化氢</w:t>
      </w:r>
      <w:r>
        <w:rPr>
          <w:rFonts w:hint="default" w:ascii="Times New Roman" w:hAnsi="Times New Roman" w:cs="Times New Roman" w:eastAsiaTheme="minorEastAsia"/>
          <w:color w:val="auto"/>
          <w:sz w:val="24"/>
          <w:szCs w:val="22"/>
          <w:highlight w:val="none"/>
        </w:rPr>
        <w:t>无组织排放速率分别为0.0003kg/h和0.0002kg/h；</w:t>
      </w:r>
      <w:r>
        <w:rPr>
          <w:rFonts w:hint="default" w:ascii="Times New Roman" w:hAnsi="Times New Roman" w:cs="Times New Roman" w:eastAsiaTheme="minorEastAsia"/>
          <w:color w:val="auto"/>
          <w:sz w:val="24"/>
          <w:szCs w:val="24"/>
          <w:highlight w:val="none"/>
        </w:rPr>
        <w:t>沼液于沼液储存池储存过程会产生一定的恶臭气体，成分包括NH</w:t>
      </w:r>
      <w:r>
        <w:rPr>
          <w:rFonts w:hint="default" w:ascii="Times New Roman" w:hAnsi="Times New Roman" w:cs="Times New Roman" w:eastAsiaTheme="minorEastAsia"/>
          <w:color w:val="auto"/>
          <w:sz w:val="24"/>
          <w:szCs w:val="24"/>
          <w:highlight w:val="none"/>
          <w:vertAlign w:val="subscript"/>
        </w:rPr>
        <w:t>3</w:t>
      </w:r>
      <w:r>
        <w:rPr>
          <w:rFonts w:hint="default" w:ascii="Times New Roman" w:hAnsi="Times New Roman" w:cs="Times New Roman" w:eastAsiaTheme="minorEastAsia"/>
          <w:color w:val="auto"/>
          <w:sz w:val="24"/>
          <w:szCs w:val="24"/>
          <w:highlight w:val="none"/>
        </w:rPr>
        <w:t>和H</w:t>
      </w:r>
      <w:r>
        <w:rPr>
          <w:rFonts w:hint="default" w:ascii="Times New Roman" w:hAnsi="Times New Roman" w:cs="Times New Roman" w:eastAsiaTheme="minorEastAsia"/>
          <w:color w:val="auto"/>
          <w:sz w:val="24"/>
          <w:szCs w:val="24"/>
          <w:highlight w:val="none"/>
          <w:vertAlign w:val="subscript"/>
        </w:rPr>
        <w:t>2</w:t>
      </w:r>
      <w:r>
        <w:rPr>
          <w:rFonts w:hint="default" w:ascii="Times New Roman" w:hAnsi="Times New Roman" w:cs="Times New Roman" w:eastAsiaTheme="minorEastAsia"/>
          <w:color w:val="auto"/>
          <w:sz w:val="24"/>
          <w:szCs w:val="24"/>
          <w:highlight w:val="none"/>
        </w:rPr>
        <w:t>S等</w:t>
      </w:r>
      <w:r>
        <w:rPr>
          <w:rFonts w:hint="default" w:ascii="Times New Roman" w:hAnsi="Times New Roman" w:cs="Times New Roman" w:eastAsiaTheme="minorEastAsia"/>
          <w:color w:val="auto"/>
          <w:kern w:val="28"/>
          <w:sz w:val="24"/>
          <w:szCs w:val="24"/>
          <w:highlight w:val="none"/>
        </w:rPr>
        <w:t>。该部分恶臭气体中</w:t>
      </w:r>
      <w:r>
        <w:rPr>
          <w:rFonts w:hint="default" w:ascii="Times New Roman" w:hAnsi="Times New Roman" w:cs="Times New Roman" w:eastAsiaTheme="minorEastAsia"/>
          <w:color w:val="auto"/>
          <w:sz w:val="24"/>
          <w:szCs w:val="24"/>
          <w:highlight w:val="none"/>
        </w:rPr>
        <w:t>氨、硫化氢产生量约为牛舍产生量的5%，即氨、硫化氢产生量分别为0.0003 kg/h、0.00002 kg/h。本项目沼液储存池为顶部加盖半封闭式结构，并定期喷洒除臭剂。</w:t>
      </w:r>
      <w:r>
        <w:rPr>
          <w:rFonts w:hint="default" w:ascii="Times New Roman" w:hAnsi="Times New Roman" w:cs="Times New Roman" w:eastAsiaTheme="minorEastAsia"/>
          <w:color w:val="auto"/>
          <w:sz w:val="24"/>
          <w:szCs w:val="22"/>
          <w:highlight w:val="none"/>
        </w:rPr>
        <w:t>黑膜沼气池密闭，</w:t>
      </w:r>
      <w:r>
        <w:rPr>
          <w:rFonts w:hint="default" w:ascii="Times New Roman" w:hAnsi="Times New Roman" w:cs="Times New Roman" w:eastAsiaTheme="minorEastAsia"/>
          <w:color w:val="auto"/>
          <w:sz w:val="24"/>
          <w:szCs w:val="24"/>
          <w:highlight w:val="none"/>
        </w:rPr>
        <w:t>此部分不核算恶臭气体量；</w:t>
      </w:r>
    </w:p>
    <w:p>
      <w:pPr>
        <w:spacing w:line="480" w:lineRule="exact"/>
        <w:ind w:firstLine="56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故粪污处理区氨、硫化氢</w:t>
      </w:r>
      <w:r>
        <w:rPr>
          <w:rFonts w:hint="default" w:ascii="Times New Roman" w:hAnsi="Times New Roman" w:cs="Times New Roman" w:eastAsiaTheme="minorEastAsia"/>
          <w:color w:val="auto"/>
          <w:sz w:val="24"/>
          <w:szCs w:val="22"/>
          <w:highlight w:val="none"/>
        </w:rPr>
        <w:t>无组织排放速率分别为0.0006kg/h和0.00022kg/h。</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auto"/>
          <w:sz w:val="24"/>
          <w:szCs w:val="22"/>
          <w:highlight w:val="none"/>
        </w:rPr>
        <w:t>根据估算模式预测结果，粪污处理区无组织氨、硫化氢排放厂界处最大浓度分别为0.01</w:t>
      </w:r>
      <w:r>
        <w:rPr>
          <w:rFonts w:hint="default" w:ascii="Times New Roman" w:hAnsi="Times New Roman" w:cs="Times New Roman" w:eastAsiaTheme="minorEastAsia"/>
          <w:bCs/>
          <w:color w:val="auto"/>
          <w:sz w:val="24"/>
          <w:szCs w:val="22"/>
          <w:highlight w:val="none"/>
        </w:rPr>
        <w:t>mg/m</w:t>
      </w:r>
      <w:r>
        <w:rPr>
          <w:rFonts w:hint="default" w:ascii="Times New Roman" w:hAnsi="Times New Roman" w:cs="Times New Roman" w:eastAsiaTheme="minorEastAsia"/>
          <w:bCs/>
          <w:color w:val="auto"/>
          <w:sz w:val="24"/>
          <w:szCs w:val="22"/>
          <w:highlight w:val="none"/>
          <w:vertAlign w:val="superscript"/>
        </w:rPr>
        <w:t>3</w:t>
      </w:r>
      <w:r>
        <w:rPr>
          <w:rFonts w:hint="default" w:ascii="Times New Roman" w:hAnsi="Times New Roman" w:cs="Times New Roman" w:eastAsiaTheme="minorEastAsia"/>
          <w:bCs/>
          <w:color w:val="auto"/>
          <w:sz w:val="24"/>
          <w:szCs w:val="22"/>
          <w:highlight w:val="none"/>
        </w:rPr>
        <w:t>和0.0004mg/m</w:t>
      </w:r>
      <w:r>
        <w:rPr>
          <w:rFonts w:hint="default" w:ascii="Times New Roman" w:hAnsi="Times New Roman" w:cs="Times New Roman" w:eastAsiaTheme="minorEastAsia"/>
          <w:bCs/>
          <w:color w:val="auto"/>
          <w:sz w:val="24"/>
          <w:szCs w:val="22"/>
          <w:highlight w:val="none"/>
          <w:vertAlign w:val="superscript"/>
        </w:rPr>
        <w:t>3</w:t>
      </w:r>
      <w:r>
        <w:rPr>
          <w:rFonts w:hint="default" w:ascii="Times New Roman" w:hAnsi="Times New Roman" w:cs="Times New Roman" w:eastAsiaTheme="minorEastAsia"/>
          <w:bCs/>
          <w:color w:val="auto"/>
          <w:sz w:val="24"/>
          <w:szCs w:val="22"/>
          <w:highlight w:val="none"/>
        </w:rPr>
        <w:t>，满足</w:t>
      </w:r>
      <w:r>
        <w:rPr>
          <w:rFonts w:hint="default" w:ascii="Times New Roman" w:hAnsi="Times New Roman" w:cs="Times New Roman" w:eastAsiaTheme="minorEastAsia"/>
          <w:snapToGrid w:val="0"/>
          <w:color w:val="auto"/>
          <w:w w:val="99"/>
          <w:sz w:val="24"/>
          <w:szCs w:val="22"/>
          <w:highlight w:val="none"/>
          <w:lang w:val="zh-CN"/>
        </w:rPr>
        <w:t>硫化氢、氨在厂界浓度满足《恶臭污染物排放标准》（GB14554-93）表1中二级新改扩建</w:t>
      </w:r>
      <w:r>
        <w:rPr>
          <w:rFonts w:hint="default" w:ascii="Times New Roman" w:hAnsi="Times New Roman" w:cs="Times New Roman" w:eastAsiaTheme="minorEastAsia"/>
          <w:snapToGrid w:val="0"/>
          <w:color w:val="000000" w:themeColor="text1"/>
          <w:w w:val="99"/>
          <w:sz w:val="24"/>
          <w:szCs w:val="22"/>
          <w:lang w:val="zh-CN"/>
          <w14:textFill>
            <w14:solidFill>
              <w14:schemeClr w14:val="tx1"/>
            </w14:solidFill>
          </w14:textFill>
        </w:rPr>
        <w:t>标准值</w:t>
      </w:r>
      <w:r>
        <w:rPr>
          <w:rFonts w:hint="default" w:ascii="Times New Roman" w:hAnsi="Times New Roman" w:cs="Times New Roman" w:eastAsiaTheme="minorEastAsia"/>
          <w:color w:val="000000" w:themeColor="text1"/>
          <w:sz w:val="24"/>
          <w:szCs w:val="22"/>
          <w14:textFill>
            <w14:solidFill>
              <w14:schemeClr w14:val="tx1"/>
            </w14:solidFill>
          </w14:textFill>
        </w:rPr>
        <w:t>（氨为1.5mg/m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，硫化氢为0.06mg/m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），臭气浓度满足《畜禽养殖业污染物排放标准》（GB18596-2001）中表7标准限值。</w:t>
      </w:r>
    </w:p>
    <w:p>
      <w:pPr>
        <w:spacing w:line="500" w:lineRule="exact"/>
        <w:ind w:firstLine="560"/>
        <w:rPr>
          <w:rFonts w:hint="default" w:ascii="Times New Roman" w:hAnsi="Times New Roman" w:cs="Times New Roman" w:eastAsiaTheme="minorEastAsia"/>
          <w:color w:val="000000" w:themeColor="text1"/>
          <w:sz w:val="24"/>
          <w:szCs w:val="22"/>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本项目采用的恶臭污染物治理措施，满足《排污许可证申请与核发技术规范 畜禽养殖行业》（HJ 1029—2019）表7 恶臭无组织排放控制</w:t>
      </w:r>
      <w:r>
        <w:rPr>
          <w:rFonts w:hint="default" w:ascii="Times New Roman" w:hAnsi="Times New Roman" w:cs="Times New Roman" w:eastAsiaTheme="minorEastAsia"/>
          <w:color w:val="000000" w:themeColor="text1"/>
          <w:sz w:val="24"/>
          <w:szCs w:val="22"/>
          <w:highlight w:val="none"/>
          <w14:textFill>
            <w14:solidFill>
              <w14:schemeClr w14:val="tx1"/>
            </w14:solidFill>
          </w14:textFill>
        </w:rPr>
        <w:t>要求，属于可行技术。</w:t>
      </w:r>
    </w:p>
    <w:p>
      <w:pPr>
        <w:spacing w:line="500" w:lineRule="exact"/>
        <w:ind w:firstLine="560"/>
        <w:rPr>
          <w:rFonts w:hint="default" w:ascii="Times New Roman" w:hAnsi="Times New Roman" w:cs="Times New Roman" w:eastAsiaTheme="minorEastAsia"/>
          <w:color w:val="000000" w:themeColor="text1"/>
          <w:sz w:val="24"/>
          <w:szCs w:val="22"/>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14:textFill>
            <w14:solidFill>
              <w14:schemeClr w14:val="tx1"/>
            </w14:solidFill>
          </w14:textFill>
        </w:rPr>
        <w:t>（3）饲料加工粉尘</w:t>
      </w:r>
    </w:p>
    <w:p>
      <w:pPr>
        <w:ind w:firstLine="560"/>
        <w:rPr>
          <w:rFonts w:hint="default" w:ascii="Times New Roman" w:hAnsi="Times New Roman" w:cs="Times New Roman" w:eastAsiaTheme="minorEastAsia"/>
          <w:color w:val="000000" w:themeColor="text1"/>
          <w:sz w:val="24"/>
          <w:szCs w:val="22"/>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14:textFill>
            <w14:solidFill>
              <w14:schemeClr w14:val="tx1"/>
            </w14:solidFill>
          </w14:textFill>
        </w:rPr>
        <w:t>本项目饲料加工时间365d/a，每天8h，风机风量2000m</w:t>
      </w:r>
      <w:r>
        <w:rPr>
          <w:rFonts w:hint="default" w:ascii="Times New Roman" w:hAnsi="Times New Roman" w:cs="Times New Roman" w:eastAsiaTheme="minorEastAsia"/>
          <w:color w:val="000000" w:themeColor="text1"/>
          <w:sz w:val="24"/>
          <w:szCs w:val="22"/>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2"/>
          <w:highlight w:val="none"/>
          <w14:textFill>
            <w14:solidFill>
              <w14:schemeClr w14:val="tx1"/>
            </w14:solidFill>
          </w14:textFill>
        </w:rPr>
        <w:t>/h，饲料加工粉尘产污量参考《第二次全国污染源普查工业污染源产排污系数手册》中饲料加工行业产污系数0.045（kg/t•产品）。本项目外购合格青贮饲料，青贮后草料、预混料等按合理的比例及要求，利用铡草机加工饲料4500t/a，因此粉尘产生量为0.20t/a（0.068kg/h），铡草产生的粉尘为较大颗粒，在室内沉降至地面的量约80%，因此饲料加工无组织粉尘产生速率为0.014kg/h。厂界无组织颗粒物的排放浓度满足《大气污染物综合排放标准》（GB16297-1996）表2无组织排放监控浓度限值。</w:t>
      </w: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6.2.3 声环境保护措施</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在工程设计上，优先选用低噪声设备，对不同噪声源分别采取隔声、基础减振、软管连接等降噪措施。本项目主要设备噪声源为风机、泵类等，采取的具体措施如下：</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（1）选用低噪设备：本项目主要产噪设备均选用低噪声设备，所有高噪声动力设备采购时都将噪声级作为技术指标之一。</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（2）降低噪声：项目产生噪声较大的设备均设减振基座并采用室内布置。</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（3）合理布局：在场区总体布置中统筹规划、合理布局、注重防噪声间距。</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（4）运营期维护：建立完善的监管、维修制度，设专人对设备及管道进行监管，及时维修、更换坏损部件，防止机械噪声及空气动力学噪声的升高。</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（5）隔声：利用牛舍墙体隔声，降低生产噪声对周围环境的影响。</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采取以上噪声污染防治措施，能够降低噪声声源强度、控制声波传播途径，确保厂界噪声满足《工业企业厂界环境噪声排放标准》(GB12348-2008)中2类标准限值。因此，本项目采取以上噪声污染防治措施是可行。</w:t>
      </w: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6.2.4 固废污染防治措施</w:t>
      </w:r>
    </w:p>
    <w:p>
      <w:pPr>
        <w:pStyle w:val="129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6.2.4.1 一般固废</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（1）牛粪污</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根据《畜禽养殖业污染治理工程技术规范》（HJ497-2009）中表A.2不同畜禽粪污日排泄量，每头牛排粪量20kg/d，本项目年存栏1500头奶牛，其中泌乳牛1200头，后备牛300头，泌乳牛按排粪量20kg/d计，后备牛按排粪量10kg/d计，因此产生牛粪约27t/d，即9855t/a。牛粪及经固液分离后干物质外委安达市瑞合玉米种植专业合作社堆肥还田。</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（2）病死牛、胎盘</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本奶牛存栏量1500头，死亡率约为1%，病死牛约15头/a，奶牛平均体重约为320kg，则项目奶牛病死牛尸体产生总量约为4.8t/a。</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奶牛养殖场病死牛多发生于犊牛，生产后的犊牛死亡率约为2%。本项目预计常年待孕奶牛存栏量为300头，受胎率为95%，则受胎后的犊牛约为285头，即项目每年约产生6个死亡胎盘。胎盘（死胎按照胎盘重量计）平均重量约为4.5kg，则项目胎盘产生总量约为27 kg /a。</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本项目年病死牛尸体及胎盘产生总量为4.827t，外委安达市题桥环保科技有限公司安全处置。</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（3）废沼气脱硫剂</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项目沼气脱硫采用干式脱硫，脱硫剂的主要成分为氧化铁，脱硫效率为95%，废沼气脱硫剂未纳入《国家危险废物名录（2021年版）》，主要成分为氧化铁，不属于危险废物，沼气脱硫装置中失去活性的废脱硫剂由生产厂家更换时回收处置，项目废脱硫剂产生量约为0.5t/a。</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（4）沼渣</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项目进入沼气池的含少量固体的液体部分为7936.1t/a，厌氧反应处理后的沼渣约占5%，产生量为396.805t/a。沼渣和牛粪、固液分离后干物质一起外运安达市瑞合玉米种植专业合作社堆肥处置。</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（5）卧床垫料废物</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牛舍卧床垫料，需要定期更换、补充，产生卧床垫料废物，卧床垫料废物产生量为10000t/a，定期还田。</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（6）生活垃圾</w:t>
      </w:r>
    </w:p>
    <w:p>
      <w:pPr>
        <w:keepNext w:val="0"/>
        <w:keepLines w:val="0"/>
        <w:pageBreakBefore w:val="0"/>
        <w:kinsoku/>
        <w:wordWrap/>
        <w:overflowPunct/>
        <w:topLinePunct w:val="0"/>
        <w:bidi w:val="0"/>
        <w:adjustRightInd w:val="0"/>
        <w:snapToGrid w:val="0"/>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生活垃圾产生量为0.5kg/d·人，本项目定员20人，产生总量为3.65t/a，属于一般固体废物，由建设单位负责拉运至先源乡垃圾收集点。</w:t>
      </w:r>
    </w:p>
    <w:p>
      <w:pPr>
        <w:pStyle w:val="2"/>
        <w:keepNext w:val="0"/>
        <w:keepLines w:val="0"/>
        <w:pageBreakBefore w:val="0"/>
        <w:numPr>
          <w:ilvl w:val="0"/>
          <w:numId w:val="0"/>
        </w:numPr>
        <w:kinsoku/>
        <w:wordWrap/>
        <w:overflowPunct/>
        <w:topLinePunct w:val="0"/>
        <w:bidi w:val="0"/>
        <w:adjustRightInd w:val="0"/>
        <w:snapToGrid w:val="0"/>
        <w:spacing w:line="500" w:lineRule="exact"/>
        <w:ind w:firstLine="544" w:firstLineChars="200"/>
        <w:jc w:val="both"/>
        <w:rPr>
          <w:rFonts w:hint="default" w:ascii="Times New Roman" w:hAnsi="Times New Roman" w:cs="Times New Roman" w:eastAsiaTheme="minorEastAsia"/>
          <w:b w:val="0"/>
          <w:bCs/>
          <w:color w:val="auto"/>
          <w:sz w:val="24"/>
          <w:szCs w:val="24"/>
          <w:highlight w:val="none"/>
          <w:lang w:eastAsia="zh-CN"/>
        </w:rPr>
      </w:pPr>
      <w:r>
        <w:rPr>
          <w:rFonts w:hint="default" w:ascii="Times New Roman" w:hAnsi="Times New Roman" w:cs="Times New Roman" w:eastAsiaTheme="minorEastAsia"/>
          <w:b w:val="0"/>
          <w:bCs/>
          <w:color w:val="auto"/>
          <w:sz w:val="24"/>
          <w:szCs w:val="24"/>
          <w:highlight w:val="none"/>
          <w:lang w:eastAsia="zh-CN"/>
        </w:rPr>
        <w:t>（</w:t>
      </w:r>
      <w:r>
        <w:rPr>
          <w:rFonts w:hint="default" w:ascii="Times New Roman" w:hAnsi="Times New Roman" w:cs="Times New Roman" w:eastAsiaTheme="minorEastAsia"/>
          <w:b w:val="0"/>
          <w:bCs/>
          <w:color w:val="auto"/>
          <w:sz w:val="24"/>
          <w:szCs w:val="24"/>
          <w:highlight w:val="none"/>
          <w:lang w:val="en-US" w:eastAsia="zh-CN"/>
        </w:rPr>
        <w:t>7</w:t>
      </w:r>
      <w:r>
        <w:rPr>
          <w:rFonts w:hint="default" w:ascii="Times New Roman" w:hAnsi="Times New Roman" w:cs="Times New Roman" w:eastAsiaTheme="minorEastAsia"/>
          <w:b w:val="0"/>
          <w:bCs/>
          <w:color w:val="auto"/>
          <w:sz w:val="24"/>
          <w:szCs w:val="24"/>
          <w:highlight w:val="none"/>
          <w:lang w:eastAsia="zh-CN"/>
        </w:rPr>
        <w:t>）废活性炭</w:t>
      </w:r>
    </w:p>
    <w:p>
      <w:pPr>
        <w:keepNext w:val="0"/>
        <w:keepLines w:val="0"/>
        <w:pageBreakBefore w:val="0"/>
        <w:numPr>
          <w:ilvl w:val="0"/>
          <w:numId w:val="0"/>
        </w:numPr>
        <w:kinsoku/>
        <w:wordWrap/>
        <w:overflowPunct/>
        <w:topLinePunct w:val="0"/>
        <w:bidi w:val="0"/>
        <w:adjustRightInd w:val="0"/>
        <w:snapToGrid w:val="0"/>
        <w:spacing w:line="500" w:lineRule="exact"/>
        <w:ind w:leftChars="200"/>
        <w:rPr>
          <w:rFonts w:hint="default" w:ascii="Times New Roman" w:hAnsi="Times New Roman" w:cs="Times New Roman" w:eastAsiaTheme="minorEastAsia"/>
          <w:b w:val="0"/>
          <w:bCs w:val="0"/>
          <w:sz w:val="24"/>
          <w:szCs w:val="24"/>
          <w:lang w:eastAsia="zh-CN"/>
        </w:rPr>
      </w:pPr>
      <w:r>
        <w:rPr>
          <w:rFonts w:hint="default" w:ascii="Times New Roman" w:hAnsi="Times New Roman" w:cs="Times New Roman" w:eastAsiaTheme="minorEastAsia"/>
          <w:b w:val="0"/>
          <w:bCs w:val="0"/>
          <w:color w:val="auto"/>
          <w:sz w:val="24"/>
          <w:szCs w:val="24"/>
          <w:highlight w:val="none"/>
        </w:rPr>
        <w:t>项目</w:t>
      </w:r>
      <w:r>
        <w:rPr>
          <w:rFonts w:hint="default" w:ascii="Times New Roman" w:hAnsi="Times New Roman" w:cs="Times New Roman" w:eastAsiaTheme="minorEastAsia"/>
          <w:b w:val="0"/>
          <w:bCs w:val="0"/>
          <w:sz w:val="24"/>
          <w:szCs w:val="24"/>
          <w:lang w:eastAsia="zh-CN"/>
        </w:rPr>
        <w:t>废活性炭</w:t>
      </w:r>
      <w:r>
        <w:rPr>
          <w:rFonts w:hint="default" w:ascii="Times New Roman" w:hAnsi="Times New Roman" w:cs="Times New Roman" w:eastAsiaTheme="minorEastAsia"/>
          <w:b w:val="0"/>
          <w:bCs w:val="0"/>
          <w:color w:val="auto"/>
          <w:sz w:val="24"/>
          <w:szCs w:val="24"/>
          <w:highlight w:val="none"/>
        </w:rPr>
        <w:t>产生量约为</w:t>
      </w:r>
      <w:r>
        <w:rPr>
          <w:rFonts w:hint="default" w:ascii="Times New Roman" w:hAnsi="Times New Roman" w:cs="Times New Roman" w:eastAsiaTheme="minorEastAsia"/>
          <w:b w:val="0"/>
          <w:bCs w:val="0"/>
          <w:color w:val="auto"/>
          <w:sz w:val="24"/>
          <w:szCs w:val="24"/>
          <w:highlight w:val="none"/>
          <w:lang w:val="en-US" w:eastAsia="zh-CN"/>
        </w:rPr>
        <w:t>1</w:t>
      </w:r>
      <w:r>
        <w:rPr>
          <w:rFonts w:hint="default" w:ascii="Times New Roman" w:hAnsi="Times New Roman" w:cs="Times New Roman" w:eastAsiaTheme="minorEastAsia"/>
          <w:b w:val="0"/>
          <w:bCs w:val="0"/>
          <w:color w:val="auto"/>
          <w:sz w:val="24"/>
          <w:szCs w:val="24"/>
          <w:highlight w:val="none"/>
        </w:rPr>
        <w:t>t/a</w:t>
      </w:r>
      <w:r>
        <w:rPr>
          <w:rFonts w:hint="default" w:ascii="Times New Roman" w:hAnsi="Times New Roman" w:cs="Times New Roman" w:eastAsiaTheme="minorEastAsia"/>
          <w:b w:val="0"/>
          <w:bCs w:val="0"/>
          <w:color w:val="auto"/>
          <w:sz w:val="24"/>
          <w:szCs w:val="24"/>
          <w:highlight w:val="none"/>
          <w:lang w:eastAsia="zh-CN"/>
        </w:rPr>
        <w:t>，</w:t>
      </w:r>
      <w:r>
        <w:rPr>
          <w:rFonts w:hint="default" w:ascii="Times New Roman" w:hAnsi="Times New Roman" w:cs="Times New Roman" w:eastAsiaTheme="minorEastAsia"/>
          <w:b w:val="0"/>
          <w:bCs w:val="0"/>
          <w:color w:val="auto"/>
          <w:sz w:val="24"/>
          <w:szCs w:val="24"/>
          <w:highlight w:val="none"/>
        </w:rPr>
        <w:t>由生产厂家更换时回收处置</w:t>
      </w:r>
      <w:r>
        <w:rPr>
          <w:rFonts w:hint="default" w:ascii="Times New Roman" w:hAnsi="Times New Roman" w:cs="Times New Roman" w:eastAsiaTheme="minorEastAsia"/>
          <w:b w:val="0"/>
          <w:bCs w:val="0"/>
          <w:color w:val="auto"/>
          <w:sz w:val="24"/>
          <w:szCs w:val="24"/>
          <w:highlight w:val="none"/>
          <w:lang w:eastAsia="zh-CN"/>
        </w:rPr>
        <w:t>。</w:t>
      </w:r>
    </w:p>
    <w:p>
      <w:pPr>
        <w:pStyle w:val="1297"/>
        <w:keepNext w:val="0"/>
        <w:keepLines w:val="0"/>
        <w:pageBreakBefore w:val="0"/>
        <w:kinsoku/>
        <w:wordWrap/>
        <w:overflowPunct/>
        <w:topLinePunct w:val="0"/>
        <w:bidi w:val="0"/>
        <w:adjustRightInd w:val="0"/>
        <w:snapToGrid w:val="0"/>
        <w:spacing w:line="500" w:lineRule="exact"/>
        <w:rPr>
          <w:rFonts w:hint="default" w:ascii="Times New Roman" w:hAnsi="Times New Roman" w:cs="Times New Roman" w:eastAsiaTheme="minorEastAsia"/>
          <w:b/>
          <w:bCs/>
          <w:color w:val="auto"/>
          <w:highlight w:val="none"/>
        </w:rPr>
      </w:pPr>
      <w:r>
        <w:rPr>
          <w:rFonts w:hint="default" w:ascii="Times New Roman" w:hAnsi="Times New Roman" w:cs="Times New Roman" w:eastAsiaTheme="minorEastAsia"/>
          <w:b/>
          <w:bCs/>
          <w:color w:val="auto"/>
          <w:highlight w:val="none"/>
        </w:rPr>
        <w:t>6.2.4.2 危险废物</w:t>
      </w:r>
    </w:p>
    <w:p>
      <w:pPr>
        <w:keepNext w:val="0"/>
        <w:keepLines w:val="0"/>
        <w:pageBreakBefore w:val="0"/>
        <w:kinsoku/>
        <w:wordWrap/>
        <w:overflowPunct/>
        <w:topLinePunct w:val="0"/>
        <w:bidi w:val="0"/>
        <w:adjustRightInd w:val="0"/>
        <w:snapToGrid w:val="0"/>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本项目需要使用预防疾病用药，每年约使用药1000瓶、300袋，药瓶重量约为0.02kg/个，用药包装袋重量约为0.01kg/个，经计算，医疗废物废物总产生量约为0.023t/a。根据《国家危险废物名录（2021年版）》，属于HW01类危险废物，废物代码为841-001-01。医疗废物在危废暂存间存放，定期委托有资质的单位安全处置。</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auto"/>
          <w:sz w:val="24"/>
          <w:szCs w:val="22"/>
          <w:highlight w:val="none"/>
        </w:rPr>
        <w:t>本项目危险废物建议委托大庆龙铁医疗废物处理有限公司进行安全处置，该公司具有医疗废物（感染性废物、损伤性废物）安全</w:t>
      </w:r>
      <w:r>
        <w:rPr>
          <w:rFonts w:hint="default" w:ascii="Times New Roman" w:hAnsi="Times New Roman" w:cs="Times New Roman" w:eastAsiaTheme="minorEastAsia"/>
          <w:color w:val="000000" w:themeColor="text1"/>
          <w:sz w:val="24"/>
          <w:szCs w:val="22"/>
          <w14:textFill>
            <w14:solidFill>
              <w14:schemeClr w14:val="tx1"/>
            </w14:solidFill>
          </w14:textFill>
        </w:rPr>
        <w:t>处置资质，可将本项目产生危险废物进行安全处置。</w:t>
      </w:r>
    </w:p>
    <w:p>
      <w:pPr>
        <w:pStyle w:val="1297"/>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6.2.4.3 危险污染物暂存</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1、危险废物贮存容器设计要求</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（1）应当使用符合标准的容器承装危险废物。</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（2）装载危险废物的容器及材质要满足相应的强度要求。</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（3）装载危险废物的容器必须完好无损。</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（4）承装危险废物的容器材质和衬里要与危险废物相容（不相互反应）。</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2、危险废物贮存场所设计</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本项目危废暂存间布置在</w:t>
      </w:r>
      <w:r>
        <w:rPr>
          <w:rFonts w:hint="default" w:ascii="Times New Roman" w:hAnsi="Times New Roman" w:cs="Times New Roman" w:eastAsiaTheme="minorEastAsia"/>
          <w:color w:val="000000" w:themeColor="text1"/>
          <w:sz w:val="24"/>
          <w:szCs w:val="22"/>
          <w:lang w:val="en-GB"/>
          <w14:textFill>
            <w14:solidFill>
              <w14:schemeClr w14:val="tx1"/>
            </w14:solidFill>
          </w14:textFill>
        </w:rPr>
        <w:t>厂区内西侧</w:t>
      </w:r>
      <w:r>
        <w:rPr>
          <w:rFonts w:hint="default" w:ascii="Times New Roman" w:hAnsi="Times New Roman" w:cs="Times New Roman" w:eastAsiaTheme="minorEastAsia"/>
          <w:color w:val="000000" w:themeColor="text1"/>
          <w:sz w:val="24"/>
          <w:szCs w:val="22"/>
          <w14:textFill>
            <w14:solidFill>
              <w14:schemeClr w14:val="tx1"/>
            </w14:solidFill>
          </w14:textFill>
        </w:rPr>
        <w:t>，建筑面积为20m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szCs w:val="22"/>
          <w14:textFill>
            <w14:solidFill>
              <w14:schemeClr w14:val="tx1"/>
            </w14:solidFill>
          </w14:textFill>
        </w:rPr>
        <w:t>，用于临时存放各类危险废物，需按照《危险废物贮存污染控制标准》要求设置贮存区，并应设置警示标志。</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危废暂存间内地面采用2mm厚</w:t>
      </w:r>
      <w:r>
        <w:rPr>
          <w:rFonts w:hint="default" w:ascii="Times New Roman" w:hAnsi="Times New Roman" w:cs="Times New Roman" w:eastAsiaTheme="minorEastAsia"/>
          <w:sz w:val="24"/>
          <w:szCs w:val="22"/>
        </w:rPr>
        <w:fldChar w:fldCharType="begin"/>
      </w:r>
      <w:r>
        <w:rPr>
          <w:rFonts w:hint="default" w:ascii="Times New Roman" w:hAnsi="Times New Roman" w:cs="Times New Roman" w:eastAsiaTheme="minorEastAsia"/>
          <w:sz w:val="24"/>
          <w:szCs w:val="22"/>
        </w:rPr>
        <w:instrText xml:space="preserve"> HYPERLINK "http://baike.baidu.com/view/1012701.htm" \t "_blank" </w:instrText>
      </w:r>
      <w:r>
        <w:rPr>
          <w:rFonts w:hint="default" w:ascii="Times New Roman" w:hAnsi="Times New Roman" w:cs="Times New Roman" w:eastAsiaTheme="minorEastAsia"/>
          <w:sz w:val="24"/>
          <w:szCs w:val="22"/>
        </w:rPr>
        <w:fldChar w:fldCharType="separate"/>
      </w:r>
      <w:r>
        <w:rPr>
          <w:rFonts w:hint="default" w:ascii="Times New Roman" w:hAnsi="Times New Roman" w:cs="Times New Roman" w:eastAsiaTheme="minorEastAsia"/>
          <w:color w:val="000000" w:themeColor="text1"/>
          <w:sz w:val="24"/>
          <w:szCs w:val="22"/>
          <w14:textFill>
            <w14:solidFill>
              <w14:schemeClr w14:val="tx1"/>
            </w14:solidFill>
          </w14:textFill>
        </w:rPr>
        <w:t>高密度聚乙烯</w:t>
      </w:r>
      <w:r>
        <w:rPr>
          <w:rFonts w:hint="default" w:ascii="Times New Roman" w:hAnsi="Times New Roman" w:cs="Times New Roman" w:eastAsiaTheme="minorEastAsia"/>
          <w:color w:val="000000" w:themeColor="text1"/>
          <w:sz w:val="24"/>
          <w:szCs w:val="22"/>
          <w14:textFill>
            <w14:solidFill>
              <w14:schemeClr w14:val="tx1"/>
            </w14:solidFill>
          </w14:textFill>
        </w:rPr>
        <w:fldChar w:fldCharType="end"/>
      </w:r>
      <w:r>
        <w:rPr>
          <w:rFonts w:hint="default" w:ascii="Times New Roman" w:hAnsi="Times New Roman" w:cs="Times New Roman" w:eastAsiaTheme="minorEastAsia"/>
          <w:color w:val="000000" w:themeColor="text1"/>
          <w:sz w:val="24"/>
          <w:szCs w:val="22"/>
          <w14:textFill>
            <w14:solidFill>
              <w14:schemeClr w14:val="tx1"/>
            </w14:solidFill>
          </w14:textFill>
        </w:rPr>
        <w:t>膜（渗透系数≤10</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-10</w:t>
      </w:r>
      <w:r>
        <w:rPr>
          <w:rFonts w:hint="default" w:ascii="Times New Roman" w:hAnsi="Times New Roman" w:cs="Times New Roman" w:eastAsiaTheme="minorEastAsia"/>
          <w:color w:val="000000" w:themeColor="text1"/>
          <w:sz w:val="24"/>
          <w:szCs w:val="22"/>
          <w14:textFill>
            <w14:solidFill>
              <w14:schemeClr w14:val="tx1"/>
            </w14:solidFill>
          </w14:textFill>
        </w:rPr>
        <w:t>cm/s）+25cm防渗混凝土（防渗等级P6），满足《危险废物贮存污染控制标准》（GB18597-2001）及其修改单要求。</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3、危险废物堆放</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（1）堆放危险废物的高度应根据地面承载能力确定。</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（2）衬里放在一个基础或底座上。</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（3）衬里要能够覆盖危险废物或其溶出物可能涉及到的范围。</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（4）衬里材料与堆放危险废物相容。</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（5）在衬里上设计、建造渗漏液收集清除系统。</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（6）应设计建造径流疏导系统，保证能防止25年一遇暴雨不会流到危险废物堆里。</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4、危险废物的收集</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根据收集设备及现场人员等确定相应作业区域，同时要设置作业界限标志和警示牌。作业区域内应设置危险废物收集专用通道和人员避险通道。收集时应配备必要的收集工具和包装物以及必要的应急监测设备和应急装备。危险废物收集应参照《危险废物收集 贮存 运输技术规范》（HJ2025-2012）附录A填写记录表，并将记录表作为危险废物管理的重要档案妥善保存。收集结束后应清理和恢复收集作业区域，确保作业区域环境整洁安全。</w:t>
      </w:r>
    </w:p>
    <w:p>
      <w:pPr>
        <w:pStyle w:val="1297"/>
        <w:rPr>
          <w:rFonts w:hint="default" w:ascii="Times New Roman" w:hAnsi="Times New Roman" w:cs="Times New Roman" w:eastAsiaTheme="minorEastAsia"/>
          <w:color w:val="000000" w:themeColor="text1"/>
          <w14:textFill>
            <w14:solidFill>
              <w14:schemeClr w14:val="tx1"/>
            </w14:solidFill>
          </w14:textFill>
        </w:rPr>
      </w:pPr>
    </w:p>
    <w:p>
      <w:pPr>
        <w:pStyle w:val="1297"/>
        <w:rPr>
          <w:rFonts w:hint="default" w:ascii="Times New Roman" w:hAnsi="Times New Roman" w:cs="Times New Roman" w:eastAsiaTheme="minorEastAsia"/>
          <w:b/>
          <w:bCs/>
          <w:color w:val="000000" w:themeColor="text1"/>
          <w14:textFill>
            <w14:solidFill>
              <w14:schemeClr w14:val="tx1"/>
            </w14:solidFill>
          </w14:textFill>
        </w:rPr>
      </w:pPr>
      <w:r>
        <w:rPr>
          <w:rFonts w:hint="default" w:ascii="Times New Roman" w:hAnsi="Times New Roman" w:cs="Times New Roman" w:eastAsiaTheme="minorEastAsia"/>
          <w:b/>
          <w:bCs/>
          <w:color w:val="000000" w:themeColor="text1"/>
          <w14:textFill>
            <w14:solidFill>
              <w14:schemeClr w14:val="tx1"/>
            </w14:solidFill>
          </w14:textFill>
        </w:rPr>
        <w:t>6.2.4.4 危险污染物贮存设施的安全防护措施要求</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（1）危险废物贮存设施按GB15562.2的规定设置警示标志。</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（2）危险废物贮存设施应配备通讯设备、照明设施、安全防护服</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装及工具，并设有应急防护设施。</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（3）危险废物贮存设施内清理出来的泄漏物，按危险废物处理。</w:t>
      </w:r>
    </w:p>
    <w:p>
      <w:pPr>
        <w:pStyle w:val="1297"/>
        <w:rPr>
          <w:rFonts w:hint="default" w:ascii="Times New Roman" w:hAnsi="Times New Roman" w:cs="Times New Roman" w:eastAsiaTheme="minorEastAsia"/>
          <w:b/>
          <w:bCs/>
          <w:color w:val="000000" w:themeColor="text1"/>
          <w14:textFill>
            <w14:solidFill>
              <w14:schemeClr w14:val="tx1"/>
            </w14:solidFill>
          </w14:textFill>
        </w:rPr>
      </w:pPr>
      <w:r>
        <w:rPr>
          <w:rFonts w:hint="default" w:ascii="Times New Roman" w:hAnsi="Times New Roman" w:cs="Times New Roman" w:eastAsiaTheme="minorEastAsia"/>
          <w:b/>
          <w:bCs/>
          <w:color w:val="000000" w:themeColor="text1"/>
          <w14:textFill>
            <w14:solidFill>
              <w14:schemeClr w14:val="tx1"/>
            </w14:solidFill>
          </w14:textFill>
        </w:rPr>
        <w:t>6.2.4.5 结论与建议</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在严格落实本报告提出的关于危险废物贮存、运输及管理等方面的设计要求情况下，本项目产生的危险危废能够做到无害化、减量化、资源化，避免二次污染。</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表6-2-1  本项目危废暂存间基本情况表</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141"/>
        <w:gridCol w:w="1237"/>
        <w:gridCol w:w="776"/>
        <w:gridCol w:w="1196"/>
        <w:gridCol w:w="695"/>
        <w:gridCol w:w="695"/>
        <w:gridCol w:w="825"/>
        <w:gridCol w:w="743"/>
        <w:gridCol w:w="9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426" w:type="dxa"/>
            <w:tcBorders>
              <w:bottom w:val="single" w:color="auto" w:sz="4" w:space="0"/>
            </w:tcBorders>
            <w:vAlign w:val="center"/>
          </w:tcPr>
          <w:p>
            <w:pPr>
              <w:pStyle w:val="666"/>
              <w:rPr>
                <w:rFonts w:hint="default" w:ascii="Times New Roman" w:hAnsi="Times New Roman" w:cs="Times New Roman" w:eastAsiaTheme="minorEastAsia"/>
                <w:color w:val="000000" w:themeColor="text1"/>
                <w:lang w:val="en-GB"/>
                <w14:textFill>
                  <w14:solidFill>
                    <w14:schemeClr w14:val="tx1"/>
                  </w14:solidFill>
                </w14:textFill>
              </w:rPr>
            </w:pPr>
            <w:r>
              <w:rPr>
                <w:rFonts w:hint="default" w:ascii="Times New Roman" w:hAnsi="Times New Roman" w:cs="Times New Roman" w:eastAsiaTheme="minorEastAsia"/>
                <w:color w:val="000000" w:themeColor="text1"/>
                <w:lang w:val="en-GB"/>
                <w14:textFill>
                  <w14:solidFill>
                    <w14:schemeClr w14:val="tx1"/>
                  </w14:solidFill>
                </w14:textFill>
              </w:rPr>
              <w:t>序号</w:t>
            </w:r>
          </w:p>
        </w:tc>
        <w:tc>
          <w:tcPr>
            <w:tcW w:w="1141" w:type="dxa"/>
            <w:tcBorders>
              <w:bottom w:val="single" w:color="auto" w:sz="4" w:space="0"/>
            </w:tcBorders>
            <w:vAlign w:val="center"/>
          </w:tcPr>
          <w:p>
            <w:pPr>
              <w:pStyle w:val="666"/>
              <w:rPr>
                <w:rFonts w:hint="default" w:ascii="Times New Roman" w:hAnsi="Times New Roman" w:cs="Times New Roman" w:eastAsiaTheme="minorEastAsia"/>
                <w:color w:val="000000" w:themeColor="text1"/>
                <w:lang w:val="en-GB"/>
                <w14:textFill>
                  <w14:solidFill>
                    <w14:schemeClr w14:val="tx1"/>
                  </w14:solidFill>
                </w14:textFill>
              </w:rPr>
            </w:pPr>
            <w:r>
              <w:rPr>
                <w:rFonts w:hint="default" w:ascii="Times New Roman" w:hAnsi="Times New Roman" w:cs="Times New Roman" w:eastAsiaTheme="minorEastAsia"/>
                <w:color w:val="000000" w:themeColor="text1"/>
                <w:lang w:val="en-GB"/>
                <w14:textFill>
                  <w14:solidFill>
                    <w14:schemeClr w14:val="tx1"/>
                  </w14:solidFill>
                </w14:textFill>
              </w:rPr>
              <w:t>贮存场所（设施）</w:t>
            </w:r>
          </w:p>
          <w:p>
            <w:pPr>
              <w:pStyle w:val="666"/>
              <w:rPr>
                <w:rFonts w:hint="default" w:ascii="Times New Roman" w:hAnsi="Times New Roman" w:cs="Times New Roman" w:eastAsiaTheme="minorEastAsia"/>
                <w:color w:val="000000" w:themeColor="text1"/>
                <w:lang w:val="en-GB"/>
                <w14:textFill>
                  <w14:solidFill>
                    <w14:schemeClr w14:val="tx1"/>
                  </w14:solidFill>
                </w14:textFill>
              </w:rPr>
            </w:pPr>
            <w:r>
              <w:rPr>
                <w:rFonts w:hint="default" w:ascii="Times New Roman" w:hAnsi="Times New Roman" w:cs="Times New Roman" w:eastAsiaTheme="minorEastAsia"/>
                <w:color w:val="000000" w:themeColor="text1"/>
                <w:lang w:val="en-GB"/>
                <w14:textFill>
                  <w14:solidFill>
                    <w14:schemeClr w14:val="tx1"/>
                  </w14:solidFill>
                </w14:textFill>
              </w:rPr>
              <w:t>名称</w:t>
            </w:r>
          </w:p>
        </w:tc>
        <w:tc>
          <w:tcPr>
            <w:tcW w:w="1237" w:type="dxa"/>
            <w:tcBorders>
              <w:bottom w:val="single" w:color="auto" w:sz="4" w:space="0"/>
            </w:tcBorders>
            <w:vAlign w:val="center"/>
          </w:tcPr>
          <w:p>
            <w:pPr>
              <w:pStyle w:val="666"/>
              <w:rPr>
                <w:rFonts w:hint="default" w:ascii="Times New Roman" w:hAnsi="Times New Roman" w:cs="Times New Roman" w:eastAsiaTheme="minorEastAsia"/>
                <w:color w:val="000000" w:themeColor="text1"/>
                <w:lang w:val="en-GB"/>
                <w14:textFill>
                  <w14:solidFill>
                    <w14:schemeClr w14:val="tx1"/>
                  </w14:solidFill>
                </w14:textFill>
              </w:rPr>
            </w:pPr>
            <w:r>
              <w:rPr>
                <w:rFonts w:hint="default" w:ascii="Times New Roman" w:hAnsi="Times New Roman" w:cs="Times New Roman" w:eastAsiaTheme="minorEastAsia"/>
                <w:color w:val="000000" w:themeColor="text1"/>
                <w:lang w:val="en-GB"/>
                <w14:textFill>
                  <w14:solidFill>
                    <w14:schemeClr w14:val="tx1"/>
                  </w14:solidFill>
                </w14:textFill>
              </w:rPr>
              <w:t>危险废物名称</w:t>
            </w:r>
          </w:p>
        </w:tc>
        <w:tc>
          <w:tcPr>
            <w:tcW w:w="776" w:type="dxa"/>
            <w:tcBorders>
              <w:bottom w:val="single" w:color="auto" w:sz="4" w:space="0"/>
            </w:tcBorders>
            <w:vAlign w:val="center"/>
          </w:tcPr>
          <w:p>
            <w:pPr>
              <w:pStyle w:val="666"/>
              <w:rPr>
                <w:rFonts w:hint="default" w:ascii="Times New Roman" w:hAnsi="Times New Roman" w:cs="Times New Roman" w:eastAsiaTheme="minorEastAsia"/>
                <w:color w:val="000000" w:themeColor="text1"/>
                <w:lang w:val="en-GB"/>
                <w14:textFill>
                  <w14:solidFill>
                    <w14:schemeClr w14:val="tx1"/>
                  </w14:solidFill>
                </w14:textFill>
              </w:rPr>
            </w:pPr>
            <w:r>
              <w:rPr>
                <w:rFonts w:hint="default" w:ascii="Times New Roman" w:hAnsi="Times New Roman" w:cs="Times New Roman" w:eastAsiaTheme="minorEastAsia"/>
                <w:color w:val="000000" w:themeColor="text1"/>
                <w:lang w:val="en-GB"/>
                <w14:textFill>
                  <w14:solidFill>
                    <w14:schemeClr w14:val="tx1"/>
                  </w14:solidFill>
                </w14:textFill>
              </w:rPr>
              <w:t>危险废物类别</w:t>
            </w:r>
          </w:p>
        </w:tc>
        <w:tc>
          <w:tcPr>
            <w:tcW w:w="1196" w:type="dxa"/>
            <w:tcBorders>
              <w:bottom w:val="single" w:color="auto" w:sz="4" w:space="0"/>
            </w:tcBorders>
            <w:vAlign w:val="center"/>
          </w:tcPr>
          <w:p>
            <w:pPr>
              <w:pStyle w:val="666"/>
              <w:rPr>
                <w:rFonts w:hint="default" w:ascii="Times New Roman" w:hAnsi="Times New Roman" w:cs="Times New Roman" w:eastAsiaTheme="minorEastAsia"/>
                <w:color w:val="000000" w:themeColor="text1"/>
                <w:lang w:val="en-GB"/>
                <w14:textFill>
                  <w14:solidFill>
                    <w14:schemeClr w14:val="tx1"/>
                  </w14:solidFill>
                </w14:textFill>
              </w:rPr>
            </w:pPr>
            <w:r>
              <w:rPr>
                <w:rFonts w:hint="default" w:ascii="Times New Roman" w:hAnsi="Times New Roman" w:cs="Times New Roman" w:eastAsiaTheme="minorEastAsia"/>
                <w:color w:val="000000" w:themeColor="text1"/>
                <w:lang w:val="en-GB"/>
                <w14:textFill>
                  <w14:solidFill>
                    <w14:schemeClr w14:val="tx1"/>
                  </w14:solidFill>
                </w14:textFill>
              </w:rPr>
              <w:t>危险废物代码</w:t>
            </w:r>
          </w:p>
        </w:tc>
        <w:tc>
          <w:tcPr>
            <w:tcW w:w="695" w:type="dxa"/>
            <w:tcBorders>
              <w:bottom w:val="single" w:color="auto" w:sz="4" w:space="0"/>
            </w:tcBorders>
            <w:vAlign w:val="center"/>
          </w:tcPr>
          <w:p>
            <w:pPr>
              <w:pStyle w:val="666"/>
              <w:rPr>
                <w:rFonts w:hint="default" w:ascii="Times New Roman" w:hAnsi="Times New Roman" w:cs="Times New Roman" w:eastAsiaTheme="minorEastAsia"/>
                <w:color w:val="000000" w:themeColor="text1"/>
                <w:lang w:val="en-GB"/>
                <w14:textFill>
                  <w14:solidFill>
                    <w14:schemeClr w14:val="tx1"/>
                  </w14:solidFill>
                </w14:textFill>
              </w:rPr>
            </w:pPr>
            <w:r>
              <w:rPr>
                <w:rFonts w:hint="default" w:ascii="Times New Roman" w:hAnsi="Times New Roman" w:cs="Times New Roman" w:eastAsiaTheme="minorEastAsia"/>
                <w:color w:val="000000" w:themeColor="text1"/>
                <w:lang w:val="en-GB"/>
                <w14:textFill>
                  <w14:solidFill>
                    <w14:schemeClr w14:val="tx1"/>
                  </w14:solidFill>
                </w14:textFill>
              </w:rPr>
              <w:t>位置</w:t>
            </w:r>
          </w:p>
        </w:tc>
        <w:tc>
          <w:tcPr>
            <w:tcW w:w="695" w:type="dxa"/>
            <w:tcBorders>
              <w:bottom w:val="single" w:color="auto" w:sz="4" w:space="0"/>
            </w:tcBorders>
            <w:vAlign w:val="center"/>
          </w:tcPr>
          <w:p>
            <w:pPr>
              <w:pStyle w:val="666"/>
              <w:rPr>
                <w:rFonts w:hint="default" w:ascii="Times New Roman" w:hAnsi="Times New Roman" w:cs="Times New Roman" w:eastAsiaTheme="minorEastAsia"/>
                <w:color w:val="000000" w:themeColor="text1"/>
                <w:lang w:val="en-GB"/>
                <w14:textFill>
                  <w14:solidFill>
                    <w14:schemeClr w14:val="tx1"/>
                  </w14:solidFill>
                </w14:textFill>
              </w:rPr>
            </w:pPr>
            <w:r>
              <w:rPr>
                <w:rFonts w:hint="default" w:ascii="Times New Roman" w:hAnsi="Times New Roman" w:cs="Times New Roman" w:eastAsiaTheme="minorEastAsia"/>
                <w:color w:val="000000" w:themeColor="text1"/>
                <w:lang w:val="en-GB"/>
                <w14:textFill>
                  <w14:solidFill>
                    <w14:schemeClr w14:val="tx1"/>
                  </w14:solidFill>
                </w14:textFill>
              </w:rPr>
              <w:t>占地面积</w:t>
            </w:r>
          </w:p>
        </w:tc>
        <w:tc>
          <w:tcPr>
            <w:tcW w:w="825" w:type="dxa"/>
            <w:vAlign w:val="center"/>
          </w:tcPr>
          <w:p>
            <w:pPr>
              <w:pStyle w:val="666"/>
              <w:rPr>
                <w:rFonts w:hint="default" w:ascii="Times New Roman" w:hAnsi="Times New Roman" w:cs="Times New Roman" w:eastAsiaTheme="minorEastAsia"/>
                <w:color w:val="000000" w:themeColor="text1"/>
                <w:lang w:val="en-GB"/>
                <w14:textFill>
                  <w14:solidFill>
                    <w14:schemeClr w14:val="tx1"/>
                  </w14:solidFill>
                </w14:textFill>
              </w:rPr>
            </w:pPr>
            <w:r>
              <w:rPr>
                <w:rFonts w:hint="default" w:ascii="Times New Roman" w:hAnsi="Times New Roman" w:cs="Times New Roman" w:eastAsiaTheme="minorEastAsia"/>
                <w:color w:val="000000" w:themeColor="text1"/>
                <w:lang w:val="en-GB"/>
                <w14:textFill>
                  <w14:solidFill>
                    <w14:schemeClr w14:val="tx1"/>
                  </w14:solidFill>
                </w14:textFill>
              </w:rPr>
              <w:t>贮存方式</w:t>
            </w:r>
          </w:p>
        </w:tc>
        <w:tc>
          <w:tcPr>
            <w:tcW w:w="743" w:type="dxa"/>
            <w:vAlign w:val="center"/>
          </w:tcPr>
          <w:p>
            <w:pPr>
              <w:pStyle w:val="666"/>
              <w:rPr>
                <w:rFonts w:hint="default" w:ascii="Times New Roman" w:hAnsi="Times New Roman" w:cs="Times New Roman" w:eastAsiaTheme="minorEastAsia"/>
                <w:color w:val="000000" w:themeColor="text1"/>
                <w:lang w:val="en-GB"/>
                <w14:textFill>
                  <w14:solidFill>
                    <w14:schemeClr w14:val="tx1"/>
                  </w14:solidFill>
                </w14:textFill>
              </w:rPr>
            </w:pPr>
            <w:r>
              <w:rPr>
                <w:rFonts w:hint="default" w:ascii="Times New Roman" w:hAnsi="Times New Roman" w:cs="Times New Roman" w:eastAsiaTheme="minorEastAsia"/>
                <w:color w:val="000000" w:themeColor="text1"/>
                <w:lang w:val="en-GB"/>
                <w14:textFill>
                  <w14:solidFill>
                    <w14:schemeClr w14:val="tx1"/>
                  </w14:solidFill>
                </w14:textFill>
              </w:rPr>
              <w:t>贮存能力</w:t>
            </w:r>
          </w:p>
        </w:tc>
        <w:tc>
          <w:tcPr>
            <w:tcW w:w="986" w:type="dxa"/>
            <w:vAlign w:val="center"/>
          </w:tcPr>
          <w:p>
            <w:pPr>
              <w:pStyle w:val="666"/>
              <w:rPr>
                <w:rFonts w:hint="default" w:ascii="Times New Roman" w:hAnsi="Times New Roman" w:cs="Times New Roman" w:eastAsiaTheme="minorEastAsia"/>
                <w:color w:val="000000" w:themeColor="text1"/>
                <w:lang w:val="en-GB"/>
                <w14:textFill>
                  <w14:solidFill>
                    <w14:schemeClr w14:val="tx1"/>
                  </w14:solidFill>
                </w14:textFill>
              </w:rPr>
            </w:pPr>
            <w:r>
              <w:rPr>
                <w:rFonts w:hint="default" w:ascii="Times New Roman" w:hAnsi="Times New Roman" w:cs="Times New Roman" w:eastAsiaTheme="minorEastAsia"/>
                <w:color w:val="000000" w:themeColor="text1"/>
                <w:lang w:val="en-GB"/>
                <w14:textFill>
                  <w14:solidFill>
                    <w14:schemeClr w14:val="tx1"/>
                  </w14:solidFill>
                </w14:textFill>
              </w:rPr>
              <w:t>贮存周期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426" w:type="dxa"/>
            <w:tcBorders>
              <w:top w:val="single" w:color="auto" w:sz="4" w:space="0"/>
              <w:bottom w:val="single" w:color="auto" w:sz="12" w:space="0"/>
            </w:tcBorders>
            <w:vAlign w:val="center"/>
          </w:tcPr>
          <w:p>
            <w:pPr>
              <w:pStyle w:val="666"/>
              <w:rPr>
                <w:rFonts w:hint="default" w:ascii="Times New Roman" w:hAnsi="Times New Roman" w:cs="Times New Roman" w:eastAsiaTheme="minorEastAsia"/>
                <w:color w:val="000000" w:themeColor="text1"/>
                <w:lang w:val="en-GB"/>
                <w14:textFill>
                  <w14:solidFill>
                    <w14:schemeClr w14:val="tx1"/>
                  </w14:solidFill>
                </w14:textFill>
              </w:rPr>
            </w:pPr>
            <w:r>
              <w:rPr>
                <w:rFonts w:hint="default" w:ascii="Times New Roman" w:hAnsi="Times New Roman" w:cs="Times New Roman" w:eastAsiaTheme="minorEastAsia"/>
                <w:color w:val="000000" w:themeColor="text1"/>
                <w:lang w:val="en-GB"/>
                <w14:textFill>
                  <w14:solidFill>
                    <w14:schemeClr w14:val="tx1"/>
                  </w14:solidFill>
                </w14:textFill>
              </w:rPr>
              <w:t>1</w:t>
            </w:r>
          </w:p>
        </w:tc>
        <w:tc>
          <w:tcPr>
            <w:tcW w:w="1141" w:type="dxa"/>
            <w:tcBorders>
              <w:top w:val="single" w:color="auto" w:sz="4" w:space="0"/>
              <w:bottom w:val="single" w:color="auto" w:sz="12" w:space="0"/>
            </w:tcBorders>
            <w:vAlign w:val="center"/>
          </w:tcPr>
          <w:p>
            <w:pPr>
              <w:pStyle w:val="666"/>
              <w:rPr>
                <w:rFonts w:hint="default" w:ascii="Times New Roman" w:hAnsi="Times New Roman" w:cs="Times New Roman" w:eastAsiaTheme="minorEastAsia"/>
                <w:color w:val="000000" w:themeColor="text1"/>
                <w:lang w:val="en-GB"/>
                <w14:textFill>
                  <w14:solidFill>
                    <w14:schemeClr w14:val="tx1"/>
                  </w14:solidFill>
                </w14:textFill>
              </w:rPr>
            </w:pPr>
            <w:r>
              <w:rPr>
                <w:rFonts w:hint="default" w:ascii="Times New Roman" w:hAnsi="Times New Roman" w:cs="Times New Roman" w:eastAsiaTheme="minorEastAsia"/>
                <w:color w:val="000000" w:themeColor="text1"/>
                <w:lang w:val="en-GB"/>
                <w14:textFill>
                  <w14:solidFill>
                    <w14:schemeClr w14:val="tx1"/>
                  </w14:solidFill>
                </w14:textFill>
              </w:rPr>
              <w:t>危废暂存间</w:t>
            </w:r>
          </w:p>
        </w:tc>
        <w:tc>
          <w:tcPr>
            <w:tcW w:w="1237" w:type="dxa"/>
            <w:tcBorders>
              <w:top w:val="single" w:color="auto" w:sz="4" w:space="0"/>
              <w:bottom w:val="single" w:color="auto" w:sz="12" w:space="0"/>
            </w:tcBorders>
            <w:vAlign w:val="center"/>
          </w:tcPr>
          <w:p>
            <w:pPr>
              <w:pStyle w:val="666"/>
              <w:rPr>
                <w:rFonts w:hint="default" w:ascii="Times New Roman" w:hAnsi="Times New Roman" w:cs="Times New Roman" w:eastAsiaTheme="minorEastAsia"/>
                <w:color w:val="000000" w:themeColor="text1"/>
                <w:lang w:val="en-GB"/>
                <w14:textFill>
                  <w14:solidFill>
                    <w14:schemeClr w14:val="tx1"/>
                  </w14:solidFill>
                </w14:textFill>
              </w:rPr>
            </w:pPr>
            <w:r>
              <w:rPr>
                <w:rFonts w:hint="default" w:ascii="Times New Roman" w:hAnsi="Times New Roman" w:cs="Times New Roman" w:eastAsiaTheme="minorEastAsia"/>
                <w:color w:val="000000" w:themeColor="text1"/>
                <w:lang w:val="en-GB"/>
                <w14:textFill>
                  <w14:solidFill>
                    <w14:schemeClr w14:val="tx1"/>
                  </w14:solidFill>
                </w14:textFill>
              </w:rPr>
              <w:t>医疗废物</w:t>
            </w:r>
          </w:p>
        </w:tc>
        <w:tc>
          <w:tcPr>
            <w:tcW w:w="776" w:type="dxa"/>
            <w:tcBorders>
              <w:top w:val="single" w:color="auto" w:sz="4" w:space="0"/>
              <w:bottom w:val="single" w:color="auto" w:sz="12" w:space="0"/>
            </w:tcBorders>
            <w:vAlign w:val="center"/>
          </w:tcPr>
          <w:p>
            <w:pPr>
              <w:pStyle w:val="666"/>
              <w:rPr>
                <w:rFonts w:hint="default" w:ascii="Times New Roman" w:hAnsi="Times New Roman" w:cs="Times New Roman" w:eastAsiaTheme="minorEastAsia"/>
                <w:color w:val="000000" w:themeColor="text1"/>
                <w:lang w:val="en-GB"/>
                <w14:textFill>
                  <w14:solidFill>
                    <w14:schemeClr w14:val="tx1"/>
                  </w14:solidFill>
                </w14:textFill>
              </w:rPr>
            </w:pPr>
            <w:r>
              <w:rPr>
                <w:rFonts w:hint="default" w:ascii="Times New Roman" w:hAnsi="Times New Roman" w:cs="Times New Roman" w:eastAsiaTheme="minorEastAsia"/>
                <w:color w:val="000000" w:themeColor="text1"/>
                <w:lang w:val="en-GB"/>
                <w14:textFill>
                  <w14:solidFill>
                    <w14:schemeClr w14:val="tx1"/>
                  </w14:solidFill>
                </w14:textFill>
              </w:rPr>
              <w:t>HW01</w:t>
            </w:r>
          </w:p>
        </w:tc>
        <w:tc>
          <w:tcPr>
            <w:tcW w:w="1196" w:type="dxa"/>
            <w:tcBorders>
              <w:top w:val="single" w:color="auto" w:sz="4" w:space="0"/>
              <w:bottom w:val="single" w:color="auto" w:sz="1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841-001-01</w:t>
            </w:r>
          </w:p>
        </w:tc>
        <w:tc>
          <w:tcPr>
            <w:tcW w:w="695" w:type="dxa"/>
            <w:tcBorders>
              <w:top w:val="single" w:color="auto" w:sz="4" w:space="0"/>
              <w:bottom w:val="single" w:color="auto" w:sz="12" w:space="0"/>
            </w:tcBorders>
            <w:vAlign w:val="center"/>
          </w:tcPr>
          <w:p>
            <w:pPr>
              <w:pStyle w:val="666"/>
              <w:rPr>
                <w:rFonts w:hint="default" w:ascii="Times New Roman" w:hAnsi="Times New Roman" w:cs="Times New Roman" w:eastAsiaTheme="minorEastAsia"/>
                <w:color w:val="000000" w:themeColor="text1"/>
                <w:lang w:val="en-GB"/>
                <w14:textFill>
                  <w14:solidFill>
                    <w14:schemeClr w14:val="tx1"/>
                  </w14:solidFill>
                </w14:textFill>
              </w:rPr>
            </w:pPr>
            <w:r>
              <w:rPr>
                <w:rFonts w:hint="default" w:ascii="Times New Roman" w:hAnsi="Times New Roman" w:cs="Times New Roman" w:eastAsiaTheme="minorEastAsia"/>
                <w:color w:val="000000" w:themeColor="text1"/>
                <w:lang w:val="en-GB"/>
                <w14:textFill>
                  <w14:solidFill>
                    <w14:schemeClr w14:val="tx1"/>
                  </w14:solidFill>
                </w14:textFill>
              </w:rPr>
              <w:t>厂区内西侧</w:t>
            </w:r>
          </w:p>
        </w:tc>
        <w:tc>
          <w:tcPr>
            <w:tcW w:w="695" w:type="dxa"/>
            <w:tcBorders>
              <w:top w:val="single" w:color="auto" w:sz="4" w:space="0"/>
              <w:bottom w:val="single" w:color="auto" w:sz="12" w:space="0"/>
            </w:tcBorders>
            <w:vAlign w:val="center"/>
          </w:tcPr>
          <w:p>
            <w:pPr>
              <w:pStyle w:val="666"/>
              <w:rPr>
                <w:rFonts w:hint="default" w:ascii="Times New Roman" w:hAnsi="Times New Roman" w:cs="Times New Roman" w:eastAsiaTheme="minorEastAsia"/>
                <w:color w:val="000000" w:themeColor="text1"/>
                <w:lang w:val="en-GB"/>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w:t>
            </w:r>
            <w:r>
              <w:rPr>
                <w:rFonts w:hint="default" w:ascii="Times New Roman" w:hAnsi="Times New Roman" w:cs="Times New Roman" w:eastAsiaTheme="minorEastAsia"/>
                <w:color w:val="000000" w:themeColor="text1"/>
                <w:lang w:val="en-GB"/>
                <w14:textFill>
                  <w14:solidFill>
                    <w14:schemeClr w14:val="tx1"/>
                  </w14:solidFill>
                </w14:textFill>
              </w:rPr>
              <w:t>m</w:t>
            </w:r>
            <w:r>
              <w:rPr>
                <w:rFonts w:hint="default" w:ascii="Times New Roman" w:hAnsi="Times New Roman" w:cs="Times New Roman" w:eastAsiaTheme="minorEastAsia"/>
                <w:color w:val="000000" w:themeColor="text1"/>
                <w:vertAlign w:val="superscript"/>
                <w:lang w:val="en-GB"/>
                <w14:textFill>
                  <w14:solidFill>
                    <w14:schemeClr w14:val="tx1"/>
                  </w14:solidFill>
                </w14:textFill>
              </w:rPr>
              <w:t>2</w:t>
            </w:r>
          </w:p>
        </w:tc>
        <w:tc>
          <w:tcPr>
            <w:tcW w:w="825" w:type="dxa"/>
            <w:vAlign w:val="center"/>
          </w:tcPr>
          <w:p>
            <w:pPr>
              <w:pStyle w:val="666"/>
              <w:rPr>
                <w:rFonts w:hint="default" w:ascii="Times New Roman" w:hAnsi="Times New Roman" w:cs="Times New Roman" w:eastAsiaTheme="minorEastAsia"/>
                <w:color w:val="000000" w:themeColor="text1"/>
                <w:lang w:val="en-GB"/>
                <w14:textFill>
                  <w14:solidFill>
                    <w14:schemeClr w14:val="tx1"/>
                  </w14:solidFill>
                </w14:textFill>
              </w:rPr>
            </w:pPr>
            <w:r>
              <w:rPr>
                <w:rFonts w:hint="default" w:ascii="Times New Roman" w:hAnsi="Times New Roman" w:cs="Times New Roman" w:eastAsiaTheme="minorEastAsia"/>
                <w:color w:val="000000" w:themeColor="text1"/>
                <w:lang w:val="en-GB"/>
                <w14:textFill>
                  <w14:solidFill>
                    <w14:schemeClr w14:val="tx1"/>
                  </w14:solidFill>
                </w14:textFill>
              </w:rPr>
              <w:t>不锈钢桶装</w:t>
            </w:r>
          </w:p>
        </w:tc>
        <w:tc>
          <w:tcPr>
            <w:tcW w:w="74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6t</w:t>
            </w:r>
          </w:p>
        </w:tc>
        <w:tc>
          <w:tcPr>
            <w:tcW w:w="986" w:type="dxa"/>
            <w:vAlign w:val="center"/>
          </w:tcPr>
          <w:p>
            <w:pPr>
              <w:pStyle w:val="666"/>
              <w:rPr>
                <w:rFonts w:hint="default" w:ascii="Times New Roman" w:hAnsi="Times New Roman" w:cs="Times New Roman" w:eastAsiaTheme="minorEastAsia"/>
                <w:color w:val="000000" w:themeColor="text1"/>
                <w:lang w:val="en-GB"/>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r>
              <w:rPr>
                <w:rFonts w:hint="default" w:ascii="Times New Roman" w:hAnsi="Times New Roman" w:cs="Times New Roman" w:eastAsiaTheme="minorEastAsia"/>
                <w:color w:val="000000" w:themeColor="text1"/>
                <w:lang w:val="en-GB"/>
                <w14:textFill>
                  <w14:solidFill>
                    <w14:schemeClr w14:val="tx1"/>
                  </w14:solidFill>
                </w14:textFill>
              </w:rPr>
              <w:t>年</w:t>
            </w:r>
          </w:p>
        </w:tc>
      </w:tr>
    </w:tbl>
    <w:p>
      <w:pPr>
        <w:spacing w:line="500" w:lineRule="exact"/>
        <w:ind w:firstLine="560"/>
        <w:rPr>
          <w:rFonts w:hint="default" w:ascii="Times New Roman" w:hAnsi="Times New Roman" w:cs="Times New Roman" w:eastAsiaTheme="minorEastAsia"/>
          <w:color w:val="000000" w:themeColor="text1"/>
          <w14:textFill>
            <w14:solidFill>
              <w14:schemeClr w14:val="tx1"/>
            </w14:solidFill>
          </w14:textFill>
        </w:rPr>
      </w:pPr>
    </w:p>
    <w:p>
      <w:pPr>
        <w:spacing w:line="500" w:lineRule="exact"/>
        <w:ind w:firstLine="560"/>
        <w:rPr>
          <w:rFonts w:hint="default" w:ascii="Times New Roman" w:hAnsi="Times New Roman" w:cs="Times New Roman" w:eastAsiaTheme="minorEastAsia"/>
          <w:color w:val="000000" w:themeColor="text1"/>
          <w14:textFill>
            <w14:solidFill>
              <w14:schemeClr w14:val="tx1"/>
            </w14:solidFill>
          </w14:textFill>
        </w:rPr>
      </w:pPr>
    </w:p>
    <w:p>
      <w:pPr>
        <w:autoSpaceDE w:val="0"/>
        <w:autoSpaceDN w:val="0"/>
        <w:spacing w:line="500" w:lineRule="exact"/>
        <w:ind w:firstLine="560"/>
        <w:rPr>
          <w:rFonts w:hint="default" w:ascii="Times New Roman" w:hAnsi="Times New Roman" w:cs="Times New Roman" w:eastAsiaTheme="minorEastAsia"/>
          <w:color w:val="000000" w:themeColor="text1"/>
          <w:szCs w:val="28"/>
          <w14:textFill>
            <w14:solidFill>
              <w14:schemeClr w14:val="tx1"/>
            </w14:solidFill>
          </w14:textFill>
        </w:rPr>
        <w:sectPr>
          <w:footerReference r:id="rId35" w:type="default"/>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12" w:charSpace="0"/>
        </w:sectPr>
      </w:pP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6.2.5 地下水环境保护措施</w:t>
      </w:r>
    </w:p>
    <w:p>
      <w:pPr>
        <w:pStyle w:val="1297"/>
        <w:rPr>
          <w:rFonts w:hint="default" w:ascii="Times New Roman" w:hAnsi="Times New Roman" w:cs="Times New Roman" w:eastAsiaTheme="minorEastAsia"/>
          <w:color w:val="000000" w:themeColor="text1"/>
          <w14:textFill>
            <w14:solidFill>
              <w14:schemeClr w14:val="tx1"/>
            </w14:solidFill>
          </w14:textFill>
        </w:rPr>
      </w:pPr>
      <w:bookmarkStart w:id="226" w:name="_Toc469582108"/>
      <w:r>
        <w:rPr>
          <w:rFonts w:hint="default" w:ascii="Times New Roman" w:hAnsi="Times New Roman" w:cs="Times New Roman" w:eastAsiaTheme="minorEastAsia"/>
          <w:color w:val="000000" w:themeColor="text1"/>
          <w14:textFill>
            <w14:solidFill>
              <w14:schemeClr w14:val="tx1"/>
            </w14:solidFill>
          </w14:textFill>
        </w:rPr>
        <w:t>6.2.5.1 总体原则</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针对本项目可能发生的地下水污染，地下水污染防治措施按照“源头控制、分区防控、污染监控、应急响应”相结合的原则，从污染物的产生、入渗、扩散、应急响应全过程进行控制。</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1.源头控制措施</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主要包括对设备及构筑物采取相应的措施，以防止和降低污染物的跑、冒、滴、漏，将污染物泄漏的环境风险事故降到最低程度。输送含有污染物的压力管线尽可能地上敷设，做到泄漏污染物能被“早发现、早处理”，以减少由于埋地管道泄漏而可能造成的地下水污染等。</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2.分区防控措施</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主要包括厂内污染区地面的防渗措施和泄漏、渗漏污染物收集措施，即在污染区地面进行防渗处理，防止洒落地面的污染物渗入地下，贮存设施设置顶盖等防止降雨(水)进入。采取分区防渗，即将厂区污染区划分为一般污染防治区和简单污染防治区，各分区采取有区别的防渗措施。</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3.污染监控体系</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实施覆盖生产区的地下水污染监控系统，包括科学合理设置地下水污染监控孔、建立完善的监测制度，厂区内南部设置一眼地下水环境影响跟踪监测井，做到及时发现污染、及时控制污染。</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4.应急响应措施</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包括一旦发现地下水污染事故，立即启动应急预案、采取应急措施控制地下水污染，并使污染得到治理。</w:t>
      </w:r>
    </w:p>
    <w:p>
      <w:pPr>
        <w:pStyle w:val="1297"/>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6.2.5.2 分区控制</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地下水环境的保护应以地面防渗等主动性措施为主要保护手段，使污染源的渗漏达到最小程度，并辅以地下水环境监测和应急保护措施进行含水层的防护。本项目针对厂区可能造成地下水污染的区域采取地面防渗主动性地下水污染控制措施，并建立地下水环境监测和应急保护措施体系。</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本项目污染区地下水污染分区防渗，根据《环境影响评价技术导则 地下水环境》（HJ610-2016）要求，本项目危废暂存间执行重点防渗区要求，固液分离间、黑膜沼气池、沼液储池执行一般防渗区要求，除重点防渗区、一般防渗区、绿化用地外其他建筑物区域执行简单防渗区要求，主要包括牛舍、挤奶厅、精料库、干草库、青贮窖、机械设备间、办公室。</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重点防渗区采用2mm厚</w:t>
      </w:r>
      <w:r>
        <w:rPr>
          <w:rFonts w:hint="default" w:ascii="Times New Roman" w:hAnsi="Times New Roman" w:cs="Times New Roman" w:eastAsiaTheme="minorEastAsia"/>
          <w:sz w:val="24"/>
          <w:szCs w:val="22"/>
        </w:rPr>
        <w:fldChar w:fldCharType="begin"/>
      </w:r>
      <w:r>
        <w:rPr>
          <w:rFonts w:hint="default" w:ascii="Times New Roman" w:hAnsi="Times New Roman" w:cs="Times New Roman" w:eastAsiaTheme="minorEastAsia"/>
          <w:sz w:val="24"/>
          <w:szCs w:val="22"/>
        </w:rPr>
        <w:instrText xml:space="preserve"> HYPERLINK "http://baike.baidu.com/view/1012701.htm" \t "_blank" </w:instrText>
      </w:r>
      <w:r>
        <w:rPr>
          <w:rFonts w:hint="default" w:ascii="Times New Roman" w:hAnsi="Times New Roman" w:cs="Times New Roman" w:eastAsiaTheme="minorEastAsia"/>
          <w:sz w:val="24"/>
          <w:szCs w:val="22"/>
        </w:rPr>
        <w:fldChar w:fldCharType="separate"/>
      </w:r>
      <w:r>
        <w:rPr>
          <w:rFonts w:hint="default" w:ascii="Times New Roman" w:hAnsi="Times New Roman" w:cs="Times New Roman" w:eastAsiaTheme="minorEastAsia"/>
          <w:color w:val="000000" w:themeColor="text1"/>
          <w:sz w:val="24"/>
          <w:szCs w:val="22"/>
          <w14:textFill>
            <w14:solidFill>
              <w14:schemeClr w14:val="tx1"/>
            </w14:solidFill>
          </w14:textFill>
        </w:rPr>
        <w:t>高密度聚乙烯</w:t>
      </w:r>
      <w:r>
        <w:rPr>
          <w:rFonts w:hint="default" w:ascii="Times New Roman" w:hAnsi="Times New Roman" w:cs="Times New Roman" w:eastAsiaTheme="minorEastAsia"/>
          <w:color w:val="000000" w:themeColor="text1"/>
          <w:sz w:val="24"/>
          <w:szCs w:val="22"/>
          <w14:textFill>
            <w14:solidFill>
              <w14:schemeClr w14:val="tx1"/>
            </w14:solidFill>
          </w14:textFill>
        </w:rPr>
        <w:fldChar w:fldCharType="end"/>
      </w:r>
      <w:r>
        <w:rPr>
          <w:rFonts w:hint="default" w:ascii="Times New Roman" w:hAnsi="Times New Roman" w:cs="Times New Roman" w:eastAsiaTheme="minorEastAsia"/>
          <w:color w:val="000000" w:themeColor="text1"/>
          <w:sz w:val="24"/>
          <w:szCs w:val="22"/>
          <w14:textFill>
            <w14:solidFill>
              <w14:schemeClr w14:val="tx1"/>
            </w14:solidFill>
          </w14:textFill>
        </w:rPr>
        <w:t>膜（渗透系数≤10</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-10</w:t>
      </w:r>
      <w:r>
        <w:rPr>
          <w:rFonts w:hint="default" w:ascii="Times New Roman" w:hAnsi="Times New Roman" w:cs="Times New Roman" w:eastAsiaTheme="minorEastAsia"/>
          <w:color w:val="000000" w:themeColor="text1"/>
          <w:sz w:val="24"/>
          <w:szCs w:val="22"/>
          <w14:textFill>
            <w14:solidFill>
              <w14:schemeClr w14:val="tx1"/>
            </w14:solidFill>
          </w14:textFill>
        </w:rPr>
        <w:t>cm/s）+25cm防渗混凝土（防渗等级P6），满足《危险废物贮存污染控制标准》（GB18597-2001）及其修改单要求；同时也满足《环境影响评价技术导则 地下水环境》（HJ610-2016）中等效粘土防渗层Mb≥6.0m、K≤1.0×10</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-7</w:t>
      </w:r>
      <w:r>
        <w:rPr>
          <w:rFonts w:hint="default" w:ascii="Times New Roman" w:hAnsi="Times New Roman" w:cs="Times New Roman" w:eastAsiaTheme="minorEastAsia"/>
          <w:color w:val="000000" w:themeColor="text1"/>
          <w:sz w:val="24"/>
          <w:szCs w:val="22"/>
          <w14:textFill>
            <w14:solidFill>
              <w14:schemeClr w14:val="tx1"/>
            </w14:solidFill>
          </w14:textFill>
        </w:rPr>
        <w:t>cm/s的重点防渗要求。</w:t>
      </w:r>
    </w:p>
    <w:p>
      <w:pPr>
        <w:ind w:firstLine="560"/>
        <w:rPr>
          <w:rFonts w:hint="default" w:ascii="Times New Roman" w:hAnsi="Times New Roman" w:cs="Times New Roman" w:eastAsiaTheme="minorEastAsia"/>
          <w:color w:val="000000" w:themeColor="text1"/>
          <w:sz w:val="24"/>
          <w:szCs w:val="21"/>
          <w14:textFill>
            <w14:solidFill>
              <w14:schemeClr w14:val="tx1"/>
            </w14:solidFill>
          </w14:textFill>
        </w:rPr>
      </w:pPr>
      <w:r>
        <w:rPr>
          <w:rFonts w:hint="default" w:ascii="Times New Roman" w:hAnsi="Times New Roman" w:cs="Times New Roman" w:eastAsiaTheme="minorEastAsia"/>
          <w:color w:val="000000" w:themeColor="text1"/>
          <w:sz w:val="24"/>
          <w:szCs w:val="21"/>
          <w14:textFill>
            <w14:solidFill>
              <w14:schemeClr w14:val="tx1"/>
            </w14:solidFill>
          </w14:textFill>
        </w:rPr>
        <w:t>一般防渗区采用25cm厚度的防渗混凝土（防渗等级P6），K≤10</w:t>
      </w:r>
      <w:r>
        <w:rPr>
          <w:rFonts w:hint="default" w:ascii="Times New Roman" w:hAnsi="Times New Roman" w:cs="Times New Roman" w:eastAsiaTheme="minorEastAsia"/>
          <w:color w:val="000000" w:themeColor="text1"/>
          <w:sz w:val="24"/>
          <w:szCs w:val="21"/>
          <w:vertAlign w:val="superscript"/>
          <w14:textFill>
            <w14:solidFill>
              <w14:schemeClr w14:val="tx1"/>
            </w14:solidFill>
          </w14:textFill>
        </w:rPr>
        <w:t>-8</w:t>
      </w:r>
      <w:r>
        <w:rPr>
          <w:rFonts w:hint="default" w:ascii="Times New Roman" w:hAnsi="Times New Roman" w:cs="Times New Roman" w:eastAsiaTheme="minorEastAsia"/>
          <w:color w:val="000000" w:themeColor="text1"/>
          <w:sz w:val="24"/>
          <w:szCs w:val="21"/>
          <w14:textFill>
            <w14:solidFill>
              <w14:schemeClr w14:val="tx1"/>
            </w14:solidFill>
          </w14:textFill>
        </w:rPr>
        <w:t>cm/s，防渗技术满足等效粘土防渗层Mb≥1.5m、K≤1.0×10</w:t>
      </w:r>
      <w:r>
        <w:rPr>
          <w:rFonts w:hint="default" w:ascii="Times New Roman" w:hAnsi="Times New Roman" w:cs="Times New Roman" w:eastAsiaTheme="minorEastAsia"/>
          <w:color w:val="000000" w:themeColor="text1"/>
          <w:sz w:val="24"/>
          <w:szCs w:val="21"/>
          <w:vertAlign w:val="superscript"/>
          <w14:textFill>
            <w14:solidFill>
              <w14:schemeClr w14:val="tx1"/>
            </w14:solidFill>
          </w14:textFill>
        </w:rPr>
        <w:t>-7</w:t>
      </w:r>
      <w:r>
        <w:rPr>
          <w:rFonts w:hint="default" w:ascii="Times New Roman" w:hAnsi="Times New Roman" w:cs="Times New Roman" w:eastAsiaTheme="minorEastAsia"/>
          <w:color w:val="000000" w:themeColor="text1"/>
          <w:sz w:val="24"/>
          <w:szCs w:val="21"/>
          <w14:textFill>
            <w14:solidFill>
              <w14:schemeClr w14:val="tx1"/>
            </w14:solidFill>
          </w14:textFill>
        </w:rPr>
        <w:t>cm/s要求，满足《环境影响评价技术导则 地下水环境》（HJ610-2016）一般防渗要求。</w:t>
      </w:r>
    </w:p>
    <w:p>
      <w:pPr>
        <w:ind w:firstLine="560"/>
        <w:rPr>
          <w:rFonts w:hint="default" w:ascii="Times New Roman" w:hAnsi="Times New Roman" w:cs="Times New Roman" w:eastAsiaTheme="minorEastAsia"/>
          <w:color w:val="000000" w:themeColor="text1"/>
          <w:sz w:val="24"/>
          <w:szCs w:val="21"/>
          <w14:textFill>
            <w14:solidFill>
              <w14:schemeClr w14:val="tx1"/>
            </w14:solidFill>
          </w14:textFill>
        </w:rPr>
      </w:pPr>
      <w:r>
        <w:rPr>
          <w:rFonts w:hint="default" w:ascii="Times New Roman" w:hAnsi="Times New Roman" w:cs="Times New Roman" w:eastAsiaTheme="minorEastAsia"/>
          <w:color w:val="000000" w:themeColor="text1"/>
          <w:sz w:val="24"/>
          <w:szCs w:val="21"/>
          <w14:textFill>
            <w14:solidFill>
              <w14:schemeClr w14:val="tx1"/>
            </w14:solidFill>
          </w14:textFill>
        </w:rPr>
        <w:t>简单防渗区采用防渗水泥进行一般地面硬化，满足《环境影响评价技术导则 地下水环境》（HJ610-2016）简单防渗要求。</w:t>
      </w:r>
    </w:p>
    <w:p>
      <w:pPr>
        <w:ind w:firstLine="560"/>
        <w:rPr>
          <w:rFonts w:hint="default" w:ascii="Times New Roman" w:hAnsi="Times New Roman" w:cs="Times New Roman" w:eastAsiaTheme="minorEastAsia"/>
          <w:color w:val="000000" w:themeColor="text1"/>
          <w:sz w:val="24"/>
          <w:szCs w:val="21"/>
          <w14:textFill>
            <w14:solidFill>
              <w14:schemeClr w14:val="tx1"/>
            </w14:solidFill>
          </w14:textFill>
        </w:rPr>
        <w:sectPr>
          <w:footerReference r:id="rId36" w:type="default"/>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eastAsiaTheme="minorEastAsia"/>
          <w:color w:val="000000" w:themeColor="text1"/>
          <w:sz w:val="24"/>
          <w:szCs w:val="21"/>
          <w14:textFill>
            <w14:solidFill>
              <w14:schemeClr w14:val="tx1"/>
            </w14:solidFill>
          </w14:textFill>
        </w:rPr>
        <w:t>本项目分区防渗分布情况见图6-2-1。</w:t>
      </w:r>
    </w:p>
    <w:p>
      <w:pPr>
        <w:spacing w:line="480" w:lineRule="auto"/>
        <w:ind w:firstLine="198" w:firstLineChars="71"/>
        <w:rPr>
          <w:rFonts w:hint="default" w:ascii="Times New Roman" w:hAnsi="Times New Roman" w:cs="Times New Roman" w:eastAsiaTheme="minorEastAsia"/>
          <w:color w:val="000000" w:themeColor="text1"/>
          <w:szCs w:val="22"/>
          <w14:textFill>
            <w14:solidFill>
              <w14:schemeClr w14:val="tx1"/>
            </w14:solidFill>
          </w14:textFill>
        </w:rPr>
      </w:pPr>
      <w:r>
        <w:rPr>
          <w:rFonts w:hint="default" w:ascii="Times New Roman" w:hAnsi="Times New Roman" w:cs="Times New Roman" w:eastAsiaTheme="minorEastAsia"/>
          <w:color w:val="000000" w:themeColor="text1"/>
          <w:szCs w:val="22"/>
          <w14:textFill>
            <w14:solidFill>
              <w14:schemeClr w14:val="tx1"/>
            </w14:solidFill>
          </w14:textFill>
        </w:rPr>
        <w:drawing>
          <wp:inline distT="0" distB="0" distL="0" distR="0">
            <wp:extent cx="5162550" cy="7486650"/>
            <wp:effectExtent l="19050" t="0" r="0" b="0"/>
            <wp:docPr id="27" name="图片 7" descr="C:\Users\ADMINI~1\AppData\Local\Temp\16357484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descr="C:\Users\ADMINI~1\AppData\Local\Temp\1635748453(1).png"/>
                    <pic:cNvPicPr>
                      <a:picLocks noChangeAspect="1" noChangeArrowheads="1"/>
                    </pic:cNvPicPr>
                  </pic:nvPicPr>
                  <pic:blipFill>
                    <a:blip r:embed="rId84" cstate="print"/>
                    <a:srcRect/>
                    <a:stretch>
                      <a:fillRect/>
                    </a:stretch>
                  </pic:blipFill>
                  <pic:spPr>
                    <a:xfrm>
                      <a:off x="0" y="0"/>
                      <a:ext cx="5162550" cy="7486650"/>
                    </a:xfrm>
                    <a:prstGeom prst="rect">
                      <a:avLst/>
                    </a:prstGeom>
                    <a:noFill/>
                    <a:ln w="9525">
                      <a:noFill/>
                      <a:miter lim="800000"/>
                      <a:headEnd/>
                      <a:tailEnd/>
                    </a:ln>
                  </pic:spPr>
                </pic:pic>
              </a:graphicData>
            </a:graphic>
          </wp:inline>
        </w:drawing>
      </w:r>
    </w:p>
    <w:p>
      <w:pPr>
        <w:pStyle w:val="1903"/>
        <w:spacing w:line="240" w:lineRule="auto"/>
        <w:ind w:firstLine="0" w:firstLineChars="0"/>
        <w:jc w:val="center"/>
        <w:rPr>
          <w:rFonts w:hint="default" w:ascii="Times New Roman" w:hAnsi="Times New Roman" w:cs="Times New Roman" w:eastAsiaTheme="minorEastAsia"/>
          <w:color w:val="000000" w:themeColor="text1"/>
          <w:sz w:val="28"/>
          <w:szCs w:val="22"/>
          <w14:textFill>
            <w14:solidFill>
              <w14:schemeClr w14:val="tx1"/>
            </w14:solidFill>
          </w14:textFill>
        </w:rPr>
      </w:pPr>
      <w:r>
        <w:rPr>
          <w:rFonts w:hint="default" w:ascii="Times New Roman" w:hAnsi="Times New Roman" w:cs="Times New Roman" w:eastAsiaTheme="minorEastAsia"/>
          <w:color w:val="000000" w:themeColor="text1"/>
          <w:sz w:val="28"/>
          <w:szCs w:val="22"/>
          <w14:textFill>
            <w14:solidFill>
              <w14:schemeClr w14:val="tx1"/>
            </w14:solidFill>
          </w14:textFill>
        </w:rPr>
        <w:t xml:space="preserve"> </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图6-2-1  本项目厂区分区防渗图</w:t>
      </w:r>
    </w:p>
    <w:p>
      <w:pPr>
        <w:pStyle w:val="643"/>
        <w:rPr>
          <w:rFonts w:hint="default" w:ascii="Times New Roman" w:hAnsi="Times New Roman" w:cs="Times New Roman" w:eastAsiaTheme="minorEastAsia"/>
          <w:color w:val="000000" w:themeColor="text1"/>
          <w14:textFill>
            <w14:solidFill>
              <w14:schemeClr w14:val="tx1"/>
            </w14:solidFill>
          </w14:textFill>
        </w:rPr>
      </w:pPr>
    </w:p>
    <w:p>
      <w:pPr>
        <w:pStyle w:val="643"/>
        <w:rPr>
          <w:rFonts w:hint="default" w:ascii="Times New Roman" w:hAnsi="Times New Roman" w:cs="Times New Roman" w:eastAsiaTheme="minorEastAsia"/>
          <w:color w:val="000000" w:themeColor="text1"/>
          <w14:textFill>
            <w14:solidFill>
              <w14:schemeClr w14:val="tx1"/>
            </w14:solidFill>
          </w14:textFill>
        </w:rPr>
        <w:sectPr>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81" w:charSpace="0"/>
        </w:sectPr>
      </w:pPr>
    </w:p>
    <w:p>
      <w:pPr>
        <w:pStyle w:val="1297"/>
        <w:rPr>
          <w:rFonts w:hint="default" w:ascii="Times New Roman" w:hAnsi="Times New Roman" w:cs="Times New Roman" w:eastAsiaTheme="minorEastAsia"/>
          <w:color w:val="000000" w:themeColor="text1"/>
          <w:sz w:val="24"/>
          <w:szCs w:val="22"/>
          <w14:textFill>
            <w14:solidFill>
              <w14:schemeClr w14:val="tx1"/>
            </w14:solidFill>
          </w14:textFill>
        </w:rPr>
      </w:pPr>
      <w:bookmarkStart w:id="227" w:name="_Toc394643913"/>
      <w:bookmarkStart w:id="228" w:name="_Toc413140052"/>
      <w:r>
        <w:rPr>
          <w:rFonts w:hint="default" w:ascii="Times New Roman" w:hAnsi="Times New Roman" w:cs="Times New Roman" w:eastAsiaTheme="minorEastAsia"/>
          <w:color w:val="000000" w:themeColor="text1"/>
          <w:sz w:val="24"/>
          <w:szCs w:val="22"/>
          <w14:textFill>
            <w14:solidFill>
              <w14:schemeClr w14:val="tx1"/>
            </w14:solidFill>
          </w14:textFill>
        </w:rPr>
        <w:t xml:space="preserve">6.2.5.3 </w:t>
      </w:r>
      <w:bookmarkEnd w:id="227"/>
      <w:bookmarkEnd w:id="228"/>
      <w:r>
        <w:rPr>
          <w:rFonts w:hint="default" w:ascii="Times New Roman" w:hAnsi="Times New Roman" w:cs="Times New Roman" w:eastAsiaTheme="minorEastAsia"/>
          <w:color w:val="000000" w:themeColor="text1"/>
          <w:sz w:val="24"/>
          <w:szCs w:val="22"/>
          <w14:textFill>
            <w14:solidFill>
              <w14:schemeClr w14:val="tx1"/>
            </w14:solidFill>
          </w14:textFill>
        </w:rPr>
        <w:t>跟踪监测与信息公开计划</w:t>
      </w:r>
    </w:p>
    <w:p>
      <w:pPr>
        <w:pStyle w:val="1903"/>
        <w:spacing w:line="520" w:lineRule="exact"/>
        <w:ind w:firstLine="560"/>
        <w:rPr>
          <w:rFonts w:hint="default" w:ascii="Times New Roman" w:hAnsi="Times New Roman" w:cs="Times New Roman" w:eastAsiaTheme="minorEastAsia"/>
          <w:color w:val="000000" w:themeColor="text1"/>
          <w:sz w:val="24"/>
          <w:szCs w:val="21"/>
          <w14:textFill>
            <w14:solidFill>
              <w14:schemeClr w14:val="tx1"/>
            </w14:solidFill>
          </w14:textFill>
        </w:rPr>
      </w:pPr>
      <w:r>
        <w:rPr>
          <w:rFonts w:hint="default" w:ascii="Times New Roman" w:hAnsi="Times New Roman" w:cs="Times New Roman" w:eastAsiaTheme="minorEastAsia"/>
          <w:color w:val="000000" w:themeColor="text1"/>
          <w:sz w:val="24"/>
          <w:szCs w:val="21"/>
          <w14:textFill>
            <w14:solidFill>
              <w14:schemeClr w14:val="tx1"/>
            </w14:solidFill>
          </w14:textFill>
        </w:rPr>
        <w:t>为监控地下水水质，根据厂址区域地下水流向在厂址地下水径流下游布新建1个地下水日常监测井，为地下水环境影响跟踪监测井，位于厂界南侧，在牛舍、粪污处理区测下向，定期对地下水水质进行监测。地下水日常监测频次为</w:t>
      </w: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1"/>
          <w14:textFill>
            <w14:solidFill>
              <w14:schemeClr w14:val="tx1"/>
            </w14:solidFill>
          </w14:textFill>
        </w:rPr>
        <w:t>年1次。地下水流向及监测井位置见图6-2-1。</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表6-2-2  监测计划一览表</w:t>
      </w:r>
    </w:p>
    <w:tbl>
      <w:tblPr>
        <w:tblStyle w:val="91"/>
        <w:tblW w:w="0" w:type="auto"/>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70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监测项目</w:t>
            </w:r>
          </w:p>
        </w:tc>
        <w:tc>
          <w:tcPr>
            <w:tcW w:w="702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pH、氨氮、硝酸盐、亚硝酸盐、挥发性酚类、氰化物、砷、汞、铬（六价）、总硬度、铅、氟、镉、铁、锰、溶解性总固体、耗氧量、硫酸盐、氯化物、总大肠菌群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监测频率</w:t>
            </w:r>
          </w:p>
        </w:tc>
        <w:tc>
          <w:tcPr>
            <w:tcW w:w="702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1次/</w:t>
            </w:r>
            <w:r>
              <w:rPr>
                <w:rFonts w:hint="default" w:ascii="Times New Roman" w:hAnsi="Times New Roman" w:cs="Times New Roman" w:eastAsiaTheme="minorEastAsia"/>
                <w:color w:val="000000" w:themeColor="text1"/>
                <w:lang w:val="en-US" w:eastAsia="zh-CN"/>
                <w14:textFill>
                  <w14:solidFill>
                    <w14:schemeClr w14:val="tx1"/>
                  </w14:solidFill>
                </w14:textFill>
              </w:rPr>
              <w:t>1</w:t>
            </w:r>
            <w:r>
              <w:rPr>
                <w:rFonts w:hint="default" w:ascii="Times New Roman" w:hAnsi="Times New Roman" w:cs="Times New Roman" w:eastAsiaTheme="minorEastAsia"/>
                <w:color w:val="000000" w:themeColor="text1"/>
                <w14:textFill>
                  <w14:solidFill>
                    <w14:schemeClr w14:val="tx1"/>
                  </w14:solidFill>
                </w14:textFill>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监测方式</w:t>
            </w:r>
          </w:p>
        </w:tc>
        <w:tc>
          <w:tcPr>
            <w:tcW w:w="702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委托有监测资质单位监测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监测点位</w:t>
            </w:r>
          </w:p>
        </w:tc>
        <w:tc>
          <w:tcPr>
            <w:tcW w:w="7020" w:type="dxa"/>
            <w:vAlign w:val="center"/>
          </w:tcPr>
          <w:p>
            <w:pPr>
              <w:pStyle w:val="666"/>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1眼，</w:t>
            </w:r>
            <w:r>
              <w:rPr>
                <w:rFonts w:hint="default" w:ascii="Times New Roman" w:hAnsi="Times New Roman" w:cs="Times New Roman" w:eastAsiaTheme="minorEastAsia"/>
                <w:snapToGrid w:val="0"/>
                <w:color w:val="000000" w:themeColor="text1"/>
                <w14:textFill>
                  <w14:solidFill>
                    <w14:schemeClr w14:val="tx1"/>
                  </w14:solidFill>
                </w14:textFill>
              </w:rPr>
              <w:t>N</w:t>
            </w:r>
            <w:r>
              <w:rPr>
                <w:rFonts w:hint="default" w:ascii="Times New Roman" w:hAnsi="Times New Roman" w:cs="Times New Roman" w:eastAsiaTheme="minorEastAsia"/>
                <w:color w:val="000000" w:themeColor="text1"/>
                <w14:textFill>
                  <w14:solidFill>
                    <w14:schemeClr w14:val="tx1"/>
                  </w14:solidFill>
                </w14:textFill>
              </w:rPr>
              <w:t xml:space="preserve"> </w:t>
            </w:r>
            <w:r>
              <w:rPr>
                <w:rFonts w:hint="default" w:ascii="Times New Roman" w:hAnsi="Times New Roman" w:cs="Times New Roman" w:eastAsiaTheme="minorEastAsia"/>
                <w:color w:val="000000" w:themeColor="text1"/>
                <w:lang w:val="en-US" w:eastAsia="zh-CN"/>
                <w14:textFill>
                  <w14:solidFill>
                    <w14:schemeClr w14:val="tx1"/>
                  </w14:solidFill>
                </w14:textFill>
              </w:rPr>
              <w:t>46.509084</w:t>
            </w:r>
            <w:r>
              <w:rPr>
                <w:rFonts w:hint="default" w:ascii="Times New Roman" w:hAnsi="Times New Roman" w:cs="Times New Roman" w:eastAsiaTheme="minorEastAsia"/>
                <w:color w:val="000000" w:themeColor="text1"/>
                <w14:textFill>
                  <w14:solidFill>
                    <w14:schemeClr w14:val="tx1"/>
                  </w14:solidFill>
                </w14:textFill>
              </w:rPr>
              <w:t>，E</w:t>
            </w:r>
            <w:r>
              <w:rPr>
                <w:rFonts w:hint="default" w:ascii="Times New Roman" w:hAnsi="Times New Roman" w:cs="Times New Roman" w:eastAsiaTheme="minorEastAsia"/>
                <w:color w:val="000000" w:themeColor="text1"/>
                <w:lang w:val="en-US" w:eastAsia="zh-CN"/>
                <w14:textFill>
                  <w14:solidFill>
                    <w14:schemeClr w14:val="tx1"/>
                  </w14:solidFill>
                </w14:textFill>
              </w:rPr>
              <w:t>125.475497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监测层位</w:t>
            </w:r>
          </w:p>
        </w:tc>
        <w:tc>
          <w:tcPr>
            <w:tcW w:w="702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潜水含水层</w:t>
            </w:r>
          </w:p>
        </w:tc>
      </w:tr>
    </w:tbl>
    <w:p>
      <w:pPr>
        <w:ind w:firstLine="56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企业应制定地下水的跟踪监测信息公开计划，参照《环境影响评价技术导则 地下水环境》（HJ 610-2016）、《企业事业单位环境信息公开办法》部令（第31号）中的相关要求，对本项目地下水环境监测值等信息定期进行公开。</w:t>
      </w:r>
    </w:p>
    <w:p>
      <w:pPr>
        <w:pStyle w:val="129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6.2.5.4 应急响应</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项目场地潜水含水层渗透性能较差，且水力梯度平缓，因此地下水径流速度缓慢，当发生污染事故时，污染物的运移距离有限，因此，应采取如下污染治理措施。</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1、一旦发生地下水污染事故，应立即启动应急预案。</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2、查明并切断污染源，尽快清理地表残留污染源。</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3、增加地下水水质监测频次，掌握已有监控井中的地下水是否受到污染。</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4、进一步探明地下水污染深度、范围和污染程度。</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5、依据探明的地下水污染情况，合理布置轻型井点的深度及间距。</w:t>
      </w: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6.2.6 土壤环境保护措施</w:t>
      </w:r>
    </w:p>
    <w:p>
      <w:pPr>
        <w:ind w:firstLine="56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1、厂区土壤环境保护措施</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（1）危险废物严格按要求进行处理处置，严禁随意倾倒、丢弃；企业应集中收集，专人管理，集中贮存，贮存设施应满足《危险废物贮存污染控制标准》（GB18597-2001）及其修改单中的要求。</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（2）企业应对厂区内各项设施采取防渗措施，如固液分离间、黑膜沼气池、沼液储池等，防止发生渗漏现象时污染土壤环境。</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（3）在生产过程中做好对设备的维护、检修，切实杜绝“跑、冒、滴、漏”现象发生，同时，应加强关键部位的安全防护、报警措施，以便发现事故隐患，采取有效的应对措施以防事故发生。</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（4）消纳土地防护措施</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①连续多年使用沼液灌溉可能会造成土壤中营养元素相对过剩，使耕层土壤富营养化。沼液施用连续5年以上可根据土地监测情况，制订轮灌期限沼液施用过程中，对有每天产生量、施用量、施用日期、施用时间、施用农田编号、施用农田面积以及操作人员等进行记录。</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②在不同茬口种植地块，设定对照区和实验区，分别在每次生长收获后测定土壤养分含量(速效氮、磷、钾含量)、pH值、有机质含量、土壤容重是否符合要求;</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③定期对比施用沼液种植的作物品质、产量与普通化肥种植的作物品质、产量有无差别，能否促进作物品质、产量;同时对施用地土壤盐分含量不增加，土壤有无酸化、板结(即容重降低或无变化)现象。</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④对土壤盐化，采取农业改良措施(平整土地、改良耕作、施客土、施肥、播种、轮作、间种套种等);生物改良措施(种植耐盐植物和牧草、録肥、植树造林等)和化学改良措施(施用改良物质，如石膏、磷石膏、亚硫酸钙等)。</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⑤根据土地监测情况，制订轮灌期限，沼液施用过程中，对产生、施用情况等进行记录。不同茬口种植地块，设定对照区和实验区，分别在每次生长收获后测定土壤养分含量等指标是否符合要求。厂区采取分区防渗措施，防止污染土壤环境。</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（5）跟踪监测:本项目评价工作等级为三级,根据导则规定,项目可在必要时开展跟踪监测。</w:t>
      </w: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6.2.7 生态保护措施</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运营期的主要生态环境保护措施包括：养殖场区应充分结合地形进行立体绿化；充分利用够建筑物间的空地及道路两侧进行平面绿化；用绿地与道路将生产区和办公区有机的结合起来，减少对区域生态影响。</w:t>
      </w:r>
    </w:p>
    <w:p>
      <w:pPr>
        <w:pStyle w:val="1167"/>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6.2.8 环境风险防范措施</w:t>
      </w:r>
    </w:p>
    <w:p>
      <w:pPr>
        <w:pStyle w:val="10"/>
        <w:pageBreakBefore w:val="0"/>
        <w:widowControl/>
        <w:kinsoku/>
        <w:wordWrap/>
        <w:overflowPunct/>
        <w:topLinePunct w:val="0"/>
        <w:autoSpaceDE/>
        <w:autoSpaceDN/>
        <w:bidi w:val="0"/>
        <w:adjustRightInd w:val="0"/>
        <w:snapToGrid w:val="0"/>
        <w:spacing w:before="0" w:after="0" w:line="500" w:lineRule="exact"/>
        <w:ind w:left="0" w:leftChars="0" w:firstLine="0" w:firstLineChars="0"/>
        <w:jc w:val="left"/>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b w:val="0"/>
          <w:bCs w:val="0"/>
          <w:color w:val="000000" w:themeColor="text1"/>
          <w:sz w:val="28"/>
          <w:szCs w:val="28"/>
          <w:lang w:val="en-US" w:eastAsia="zh-CN"/>
          <w14:textFill>
            <w14:solidFill>
              <w14:schemeClr w14:val="tx1"/>
            </w14:solidFill>
          </w14:textFill>
        </w:rPr>
        <w:t>6.2.8.1</w:t>
      </w:r>
      <w:r>
        <w:rPr>
          <w:rFonts w:hint="default" w:ascii="Times New Roman" w:hAnsi="Times New Roman" w:cs="Times New Roman" w:eastAsiaTheme="minorEastAsia"/>
          <w:b w:val="0"/>
          <w:bCs w:val="0"/>
          <w:sz w:val="28"/>
          <w:szCs w:val="28"/>
        </w:rPr>
        <w:t>液化天然气安全与风险防范措施</w:t>
      </w:r>
    </w:p>
    <w:p>
      <w:pPr>
        <w:pStyle w:val="10"/>
        <w:pageBreakBefore w:val="0"/>
        <w:widowControl/>
        <w:kinsoku/>
        <w:wordWrap/>
        <w:overflowPunct/>
        <w:topLinePunct w:val="0"/>
        <w:autoSpaceDE/>
        <w:autoSpaceDN/>
        <w:bidi w:val="0"/>
        <w:adjustRightInd w:val="0"/>
        <w:snapToGrid w:val="0"/>
        <w:spacing w:before="0" w:after="0" w:line="500" w:lineRule="exact"/>
        <w:ind w:left="0" w:leftChars="0" w:firstLine="480" w:firstLineChars="200"/>
        <w:jc w:val="left"/>
        <w:textAlignment w:val="auto"/>
        <w:rPr>
          <w:rFonts w:hint="default" w:ascii="Times New Roman" w:hAnsi="Times New Roman" w:cs="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沼气生产区安全管理措施</w:t>
      </w:r>
    </w:p>
    <w:p>
      <w:pPr>
        <w:pageBreakBefore w:val="0"/>
        <w:widowControl/>
        <w:kinsoku/>
        <w:wordWrap/>
        <w:overflowPunct/>
        <w:topLinePunct w:val="0"/>
        <w:autoSpaceDE/>
        <w:autoSpaceDN/>
        <w:bidi w:val="0"/>
        <w:adjustRightInd w:val="0"/>
        <w:snapToGrid w:val="0"/>
        <w:spacing w:line="500" w:lineRule="exact"/>
        <w:ind w:firstLine="560"/>
        <w:textAlignment w:val="auto"/>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黑膜沼气池区域应划定一定距离范围内为防爆区，并设立禁止明火标志，防爆区要加强通风，防治沼气蓄积;配备必要的消防器材。要加强定期巡査、调节、保养、维修，确保沼气贮存、输送设施气密性良好运营。各装置建构筑物之间留有足够的安全防护距离，建构筑物内外道路畅通并形成环状，以利消防和安全疏散。</w:t>
      </w:r>
    </w:p>
    <w:p>
      <w:pPr>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制定项目沼气</w:t>
      </w:r>
      <w:r>
        <w:rPr>
          <w:rFonts w:hint="default" w:ascii="Times New Roman" w:hAnsi="Times New Roman" w:cs="Times New Roman" w:eastAsiaTheme="minorEastAsia"/>
          <w:color w:val="000000" w:themeColor="text1"/>
          <w:sz w:val="24"/>
          <w:szCs w:val="22"/>
          <w:lang w:eastAsia="zh-CN"/>
          <w14:textFill>
            <w14:solidFill>
              <w14:schemeClr w14:val="tx1"/>
            </w14:solidFill>
          </w14:textFill>
        </w:rPr>
        <w:t>火炬燃烧</w:t>
      </w:r>
      <w:r>
        <w:rPr>
          <w:rFonts w:hint="default" w:ascii="Times New Roman" w:hAnsi="Times New Roman" w:cs="Times New Roman" w:eastAsiaTheme="minorEastAsia"/>
          <w:color w:val="000000" w:themeColor="text1"/>
          <w:sz w:val="24"/>
          <w:szCs w:val="22"/>
          <w14:textFill>
            <w14:solidFill>
              <w14:schemeClr w14:val="tx1"/>
            </w14:solidFill>
          </w14:textFill>
        </w:rPr>
        <w:t>运行和操作的巡回检查制度、检修制度、运行安全操作规程等各项规章制度。加强人员技术培训,防止沼气燃爆事故发生。</w:t>
      </w:r>
    </w:p>
    <w:p>
      <w:pPr>
        <w:keepNext w:val="0"/>
        <w:keepLines w:val="0"/>
        <w:pageBreakBefore w:val="0"/>
        <w:widowControl/>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2"/>
          <w14:textFill>
            <w14:solidFill>
              <w14:schemeClr w14:val="tx1"/>
            </w14:solidFill>
          </w14:textFill>
        </w:rPr>
        <w:t>沼气</w:t>
      </w:r>
      <w:r>
        <w:rPr>
          <w:rFonts w:hint="default" w:ascii="Times New Roman" w:hAnsi="Times New Roman" w:cs="Times New Roman" w:eastAsiaTheme="minorEastAsia"/>
          <w:color w:val="000000" w:themeColor="text1"/>
          <w:sz w:val="24"/>
          <w:szCs w:val="22"/>
          <w:lang w:eastAsia="zh-CN"/>
          <w14:textFill>
            <w14:solidFill>
              <w14:schemeClr w14:val="tx1"/>
            </w14:solidFill>
          </w14:textFill>
        </w:rPr>
        <w:t>燃烧</w:t>
      </w:r>
      <w:r>
        <w:rPr>
          <w:rFonts w:hint="default" w:ascii="Times New Roman" w:hAnsi="Times New Roman" w:cs="Times New Roman" w:eastAsiaTheme="minorEastAsia"/>
          <w:color w:val="000000" w:themeColor="text1"/>
          <w:sz w:val="24"/>
          <w:szCs w:val="22"/>
          <w14:textFill>
            <w14:solidFill>
              <w14:schemeClr w14:val="tx1"/>
            </w14:solidFill>
          </w14:textFill>
        </w:rPr>
        <w:t>风险防范措施</w:t>
      </w:r>
    </w:p>
    <w:p>
      <w:pPr>
        <w:keepNext w:val="0"/>
        <w:keepLines w:val="0"/>
        <w:pageBreakBefore w:val="0"/>
        <w:widowControl/>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①输送沼气导管上的阀门要灵活、严密,不能漏气。</w:t>
      </w:r>
    </w:p>
    <w:p>
      <w:pPr>
        <w:keepNext w:val="0"/>
        <w:keepLines w:val="0"/>
        <w:pageBreakBefore w:val="0"/>
        <w:widowControl/>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②导气管应经常检查,确保不漏气。</w:t>
      </w:r>
    </w:p>
    <w:p>
      <w:pPr>
        <w:keepNext w:val="0"/>
        <w:keepLines w:val="0"/>
        <w:pageBreakBefore w:val="0"/>
        <w:widowControl/>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③导气管上应装上压力表。压力过高应排出气体;压力不足时应停止使用，重新进料充气,以防止回火。</w:t>
      </w:r>
    </w:p>
    <w:p>
      <w:pPr>
        <w:keepNext w:val="0"/>
        <w:keepLines w:val="0"/>
        <w:pageBreakBefore w:val="0"/>
        <w:widowControl/>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④使用沼气必须与可燃物保持一定的安全距离,以保证安全。</w:t>
      </w:r>
    </w:p>
    <w:p>
      <w:pPr>
        <w:keepNext w:val="0"/>
        <w:keepLines w:val="0"/>
        <w:pageBreakBefore w:val="0"/>
        <w:widowControl/>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⑤使用沼气时发现漏气，应立即打开门窗，熄灭室内各种火源，以防沼气爆炸。</w:t>
      </w:r>
    </w:p>
    <w:p>
      <w:pPr>
        <w:keepNext w:val="0"/>
        <w:keepLines w:val="0"/>
        <w:pageBreakBefore w:val="0"/>
        <w:widowControl/>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⑥下池检修或清除沉渣时,必须提高警惕,事先采取安全措施,防止窒息和中毒事故的发生。</w:t>
      </w:r>
    </w:p>
    <w:p>
      <w:pPr>
        <w:pStyle w:val="8"/>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rPr>
        <w:t>）总图布置和建筑安全防范措施</w:t>
      </w:r>
    </w:p>
    <w:p>
      <w:pPr>
        <w:pStyle w:val="8"/>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①液化天然气的安全防火间距应符合《建筑设计防火规范》（GB50016-2014）规范要求。</w:t>
      </w:r>
    </w:p>
    <w:p>
      <w:pPr>
        <w:pStyle w:val="8"/>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②在厂区内设置风向标，以便在事故状态进行有效的疏散和撤离。</w:t>
      </w:r>
    </w:p>
    <w:p>
      <w:pPr>
        <w:pStyle w:val="8"/>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（2）工艺技术设计安全防范措施</w:t>
      </w:r>
    </w:p>
    <w:p>
      <w:pPr>
        <w:pStyle w:val="8"/>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①储气装置：应设置压力上限报警，并远程监控；液相连接管道上应设置紧急切断阀；安全阀与储气装置之间应设切断阀；与储气装置气相空间相连的管道上应设置人工放散阀。</w:t>
      </w:r>
    </w:p>
    <w:p>
      <w:pPr>
        <w:pStyle w:val="8"/>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②输气管线：连接槽车的液相管道上应设置切断阀和止回阀，气相管道上宜设置切断阀。</w:t>
      </w:r>
    </w:p>
    <w:p>
      <w:pPr>
        <w:pStyle w:val="8"/>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val="en-US" w:eastAsia="zh-CN"/>
        </w:rPr>
        <w:t>4</w:t>
      </w:r>
      <w:r>
        <w:rPr>
          <w:rFonts w:hint="default" w:ascii="Times New Roman" w:hAnsi="Times New Roman" w:cs="Times New Roman" w:eastAsiaTheme="minorEastAsia"/>
          <w:sz w:val="24"/>
          <w:szCs w:val="24"/>
        </w:rPr>
        <w:t>）自动控制设计安全防范措施</w:t>
      </w:r>
    </w:p>
    <w:p>
      <w:pPr>
        <w:pStyle w:val="8"/>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①沼气囊等沼气存储设备应设置紧急切断系统，应能在事故状态下迅速关闭重要的管道阀门和切断泵电源。</w:t>
      </w:r>
    </w:p>
    <w:p>
      <w:pPr>
        <w:pStyle w:val="8"/>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②紧急切断阀和泵应设置连锁装置，并具有手动和自动切断的功能。</w:t>
      </w:r>
    </w:p>
    <w:p>
      <w:pPr>
        <w:pStyle w:val="8"/>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③紧急切断系统应具有手动复位功能。</w:t>
      </w:r>
    </w:p>
    <w:p>
      <w:pPr>
        <w:pStyle w:val="8"/>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④紧急切断系统宜能在以下位置启动：距停靠点5m以内。</w:t>
      </w:r>
    </w:p>
    <w:p>
      <w:pPr>
        <w:pStyle w:val="8"/>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⑤作业区等危险场所应设置可燃气体泄漏检测装置，就地及控制室设置声、光报警。</w:t>
      </w:r>
    </w:p>
    <w:p>
      <w:pPr>
        <w:pStyle w:val="8"/>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⑥沼气中CH</w:t>
      </w:r>
      <w:r>
        <w:rPr>
          <w:rFonts w:hint="default" w:ascii="Times New Roman" w:hAnsi="Times New Roman" w:cs="Times New Roman" w:eastAsiaTheme="minorEastAsia"/>
          <w:sz w:val="24"/>
          <w:szCs w:val="24"/>
          <w:vertAlign w:val="subscript"/>
        </w:rPr>
        <w:t>4</w:t>
      </w:r>
      <w:r>
        <w:rPr>
          <w:rFonts w:hint="default" w:ascii="Times New Roman" w:hAnsi="Times New Roman" w:cs="Times New Roman" w:eastAsiaTheme="minorEastAsia"/>
          <w:sz w:val="24"/>
          <w:szCs w:val="24"/>
        </w:rPr>
        <w:t>浓度报警设定值不应大于爆炸下限浓度（V%）值的20%；</w:t>
      </w:r>
    </w:p>
    <w:p>
      <w:pPr>
        <w:pStyle w:val="8"/>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val="en-US" w:eastAsia="zh-CN"/>
        </w:rPr>
        <w:t>5</w:t>
      </w:r>
      <w:r>
        <w:rPr>
          <w:rFonts w:hint="default" w:ascii="Times New Roman" w:hAnsi="Times New Roman" w:cs="Times New Roman" w:eastAsiaTheme="minorEastAsia"/>
          <w:sz w:val="24"/>
          <w:szCs w:val="24"/>
        </w:rPr>
        <w:t>）消防及火灾报警系统</w:t>
      </w:r>
    </w:p>
    <w:p>
      <w:pPr>
        <w:pStyle w:val="8"/>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扑救液化天然气储气瓶可燃气体泄漏火灾，宜采用干粉灭火。需要重点保护的液化天然气储罐通向大气的安全阀出口管应设置固定干粉灭火系统。</w:t>
      </w:r>
    </w:p>
    <w:p>
      <w:pPr>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eastAsiaTheme="minorEastAsia"/>
          <w:color w:val="000000" w:themeColor="text1"/>
          <w:sz w:val="24"/>
          <w:szCs w:val="22"/>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6.2.8.2</w:t>
      </w:r>
      <w:r>
        <w:rPr>
          <w:rFonts w:hint="default" w:ascii="Times New Roman" w:hAnsi="Times New Roman" w:cs="Times New Roman" w:eastAsiaTheme="minorEastAsia"/>
          <w:color w:val="000000" w:themeColor="text1"/>
          <w:sz w:val="24"/>
          <w:szCs w:val="22"/>
          <w14:textFill>
            <w14:solidFill>
              <w14:schemeClr w14:val="tx1"/>
            </w14:solidFill>
          </w14:textFill>
        </w:rPr>
        <w:t>疫病风险</w:t>
      </w:r>
      <w:r>
        <w:rPr>
          <w:rFonts w:hint="default" w:ascii="Times New Roman" w:hAnsi="Times New Roman" w:cs="Times New Roman" w:eastAsiaTheme="minorEastAsia"/>
          <w:color w:val="000000" w:themeColor="text1"/>
          <w:sz w:val="24"/>
          <w:szCs w:val="22"/>
          <w:lang w:eastAsia="zh-CN"/>
          <w14:textFill>
            <w14:solidFill>
              <w14:schemeClr w14:val="tx1"/>
            </w14:solidFill>
          </w14:textFill>
        </w:rPr>
        <w:t>防范措施</w:t>
      </w:r>
    </w:p>
    <w:p>
      <w:pPr>
        <w:keepNext w:val="0"/>
        <w:keepLines w:val="0"/>
        <w:pageBreakBefore w:val="0"/>
        <w:widowControl/>
        <w:kinsoku/>
        <w:wordWrap/>
        <w:overflowPunct/>
        <w:topLinePunct w:val="0"/>
        <w:autoSpaceDE/>
        <w:autoSpaceDN/>
        <w:bidi w:val="0"/>
        <w:adjustRightInd w:val="0"/>
        <w:snapToGrid w:val="0"/>
        <w:spacing w:line="500" w:lineRule="exact"/>
        <w:ind w:firstLine="560"/>
        <w:textAlignment w:val="auto"/>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引起奶牛疾病的因素很多。若不慎发生传染病，应立即采取有效地控制措施：封闭—隔离—每天消毒—根据临床症状、解剖变化进行疾病的初步诊断—病畜的对症治疗—采样送检确诊—紧急预防接种—取各种综合性防治措施。总之，要做到行动迅速，方法得当，措施有力，尽可能的将损失降到最低。应立即按照计划组成防疫小组，尽快做出确切诊断，迅速向卫生防疫部门报告疫情。迅速隔离病牛，对危害较重的传染病应及时划区封锁，建立封锁带，出入人员和车辆要严格消毒，同时严格消毒污染环境。解除封锁的条件是在最后一头病牛痊愈后两个潜伏期内再无新病例出现，经过全面大消毒，报上级主管部门批准，方可解除封锁。</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（1）日常预防措施</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①在生产中应坚持“防病重于治病”的方针，改变原来的被动治疗为现在的主动预防。如引种时的检疫、隔离、消毒；牛场疾病的化验与预测；疫苗的注射、药物预防等等，都是将疾病拒之门外的有效办法。</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②企业应将养殖区与生活区分开。养殖区门口应设置消毒池和消毒室(内设紫外线灯等消毒设施)。</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③严格控制非生产人员进入生产区，必须进入时应更换工作服及鞋帽，经消毒室消毒后才能进入。</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④兽医必须转变观念，现代化养牛必须树立兽医新观念。</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兽医除了对常见疾病进行治疗外，还必须经常对牛群临床症状进行收集、分析、整理，形成最佳、最可信的详细资料，再根据流行病学的基本特征去排除牛场一些慢性病和亚临床症状疾病，保证牛群健康，达到预期的生长性能。传统的治疗兽医将变成防疫兽医，再发展成现在的保健兽医。只有这样，才能在牛病防控工作上取得突破性进展。</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⑤合理布局、完善设施及严格消毒是预防疾病的基础。</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牛场选址一般要求地势高，远离主干道，通风向阳，水质好，排污治污方便的地方。现代化养牛往往通过改善养牛设备来控制或减少疾病。如干清粪工艺；小单元的全进全出；通风系统及温控设备等等。即使是犊牛场也不可忽视隔离墙、隔离沟、消毒池和排污道的建设。经常开展常规的消毒，保持良好的消毒效果来减少疾病的感染机会，进一步促进牛群健康。</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常见空圈舍消毒程序：</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空圈—清理杂物—高压水枪冲洗—消毒—3小时后清理污垢死角—清水彻底冲洗—晾干—熏蒸消毒—晾干—阳离子表面活性消毒剂消毒—晾干—进牛。</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⑥加强饲养管理，搞好环境卫生是预防疾病的条件。</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全价平衡的营养是保证牛群发挥生产性能的重要因素，良好的饲养环境有利于牛群生产性能的正常发挥。科学程序化的管理使牛群生产性能获得最大经济效益。相反，营养不良、环境恶劣、管理不善，都能降低牛群的抗感染能力或者引起牛群疾病加重。即便是很健康、免疫能力很强的牛群在极其恶劣的环境下也很难避免疾病的发生。另外及时淘汰无价值的个体，对减少疾病非常重要。</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⑦饲养人员每年应至少进行一次体格检查，如发现患有危害人、牛的传染病者，应及时调离，以防传染。</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⑧经常保持牛舍、牛体的清洁，牛舍还应保持平整、干燥、无污物。</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（2）疫病监测制度</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疫病监测是预防疾病的关键。</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只有对本场所有牛只的健康状况、免疫水平以及原发病史进行全面、细致的了解，才能有针对性制定免疫程序、防控措施和净化方案。</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牛场应建立如下疾病监测制度：</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①对犊牛进行细小病毒病、伪狂犬病、乙脑、瘟疫苗注射及注射1～3周后抽血化验工作。进行血清学检测，监测牛群健康状态和免疫效果。</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②对犊牛及其他各牛群，应做好疫苗接种前后的血清抗体监测工作，以便能随时掌握牛群免疫状况和接种效果。对血清监测的结果，应根据监测样品多少、监测方法的准确性，以及牛群的临床检查结果等方面的资料，进行综合分析，可随时调整免疫程序或补免。</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③定期监测口蹄疫、炭疽病、传染性胸膜肺炎等。</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④做好牛群驱虫前、后的化验监测工作，特别是监测弓形虫病、附红细胞体病等寄生病的有无、存在的程度。</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总之，引起牛场疾病的因素很多。在实际工作中只有注意到生产中的各种细节，职工能积极主动配合，疾病防治工作才能做好，牛场才能实现安全生产。</w:t>
      </w:r>
    </w:p>
    <w:p>
      <w:pPr>
        <w:pStyle w:val="10"/>
        <w:keepNext/>
        <w:keepLines/>
        <w:pageBreakBefore w:val="0"/>
        <w:widowControl/>
        <w:kinsoku/>
        <w:wordWrap/>
        <w:overflowPunct/>
        <w:topLinePunct w:val="0"/>
        <w:autoSpaceDE/>
        <w:autoSpaceDN/>
        <w:bidi w:val="0"/>
        <w:adjustRightInd w:val="0"/>
        <w:snapToGrid w:val="0"/>
        <w:spacing w:before="0" w:after="0" w:line="500" w:lineRule="exact"/>
        <w:ind w:left="0" w:leftChars="0" w:firstLine="0" w:firstLineChars="0"/>
        <w:textAlignment w:val="auto"/>
        <w:rPr>
          <w:rFonts w:hint="default" w:ascii="Times New Roman" w:hAnsi="Times New Roman" w:cs="Times New Roman" w:eastAsiaTheme="minorEastAsia"/>
          <w:b w:val="0"/>
          <w:bCs w:val="0"/>
          <w:sz w:val="28"/>
          <w:szCs w:val="28"/>
        </w:rPr>
      </w:pPr>
      <w:r>
        <w:rPr>
          <w:rFonts w:hint="default" w:ascii="Times New Roman" w:hAnsi="Times New Roman" w:cs="Times New Roman" w:eastAsiaTheme="minorEastAsia"/>
          <w:b w:val="0"/>
          <w:bCs w:val="0"/>
          <w:sz w:val="28"/>
          <w:szCs w:val="28"/>
        </w:rPr>
        <w:t>6.2.</w:t>
      </w:r>
      <w:r>
        <w:rPr>
          <w:rFonts w:hint="default" w:ascii="Times New Roman" w:hAnsi="Times New Roman" w:cs="Times New Roman" w:eastAsiaTheme="minorEastAsia"/>
          <w:b w:val="0"/>
          <w:bCs w:val="0"/>
          <w:sz w:val="28"/>
          <w:szCs w:val="28"/>
          <w:lang w:val="en-US" w:eastAsia="zh-CN"/>
        </w:rPr>
        <w:t>8</w:t>
      </w:r>
      <w:r>
        <w:rPr>
          <w:rFonts w:hint="default" w:ascii="Times New Roman" w:hAnsi="Times New Roman" w:cs="Times New Roman" w:eastAsiaTheme="minorEastAsia"/>
          <w:b w:val="0"/>
          <w:bCs w:val="0"/>
          <w:sz w:val="28"/>
          <w:szCs w:val="28"/>
        </w:rPr>
        <w:t>.3沼液暂存池、沼气池等泄漏的应急措施</w:t>
      </w:r>
    </w:p>
    <w:p>
      <w:pPr>
        <w:pStyle w:val="8"/>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建设单位应认真落实每年1次的地下水跟踪监测职责，运营期的地下水保护目标应定为氨氮监测浓度≤0.5mg/L、COD监测浓度≤20mg/L，如果在跟踪监测的过程氨氮检出浓度大于0.5mg/L、COD检出浓度大于20mg/L，则有可能说明污水发生泄漏，建设单位应组织开展检查工作确定是否发生污水泄漏事故。根据当明确发生污水泄漏事故时，应根据泄漏位置将泄漏单元的污染物立即用罐车抽空，同时应委托具有专业资质的环境监测单位进行更全面的地下水污染跟踪监测，以便明确泄漏事故的范围和程度。建设单位应将泄漏事故上报给环境主管部门。同时应并委托有专业技术能力的机构进行地下水影响的修复工作。</w:t>
      </w:r>
    </w:p>
    <w:p>
      <w:pPr>
        <w:pStyle w:val="10"/>
        <w:keepNext/>
        <w:keepLines/>
        <w:pageBreakBefore w:val="0"/>
        <w:widowControl/>
        <w:kinsoku/>
        <w:wordWrap/>
        <w:overflowPunct/>
        <w:topLinePunct w:val="0"/>
        <w:autoSpaceDE/>
        <w:autoSpaceDN/>
        <w:bidi w:val="0"/>
        <w:adjustRightInd w:val="0"/>
        <w:snapToGrid w:val="0"/>
        <w:spacing w:before="0" w:after="0" w:line="500" w:lineRule="exact"/>
        <w:ind w:left="0"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t>6.2.</w:t>
      </w:r>
      <w:r>
        <w:rPr>
          <w:rFonts w:hint="default" w:ascii="Times New Roman" w:hAnsi="Times New Roman" w:cs="Times New Roman" w:eastAsiaTheme="minorEastAsia"/>
          <w:lang w:val="en-US" w:eastAsia="zh-CN"/>
        </w:rPr>
        <w:t>8</w:t>
      </w:r>
      <w:r>
        <w:rPr>
          <w:rFonts w:hint="default" w:ascii="Times New Roman" w:hAnsi="Times New Roman" w:cs="Times New Roman" w:eastAsiaTheme="minorEastAsia"/>
        </w:rPr>
        <w:t>.4应急预案</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根据环境保护部“环发[2012]77号”文《</w:t>
      </w:r>
      <w:r>
        <w:rPr>
          <w:rFonts w:hint="default" w:ascii="Times New Roman" w:hAnsi="Times New Roman" w:cs="Times New Roman" w:eastAsiaTheme="minorEastAsia"/>
          <w:bCs/>
          <w:sz w:val="24"/>
          <w:szCs w:val="24"/>
        </w:rPr>
        <w:t>关于进一步加强环境影响评价管理防范环境风险的通知</w:t>
      </w:r>
      <w:r>
        <w:rPr>
          <w:rFonts w:hint="default" w:ascii="Times New Roman" w:hAnsi="Times New Roman" w:cs="Times New Roman" w:eastAsiaTheme="minorEastAsia"/>
          <w:sz w:val="24"/>
          <w:szCs w:val="24"/>
        </w:rPr>
        <w:t>》要求，通过对事故的风险评价，生产运营企业在投产前，应制定详细的防止重大环境污染事故发生应急预案、消除事故隐患的措施及应急处理办法。</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bCs/>
          <w:sz w:val="24"/>
          <w:szCs w:val="24"/>
        </w:rPr>
      </w:pPr>
      <w:r>
        <w:rPr>
          <w:rFonts w:hint="default" w:ascii="Times New Roman" w:hAnsi="Times New Roman" w:cs="Times New Roman" w:eastAsiaTheme="minorEastAsia"/>
          <w:sz w:val="24"/>
          <w:szCs w:val="24"/>
        </w:rPr>
        <w:t>1、事故应急机构、系统及预案</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（1）应急指挥机构</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bCs/>
          <w:sz w:val="24"/>
          <w:szCs w:val="24"/>
        </w:rPr>
      </w:pPr>
      <w:r>
        <w:rPr>
          <w:rFonts w:hint="default" w:ascii="Times New Roman" w:hAnsi="Times New Roman" w:cs="Times New Roman" w:eastAsiaTheme="minorEastAsia"/>
          <w:sz w:val="24"/>
          <w:szCs w:val="24"/>
        </w:rPr>
        <w:t>为确保发生各类意外事故后能及时组织人员进行抢救，项目建设单位应成立应急指挥小组，由组长或副组长担任应急反应现场指挥员并全面负责发生险情后的现场指挥工作。</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（2）应急系统</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为防范和应对突发性环境污染事故的发生，要求建立既能对污染隐患进行监控和警告，又能对突发性污染事故实施统一指挥协调、现场快速监测和应急处理的应急系统。应急系统由应急响应、应急监测和应急处理系统三部分组成。</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①事故应急响应</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突发性环境污染事故应急处置刻不容缓，响应速度至关重要，任何人接到污染事故报警，必须马上报告应急办公室。应急组织各环节相互配合，确保响应迅速。应建立存储区—厂区—地方三级应急响应防控体系。</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为</w:t>
      </w:r>
      <w:r>
        <w:rPr>
          <w:rFonts w:hint="default" w:ascii="Times New Roman" w:hAnsi="Times New Roman" w:cs="Times New Roman" w:eastAsiaTheme="minorEastAsia"/>
          <w:spacing w:val="-2"/>
          <w:sz w:val="24"/>
          <w:szCs w:val="24"/>
        </w:rPr>
        <w:t>保障抢险过程中信息畅通，指令传达迅速到位，由值班人员负责应急抢险期间全部信息的收集、反馈，确保各种信息上传下达到位及时，并向值班干部直接汇报。</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突发性环境污染事故应急通讯系统包括事故报警、应急指挥、应急信息发布三部分。事故报警应设立专用电话，电话号码为大众所熟知，同时充分利用社会上现有的110、119、120等救援电话，做到24h畅通。</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②事故应急监测</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监测人员快速赶赴现场，根据事故现场的具体情况布点采样，利用快速监测手段判断污染物的种类，给出定性、半定量和定量监测结果，确认污染事故的危害程度和污染范围等。</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③应急后勤保障系统</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a、项目区应配备符合要求的防毒面具（不少于两具）、防噪耳罩、安全带（不少于两副）、救护绳索及一定量的急救用药品。</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b、项目区应备有О</w:t>
      </w:r>
      <w:r>
        <w:rPr>
          <w:rFonts w:hint="default" w:ascii="Times New Roman" w:hAnsi="Times New Roman" w:cs="Times New Roman" w:eastAsiaTheme="minorEastAsia"/>
          <w:sz w:val="24"/>
          <w:szCs w:val="24"/>
          <w:vertAlign w:val="subscript"/>
        </w:rPr>
        <w:t>2</w:t>
      </w:r>
      <w:r>
        <w:rPr>
          <w:rFonts w:hint="default" w:ascii="Times New Roman" w:hAnsi="Times New Roman" w:cs="Times New Roman" w:eastAsiaTheme="minorEastAsia"/>
          <w:sz w:val="24"/>
          <w:szCs w:val="24"/>
        </w:rPr>
        <w:t>测试仪、H</w:t>
      </w:r>
      <w:r>
        <w:rPr>
          <w:rFonts w:hint="default" w:ascii="Times New Roman" w:hAnsi="Times New Roman" w:cs="Times New Roman" w:eastAsiaTheme="minorEastAsia"/>
          <w:sz w:val="24"/>
          <w:szCs w:val="24"/>
          <w:vertAlign w:val="subscript"/>
        </w:rPr>
        <w:t>2</w:t>
      </w:r>
      <w:r>
        <w:rPr>
          <w:rFonts w:hint="default" w:ascii="Times New Roman" w:hAnsi="Times New Roman" w:cs="Times New Roman" w:eastAsiaTheme="minorEastAsia"/>
          <w:sz w:val="24"/>
          <w:szCs w:val="24"/>
        </w:rPr>
        <w:t>S测试仪、便携式可燃气体测爆仪。</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c、</w:t>
      </w:r>
      <w:r>
        <w:rPr>
          <w:rFonts w:hint="default" w:ascii="Times New Roman" w:hAnsi="Times New Roman" w:cs="Times New Roman" w:eastAsiaTheme="minorEastAsia"/>
          <w:spacing w:val="-4"/>
          <w:sz w:val="24"/>
          <w:szCs w:val="24"/>
        </w:rPr>
        <w:t>当地人民医院是应急救护的最近接受单位，在接到求助信息后保证迅速到位并实施急救措施，负责确定第一抢救方案，并根据伤情提出下步抢救意见。</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d、应急调度系统</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应设置常设调度中心，负责应急期间车辆、人员、物资器材的抽调和输送工作，直至应急反应状态解除为止。</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e、消防系统</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当地消防大队是现场消防监护的保障力量，接警后负责联系应急抢险现场火险戒备及扑救，直至应急状态结束。</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outlineLvl w:val="0"/>
        <w:rPr>
          <w:rFonts w:hint="default" w:ascii="Times New Roman" w:hAnsi="Times New Roman" w:cs="Times New Roman" w:eastAsiaTheme="minorEastAsia"/>
          <w:sz w:val="24"/>
          <w:szCs w:val="24"/>
        </w:rPr>
      </w:pPr>
      <w:bookmarkStart w:id="229" w:name="_Toc17030"/>
      <w:r>
        <w:rPr>
          <w:rFonts w:hint="default" w:ascii="Times New Roman" w:hAnsi="Times New Roman" w:cs="Times New Roman" w:eastAsiaTheme="minorEastAsia"/>
          <w:sz w:val="24"/>
          <w:szCs w:val="24"/>
        </w:rPr>
        <w:t>3、火灾爆炸应急预案</w:t>
      </w:r>
      <w:bookmarkEnd w:id="229"/>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outlineLvl w:val="1"/>
        <w:rPr>
          <w:rFonts w:hint="default" w:ascii="Times New Roman" w:hAnsi="Times New Roman" w:cs="Times New Roman" w:eastAsiaTheme="minorEastAsia"/>
          <w:sz w:val="24"/>
          <w:szCs w:val="24"/>
        </w:rPr>
      </w:pPr>
      <w:bookmarkStart w:id="230" w:name="_Toc27633"/>
      <w:r>
        <w:rPr>
          <w:rFonts w:hint="default" w:ascii="Times New Roman" w:hAnsi="Times New Roman" w:cs="Times New Roman" w:eastAsiaTheme="minorEastAsia"/>
          <w:sz w:val="24"/>
          <w:szCs w:val="24"/>
        </w:rPr>
        <w:t>（1）应急抢险原则</w:t>
      </w:r>
      <w:bookmarkEnd w:id="230"/>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①安全第一原则</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火灾爆炸事故发生后常会伴随许多重大危险隐患，因此，必须在坚持安全第一的条件下进行应急抢险，防止造成人员伤亡和险情的进一步扩大。</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②速战速决原则</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应急抢险人员必须行动迅速，接到指定任务后不推委、不冒险，服从统一指挥，作到统一行动、统一撤离，以最短时间完成抢险任务。</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outlineLvl w:val="1"/>
        <w:rPr>
          <w:rFonts w:hint="default" w:ascii="Times New Roman" w:hAnsi="Times New Roman" w:cs="Times New Roman" w:eastAsiaTheme="minorEastAsia"/>
          <w:sz w:val="24"/>
          <w:szCs w:val="24"/>
        </w:rPr>
      </w:pPr>
      <w:bookmarkStart w:id="231" w:name="_Toc20526"/>
      <w:r>
        <w:rPr>
          <w:rFonts w:hint="default" w:ascii="Times New Roman" w:hAnsi="Times New Roman" w:cs="Times New Roman" w:eastAsiaTheme="minorEastAsia"/>
          <w:sz w:val="24"/>
          <w:szCs w:val="24"/>
        </w:rPr>
        <w:t>（2）应急反应程序</w:t>
      </w:r>
      <w:bookmarkEnd w:id="231"/>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①发生火灾爆炸事故后由第一发现人迅速拨打119火警电话，报警时简要说明出事时间、地点、灾情现状等。向医疗部门求援，简单汇报现场情况并拨打报警电话，同时打开本站大门作好接车准备。</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②第一发现人拨打火警电话报警后立即向应急指挥办公室报警，值班干部接警后立即启动应急反应程序并全面处理现场各种复杂情况。</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③值班干部布置抢险任务、调查现场有无人员伤亡，组织实施初期扑救工作。</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④应迅速可采用泡沫栓接消防水带喷射泡沫控制大火，灭火时可采用前后对射，但对射时人不能正对火焰方向。并采用沙土和灭火器控制地面流动火势。</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pacing w:val="-4"/>
          <w:sz w:val="24"/>
          <w:szCs w:val="24"/>
        </w:rPr>
      </w:pPr>
      <w:r>
        <w:rPr>
          <w:rFonts w:hint="default" w:ascii="Times New Roman" w:hAnsi="Times New Roman" w:cs="Times New Roman" w:eastAsiaTheme="minorEastAsia"/>
          <w:sz w:val="24"/>
          <w:szCs w:val="24"/>
        </w:rPr>
        <w:t>⑤</w:t>
      </w:r>
      <w:r>
        <w:rPr>
          <w:rFonts w:hint="default" w:ascii="Times New Roman" w:hAnsi="Times New Roman" w:cs="Times New Roman" w:eastAsiaTheme="minorEastAsia"/>
          <w:spacing w:val="-4"/>
          <w:sz w:val="24"/>
          <w:szCs w:val="24"/>
        </w:rPr>
        <w:t>专业消防队伍抵达现场后，由值班干部介绍火情及扑救情况，协同制定扑救方案，其它人员撤离扑救现场，接受值班干部统一指挥作好灭火的协助工作。</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pacing w:val="-4"/>
          <w:sz w:val="24"/>
          <w:szCs w:val="24"/>
        </w:rPr>
      </w:pPr>
      <w:r>
        <w:rPr>
          <w:rFonts w:hint="default" w:ascii="Times New Roman" w:hAnsi="Times New Roman" w:cs="Times New Roman" w:eastAsiaTheme="minorEastAsia"/>
          <w:sz w:val="24"/>
          <w:szCs w:val="24"/>
        </w:rPr>
        <w:t>⑥</w:t>
      </w:r>
      <w:r>
        <w:rPr>
          <w:rFonts w:hint="default" w:ascii="Times New Roman" w:hAnsi="Times New Roman" w:cs="Times New Roman" w:eastAsiaTheme="minorEastAsia"/>
          <w:spacing w:val="-4"/>
          <w:sz w:val="24"/>
          <w:szCs w:val="24"/>
        </w:rPr>
        <w:t>应急指挥组组长或副组长在确保火灾爆炸现场得到彻底控制后，及时清点人数，宣布后续工作、注意事项，组织清理现场，解除应急状态并恢复正常生产。</w:t>
      </w:r>
    </w:p>
    <w:p>
      <w:pPr>
        <w:pStyle w:val="952"/>
        <w:rPr>
          <w:rFonts w:hint="default" w:ascii="Times New Roman" w:hAnsi="Times New Roman" w:cs="Times New Roman" w:eastAsiaTheme="minorEastAsia"/>
        </w:rPr>
      </w:pPr>
      <w:r>
        <w:rPr>
          <w:rFonts w:hint="default" w:ascii="Times New Roman" w:hAnsi="Times New Roman" w:cs="Times New Roman" w:eastAsiaTheme="minorEastAsia"/>
        </w:rPr>
        <w:t>表6-2-</w:t>
      </w:r>
      <w:r>
        <w:rPr>
          <w:rFonts w:hint="default" w:ascii="Times New Roman" w:hAnsi="Times New Roman" w:cs="Times New Roman" w:eastAsiaTheme="minorEastAsia"/>
          <w:lang w:val="en-US" w:eastAsia="zh-CN"/>
        </w:rPr>
        <w:t>3</w:t>
      </w:r>
      <w:r>
        <w:rPr>
          <w:rFonts w:hint="default" w:ascii="Times New Roman" w:hAnsi="Times New Roman" w:cs="Times New Roman" w:eastAsiaTheme="minorEastAsia"/>
        </w:rPr>
        <w:t xml:space="preserve"> 风险事故应急预案的主要内容</w:t>
      </w:r>
    </w:p>
    <w:tbl>
      <w:tblPr>
        <w:tblStyle w:val="9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0"/>
        <w:gridCol w:w="2672"/>
        <w:gridCol w:w="45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80"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序号</w:t>
            </w:r>
          </w:p>
        </w:tc>
        <w:tc>
          <w:tcPr>
            <w:tcW w:w="2672"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项目</w:t>
            </w:r>
          </w:p>
        </w:tc>
        <w:tc>
          <w:tcPr>
            <w:tcW w:w="4561"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内容及要求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80"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1</w:t>
            </w:r>
          </w:p>
        </w:tc>
        <w:tc>
          <w:tcPr>
            <w:tcW w:w="2672"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应急计划区</w:t>
            </w:r>
          </w:p>
        </w:tc>
        <w:tc>
          <w:tcPr>
            <w:tcW w:w="4561"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危险目标：天然气储罐、环境保护目标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80"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2</w:t>
            </w:r>
          </w:p>
        </w:tc>
        <w:tc>
          <w:tcPr>
            <w:tcW w:w="2672"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应急组织机构、人员</w:t>
            </w:r>
          </w:p>
        </w:tc>
        <w:tc>
          <w:tcPr>
            <w:tcW w:w="4561"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公司、地区应急组织机构、人员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80"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3</w:t>
            </w:r>
          </w:p>
        </w:tc>
        <w:tc>
          <w:tcPr>
            <w:tcW w:w="2672"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预案分级响应条件</w:t>
            </w:r>
          </w:p>
        </w:tc>
        <w:tc>
          <w:tcPr>
            <w:tcW w:w="4561"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规定预案的级别及分级响应程序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80"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4</w:t>
            </w:r>
          </w:p>
        </w:tc>
        <w:tc>
          <w:tcPr>
            <w:tcW w:w="2672"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应急救援保障</w:t>
            </w:r>
          </w:p>
        </w:tc>
        <w:tc>
          <w:tcPr>
            <w:tcW w:w="4561"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应急设施，设备与器材等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80"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5</w:t>
            </w:r>
          </w:p>
        </w:tc>
        <w:tc>
          <w:tcPr>
            <w:tcW w:w="2672"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报警、通讯联络方式</w:t>
            </w:r>
          </w:p>
        </w:tc>
        <w:tc>
          <w:tcPr>
            <w:tcW w:w="4561"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规定应急状态下的报警通讯式、通知方式和交通保障、管制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80"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6</w:t>
            </w:r>
          </w:p>
        </w:tc>
        <w:tc>
          <w:tcPr>
            <w:tcW w:w="2672"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应急环境监测、抢险、救援及控制措施</w:t>
            </w:r>
          </w:p>
        </w:tc>
        <w:tc>
          <w:tcPr>
            <w:tcW w:w="4561"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由专业队伍负责对事故现场进行侦察监测，对事故性质、参数与后果进行评估，为指挥部门提供决策依据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80"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7</w:t>
            </w:r>
          </w:p>
        </w:tc>
        <w:tc>
          <w:tcPr>
            <w:tcW w:w="2672"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应急检测、防护措施、清除泄漏措施和器材</w:t>
            </w:r>
          </w:p>
        </w:tc>
        <w:tc>
          <w:tcPr>
            <w:tcW w:w="4561"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事故现场、邻近区域、控制防火区域，控制和清除污染措施及相应设备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80"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8</w:t>
            </w:r>
          </w:p>
        </w:tc>
        <w:tc>
          <w:tcPr>
            <w:tcW w:w="2672"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人员紧急撤离、疏散，应急剂量控制、撤离组织计划</w:t>
            </w:r>
          </w:p>
        </w:tc>
        <w:tc>
          <w:tcPr>
            <w:tcW w:w="4561"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事故现场、输气罐车邻近区域、受事故影响的区域人员及公众对天然气浓度的控制规定，撤离组织计划及求护，医疗救护与公众安全。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80"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9</w:t>
            </w:r>
          </w:p>
        </w:tc>
        <w:tc>
          <w:tcPr>
            <w:tcW w:w="2672"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事故应急救援关闭程序与恢复措施</w:t>
            </w:r>
          </w:p>
        </w:tc>
        <w:tc>
          <w:tcPr>
            <w:tcW w:w="4561"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规定应急状态终止程序；事故现场善后处理，恢复措施；邻近区域解除事故警戒及善后恢复措施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80"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10</w:t>
            </w:r>
          </w:p>
        </w:tc>
        <w:tc>
          <w:tcPr>
            <w:tcW w:w="2672"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应急培训计划</w:t>
            </w:r>
          </w:p>
        </w:tc>
        <w:tc>
          <w:tcPr>
            <w:tcW w:w="4561"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应急计划制定后，平时安排人员培训与演练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80"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11</w:t>
            </w:r>
          </w:p>
        </w:tc>
        <w:tc>
          <w:tcPr>
            <w:tcW w:w="2672"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公众教育和信息</w:t>
            </w:r>
          </w:p>
        </w:tc>
        <w:tc>
          <w:tcPr>
            <w:tcW w:w="4561" w:type="dxa"/>
            <w:shd w:val="clear" w:color="auto" w:fill="auto"/>
            <w:vAlign w:val="center"/>
          </w:tcPr>
          <w:p>
            <w:pPr>
              <w:pStyle w:val="1252"/>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napToGrid w:val="0"/>
                <w:sz w:val="21"/>
                <w:szCs w:val="22"/>
              </w:rPr>
            </w:pPr>
            <w:r>
              <w:rPr>
                <w:rFonts w:hint="default" w:ascii="Times New Roman" w:hAnsi="Times New Roman" w:cs="Times New Roman" w:eastAsiaTheme="minorEastAsia"/>
                <w:snapToGrid w:val="0"/>
                <w:sz w:val="21"/>
                <w:szCs w:val="22"/>
              </w:rPr>
              <w:t>对沿线地区开展公众教育、培训和发布有关信息</w:t>
            </w:r>
          </w:p>
        </w:tc>
      </w:tr>
    </w:tbl>
    <w:p>
      <w:pPr>
        <w:pStyle w:val="8"/>
        <w:keepNext w:val="0"/>
        <w:keepLines w:val="0"/>
        <w:pageBreakBefore w:val="0"/>
        <w:kinsoku/>
        <w:wordWrap/>
        <w:overflowPunct/>
        <w:topLinePunct w:val="0"/>
        <w:bidi w:val="0"/>
        <w:adjustRightInd w:val="0"/>
        <w:snapToGrid w:val="0"/>
        <w:spacing w:line="500" w:lineRule="exact"/>
        <w:outlineLvl w:val="0"/>
        <w:rPr>
          <w:rFonts w:hint="default" w:ascii="Times New Roman" w:hAnsi="Times New Roman" w:cs="Times New Roman" w:eastAsiaTheme="minorEastAsia"/>
          <w:sz w:val="24"/>
          <w:szCs w:val="24"/>
        </w:rPr>
      </w:pPr>
      <w:bookmarkStart w:id="232" w:name="_Toc11821"/>
      <w:r>
        <w:rPr>
          <w:rFonts w:hint="default" w:ascii="Times New Roman" w:hAnsi="Times New Roman" w:cs="Times New Roman" w:eastAsiaTheme="minorEastAsia"/>
          <w:sz w:val="24"/>
          <w:szCs w:val="24"/>
        </w:rPr>
        <w:t>4、发生疫情时的紧急措施</w:t>
      </w:r>
      <w:bookmarkEnd w:id="232"/>
    </w:p>
    <w:p>
      <w:pPr>
        <w:pStyle w:val="8"/>
        <w:keepNext w:val="0"/>
        <w:keepLines w:val="0"/>
        <w:pageBreakBefore w:val="0"/>
        <w:kinsoku/>
        <w:wordWrap/>
        <w:overflowPunct/>
        <w:topLinePunct w:val="0"/>
        <w:bidi w:val="0"/>
        <w:adjustRightInd w:val="0"/>
        <w:snapToGrid w:val="0"/>
        <w:spacing w:line="500" w:lineRule="exact"/>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若不慎发生传染病，应立即采取有效地控制措施：</w:t>
      </w:r>
    </w:p>
    <w:p>
      <w:pPr>
        <w:pStyle w:val="8"/>
        <w:keepNext w:val="0"/>
        <w:keepLines w:val="0"/>
        <w:pageBreakBefore w:val="0"/>
        <w:kinsoku/>
        <w:wordWrap/>
        <w:overflowPunct/>
        <w:topLinePunct w:val="0"/>
        <w:bidi w:val="0"/>
        <w:adjustRightInd w:val="0"/>
        <w:snapToGrid w:val="0"/>
        <w:spacing w:line="500" w:lineRule="exact"/>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封闭—隔离—每天消毒—根据临床症状、解剖变化进行疾病的初步诊断—病畜的对症治疗—采样送检确诊—紧急预防接种—取各种综合性防治措施。</w:t>
      </w:r>
    </w:p>
    <w:p>
      <w:pPr>
        <w:pStyle w:val="8"/>
        <w:keepNext w:val="0"/>
        <w:keepLines w:val="0"/>
        <w:pageBreakBefore w:val="0"/>
        <w:kinsoku/>
        <w:wordWrap/>
        <w:overflowPunct/>
        <w:topLinePunct w:val="0"/>
        <w:bidi w:val="0"/>
        <w:adjustRightInd w:val="0"/>
        <w:snapToGrid w:val="0"/>
        <w:spacing w:line="500" w:lineRule="exact"/>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总之，要做到行动迅速，方法得当，措施有力，尽可能的将损失降到最低。</w:t>
      </w:r>
    </w:p>
    <w:p>
      <w:pPr>
        <w:pStyle w:val="8"/>
        <w:keepNext w:val="0"/>
        <w:keepLines w:val="0"/>
        <w:pageBreakBefore w:val="0"/>
        <w:kinsoku/>
        <w:wordWrap/>
        <w:overflowPunct/>
        <w:topLinePunct w:val="0"/>
        <w:bidi w:val="0"/>
        <w:adjustRightInd w:val="0"/>
        <w:snapToGrid w:val="0"/>
        <w:spacing w:line="500" w:lineRule="exact"/>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应立即按照计划组成防疫小组，尽快做出确切诊断，迅速向卫生防疫部门报告疫情。</w:t>
      </w:r>
    </w:p>
    <w:p>
      <w:pPr>
        <w:pStyle w:val="8"/>
        <w:keepNext w:val="0"/>
        <w:keepLines w:val="0"/>
        <w:pageBreakBefore w:val="0"/>
        <w:kinsoku/>
        <w:wordWrap/>
        <w:overflowPunct/>
        <w:topLinePunct w:val="0"/>
        <w:bidi w:val="0"/>
        <w:adjustRightInd w:val="0"/>
        <w:snapToGrid w:val="0"/>
        <w:spacing w:line="500" w:lineRule="exact"/>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迅速隔离病牛，对危害较重的传染病应及时划区封锁，建立封锁带，出人人员和车辆要严格消毒，同时严格消毒污染环境。解除封锁的条件是在最后一头病牛痊愈后两个潜伏期内再无新病例出现，经过全面大消毒，报上级主管部门批准，方可解除封锁。</w:t>
      </w:r>
    </w:p>
    <w:p>
      <w:pPr>
        <w:pStyle w:val="8"/>
        <w:keepNext w:val="0"/>
        <w:keepLines w:val="0"/>
        <w:pageBreakBefore w:val="0"/>
        <w:kinsoku/>
        <w:wordWrap/>
        <w:overflowPunct/>
        <w:topLinePunct w:val="0"/>
        <w:bidi w:val="0"/>
        <w:adjustRightInd w:val="0"/>
        <w:snapToGrid w:val="0"/>
        <w:spacing w:line="500" w:lineRule="exact"/>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对病牛及封锁区内的牛只实行合理的综合防制措施，包括疫苗的紧急接种、抗生素疗法、高免血清的特异性疗法、化学疗法、增强体质和生理机能的辅助疗法等。</w:t>
      </w:r>
    </w:p>
    <w:bookmarkEnd w:id="226"/>
    <w:p>
      <w:pPr>
        <w:pStyle w:val="639"/>
        <w:rPr>
          <w:rFonts w:hint="default" w:ascii="Times New Roman" w:hAnsi="Times New Roman" w:cs="Times New Roman" w:eastAsiaTheme="minorEastAsia"/>
          <w:b/>
          <w:bCs w:val="0"/>
          <w:color w:val="000000" w:themeColor="text1"/>
          <w14:textFill>
            <w14:solidFill>
              <w14:schemeClr w14:val="tx1"/>
            </w14:solidFill>
          </w14:textFill>
        </w:rPr>
      </w:pPr>
      <w:bookmarkStart w:id="233" w:name="_Toc12152"/>
      <w:r>
        <w:rPr>
          <w:rFonts w:hint="default" w:ascii="Times New Roman" w:hAnsi="Times New Roman" w:cs="Times New Roman" w:eastAsiaTheme="minorEastAsia"/>
          <w:b/>
          <w:bCs w:val="0"/>
          <w:color w:val="000000" w:themeColor="text1"/>
          <w:sz w:val="30"/>
          <w:szCs w:val="30"/>
          <w14:textFill>
            <w14:solidFill>
              <w14:schemeClr w14:val="tx1"/>
            </w14:solidFill>
          </w14:textFill>
        </w:rPr>
        <w:t>6.3 环境保护投资估算</w:t>
      </w:r>
      <w:bookmarkEnd w:id="233"/>
    </w:p>
    <w:p>
      <w:pPr>
        <w:autoSpaceDE w:val="0"/>
        <w:autoSpaceDN w:val="0"/>
        <w:spacing w:line="500" w:lineRule="exact"/>
        <w:ind w:firstLine="360" w:firstLineChars="15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本项目的环境保护投资主要用于除臭设施、噪声治理、地面防渗以及场区绿化建设等设施的投资。</w:t>
      </w:r>
    </w:p>
    <w:p>
      <w:pPr>
        <w:autoSpaceDE w:val="0"/>
        <w:autoSpaceDN w:val="0"/>
        <w:spacing w:line="500" w:lineRule="exact"/>
        <w:ind w:firstLine="360" w:firstLineChars="15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本项目环保投资估算见表6-3-1。由表可知，本项目环保投资共计</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96</w:t>
      </w:r>
      <w:r>
        <w:rPr>
          <w:rFonts w:hint="default" w:ascii="Times New Roman" w:hAnsi="Times New Roman" w:cs="Times New Roman" w:eastAsiaTheme="minorEastAsia"/>
          <w:color w:val="000000" w:themeColor="text1"/>
          <w:sz w:val="24"/>
          <w:szCs w:val="24"/>
          <w14:textFill>
            <w14:solidFill>
              <w14:schemeClr w14:val="tx1"/>
            </w14:solidFill>
          </w14:textFill>
        </w:rPr>
        <w:t>万元，占项目总投资的</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18.46</w:t>
      </w:r>
      <w:r>
        <w:rPr>
          <w:rFonts w:hint="default" w:ascii="Times New Roman" w:hAnsi="Times New Roman" w:cs="Times New Roman" w:eastAsiaTheme="minorEastAsia"/>
          <w:color w:val="000000" w:themeColor="text1"/>
          <w:sz w:val="24"/>
          <w:szCs w:val="24"/>
          <w14:textFill>
            <w14:solidFill>
              <w14:schemeClr w14:val="tx1"/>
            </w14:solidFill>
          </w14:textFill>
        </w:rPr>
        <w:t>％。环保设施运行费用为</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14:textFill>
            <w14:solidFill>
              <w14:schemeClr w14:val="tx1"/>
            </w14:solidFill>
          </w14:textFill>
        </w:rPr>
        <w:t>万/年。</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sectPr>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12" w:charSpace="0"/>
        </w:sectPr>
      </w:pP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表6-3-1  本项目环保投资估算一览表</w:t>
      </w:r>
    </w:p>
    <w:tbl>
      <w:tblPr>
        <w:tblStyle w:val="91"/>
        <w:tblW w:w="1374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7"/>
        <w:gridCol w:w="567"/>
        <w:gridCol w:w="3079"/>
        <w:gridCol w:w="8403"/>
        <w:gridCol w:w="10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07" w:type="dxa"/>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类别</w:t>
            </w:r>
          </w:p>
        </w:tc>
        <w:tc>
          <w:tcPr>
            <w:tcW w:w="567" w:type="dxa"/>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序号</w:t>
            </w:r>
          </w:p>
        </w:tc>
        <w:tc>
          <w:tcPr>
            <w:tcW w:w="3079" w:type="dxa"/>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污染防治措施或项目</w:t>
            </w:r>
          </w:p>
        </w:tc>
        <w:tc>
          <w:tcPr>
            <w:tcW w:w="8403" w:type="dxa"/>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具体指标</w:t>
            </w:r>
          </w:p>
        </w:tc>
        <w:tc>
          <w:tcPr>
            <w:tcW w:w="1087" w:type="dxa"/>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07" w:type="dxa"/>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废气</w:t>
            </w:r>
          </w:p>
        </w:tc>
        <w:tc>
          <w:tcPr>
            <w:tcW w:w="567" w:type="dxa"/>
            <w:tcMar>
              <w:left w:w="28" w:type="dxa"/>
              <w:right w:w="28" w:type="dxa"/>
            </w:tcMar>
            <w:vAlign w:val="center"/>
          </w:tcPr>
          <w:p>
            <w:pPr>
              <w:pStyle w:val="666"/>
              <w:spacing w:line="300" w:lineRule="exact"/>
              <w:rPr>
                <w:rFonts w:hint="default" w:ascii="Times New Roman" w:hAnsi="Times New Roman" w:cs="Times New Roman" w:eastAsiaTheme="minorEastAsia"/>
                <w:snapToGrid w:val="0"/>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14:textFill>
                  <w14:solidFill>
                    <w14:schemeClr w14:val="tx1"/>
                  </w14:solidFill>
                </w14:textFill>
              </w:rPr>
              <w:t>1</w:t>
            </w:r>
          </w:p>
        </w:tc>
        <w:tc>
          <w:tcPr>
            <w:tcW w:w="3079" w:type="dxa"/>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除臭措施</w:t>
            </w:r>
          </w:p>
        </w:tc>
        <w:tc>
          <w:tcPr>
            <w:tcW w:w="8403" w:type="dxa"/>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喷洒EM菌除臭剂、通风</w:t>
            </w:r>
          </w:p>
        </w:tc>
        <w:tc>
          <w:tcPr>
            <w:tcW w:w="1087" w:type="dxa"/>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07" w:type="dxa"/>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废水</w:t>
            </w:r>
          </w:p>
        </w:tc>
        <w:tc>
          <w:tcPr>
            <w:tcW w:w="567" w:type="dxa"/>
            <w:tcMar>
              <w:left w:w="28" w:type="dxa"/>
              <w:right w:w="28" w:type="dxa"/>
            </w:tcMar>
            <w:vAlign w:val="center"/>
          </w:tcPr>
          <w:p>
            <w:pPr>
              <w:pStyle w:val="666"/>
              <w:spacing w:line="300" w:lineRule="exact"/>
              <w:rPr>
                <w:rFonts w:hint="default" w:ascii="Times New Roman" w:hAnsi="Times New Roman" w:cs="Times New Roman" w:eastAsiaTheme="minorEastAsia"/>
                <w:snapToGrid w:val="0"/>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14:textFill>
                  <w14:solidFill>
                    <w14:schemeClr w14:val="tx1"/>
                  </w14:solidFill>
                </w14:textFill>
              </w:rPr>
              <w:t>1</w:t>
            </w:r>
          </w:p>
        </w:tc>
        <w:tc>
          <w:tcPr>
            <w:tcW w:w="3079" w:type="dxa"/>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黑膜沼气池</w:t>
            </w:r>
          </w:p>
        </w:tc>
        <w:tc>
          <w:tcPr>
            <w:tcW w:w="8403" w:type="dxa"/>
            <w:tcMar>
              <w:left w:w="28" w:type="dxa"/>
              <w:right w:w="28" w:type="dxa"/>
            </w:tcMar>
            <w:vAlign w:val="center"/>
          </w:tcPr>
          <w:p>
            <w:pPr>
              <w:pStyle w:val="666"/>
              <w:spacing w:line="300" w:lineRule="exact"/>
              <w:rPr>
                <w:rFonts w:hint="default" w:ascii="Times New Roman" w:hAnsi="Times New Roman" w:cs="Times New Roman" w:eastAsiaTheme="minorEastAsia"/>
                <w:snapToGrid w:val="0"/>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一座，容积5400m</w:t>
            </w:r>
            <w:r>
              <w:rPr>
                <w:rFonts w:hint="default" w:ascii="Times New Roman" w:hAnsi="Times New Roman" w:cs="Times New Roman" w:eastAsiaTheme="minorEastAsia"/>
                <w:color w:val="000000" w:themeColor="text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14:textFill>
                  <w14:solidFill>
                    <w14:schemeClr w14:val="tx1"/>
                  </w14:solidFill>
                </w14:textFill>
              </w:rPr>
              <w:t xml:space="preserve"> </w:t>
            </w:r>
          </w:p>
        </w:tc>
        <w:tc>
          <w:tcPr>
            <w:tcW w:w="1087" w:type="dxa"/>
            <w:tcMar>
              <w:left w:w="28" w:type="dxa"/>
              <w:right w:w="28" w:type="dxa"/>
            </w:tcMar>
            <w:vAlign w:val="center"/>
          </w:tcPr>
          <w:p>
            <w:pPr>
              <w:pStyle w:val="666"/>
              <w:spacing w:line="300" w:lineRule="exact"/>
              <w:rPr>
                <w:rFonts w:hint="default" w:ascii="Times New Roman" w:hAnsi="Times New Roman" w:cs="Times New Roman" w:eastAsiaTheme="minorEastAsia"/>
                <w:snapToGrid w:val="0"/>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14:textFill>
                  <w14:solidFill>
                    <w14:schemeClr w14:val="tx1"/>
                  </w14:solidFill>
                </w14:textFill>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07" w:type="dxa"/>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固废</w:t>
            </w:r>
          </w:p>
        </w:tc>
        <w:tc>
          <w:tcPr>
            <w:tcW w:w="567" w:type="dxa"/>
            <w:tcMar>
              <w:left w:w="28" w:type="dxa"/>
              <w:right w:w="28" w:type="dxa"/>
            </w:tcMar>
            <w:vAlign w:val="center"/>
          </w:tcPr>
          <w:p>
            <w:pPr>
              <w:pStyle w:val="666"/>
              <w:spacing w:line="300" w:lineRule="exact"/>
              <w:rPr>
                <w:rFonts w:hint="default" w:ascii="Times New Roman" w:hAnsi="Times New Roman" w:cs="Times New Roman" w:eastAsiaTheme="minorEastAsia"/>
                <w:snapToGrid w:val="0"/>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14:textFill>
                  <w14:solidFill>
                    <w14:schemeClr w14:val="tx1"/>
                  </w14:solidFill>
                </w14:textFill>
              </w:rPr>
              <w:t>1</w:t>
            </w:r>
          </w:p>
        </w:tc>
        <w:tc>
          <w:tcPr>
            <w:tcW w:w="3079" w:type="dxa"/>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危废暂存间</w:t>
            </w:r>
          </w:p>
        </w:tc>
        <w:tc>
          <w:tcPr>
            <w:tcW w:w="8403" w:type="dxa"/>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一座，20m</w:t>
            </w:r>
            <w:r>
              <w:rPr>
                <w:rFonts w:hint="default" w:ascii="Times New Roman" w:hAnsi="Times New Roman" w:cs="Times New Roman" w:eastAsiaTheme="minorEastAsia"/>
                <w:color w:val="000000" w:themeColor="text1"/>
                <w:vertAlign w:val="superscript"/>
                <w14:textFill>
                  <w14:solidFill>
                    <w14:schemeClr w14:val="tx1"/>
                  </w14:solidFill>
                </w14:textFill>
              </w:rPr>
              <w:t>2</w:t>
            </w:r>
            <w:r>
              <w:rPr>
                <w:rFonts w:hint="default" w:ascii="Times New Roman" w:hAnsi="Times New Roman" w:cs="Times New Roman" w:eastAsiaTheme="minorEastAsia"/>
                <w:color w:val="000000" w:themeColor="text1"/>
                <w14:textFill>
                  <w14:solidFill>
                    <w14:schemeClr w14:val="tx1"/>
                  </w14:solidFill>
                </w14:textFill>
              </w:rPr>
              <w:t>，满足《危险废物贮存污染控制标准》（GB18597-2001）及其修改单要求</w:t>
            </w:r>
          </w:p>
        </w:tc>
        <w:tc>
          <w:tcPr>
            <w:tcW w:w="1087" w:type="dxa"/>
            <w:tcMar>
              <w:left w:w="28" w:type="dxa"/>
              <w:right w:w="28" w:type="dxa"/>
            </w:tcMar>
            <w:vAlign w:val="center"/>
          </w:tcPr>
          <w:p>
            <w:pPr>
              <w:pStyle w:val="666"/>
              <w:spacing w:line="300" w:lineRule="exact"/>
              <w:rPr>
                <w:rFonts w:hint="default" w:ascii="Times New Roman" w:hAnsi="Times New Roman" w:cs="Times New Roman" w:eastAsiaTheme="minorEastAsia"/>
                <w:snapToGrid w:val="0"/>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07" w:type="dxa"/>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噪声</w:t>
            </w:r>
          </w:p>
        </w:tc>
        <w:tc>
          <w:tcPr>
            <w:tcW w:w="567" w:type="dxa"/>
            <w:tcMar>
              <w:left w:w="28" w:type="dxa"/>
              <w:right w:w="28" w:type="dxa"/>
            </w:tcMar>
            <w:vAlign w:val="center"/>
          </w:tcPr>
          <w:p>
            <w:pPr>
              <w:pStyle w:val="666"/>
              <w:spacing w:line="300" w:lineRule="exact"/>
              <w:rPr>
                <w:rFonts w:hint="default" w:ascii="Times New Roman" w:hAnsi="Times New Roman" w:cs="Times New Roman" w:eastAsiaTheme="minorEastAsia"/>
                <w:snapToGrid w:val="0"/>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14:textFill>
                  <w14:solidFill>
                    <w14:schemeClr w14:val="tx1"/>
                  </w14:solidFill>
                </w14:textFill>
              </w:rPr>
              <w:t>1</w:t>
            </w:r>
          </w:p>
        </w:tc>
        <w:tc>
          <w:tcPr>
            <w:tcW w:w="3079" w:type="dxa"/>
            <w:tcMar>
              <w:left w:w="28" w:type="dxa"/>
              <w:right w:w="28" w:type="dxa"/>
            </w:tcMar>
            <w:vAlign w:val="center"/>
          </w:tcPr>
          <w:p>
            <w:pPr>
              <w:pStyle w:val="666"/>
              <w:spacing w:line="300" w:lineRule="exact"/>
              <w:rPr>
                <w:rFonts w:hint="default" w:ascii="Times New Roman" w:hAnsi="Times New Roman" w:cs="Times New Roman" w:eastAsiaTheme="minorEastAsia"/>
                <w:snapToGrid w:val="0"/>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14:textFill>
                  <w14:solidFill>
                    <w14:schemeClr w14:val="tx1"/>
                  </w14:solidFill>
                </w14:textFill>
              </w:rPr>
              <w:t>噪声控制措施</w:t>
            </w:r>
          </w:p>
        </w:tc>
        <w:tc>
          <w:tcPr>
            <w:tcW w:w="8403" w:type="dxa"/>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采用低噪声设备，同时采取隔声、减振等措施。</w:t>
            </w:r>
          </w:p>
        </w:tc>
        <w:tc>
          <w:tcPr>
            <w:tcW w:w="1087" w:type="dxa"/>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607" w:type="dxa"/>
            <w:vMerge w:val="restart"/>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地</w:t>
            </w:r>
          </w:p>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下</w:t>
            </w:r>
          </w:p>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水</w:t>
            </w:r>
          </w:p>
        </w:tc>
        <w:tc>
          <w:tcPr>
            <w:tcW w:w="567" w:type="dxa"/>
            <w:tcBorders>
              <w:bottom w:val="single" w:color="auto" w:sz="2" w:space="0"/>
            </w:tcBorders>
            <w:tcMar>
              <w:left w:w="28" w:type="dxa"/>
              <w:right w:w="28" w:type="dxa"/>
            </w:tcMar>
            <w:vAlign w:val="center"/>
          </w:tcPr>
          <w:p>
            <w:pPr>
              <w:pStyle w:val="666"/>
              <w:spacing w:line="300" w:lineRule="exact"/>
              <w:rPr>
                <w:rFonts w:hint="default" w:ascii="Times New Roman" w:hAnsi="Times New Roman" w:cs="Times New Roman" w:eastAsiaTheme="minorEastAsia"/>
                <w:snapToGrid w:val="0"/>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14:textFill>
                  <w14:solidFill>
                    <w14:schemeClr w14:val="tx1"/>
                  </w14:solidFill>
                </w14:textFill>
              </w:rPr>
              <w:t>1</w:t>
            </w:r>
          </w:p>
        </w:tc>
        <w:tc>
          <w:tcPr>
            <w:tcW w:w="3079" w:type="dxa"/>
            <w:tcBorders>
              <w:bottom w:val="single" w:color="auto" w:sz="2" w:space="0"/>
            </w:tcBorders>
            <w:tcMar>
              <w:left w:w="28" w:type="dxa"/>
              <w:right w:w="28" w:type="dxa"/>
            </w:tcMar>
            <w:vAlign w:val="center"/>
          </w:tcPr>
          <w:p>
            <w:pPr>
              <w:pStyle w:val="666"/>
              <w:spacing w:line="300" w:lineRule="exact"/>
              <w:rPr>
                <w:rFonts w:hint="default" w:ascii="Times New Roman" w:hAnsi="Times New Roman" w:cs="Times New Roman" w:eastAsiaTheme="minorEastAsia"/>
                <w:snapToGrid w:val="0"/>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14:textFill>
                  <w14:solidFill>
                    <w14:schemeClr w14:val="tx1"/>
                  </w14:solidFill>
                </w14:textFill>
              </w:rPr>
              <w:t>地下水监测井</w:t>
            </w:r>
          </w:p>
        </w:tc>
        <w:tc>
          <w:tcPr>
            <w:tcW w:w="8403" w:type="dxa"/>
            <w:tcBorders>
              <w:bottom w:val="single" w:color="auto" w:sz="2" w:space="0"/>
            </w:tcBorders>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snapToGrid w:val="0"/>
                <w:color w:val="000000" w:themeColor="text1"/>
                <w14:textFill>
                  <w14:solidFill>
                    <w14:schemeClr w14:val="tx1"/>
                  </w14:solidFill>
                </w14:textFill>
              </w:rPr>
              <w:t>厂址地下水径流下游1个</w:t>
            </w:r>
          </w:p>
        </w:tc>
        <w:tc>
          <w:tcPr>
            <w:tcW w:w="1087" w:type="dxa"/>
            <w:tcBorders>
              <w:bottom w:val="single" w:color="auto" w:sz="2" w:space="0"/>
            </w:tcBorders>
            <w:tcMar>
              <w:left w:w="28" w:type="dxa"/>
              <w:right w:w="28" w:type="dxa"/>
            </w:tcMar>
            <w:vAlign w:val="center"/>
          </w:tcPr>
          <w:p>
            <w:pPr>
              <w:pStyle w:val="666"/>
              <w:spacing w:line="300" w:lineRule="exact"/>
              <w:rPr>
                <w:rFonts w:hint="default" w:ascii="Times New Roman" w:hAnsi="Times New Roman" w:cs="Times New Roman" w:eastAsiaTheme="minorEastAsia"/>
                <w:snapToGrid w:val="0"/>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07" w:type="dxa"/>
            <w:vMerge w:val="continue"/>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p>
        </w:tc>
        <w:tc>
          <w:tcPr>
            <w:tcW w:w="567" w:type="dxa"/>
            <w:tcBorders>
              <w:top w:val="single" w:color="auto" w:sz="2" w:space="0"/>
              <w:bottom w:val="single" w:color="auto" w:sz="2" w:space="0"/>
            </w:tcBorders>
            <w:tcMar>
              <w:left w:w="28" w:type="dxa"/>
              <w:right w:w="28" w:type="dxa"/>
            </w:tcMar>
            <w:vAlign w:val="center"/>
          </w:tcPr>
          <w:p>
            <w:pPr>
              <w:pStyle w:val="666"/>
              <w:spacing w:line="300" w:lineRule="exact"/>
              <w:rPr>
                <w:rFonts w:hint="default" w:ascii="Times New Roman" w:hAnsi="Times New Roman" w:cs="Times New Roman" w:eastAsiaTheme="minorEastAsia"/>
                <w:snapToGrid w:val="0"/>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14:textFill>
                  <w14:solidFill>
                    <w14:schemeClr w14:val="tx1"/>
                  </w14:solidFill>
                </w14:textFill>
              </w:rPr>
              <w:t>2</w:t>
            </w:r>
          </w:p>
        </w:tc>
        <w:tc>
          <w:tcPr>
            <w:tcW w:w="3079" w:type="dxa"/>
            <w:tcBorders>
              <w:top w:val="single" w:color="auto" w:sz="2" w:space="0"/>
              <w:bottom w:val="single" w:color="auto" w:sz="2" w:space="0"/>
            </w:tcBorders>
            <w:tcMar>
              <w:left w:w="28" w:type="dxa"/>
              <w:right w:w="28" w:type="dxa"/>
            </w:tcMar>
            <w:vAlign w:val="center"/>
          </w:tcPr>
          <w:p>
            <w:pPr>
              <w:pStyle w:val="666"/>
              <w:spacing w:line="300" w:lineRule="exact"/>
              <w:rPr>
                <w:rFonts w:hint="default" w:ascii="Times New Roman" w:hAnsi="Times New Roman" w:cs="Times New Roman" w:eastAsiaTheme="minorEastAsia"/>
                <w:snapToGrid w:val="0"/>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14:textFill>
                  <w14:solidFill>
                    <w14:schemeClr w14:val="tx1"/>
                  </w14:solidFill>
                </w14:textFill>
              </w:rPr>
              <w:t>重点防渗区</w:t>
            </w:r>
          </w:p>
        </w:tc>
        <w:tc>
          <w:tcPr>
            <w:tcW w:w="8403" w:type="dxa"/>
            <w:tcBorders>
              <w:top w:val="single" w:color="auto" w:sz="2" w:space="0"/>
              <w:bottom w:val="single" w:color="auto" w:sz="2" w:space="0"/>
            </w:tcBorders>
            <w:tcMar>
              <w:left w:w="28" w:type="dxa"/>
              <w:right w:w="28" w:type="dxa"/>
            </w:tcMar>
            <w:vAlign w:val="center"/>
          </w:tcPr>
          <w:p>
            <w:pPr>
              <w:pStyle w:val="666"/>
              <w:spacing w:line="300" w:lineRule="exact"/>
              <w:rPr>
                <w:rFonts w:hint="default" w:ascii="Times New Roman" w:hAnsi="Times New Roman" w:cs="Times New Roman" w:eastAsiaTheme="minorEastAsia"/>
                <w:snapToGrid w:val="0"/>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14:textFill>
                  <w14:solidFill>
                    <w14:schemeClr w14:val="tx1"/>
                  </w14:solidFill>
                </w14:textFill>
              </w:rPr>
              <w:t>危废暂存间重点防渗区采用2mm厚</w:t>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"http://baike.baidu.com/view/1012701.htm" \t "_blank" </w:instrText>
            </w:r>
            <w:r>
              <w:rPr>
                <w:rFonts w:hint="default" w:ascii="Times New Roman" w:hAnsi="Times New Roman" w:cs="Times New Roman" w:eastAsiaTheme="minorEastAsia"/>
              </w:rPr>
              <w:fldChar w:fldCharType="separate"/>
            </w:r>
            <w:r>
              <w:rPr>
                <w:rStyle w:val="147"/>
                <w:rFonts w:hint="default" w:ascii="Times New Roman" w:hAnsi="Times New Roman" w:cs="Times New Roman" w:eastAsiaTheme="minorEastAsia"/>
                <w:snapToGrid w:val="0"/>
                <w:color w:val="000000" w:themeColor="text1"/>
                <w:u w:val="none"/>
                <w14:textFill>
                  <w14:solidFill>
                    <w14:schemeClr w14:val="tx1"/>
                  </w14:solidFill>
                </w14:textFill>
              </w:rPr>
              <w:t>高密度聚乙烯</w:t>
            </w:r>
            <w:r>
              <w:rPr>
                <w:rStyle w:val="147"/>
                <w:rFonts w:hint="default" w:ascii="Times New Roman" w:hAnsi="Times New Roman" w:cs="Times New Roman" w:eastAsiaTheme="minorEastAsia"/>
                <w:snapToGrid w:val="0"/>
                <w:color w:val="000000" w:themeColor="text1"/>
                <w:u w:val="none"/>
                <w14:textFill>
                  <w14:solidFill>
                    <w14:schemeClr w14:val="tx1"/>
                  </w14:solidFill>
                </w14:textFill>
              </w:rPr>
              <w:fldChar w:fldCharType="end"/>
            </w:r>
            <w:r>
              <w:rPr>
                <w:rFonts w:hint="default" w:ascii="Times New Roman" w:hAnsi="Times New Roman" w:cs="Times New Roman" w:eastAsiaTheme="minorEastAsia"/>
                <w:snapToGrid w:val="0"/>
                <w:color w:val="000000" w:themeColor="text1"/>
                <w14:textFill>
                  <w14:solidFill>
                    <w14:schemeClr w14:val="tx1"/>
                  </w14:solidFill>
                </w14:textFill>
              </w:rPr>
              <w:t>膜（渗透系数≤10</w:t>
            </w:r>
            <w:r>
              <w:rPr>
                <w:rFonts w:hint="default" w:ascii="Times New Roman" w:hAnsi="Times New Roman" w:cs="Times New Roman" w:eastAsiaTheme="minorEastAsia"/>
                <w:snapToGrid w:val="0"/>
                <w:color w:val="000000" w:themeColor="text1"/>
                <w:vertAlign w:val="superscript"/>
                <w14:textFill>
                  <w14:solidFill>
                    <w14:schemeClr w14:val="tx1"/>
                  </w14:solidFill>
                </w14:textFill>
              </w:rPr>
              <w:t>-10</w:t>
            </w:r>
            <w:r>
              <w:rPr>
                <w:rFonts w:hint="default" w:ascii="Times New Roman" w:hAnsi="Times New Roman" w:cs="Times New Roman" w:eastAsiaTheme="minorEastAsia"/>
                <w:snapToGrid w:val="0"/>
                <w:color w:val="000000" w:themeColor="text1"/>
                <w14:textFill>
                  <w14:solidFill>
                    <w14:schemeClr w14:val="tx1"/>
                  </w14:solidFill>
                </w14:textFill>
              </w:rPr>
              <w:t>cm/s）+25cm防渗混凝土（防渗等级P6），满足《危险废物贮存污染控制标准》（GB18597-2001）及其修改单要求；同时也满足《环境影响评价技术导则 地下水环境》（HJ610-2016）中等效粘土防渗层Mb≥6.0m、K≤1.0×10</w:t>
            </w:r>
            <w:r>
              <w:rPr>
                <w:rFonts w:hint="default" w:ascii="Times New Roman" w:hAnsi="Times New Roman" w:cs="Times New Roman" w:eastAsiaTheme="minorEastAsia"/>
                <w:snapToGrid w:val="0"/>
                <w:color w:val="000000" w:themeColor="text1"/>
                <w:vertAlign w:val="superscript"/>
                <w14:textFill>
                  <w14:solidFill>
                    <w14:schemeClr w14:val="tx1"/>
                  </w14:solidFill>
                </w14:textFill>
              </w:rPr>
              <w:t>-7</w:t>
            </w:r>
            <w:r>
              <w:rPr>
                <w:rFonts w:hint="default" w:ascii="Times New Roman" w:hAnsi="Times New Roman" w:cs="Times New Roman" w:eastAsiaTheme="minorEastAsia"/>
                <w:snapToGrid w:val="0"/>
                <w:color w:val="000000" w:themeColor="text1"/>
                <w14:textFill>
                  <w14:solidFill>
                    <w14:schemeClr w14:val="tx1"/>
                  </w14:solidFill>
                </w14:textFill>
              </w:rPr>
              <w:t>cm/s的重点防渗要求。</w:t>
            </w:r>
          </w:p>
        </w:tc>
        <w:tc>
          <w:tcPr>
            <w:tcW w:w="1087" w:type="dxa"/>
            <w:tcBorders>
              <w:top w:val="single" w:color="auto" w:sz="2" w:space="0"/>
            </w:tcBorders>
            <w:tcMar>
              <w:left w:w="28" w:type="dxa"/>
              <w:right w:w="28" w:type="dxa"/>
            </w:tcMar>
            <w:vAlign w:val="center"/>
          </w:tcPr>
          <w:p>
            <w:pPr>
              <w:pStyle w:val="666"/>
              <w:spacing w:line="300" w:lineRule="exact"/>
              <w:rPr>
                <w:rFonts w:hint="default" w:ascii="Times New Roman" w:hAnsi="Times New Roman" w:cs="Times New Roman" w:eastAsiaTheme="minorEastAsia"/>
                <w:snapToGrid w:val="0"/>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14:textFill>
                  <w14:solidFill>
                    <w14:schemeClr w14:val="tx1"/>
                  </w14:solidFill>
                </w14:textFill>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07" w:type="dxa"/>
            <w:vMerge w:val="continue"/>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p>
        </w:tc>
        <w:tc>
          <w:tcPr>
            <w:tcW w:w="567" w:type="dxa"/>
            <w:tcBorders>
              <w:top w:val="single" w:color="auto" w:sz="2" w:space="0"/>
            </w:tcBorders>
            <w:tcMar>
              <w:left w:w="28" w:type="dxa"/>
              <w:right w:w="28" w:type="dxa"/>
            </w:tcMar>
            <w:vAlign w:val="center"/>
          </w:tcPr>
          <w:p>
            <w:pPr>
              <w:pStyle w:val="666"/>
              <w:spacing w:line="300" w:lineRule="exact"/>
              <w:rPr>
                <w:rFonts w:hint="default" w:ascii="Times New Roman" w:hAnsi="Times New Roman" w:cs="Times New Roman" w:eastAsiaTheme="minorEastAsia"/>
                <w:snapToGrid w:val="0"/>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14:textFill>
                  <w14:solidFill>
                    <w14:schemeClr w14:val="tx1"/>
                  </w14:solidFill>
                </w14:textFill>
              </w:rPr>
              <w:t>3</w:t>
            </w:r>
          </w:p>
        </w:tc>
        <w:tc>
          <w:tcPr>
            <w:tcW w:w="3079" w:type="dxa"/>
            <w:tcBorders>
              <w:top w:val="single" w:color="auto" w:sz="2" w:space="0"/>
            </w:tcBorders>
            <w:tcMar>
              <w:left w:w="28" w:type="dxa"/>
              <w:right w:w="28" w:type="dxa"/>
            </w:tcMar>
            <w:vAlign w:val="center"/>
          </w:tcPr>
          <w:p>
            <w:pPr>
              <w:pStyle w:val="666"/>
              <w:spacing w:line="300" w:lineRule="exact"/>
              <w:rPr>
                <w:rFonts w:hint="default" w:ascii="Times New Roman" w:hAnsi="Times New Roman" w:cs="Times New Roman" w:eastAsiaTheme="minorEastAsia"/>
                <w:snapToGrid w:val="0"/>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14:textFill>
                  <w14:solidFill>
                    <w14:schemeClr w14:val="tx1"/>
                  </w14:solidFill>
                </w14:textFill>
              </w:rPr>
              <w:t>一般防渗区</w:t>
            </w:r>
          </w:p>
        </w:tc>
        <w:tc>
          <w:tcPr>
            <w:tcW w:w="8403" w:type="dxa"/>
            <w:tcBorders>
              <w:top w:val="single" w:color="auto" w:sz="2" w:space="0"/>
            </w:tcBorders>
            <w:tcMar>
              <w:left w:w="28" w:type="dxa"/>
              <w:right w:w="28" w:type="dxa"/>
            </w:tcMar>
            <w:vAlign w:val="center"/>
          </w:tcPr>
          <w:p>
            <w:pPr>
              <w:pStyle w:val="666"/>
              <w:spacing w:line="300" w:lineRule="exact"/>
              <w:rPr>
                <w:rFonts w:hint="default" w:ascii="Times New Roman" w:hAnsi="Times New Roman" w:cs="Times New Roman" w:eastAsiaTheme="minorEastAsia"/>
                <w:snapToGrid w:val="0"/>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固液分离间、黑膜沼气池、沼液储池，防渗工程采用</w:t>
            </w:r>
            <w:r>
              <w:rPr>
                <w:rFonts w:hint="default" w:ascii="Times New Roman" w:hAnsi="Times New Roman" w:cs="Times New Roman" w:eastAsiaTheme="minorEastAsia"/>
                <w:snapToGrid w:val="0"/>
                <w:color w:val="000000" w:themeColor="text1"/>
                <w14:textFill>
                  <w14:solidFill>
                    <w14:schemeClr w14:val="tx1"/>
                  </w14:solidFill>
                </w14:textFill>
              </w:rPr>
              <w:t>25cm防渗混凝土（防渗等级P6），K≤10</w:t>
            </w:r>
            <w:r>
              <w:rPr>
                <w:rFonts w:hint="default" w:ascii="Times New Roman" w:hAnsi="Times New Roman" w:cs="Times New Roman" w:eastAsiaTheme="minorEastAsia"/>
                <w:snapToGrid w:val="0"/>
                <w:color w:val="000000" w:themeColor="text1"/>
                <w:vertAlign w:val="superscript"/>
                <w14:textFill>
                  <w14:solidFill>
                    <w14:schemeClr w14:val="tx1"/>
                  </w14:solidFill>
                </w14:textFill>
              </w:rPr>
              <w:t>-8</w:t>
            </w:r>
            <w:r>
              <w:rPr>
                <w:rFonts w:hint="default" w:ascii="Times New Roman" w:hAnsi="Times New Roman" w:cs="Times New Roman" w:eastAsiaTheme="minorEastAsia"/>
                <w:snapToGrid w:val="0"/>
                <w:color w:val="000000" w:themeColor="text1"/>
                <w14:textFill>
                  <w14:solidFill>
                    <w14:schemeClr w14:val="tx1"/>
                  </w14:solidFill>
                </w14:textFill>
              </w:rPr>
              <w:t>cm/s，技术</w:t>
            </w:r>
            <w:r>
              <w:rPr>
                <w:rFonts w:hint="default" w:ascii="Times New Roman" w:hAnsi="Times New Roman" w:cs="Times New Roman" w:eastAsiaTheme="minorEastAsia"/>
                <w:color w:val="000000" w:themeColor="text1"/>
                <w14:textFill>
                  <w14:solidFill>
                    <w14:schemeClr w14:val="tx1"/>
                  </w14:solidFill>
                </w14:textFill>
              </w:rPr>
              <w:t>要求满足等效粘土防渗层Mb≥1.5m，K≤1×10</w:t>
            </w:r>
            <w:r>
              <w:rPr>
                <w:rFonts w:hint="default" w:ascii="Times New Roman" w:hAnsi="Times New Roman" w:cs="Times New Roman" w:eastAsiaTheme="minorEastAsia"/>
                <w:color w:val="000000" w:themeColor="text1"/>
                <w:vertAlign w:val="superscript"/>
                <w14:textFill>
                  <w14:solidFill>
                    <w14:schemeClr w14:val="tx1"/>
                  </w14:solidFill>
                </w14:textFill>
              </w:rPr>
              <w:t>-7</w:t>
            </w:r>
            <w:r>
              <w:rPr>
                <w:rFonts w:hint="default" w:ascii="Times New Roman" w:hAnsi="Times New Roman" w:cs="Times New Roman" w:eastAsiaTheme="minorEastAsia"/>
                <w:color w:val="000000" w:themeColor="text1"/>
                <w14:textFill>
                  <w14:solidFill>
                    <w14:schemeClr w14:val="tx1"/>
                  </w14:solidFill>
                </w14:textFill>
              </w:rPr>
              <w:t>cm/s</w:t>
            </w:r>
          </w:p>
        </w:tc>
        <w:tc>
          <w:tcPr>
            <w:tcW w:w="1087" w:type="dxa"/>
            <w:tcMar>
              <w:left w:w="28" w:type="dxa"/>
              <w:right w:w="28" w:type="dxa"/>
            </w:tcMar>
            <w:vAlign w:val="center"/>
          </w:tcPr>
          <w:p>
            <w:pPr>
              <w:pStyle w:val="666"/>
              <w:spacing w:line="300" w:lineRule="exact"/>
              <w:rPr>
                <w:rFonts w:hint="default" w:ascii="Times New Roman" w:hAnsi="Times New Roman" w:cs="Times New Roman" w:eastAsiaTheme="minorEastAsia"/>
                <w:snapToGrid w:val="0"/>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07" w:type="dxa"/>
            <w:vMerge w:val="continue"/>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p>
        </w:tc>
        <w:tc>
          <w:tcPr>
            <w:tcW w:w="567" w:type="dxa"/>
            <w:tcMar>
              <w:left w:w="28" w:type="dxa"/>
              <w:right w:w="28" w:type="dxa"/>
            </w:tcMar>
            <w:vAlign w:val="center"/>
          </w:tcPr>
          <w:p>
            <w:pPr>
              <w:pStyle w:val="666"/>
              <w:spacing w:line="300" w:lineRule="exact"/>
              <w:rPr>
                <w:rFonts w:hint="default" w:ascii="Times New Roman" w:hAnsi="Times New Roman" w:cs="Times New Roman" w:eastAsiaTheme="minorEastAsia"/>
                <w:snapToGrid w:val="0"/>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14:textFill>
                  <w14:solidFill>
                    <w14:schemeClr w14:val="tx1"/>
                  </w14:solidFill>
                </w14:textFill>
              </w:rPr>
              <w:t>4</w:t>
            </w:r>
          </w:p>
        </w:tc>
        <w:tc>
          <w:tcPr>
            <w:tcW w:w="3079" w:type="dxa"/>
            <w:tcMar>
              <w:left w:w="28" w:type="dxa"/>
              <w:right w:w="28" w:type="dxa"/>
            </w:tcMar>
            <w:vAlign w:val="center"/>
          </w:tcPr>
          <w:p>
            <w:pPr>
              <w:pStyle w:val="666"/>
              <w:spacing w:line="300" w:lineRule="exact"/>
              <w:rPr>
                <w:rFonts w:hint="default" w:ascii="Times New Roman" w:hAnsi="Times New Roman" w:cs="Times New Roman" w:eastAsiaTheme="minorEastAsia"/>
                <w:snapToGrid w:val="0"/>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14:textFill>
                  <w14:solidFill>
                    <w14:schemeClr w14:val="tx1"/>
                  </w14:solidFill>
                </w14:textFill>
              </w:rPr>
              <w:t>简单防渗区</w:t>
            </w:r>
          </w:p>
        </w:tc>
        <w:tc>
          <w:tcPr>
            <w:tcW w:w="8403" w:type="dxa"/>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地表硬化处理，满足一般防渗要求</w:t>
            </w:r>
          </w:p>
        </w:tc>
        <w:tc>
          <w:tcPr>
            <w:tcW w:w="1087" w:type="dxa"/>
            <w:tcMar>
              <w:left w:w="28" w:type="dxa"/>
              <w:right w:w="28" w:type="dxa"/>
            </w:tcMar>
            <w:vAlign w:val="center"/>
          </w:tcPr>
          <w:p>
            <w:pPr>
              <w:pStyle w:val="666"/>
              <w:spacing w:line="300" w:lineRule="exact"/>
              <w:rPr>
                <w:rFonts w:hint="default" w:ascii="Times New Roman" w:hAnsi="Times New Roman" w:cs="Times New Roman" w:eastAsiaTheme="minorEastAsia"/>
                <w:snapToGrid w:val="0"/>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07" w:type="dxa"/>
            <w:vMerge w:val="restart"/>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其它</w:t>
            </w:r>
          </w:p>
        </w:tc>
        <w:tc>
          <w:tcPr>
            <w:tcW w:w="567" w:type="dxa"/>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c>
          <w:tcPr>
            <w:tcW w:w="3079" w:type="dxa"/>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排污口规范化</w:t>
            </w:r>
          </w:p>
        </w:tc>
        <w:tc>
          <w:tcPr>
            <w:tcW w:w="8403" w:type="dxa"/>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废气、噪声等排放口规范化</w:t>
            </w:r>
          </w:p>
        </w:tc>
        <w:tc>
          <w:tcPr>
            <w:tcW w:w="1087" w:type="dxa"/>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07" w:type="dxa"/>
            <w:vMerge w:val="continue"/>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p>
        </w:tc>
        <w:tc>
          <w:tcPr>
            <w:tcW w:w="567" w:type="dxa"/>
            <w:tcBorders>
              <w:bottom w:val="single" w:color="auto" w:sz="2" w:space="0"/>
            </w:tcBorders>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w:t>
            </w:r>
          </w:p>
        </w:tc>
        <w:tc>
          <w:tcPr>
            <w:tcW w:w="3079" w:type="dxa"/>
            <w:tcBorders>
              <w:bottom w:val="single" w:color="auto" w:sz="2" w:space="0"/>
            </w:tcBorders>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绿化</w:t>
            </w:r>
          </w:p>
        </w:tc>
        <w:tc>
          <w:tcPr>
            <w:tcW w:w="8403" w:type="dxa"/>
            <w:tcBorders>
              <w:bottom w:val="single" w:color="auto" w:sz="2" w:space="0"/>
            </w:tcBorders>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厂区内不同区域种植草坪、花簇、混种乔木及灌木等，</w:t>
            </w:r>
            <w:r>
              <w:rPr>
                <w:rFonts w:hint="default" w:ascii="Times New Roman" w:hAnsi="Times New Roman" w:cs="Times New Roman" w:eastAsiaTheme="minorEastAsia"/>
                <w:snapToGrid w:val="0"/>
                <w:color w:val="000000" w:themeColor="text1"/>
                <w14:textFill>
                  <w14:solidFill>
                    <w14:schemeClr w14:val="tx1"/>
                  </w14:solidFill>
                </w14:textFill>
              </w:rPr>
              <w:t>绿化率10%</w:t>
            </w:r>
            <w:r>
              <w:rPr>
                <w:rFonts w:hint="default" w:ascii="Times New Roman" w:hAnsi="Times New Roman" w:cs="Times New Roman" w:eastAsiaTheme="minorEastAsia"/>
                <w:color w:val="000000" w:themeColor="text1"/>
                <w14:textFill>
                  <w14:solidFill>
                    <w14:schemeClr w14:val="tx1"/>
                  </w14:solidFill>
                </w14:textFill>
              </w:rPr>
              <w:t>。</w:t>
            </w:r>
          </w:p>
        </w:tc>
        <w:tc>
          <w:tcPr>
            <w:tcW w:w="1087" w:type="dxa"/>
            <w:tcBorders>
              <w:bottom w:val="single" w:color="auto" w:sz="2" w:space="0"/>
            </w:tcBorders>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607" w:type="dxa"/>
            <w:vMerge w:val="continue"/>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p>
        </w:tc>
        <w:tc>
          <w:tcPr>
            <w:tcW w:w="567" w:type="dxa"/>
            <w:tcBorders>
              <w:top w:val="single" w:color="auto" w:sz="2" w:space="0"/>
            </w:tcBorders>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w:t>
            </w:r>
          </w:p>
        </w:tc>
        <w:tc>
          <w:tcPr>
            <w:tcW w:w="3079" w:type="dxa"/>
            <w:tcBorders>
              <w:top w:val="single" w:color="auto" w:sz="2" w:space="0"/>
            </w:tcBorders>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运行费用</w:t>
            </w:r>
          </w:p>
        </w:tc>
        <w:tc>
          <w:tcPr>
            <w:tcW w:w="8403" w:type="dxa"/>
            <w:tcBorders>
              <w:top w:val="single" w:color="auto" w:sz="2" w:space="0"/>
            </w:tcBorders>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环保设备维护运行</w:t>
            </w:r>
          </w:p>
        </w:tc>
        <w:tc>
          <w:tcPr>
            <w:tcW w:w="1087" w:type="dxa"/>
            <w:tcBorders>
              <w:top w:val="single" w:color="auto" w:sz="2" w:space="0"/>
            </w:tcBorders>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07" w:type="dxa"/>
            <w:vMerge w:val="restart"/>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合计</w:t>
            </w:r>
          </w:p>
        </w:tc>
        <w:tc>
          <w:tcPr>
            <w:tcW w:w="567" w:type="dxa"/>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c>
          <w:tcPr>
            <w:tcW w:w="11482" w:type="dxa"/>
            <w:gridSpan w:val="2"/>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环保投资合计</w:t>
            </w:r>
          </w:p>
        </w:tc>
        <w:tc>
          <w:tcPr>
            <w:tcW w:w="1087" w:type="dxa"/>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07" w:type="dxa"/>
            <w:vMerge w:val="continue"/>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p>
        </w:tc>
        <w:tc>
          <w:tcPr>
            <w:tcW w:w="567" w:type="dxa"/>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c>
          <w:tcPr>
            <w:tcW w:w="11482" w:type="dxa"/>
            <w:gridSpan w:val="2"/>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工程总投资</w:t>
            </w:r>
          </w:p>
        </w:tc>
        <w:tc>
          <w:tcPr>
            <w:tcW w:w="1087" w:type="dxa"/>
            <w:vAlign w:val="center"/>
          </w:tcPr>
          <w:p>
            <w:pPr>
              <w:pStyle w:val="666"/>
              <w:spacing w:line="300" w:lineRule="exact"/>
              <w:rPr>
                <w:rFonts w:hint="default" w:ascii="Times New Roman" w:hAnsi="Times New Roman" w:cs="Times New Roman" w:eastAsiaTheme="minorEastAsia"/>
                <w:color w:val="000000" w:themeColor="text1"/>
                <w:spacing w:val="-4"/>
                <w14:textFill>
                  <w14:solidFill>
                    <w14:schemeClr w14:val="tx1"/>
                  </w14:solidFill>
                </w14:textFill>
              </w:rPr>
            </w:pPr>
            <w:r>
              <w:rPr>
                <w:rFonts w:hint="default" w:ascii="Times New Roman" w:hAnsi="Times New Roman" w:cs="Times New Roman" w:eastAsiaTheme="minorEastAsia"/>
                <w:color w:val="000000" w:themeColor="text1"/>
                <w:spacing w:val="-4"/>
                <w14:textFill>
                  <w14:solidFill>
                    <w14:schemeClr w14:val="tx1"/>
                  </w14:solidFill>
                </w14:textFill>
              </w:rPr>
              <w:t>520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07" w:type="dxa"/>
            <w:vMerge w:val="continue"/>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p>
        </w:tc>
        <w:tc>
          <w:tcPr>
            <w:tcW w:w="567" w:type="dxa"/>
            <w:tcMar>
              <w:left w:w="28" w:type="dxa"/>
              <w:right w:w="28" w:type="dxa"/>
            </w:tcMar>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w:t>
            </w:r>
          </w:p>
        </w:tc>
        <w:tc>
          <w:tcPr>
            <w:tcW w:w="11482" w:type="dxa"/>
            <w:gridSpan w:val="2"/>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占总投资比例（%）</w:t>
            </w:r>
          </w:p>
        </w:tc>
        <w:tc>
          <w:tcPr>
            <w:tcW w:w="1087" w:type="dxa"/>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18.46</w:t>
            </w:r>
          </w:p>
        </w:tc>
      </w:tr>
    </w:tbl>
    <w:p>
      <w:pPr>
        <w:ind w:firstLine="560"/>
        <w:rPr>
          <w:rFonts w:hint="default" w:ascii="Times New Roman" w:hAnsi="Times New Roman" w:cs="Times New Roman" w:eastAsiaTheme="minorEastAsia"/>
          <w:color w:val="000000" w:themeColor="text1"/>
          <w:szCs w:val="28"/>
          <w14:textFill>
            <w14:solidFill>
              <w14:schemeClr w14:val="tx1"/>
            </w14:solidFill>
          </w14:textFill>
        </w:rPr>
        <w:sectPr>
          <w:footerReference r:id="rId37" w:type="default"/>
          <w:pgSz w:w="16838" w:h="11906" w:orient="landscape"/>
          <w:pgMar w:top="1701" w:right="1701" w:bottom="1701" w:left="1474" w:header="1134" w:footer="1134" w:gutter="0"/>
          <w:pgBorders>
            <w:top w:val="none" w:sz="0" w:space="0"/>
            <w:left w:val="none" w:sz="0" w:space="0"/>
            <w:bottom w:val="none" w:sz="0" w:space="0"/>
            <w:right w:val="none" w:sz="0" w:space="0"/>
          </w:pgBorders>
          <w:cols w:space="720" w:num="1"/>
          <w:docGrid w:linePitch="312" w:charSpace="0"/>
        </w:sectPr>
      </w:pPr>
    </w:p>
    <w:p>
      <w:pPr>
        <w:pStyle w:val="641"/>
        <w:rPr>
          <w:rFonts w:hint="default" w:ascii="Times New Roman" w:hAnsi="Times New Roman" w:cs="Times New Roman" w:eastAsiaTheme="minorEastAsia"/>
          <w:color w:val="000000" w:themeColor="text1"/>
          <w14:textFill>
            <w14:solidFill>
              <w14:schemeClr w14:val="tx1"/>
            </w14:solidFill>
          </w14:textFill>
        </w:rPr>
      </w:pPr>
      <w:bookmarkStart w:id="234" w:name="_Toc26481"/>
      <w:r>
        <w:rPr>
          <w:rFonts w:hint="default" w:ascii="Times New Roman" w:hAnsi="Times New Roman" w:cs="Times New Roman" w:eastAsiaTheme="minorEastAsia"/>
          <w:color w:val="000000" w:themeColor="text1"/>
          <w14:textFill>
            <w14:solidFill>
              <w14:schemeClr w14:val="tx1"/>
            </w14:solidFill>
          </w14:textFill>
        </w:rPr>
        <w:t>7 环境影响经济损益分析</w:t>
      </w:r>
      <w:bookmarkEnd w:id="234"/>
    </w:p>
    <w:p>
      <w:pPr>
        <w:pStyle w:val="639"/>
        <w:rPr>
          <w:rFonts w:hint="default" w:ascii="Times New Roman" w:hAnsi="Times New Roman" w:cs="Times New Roman" w:eastAsiaTheme="minorEastAsia"/>
          <w:b/>
          <w:bCs w:val="0"/>
          <w:color w:val="000000" w:themeColor="text1"/>
          <w14:textFill>
            <w14:solidFill>
              <w14:schemeClr w14:val="tx1"/>
            </w14:solidFill>
          </w14:textFill>
        </w:rPr>
      </w:pPr>
      <w:bookmarkStart w:id="235" w:name="_Toc346797052"/>
      <w:bookmarkStart w:id="236" w:name="_Toc377944843"/>
      <w:bookmarkStart w:id="237" w:name="_Toc342307588"/>
      <w:bookmarkStart w:id="238" w:name="_Toc490033256"/>
      <w:bookmarkStart w:id="239" w:name="_Toc378664999"/>
      <w:bookmarkStart w:id="240" w:name="_Toc375865727"/>
      <w:bookmarkStart w:id="241" w:name="_Toc380840042"/>
      <w:bookmarkStart w:id="242" w:name="_Toc383036583"/>
      <w:bookmarkStart w:id="243" w:name="_Toc344116075"/>
      <w:bookmarkStart w:id="244" w:name="_Toc309651609"/>
      <w:bookmarkStart w:id="245" w:name="_Toc346797153"/>
      <w:bookmarkStart w:id="246" w:name="_Toc8940"/>
      <w:bookmarkStart w:id="247" w:name="_Toc472338512"/>
      <w:r>
        <w:rPr>
          <w:rFonts w:hint="default" w:ascii="Times New Roman" w:hAnsi="Times New Roman" w:cs="Times New Roman" w:eastAsiaTheme="minorEastAsia"/>
          <w:b/>
          <w:bCs w:val="0"/>
          <w:color w:val="000000" w:themeColor="text1"/>
          <w14:textFill>
            <w14:solidFill>
              <w14:schemeClr w14:val="tx1"/>
            </w14:solidFill>
          </w14:textFill>
        </w:rPr>
        <w:t>7.1 概述</w:t>
      </w:r>
      <w:bookmarkEnd w:id="235"/>
      <w:bookmarkEnd w:id="236"/>
      <w:bookmarkEnd w:id="237"/>
      <w:bookmarkEnd w:id="238"/>
      <w:bookmarkEnd w:id="239"/>
      <w:bookmarkEnd w:id="240"/>
      <w:bookmarkEnd w:id="241"/>
      <w:bookmarkEnd w:id="242"/>
      <w:bookmarkEnd w:id="243"/>
      <w:bookmarkEnd w:id="244"/>
      <w:bookmarkEnd w:id="245"/>
      <w:bookmarkEnd w:id="246"/>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境影响经济损益分析主要是评价建设项目实施后对环境造成的损失费用和采用各种环保治理措施带来的社会、经济和环境效益。环境损失费用主要有因污染物排放和污染事故造成对周围生态环境和人体健康影响的损失价值、资源能源的流失价值和维持各种环保治理设施而投入的运行、维修及管理费用等。环境经济收益主要包括实施各种环保措施后，对资源能源的回收与综合利用价值、减轻环境污染所带来的社会效益和环境效益。环境经济损失和收益一般都是间接的很难用货币的形式计算，也很难准确，具有较大的不确定性，由于目前对于环境经济损益分析无统一的标准和成熟的方法及有关规范，使该项工作有一定难度。本次评价仅从上述内容中的某些方面作一定程度的描述和分析。</w:t>
      </w:r>
    </w:p>
    <w:bookmarkEnd w:id="247"/>
    <w:p>
      <w:pPr>
        <w:pStyle w:val="639"/>
        <w:rPr>
          <w:rFonts w:hint="default" w:ascii="Times New Roman" w:hAnsi="Times New Roman" w:cs="Times New Roman" w:eastAsiaTheme="minorEastAsia"/>
          <w:b/>
          <w:bCs w:val="0"/>
          <w:color w:val="000000" w:themeColor="text1"/>
          <w14:textFill>
            <w14:solidFill>
              <w14:schemeClr w14:val="tx1"/>
            </w14:solidFill>
          </w14:textFill>
        </w:rPr>
      </w:pPr>
      <w:bookmarkStart w:id="248" w:name="_Toc472338513"/>
      <w:bookmarkStart w:id="249" w:name="_Toc16763"/>
      <w:r>
        <w:rPr>
          <w:rFonts w:hint="default" w:ascii="Times New Roman" w:hAnsi="Times New Roman" w:cs="Times New Roman" w:eastAsiaTheme="minorEastAsia"/>
          <w:b/>
          <w:bCs w:val="0"/>
          <w:color w:val="000000" w:themeColor="text1"/>
          <w14:textFill>
            <w14:solidFill>
              <w14:schemeClr w14:val="tx1"/>
            </w14:solidFill>
          </w14:textFill>
        </w:rPr>
        <w:t>7.2 效益分析</w:t>
      </w:r>
      <w:bookmarkEnd w:id="248"/>
      <w:bookmarkEnd w:id="249"/>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bookmarkStart w:id="250" w:name="_Toc446404786"/>
      <w:bookmarkStart w:id="251" w:name="_Toc243652881"/>
      <w:bookmarkStart w:id="252" w:name="_Toc288640087"/>
      <w:bookmarkStart w:id="253" w:name="_Toc245356910"/>
      <w:bookmarkStart w:id="254" w:name="_Toc246177253"/>
      <w:r>
        <w:rPr>
          <w:rFonts w:hint="default" w:ascii="Times New Roman" w:hAnsi="Times New Roman" w:cs="Times New Roman" w:eastAsiaTheme="minorEastAsia"/>
          <w:color w:val="000000" w:themeColor="text1"/>
          <w:sz w:val="24"/>
          <w:szCs w:val="22"/>
          <w14:textFill>
            <w14:solidFill>
              <w14:schemeClr w14:val="tx1"/>
            </w14:solidFill>
          </w14:textFill>
        </w:rPr>
        <w:t>（1）社会效益</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的建设将带动肇源县畜禽养殖行业的发展，可创造部分就业岗位有效增加农民收入稳定农业生产。通过本项目的实施，促进产业结构调整，项目建设与当地经济发展完全吻合，可使项目区域内不同的利益群体都能最大限度地从项目所带来的社会变化中广泛受益。</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（2）经济效益分析</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本项目总投资520万元，本项目作为养殖项目，在带动地方养殖行业发展的同时，本项目还具有以下经济效益：</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1、该项目的建设可以增加当地财政收入，对当地经济发展起推动作用；</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2、增加部分就业机会，增加居民收入，有利于提高居民生活水平，对稳定当地社会秩序具有一定作用。</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3、项目产生沼液、卧床垫料废物定期还田做为肥料降低种植成本，增加农民收入。</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综上，该项目建设将带动项目周边发展，拉动区域GDP增长，增加地方和国家财政收入，促进地方经济发展，具有显著的经济效益。</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（3）环境效益分析</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本项目在采取报告中提出的废气、废水、噪声及固体废物等相关污染防治措施的情况下，可以达到有效控制污染和保护环境的目的，本项目污染治理措施的环境效益表现在以下几个方面：</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1、本项目运营期产生的废水经报告中提出的污水治理措施处理后，最终还田，不会对地表水造成影响，具有环境效益。</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2、本项目运营过程中产生的各种废气经报告中提出的相应治理措施处理后，均可以满足达标排放要求，对大气环境影响较小。</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3、本项目采取基础减振、厂房隔声及距离衰减后，将很大程度减轻本项目噪声源对外环境的噪声污染，可以确保厂界噪声达标，收到良好的环境效益。</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4、本项目固废在采取相应的处理、处置措施后，不会对周围环境造成二次污染。</w:t>
      </w:r>
    </w:p>
    <w:p>
      <w:pPr>
        <w:ind w:firstLine="560"/>
        <w:rPr>
          <w:rFonts w:hint="default" w:ascii="Times New Roman" w:hAnsi="Times New Roman" w:cs="Times New Roman" w:eastAsiaTheme="minorEastAsia"/>
          <w:bCs/>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综上可知，由于本项目运行后在污染物排放浓度和总量控制方面均满足国家和地方的有关标准要求，具有显著的环境效益。</w:t>
      </w:r>
    </w:p>
    <w:p>
      <w:pPr>
        <w:pStyle w:val="639"/>
        <w:rPr>
          <w:rFonts w:hint="default" w:ascii="Times New Roman" w:hAnsi="Times New Roman" w:cs="Times New Roman" w:eastAsiaTheme="minorEastAsia"/>
          <w:b/>
          <w:bCs w:val="0"/>
          <w:color w:val="000000" w:themeColor="text1"/>
          <w14:textFill>
            <w14:solidFill>
              <w14:schemeClr w14:val="tx1"/>
            </w14:solidFill>
          </w14:textFill>
        </w:rPr>
      </w:pPr>
      <w:bookmarkStart w:id="255" w:name="_Toc16699"/>
      <w:r>
        <w:rPr>
          <w:rFonts w:hint="default" w:ascii="Times New Roman" w:hAnsi="Times New Roman" w:cs="Times New Roman" w:eastAsiaTheme="minorEastAsia"/>
          <w:b/>
          <w:bCs w:val="0"/>
          <w:color w:val="000000" w:themeColor="text1"/>
          <w14:textFill>
            <w14:solidFill>
              <w14:schemeClr w14:val="tx1"/>
            </w14:solidFill>
          </w14:textFill>
        </w:rPr>
        <w:t>7.3 结论</w:t>
      </w:r>
      <w:bookmarkEnd w:id="250"/>
      <w:bookmarkEnd w:id="251"/>
      <w:bookmarkEnd w:id="252"/>
      <w:bookmarkEnd w:id="253"/>
      <w:bookmarkEnd w:id="254"/>
      <w:bookmarkEnd w:id="255"/>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通过以上对本项目建设的经济、社会和环境效益分析可知，在落实本评价所提出的各项污染防治措施的前提下，本项目建设能够达到经济效益、社会效益和环境效益相统一的要求，既为地方经济发展做出贡献，又通过环保投资减少了污染物排放量。本项目建设满足可持续发展的要求，工程建设是可行的。</w:t>
      </w:r>
    </w:p>
    <w:p>
      <w:pPr>
        <w:spacing w:line="520" w:lineRule="atLeast"/>
        <w:ind w:firstLine="560"/>
        <w:rPr>
          <w:rFonts w:hint="default" w:ascii="Times New Roman" w:hAnsi="Times New Roman" w:cs="Times New Roman" w:eastAsiaTheme="minorEastAsia"/>
          <w:color w:val="000000" w:themeColor="text1"/>
          <w:sz w:val="24"/>
          <w:szCs w:val="24"/>
          <w14:textFill>
            <w14:solidFill>
              <w14:schemeClr w14:val="tx1"/>
            </w14:solidFill>
          </w14:textFill>
        </w:rPr>
        <w:sectPr>
          <w:footerReference r:id="rId38" w:type="default"/>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12" w:charSpace="0"/>
        </w:sectPr>
      </w:pPr>
    </w:p>
    <w:p>
      <w:pPr>
        <w:pStyle w:val="641"/>
        <w:rPr>
          <w:rFonts w:hint="default" w:ascii="Times New Roman" w:hAnsi="Times New Roman" w:cs="Times New Roman" w:eastAsiaTheme="minorEastAsia"/>
          <w:color w:val="000000" w:themeColor="text1"/>
          <w14:textFill>
            <w14:solidFill>
              <w14:schemeClr w14:val="tx1"/>
            </w14:solidFill>
          </w14:textFill>
        </w:rPr>
      </w:pPr>
      <w:bookmarkStart w:id="256" w:name="_Toc1124"/>
      <w:r>
        <w:rPr>
          <w:rFonts w:hint="default" w:ascii="Times New Roman" w:hAnsi="Times New Roman" w:cs="Times New Roman" w:eastAsiaTheme="minorEastAsia"/>
          <w:color w:val="000000" w:themeColor="text1"/>
          <w14:textFill>
            <w14:solidFill>
              <w14:schemeClr w14:val="tx1"/>
            </w14:solidFill>
          </w14:textFill>
        </w:rPr>
        <w:t>8 环境管理与环境监测计划</w:t>
      </w:r>
      <w:bookmarkEnd w:id="256"/>
    </w:p>
    <w:p>
      <w:pPr>
        <w:pStyle w:val="639"/>
        <w:rPr>
          <w:rFonts w:hint="default" w:ascii="Times New Roman" w:hAnsi="Times New Roman" w:cs="Times New Roman" w:eastAsiaTheme="minorEastAsia"/>
          <w:color w:val="000000" w:themeColor="text1"/>
          <w14:textFill>
            <w14:solidFill>
              <w14:schemeClr w14:val="tx1"/>
            </w14:solidFill>
          </w14:textFill>
        </w:rPr>
      </w:pPr>
      <w:bookmarkStart w:id="257" w:name="_Toc472338515"/>
      <w:bookmarkStart w:id="258" w:name="_Toc397503634"/>
      <w:bookmarkStart w:id="259" w:name="_Toc218251804"/>
      <w:bookmarkStart w:id="260" w:name="_Toc13730"/>
      <w:r>
        <w:rPr>
          <w:rFonts w:hint="default" w:ascii="Times New Roman" w:hAnsi="Times New Roman" w:cs="Times New Roman" w:eastAsiaTheme="minorEastAsia"/>
          <w:color w:val="000000" w:themeColor="text1"/>
          <w14:textFill>
            <w14:solidFill>
              <w14:schemeClr w14:val="tx1"/>
            </w14:solidFill>
          </w14:textFill>
        </w:rPr>
        <w:t>8.1 环境管理计划</w:t>
      </w:r>
      <w:bookmarkEnd w:id="257"/>
      <w:bookmarkEnd w:id="258"/>
      <w:bookmarkEnd w:id="259"/>
      <w:bookmarkEnd w:id="260"/>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境管理是指运用经济、法律、技术、行政、教育等手段。限制人类损害环境质量的活动，通过全面规划使经济发展与环境相协调，达到既要发展经济，满足人类的基本需要，又不超出环境的容许极限，这些内容概括起来就是环境管理。</w:t>
      </w:r>
    </w:p>
    <w:p>
      <w:pPr>
        <w:pStyle w:val="1167"/>
        <w:rPr>
          <w:rFonts w:hint="default" w:ascii="Times New Roman" w:hAnsi="Times New Roman" w:cs="Times New Roman" w:eastAsiaTheme="minorEastAsia"/>
          <w:color w:val="000000" w:themeColor="text1"/>
          <w14:textFill>
            <w14:solidFill>
              <w14:schemeClr w14:val="tx1"/>
            </w14:solidFill>
          </w14:textFill>
        </w:rPr>
      </w:pPr>
      <w:bookmarkStart w:id="261" w:name="_Toc338163179"/>
      <w:bookmarkStart w:id="262" w:name="_Toc406416200"/>
      <w:bookmarkStart w:id="263" w:name="_Toc376078462"/>
      <w:bookmarkStart w:id="264" w:name="_Toc382814463"/>
      <w:bookmarkStart w:id="265" w:name="_Toc313973135"/>
      <w:bookmarkStart w:id="266" w:name="_Toc379530168"/>
      <w:bookmarkStart w:id="267" w:name="_Toc243652884"/>
      <w:bookmarkStart w:id="268" w:name="_Toc407350198"/>
      <w:bookmarkStart w:id="269" w:name="_Toc245356913"/>
      <w:r>
        <w:rPr>
          <w:rFonts w:hint="default" w:ascii="Times New Roman" w:hAnsi="Times New Roman" w:cs="Times New Roman" w:eastAsiaTheme="minorEastAsia"/>
          <w:color w:val="000000" w:themeColor="text1"/>
          <w14:textFill>
            <w14:solidFill>
              <w14:schemeClr w14:val="tx1"/>
            </w14:solidFill>
          </w14:textFill>
        </w:rPr>
        <w:t>8.1.1 环境管理的意义</w:t>
      </w:r>
      <w:bookmarkEnd w:id="261"/>
      <w:bookmarkEnd w:id="262"/>
      <w:bookmarkEnd w:id="263"/>
      <w:bookmarkEnd w:id="264"/>
      <w:bookmarkEnd w:id="265"/>
      <w:bookmarkEnd w:id="266"/>
      <w:bookmarkEnd w:id="267"/>
      <w:bookmarkEnd w:id="268"/>
      <w:bookmarkEnd w:id="269"/>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境管理的目的是对损坏环境质量的人为活动施加影响，以协调经济与环境的关系，既达到发展经济满足人类的需要，又不超出环境容量的限制。本项目对环境的影响主要来自施工期、运行期。为最大限度地减轻施工作业及生产过程中对环境的影响，确保生产过程环境安全和高效生产，建立科学有效的环境管理体制，落实各项环保和安全措施显得尤为重要。通过建立环境管理体系，提高员工环保意识、规范企业管理、推行清洁生产，实现污染预防，以实现环境效益、社会效益、经济效益的统一。</w:t>
      </w:r>
    </w:p>
    <w:p>
      <w:pPr>
        <w:pStyle w:val="1167"/>
        <w:rPr>
          <w:rFonts w:hint="default" w:ascii="Times New Roman" w:hAnsi="Times New Roman" w:cs="Times New Roman" w:eastAsiaTheme="minorEastAsia"/>
          <w:color w:val="000000" w:themeColor="text1"/>
          <w14:textFill>
            <w14:solidFill>
              <w14:schemeClr w14:val="tx1"/>
            </w14:solidFill>
          </w14:textFill>
        </w:rPr>
      </w:pPr>
      <w:bookmarkStart w:id="270" w:name="_Toc245356914"/>
      <w:bookmarkStart w:id="271" w:name="_Toc382814464"/>
      <w:bookmarkStart w:id="272" w:name="_Toc406416201"/>
      <w:bookmarkStart w:id="273" w:name="_Toc407350199"/>
      <w:bookmarkStart w:id="274" w:name="_Toc379530169"/>
      <w:bookmarkStart w:id="275" w:name="_Toc313973136"/>
      <w:bookmarkStart w:id="276" w:name="_Toc338163180"/>
      <w:bookmarkStart w:id="277" w:name="_Toc243652885"/>
      <w:bookmarkStart w:id="278" w:name="_Toc376078463"/>
      <w:r>
        <w:rPr>
          <w:rFonts w:hint="default" w:ascii="Times New Roman" w:hAnsi="Times New Roman" w:cs="Times New Roman" w:eastAsiaTheme="minorEastAsia"/>
          <w:color w:val="000000" w:themeColor="text1"/>
          <w14:textFill>
            <w14:solidFill>
              <w14:schemeClr w14:val="tx1"/>
            </w14:solidFill>
          </w14:textFill>
        </w:rPr>
        <w:t>8.1.2 环境管理组织结构</w:t>
      </w:r>
      <w:bookmarkEnd w:id="270"/>
      <w:bookmarkEnd w:id="271"/>
      <w:bookmarkEnd w:id="272"/>
      <w:bookmarkEnd w:id="273"/>
      <w:bookmarkEnd w:id="274"/>
      <w:bookmarkEnd w:id="275"/>
      <w:bookmarkEnd w:id="276"/>
      <w:bookmarkEnd w:id="277"/>
      <w:bookmarkEnd w:id="278"/>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企业环境管理体系作为企业管理体系中的一部分，应与之相协调统一。企业应设有环境管理人员。为使环境管理很好地贯穿于企业管理的整个过程，并落实到企业的各个层次，分解到生产的各个环节，把企业管理与环境管理紧密地结合起来，不但要建立完善的企业管理体系和各种规章制度，也要建立完善的环境管理体系，使企业的环境管理工作真正落到实处。</w:t>
      </w:r>
    </w:p>
    <w:p>
      <w:pPr>
        <w:pStyle w:val="1167"/>
        <w:rPr>
          <w:rFonts w:hint="default" w:ascii="Times New Roman" w:hAnsi="Times New Roman" w:cs="Times New Roman" w:eastAsiaTheme="minorEastAsia"/>
          <w:color w:val="000000" w:themeColor="text1"/>
          <w14:textFill>
            <w14:solidFill>
              <w14:schemeClr w14:val="tx1"/>
            </w14:solidFill>
          </w14:textFill>
        </w:rPr>
      </w:pPr>
      <w:bookmarkStart w:id="279" w:name="_Toc382814465"/>
      <w:bookmarkStart w:id="280" w:name="_Toc245356915"/>
      <w:bookmarkStart w:id="281" w:name="_Toc313973137"/>
      <w:bookmarkStart w:id="282" w:name="_Toc379530170"/>
      <w:bookmarkStart w:id="283" w:name="_Toc338163181"/>
      <w:bookmarkStart w:id="284" w:name="_Toc406416202"/>
      <w:bookmarkStart w:id="285" w:name="_Toc243652886"/>
      <w:bookmarkStart w:id="286" w:name="_Toc376078464"/>
      <w:bookmarkStart w:id="287" w:name="_Toc407350200"/>
      <w:r>
        <w:rPr>
          <w:rFonts w:hint="default" w:ascii="Times New Roman" w:hAnsi="Times New Roman" w:cs="Times New Roman" w:eastAsiaTheme="minorEastAsia"/>
          <w:color w:val="000000" w:themeColor="text1"/>
          <w14:textFill>
            <w14:solidFill>
              <w14:schemeClr w14:val="tx1"/>
            </w14:solidFill>
          </w14:textFill>
        </w:rPr>
        <w:t>8.1.3 环境管理的内容</w:t>
      </w:r>
      <w:bookmarkEnd w:id="279"/>
      <w:bookmarkEnd w:id="280"/>
      <w:bookmarkEnd w:id="281"/>
      <w:bookmarkEnd w:id="282"/>
      <w:bookmarkEnd w:id="283"/>
      <w:bookmarkEnd w:id="284"/>
      <w:bookmarkEnd w:id="285"/>
      <w:bookmarkEnd w:id="286"/>
      <w:bookmarkEnd w:id="287"/>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环境管理的内容如下：</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（1）按生态环境主管部门有关规定与环保要求，搞好厂区的环境管理，全体职工参与，隐患自除，责任自负，避免对周边环境的影响。</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加大力度提高全体职工的环保意识，应对其进行有关的环保法、环保事故发生后的应急措施等方面的培训，努力做到持证上岗，完善自身管理。</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加强环境管理，制定与环保有关的完善的规章制度，切实落到实处。</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w:t>
      </w:r>
      <w:r>
        <w:rPr>
          <w:rFonts w:hint="default" w:ascii="Times New Roman" w:hAnsi="Times New Roman" w:cs="Times New Roman" w:eastAsiaTheme="minorEastAsia"/>
          <w:color w:val="000000" w:themeColor="text1"/>
          <w:sz w:val="24"/>
          <w:szCs w:val="22"/>
          <w14:textFill>
            <w14:solidFill>
              <w14:schemeClr w14:val="tx1"/>
            </w14:solidFill>
          </w14:textFill>
        </w:rPr>
        <w:t>4</w:t>
      </w:r>
      <w:r>
        <w:rPr>
          <w:rFonts w:hint="default" w:ascii="Times New Roman" w:hAnsi="Times New Roman" w:cs="Times New Roman" w:eastAsiaTheme="minorEastAsia"/>
          <w:color w:val="000000" w:themeColor="text1"/>
          <w:sz w:val="24"/>
          <w:szCs w:val="24"/>
          <w14:textFill>
            <w14:solidFill>
              <w14:schemeClr w14:val="tx1"/>
            </w14:solidFill>
          </w14:textFill>
        </w:rPr>
        <w:t>）建设单位承担动物防疫责任，建立健全动物防疫制度，做好免疫、消毒等动物疫病预防工作，对其饲养的动物开展规定的动物疫病检测，并有完整的检测记录。</w:t>
      </w:r>
    </w:p>
    <w:p>
      <w:pPr>
        <w:pStyle w:val="1167"/>
        <w:rPr>
          <w:rFonts w:hint="default" w:ascii="Times New Roman" w:hAnsi="Times New Roman" w:cs="Times New Roman" w:eastAsiaTheme="minorEastAsia"/>
          <w:color w:val="000000" w:themeColor="text1"/>
          <w14:textFill>
            <w14:solidFill>
              <w14:schemeClr w14:val="tx1"/>
            </w14:solidFill>
          </w14:textFill>
        </w:rPr>
      </w:pPr>
      <w:bookmarkStart w:id="288" w:name="_Toc379530171"/>
      <w:bookmarkStart w:id="289" w:name="_Toc338163182"/>
      <w:bookmarkStart w:id="290" w:name="_Toc245356916"/>
      <w:bookmarkStart w:id="291" w:name="_Toc382814466"/>
      <w:bookmarkStart w:id="292" w:name="_Toc406416203"/>
      <w:bookmarkStart w:id="293" w:name="_Toc313973138"/>
      <w:bookmarkStart w:id="294" w:name="_Toc407350201"/>
      <w:bookmarkStart w:id="295" w:name="_Toc243652887"/>
      <w:bookmarkStart w:id="296" w:name="_Toc376078465"/>
      <w:r>
        <w:rPr>
          <w:rFonts w:hint="default" w:ascii="Times New Roman" w:hAnsi="Times New Roman" w:cs="Times New Roman" w:eastAsiaTheme="minorEastAsia"/>
          <w:color w:val="000000" w:themeColor="text1"/>
          <w14:textFill>
            <w14:solidFill>
              <w14:schemeClr w14:val="tx1"/>
            </w14:solidFill>
          </w14:textFill>
        </w:rPr>
        <w:t>8.1.4 加强环境管理的对策</w:t>
      </w:r>
      <w:bookmarkEnd w:id="288"/>
      <w:bookmarkEnd w:id="289"/>
      <w:bookmarkEnd w:id="290"/>
      <w:bookmarkEnd w:id="291"/>
      <w:bookmarkEnd w:id="292"/>
      <w:bookmarkEnd w:id="293"/>
      <w:bookmarkEnd w:id="294"/>
      <w:bookmarkEnd w:id="295"/>
      <w:bookmarkEnd w:id="296"/>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为使公司的环境管理落到实处，将制定以下的对策：</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（1）规范各种环境管理规章制度</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①国家的环境保护法律、法规。达到国家规定的环境保护要求是实现环境管理的最低要求。</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②牛舍有关环境管理的技术规程、标准，主要包括：污染物排放控制标准；生产工艺、设备的环境技术管理规程；环境保护设备的操作规程等。</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③环境保护责任制：各类人员的环境保护工作范围，应负的责任，以及相应的权利。</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加强对污染防治措施的管理，不断提高污染防治的技术水平，使现有的污染防治措施充分发挥作用，减少污染物排放总量。</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加强监测，定期如实地总结监测数据，分析环保问题所在，及时向主管领导汇报并及时解决。</w:t>
      </w: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8.1.5 污染物排放清单</w:t>
      </w:r>
    </w:p>
    <w:p>
      <w:pPr>
        <w:ind w:firstLine="560"/>
        <w:rPr>
          <w:rFonts w:hint="default" w:ascii="Times New Roman" w:hAnsi="Times New Roman" w:cs="Times New Roman" w:eastAsiaTheme="minorEastAsia"/>
          <w:color w:val="000000" w:themeColor="text1"/>
          <w14:textFill>
            <w14:solidFill>
              <w14:schemeClr w14:val="tx1"/>
            </w14:solidFill>
          </w14:textFill>
        </w:rPr>
        <w:sectPr>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eastAsiaTheme="minorEastAsia"/>
          <w:color w:val="000000" w:themeColor="text1"/>
          <w14:textFill>
            <w14:solidFill>
              <w14:schemeClr w14:val="tx1"/>
            </w14:solidFill>
          </w14:textFill>
        </w:rPr>
        <w:t>本项目污染物排放情况清单见表8-1-1。</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表8-1-1 污染物排放清单一览表</w:t>
      </w:r>
    </w:p>
    <w:tbl>
      <w:tblPr>
        <w:tblStyle w:val="9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3"/>
        <w:gridCol w:w="1018"/>
        <w:gridCol w:w="1025"/>
        <w:gridCol w:w="2735"/>
        <w:gridCol w:w="993"/>
        <w:gridCol w:w="850"/>
        <w:gridCol w:w="709"/>
        <w:gridCol w:w="813"/>
        <w:gridCol w:w="1100"/>
        <w:gridCol w:w="975"/>
        <w:gridCol w:w="2350"/>
        <w:gridCol w:w="8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433"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种类</w:t>
            </w:r>
          </w:p>
        </w:tc>
        <w:tc>
          <w:tcPr>
            <w:tcW w:w="1018"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污染源</w:t>
            </w:r>
          </w:p>
        </w:tc>
        <w:tc>
          <w:tcPr>
            <w:tcW w:w="1025"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污染物</w:t>
            </w:r>
          </w:p>
        </w:tc>
        <w:tc>
          <w:tcPr>
            <w:tcW w:w="2735"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环境保护措施及主要运行参数</w:t>
            </w:r>
          </w:p>
        </w:tc>
        <w:tc>
          <w:tcPr>
            <w:tcW w:w="3365" w:type="dxa"/>
            <w:gridSpan w:val="4"/>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排污口信息</w:t>
            </w:r>
          </w:p>
        </w:tc>
        <w:tc>
          <w:tcPr>
            <w:tcW w:w="4425" w:type="dxa"/>
            <w:gridSpan w:val="3"/>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执行的排放标准</w:t>
            </w:r>
          </w:p>
        </w:tc>
        <w:tc>
          <w:tcPr>
            <w:tcW w:w="878"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总量指标（t/a）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433"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18"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25"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2735"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9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排放形式</w:t>
            </w:r>
          </w:p>
        </w:tc>
        <w:tc>
          <w:tcPr>
            <w:tcW w:w="85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数量</w:t>
            </w:r>
          </w:p>
        </w:tc>
        <w:tc>
          <w:tcPr>
            <w:tcW w:w="70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高度</w:t>
            </w:r>
          </w:p>
        </w:tc>
        <w:tc>
          <w:tcPr>
            <w:tcW w:w="81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位置</w:t>
            </w:r>
          </w:p>
        </w:tc>
        <w:tc>
          <w:tcPr>
            <w:tcW w:w="110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浓度（mg/m</w:t>
            </w:r>
            <w:r>
              <w:rPr>
                <w:rFonts w:hint="default" w:ascii="Times New Roman" w:hAnsi="Times New Roman" w:cs="Times New Roman" w:eastAsiaTheme="minorEastAsia"/>
                <w:color w:val="000000" w:themeColor="text1"/>
                <w:vertAlign w:val="superscript"/>
                <w14:textFill>
                  <w14:solidFill>
                    <w14:schemeClr w14:val="tx1"/>
                  </w14:solidFill>
                </w14:textFill>
              </w:rPr>
              <w:t>3</w:t>
            </w:r>
            <w:r>
              <w:rPr>
                <w:rFonts w:hint="default" w:ascii="Times New Roman" w:hAnsi="Times New Roman" w:cs="Times New Roman" w:eastAsiaTheme="minorEastAsia"/>
                <w:color w:val="000000" w:themeColor="text1"/>
                <w14:textFill>
                  <w14:solidFill>
                    <w14:schemeClr w14:val="tx1"/>
                  </w14:solidFill>
                </w14:textFill>
              </w:rPr>
              <w:t>）</w:t>
            </w:r>
          </w:p>
        </w:tc>
        <w:tc>
          <w:tcPr>
            <w:tcW w:w="9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速率（kg/h）</w:t>
            </w:r>
          </w:p>
        </w:tc>
        <w:tc>
          <w:tcPr>
            <w:tcW w:w="235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标准名称</w:t>
            </w:r>
          </w:p>
        </w:tc>
        <w:tc>
          <w:tcPr>
            <w:tcW w:w="878"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433"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废气</w:t>
            </w:r>
          </w:p>
        </w:tc>
        <w:tc>
          <w:tcPr>
            <w:tcW w:w="1018" w:type="dxa"/>
            <w:vMerge w:val="restart"/>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沼气</w:t>
            </w:r>
            <w:r>
              <w:rPr>
                <w:rFonts w:hint="default" w:ascii="Times New Roman" w:hAnsi="Times New Roman" w:cs="Times New Roman" w:eastAsiaTheme="minorEastAsia"/>
                <w:color w:val="000000" w:themeColor="text1"/>
                <w:lang w:eastAsia="zh-CN"/>
                <w14:textFill>
                  <w14:solidFill>
                    <w14:schemeClr w14:val="tx1"/>
                  </w14:solidFill>
                </w14:textFill>
              </w:rPr>
              <w:t>火炬</w:t>
            </w:r>
            <w:r>
              <w:rPr>
                <w:rFonts w:hint="default" w:ascii="Times New Roman" w:hAnsi="Times New Roman" w:cs="Times New Roman" w:eastAsiaTheme="minorEastAsia"/>
                <w:color w:val="000000" w:themeColor="text1"/>
                <w14:textFill>
                  <w14:solidFill>
                    <w14:schemeClr w14:val="tx1"/>
                  </w14:solidFill>
                </w14:textFill>
              </w:rPr>
              <w:t>燃烧废气</w:t>
            </w:r>
          </w:p>
        </w:tc>
        <w:tc>
          <w:tcPr>
            <w:tcW w:w="1025"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颗粒物</w:t>
            </w:r>
          </w:p>
        </w:tc>
        <w:tc>
          <w:tcPr>
            <w:tcW w:w="2735" w:type="dxa"/>
            <w:vMerge w:val="restart"/>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c>
          <w:tcPr>
            <w:tcW w:w="993" w:type="dxa"/>
            <w:vMerge w:val="restart"/>
            <w:tcBorders>
              <w:top w:val="single" w:color="auto" w:sz="2" w:space="0"/>
            </w:tcBorders>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有组织</w:t>
            </w:r>
          </w:p>
        </w:tc>
        <w:tc>
          <w:tcPr>
            <w:tcW w:w="850" w:type="dxa"/>
            <w:vMerge w:val="restart"/>
            <w:tcBorders>
              <w:top w:val="single" w:color="auto" w:sz="2" w:space="0"/>
            </w:tcBorders>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1</w:t>
            </w:r>
          </w:p>
        </w:tc>
        <w:tc>
          <w:tcPr>
            <w:tcW w:w="709" w:type="dxa"/>
            <w:vMerge w:val="restart"/>
            <w:tcBorders>
              <w:top w:val="single" w:color="auto" w:sz="2" w:space="0"/>
            </w:tcBorders>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15m</w:t>
            </w:r>
          </w:p>
        </w:tc>
        <w:tc>
          <w:tcPr>
            <w:tcW w:w="813" w:type="dxa"/>
            <w:vMerge w:val="restart"/>
            <w:tcBorders>
              <w:top w:val="single" w:color="auto" w:sz="2" w:space="0"/>
            </w:tcBorders>
            <w:vAlign w:val="center"/>
          </w:tcPr>
          <w:p>
            <w:pPr>
              <w:pStyle w:val="666"/>
              <w:rPr>
                <w:rFonts w:hint="default" w:ascii="Times New Roman" w:hAnsi="Times New Roman" w:cs="Times New Roman" w:eastAsiaTheme="minorEastAsia"/>
                <w:color w:val="000000" w:themeColor="text1"/>
                <w:lang w:eastAsia="zh-CN"/>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沼气</w:t>
            </w:r>
            <w:r>
              <w:rPr>
                <w:rFonts w:hint="default" w:ascii="Times New Roman" w:hAnsi="Times New Roman" w:cs="Times New Roman" w:eastAsiaTheme="minorEastAsia"/>
                <w:color w:val="000000" w:themeColor="text1"/>
                <w:lang w:eastAsia="zh-CN"/>
                <w14:textFill>
                  <w14:solidFill>
                    <w14:schemeClr w14:val="tx1"/>
                  </w14:solidFill>
                </w14:textFill>
              </w:rPr>
              <w:t>火炬</w:t>
            </w:r>
          </w:p>
        </w:tc>
        <w:tc>
          <w:tcPr>
            <w:tcW w:w="1100"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120</w:t>
            </w:r>
          </w:p>
        </w:tc>
        <w:tc>
          <w:tcPr>
            <w:tcW w:w="975"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3.5</w:t>
            </w:r>
          </w:p>
        </w:tc>
        <w:tc>
          <w:tcPr>
            <w:tcW w:w="2350" w:type="dxa"/>
            <w:vMerge w:val="restart"/>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《大气污染物综合排放标准》（GB16297-1996）中表2</w:t>
            </w:r>
          </w:p>
        </w:tc>
        <w:tc>
          <w:tcPr>
            <w:tcW w:w="878"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33"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18"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25"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SO</w:t>
            </w:r>
            <w:r>
              <w:rPr>
                <w:rFonts w:hint="default" w:ascii="Times New Roman" w:hAnsi="Times New Roman" w:cs="Times New Roman" w:eastAsiaTheme="minorEastAsia"/>
                <w:color w:val="000000" w:themeColor="text1"/>
                <w:spacing w:val="20"/>
                <w:vertAlign w:val="subscript"/>
                <w14:textFill>
                  <w14:solidFill>
                    <w14:schemeClr w14:val="tx1"/>
                  </w14:solidFill>
                </w14:textFill>
              </w:rPr>
              <w:t>2</w:t>
            </w:r>
          </w:p>
        </w:tc>
        <w:tc>
          <w:tcPr>
            <w:tcW w:w="2735"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93"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850"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709"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813"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110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550</w:t>
            </w:r>
          </w:p>
        </w:tc>
        <w:tc>
          <w:tcPr>
            <w:tcW w:w="9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2.6</w:t>
            </w:r>
          </w:p>
        </w:tc>
        <w:tc>
          <w:tcPr>
            <w:tcW w:w="2350"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78" w:type="dxa"/>
            <w:tcBorders>
              <w:top w:val="single" w:color="auto" w:sz="2" w:space="0"/>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33"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18"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25" w:type="dxa"/>
            <w:tcBorders>
              <w:top w:val="single" w:color="auto" w:sz="2" w:space="0"/>
            </w:tcBorders>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NO</w:t>
            </w:r>
            <w:r>
              <w:rPr>
                <w:rFonts w:hint="default" w:ascii="Times New Roman" w:hAnsi="Times New Roman" w:cs="Times New Roman" w:eastAsiaTheme="minorEastAsia"/>
                <w:color w:val="000000" w:themeColor="text1"/>
                <w:spacing w:val="20"/>
                <w:vertAlign w:val="subscript"/>
                <w14:textFill>
                  <w14:solidFill>
                    <w14:schemeClr w14:val="tx1"/>
                  </w14:solidFill>
                </w14:textFill>
              </w:rPr>
              <w:t>X</w:t>
            </w:r>
          </w:p>
        </w:tc>
        <w:tc>
          <w:tcPr>
            <w:tcW w:w="2735"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93"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850"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709"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813"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110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240</w:t>
            </w:r>
          </w:p>
        </w:tc>
        <w:tc>
          <w:tcPr>
            <w:tcW w:w="9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0.77</w:t>
            </w:r>
          </w:p>
        </w:tc>
        <w:tc>
          <w:tcPr>
            <w:tcW w:w="2350"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78" w:type="dxa"/>
            <w:tcBorders>
              <w:top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433" w:type="dxa"/>
            <w:vMerge w:val="continue"/>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18" w:type="dxa"/>
            <w:vMerge w:val="restart"/>
            <w:tcBorders>
              <w:bottom w:val="single" w:color="auto" w:sz="4" w:space="0"/>
            </w:tcBorders>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固液分离间</w:t>
            </w:r>
          </w:p>
        </w:tc>
        <w:tc>
          <w:tcPr>
            <w:tcW w:w="1025" w:type="dxa"/>
            <w:tcBorders>
              <w:bottom w:val="single" w:color="auto" w:sz="4" w:space="0"/>
            </w:tcBorders>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氨</w:t>
            </w:r>
          </w:p>
        </w:tc>
        <w:tc>
          <w:tcPr>
            <w:tcW w:w="2735" w:type="dxa"/>
            <w:vMerge w:val="restart"/>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负压收集，活性炭吸附</w:t>
            </w:r>
          </w:p>
        </w:tc>
        <w:tc>
          <w:tcPr>
            <w:tcW w:w="993" w:type="dxa"/>
            <w:vMerge w:val="restart"/>
            <w:tcBorders>
              <w:bottom w:val="single" w:color="auto" w:sz="4" w:space="0"/>
            </w:tcBorders>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有组织</w:t>
            </w:r>
          </w:p>
        </w:tc>
        <w:tc>
          <w:tcPr>
            <w:tcW w:w="850" w:type="dxa"/>
            <w:vMerge w:val="restart"/>
            <w:tcBorders>
              <w:bottom w:val="single" w:color="auto" w:sz="4" w:space="0"/>
            </w:tcBorders>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1</w:t>
            </w:r>
          </w:p>
        </w:tc>
        <w:tc>
          <w:tcPr>
            <w:tcW w:w="709" w:type="dxa"/>
            <w:vMerge w:val="restart"/>
            <w:tcBorders>
              <w:bottom w:val="single" w:color="auto" w:sz="4" w:space="0"/>
            </w:tcBorders>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15m</w:t>
            </w:r>
          </w:p>
        </w:tc>
        <w:tc>
          <w:tcPr>
            <w:tcW w:w="813" w:type="dxa"/>
            <w:vMerge w:val="restart"/>
            <w:tcBorders>
              <w:bottom w:val="single" w:color="auto" w:sz="4" w:space="0"/>
            </w:tcBorders>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固液分离间</w:t>
            </w:r>
          </w:p>
        </w:tc>
        <w:tc>
          <w:tcPr>
            <w:tcW w:w="1100" w:type="dxa"/>
            <w:vMerge w:val="restart"/>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c>
          <w:tcPr>
            <w:tcW w:w="9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4.9</w:t>
            </w:r>
          </w:p>
        </w:tc>
        <w:tc>
          <w:tcPr>
            <w:tcW w:w="2350"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《恶臭污染物排放标准》（GB14554-1993）表2标准</w:t>
            </w:r>
          </w:p>
        </w:tc>
        <w:tc>
          <w:tcPr>
            <w:tcW w:w="878" w:type="dxa"/>
            <w:vAlign w:val="center"/>
          </w:tcPr>
          <w:p>
            <w:pPr>
              <w:pStyle w:val="666"/>
              <w:jc w:val="both"/>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33" w:type="dxa"/>
            <w:vMerge w:val="continue"/>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18" w:type="dxa"/>
            <w:vMerge w:val="continue"/>
            <w:tcBorders>
              <w:bottom w:val="single" w:color="auto" w:sz="4" w:space="0"/>
            </w:tcBorders>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1025" w:type="dxa"/>
            <w:tcBorders>
              <w:bottom w:val="single" w:color="auto" w:sz="4" w:space="0"/>
            </w:tcBorders>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硫化氢</w:t>
            </w:r>
          </w:p>
        </w:tc>
        <w:tc>
          <w:tcPr>
            <w:tcW w:w="2735" w:type="dxa"/>
            <w:vMerge w:val="continue"/>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93" w:type="dxa"/>
            <w:vMerge w:val="continue"/>
            <w:tcBorders>
              <w:bottom w:val="single" w:color="auto" w:sz="4" w:space="0"/>
            </w:tcBorders>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850" w:type="dxa"/>
            <w:vMerge w:val="continue"/>
            <w:tcBorders>
              <w:bottom w:val="single" w:color="auto" w:sz="4" w:space="0"/>
            </w:tcBorders>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709" w:type="dxa"/>
            <w:vMerge w:val="continue"/>
            <w:tcBorders>
              <w:bottom w:val="single" w:color="auto" w:sz="4" w:space="0"/>
            </w:tcBorders>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813" w:type="dxa"/>
            <w:vMerge w:val="continue"/>
            <w:tcBorders>
              <w:bottom w:val="single" w:color="auto" w:sz="4" w:space="0"/>
            </w:tcBorders>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1100" w:type="dxa"/>
            <w:vMerge w:val="continue"/>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75" w:type="dxa"/>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0.33</w:t>
            </w:r>
          </w:p>
        </w:tc>
        <w:tc>
          <w:tcPr>
            <w:tcW w:w="2350"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78" w:type="dxa"/>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33"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18"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1025" w:type="dxa"/>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臭气浓度</w:t>
            </w:r>
          </w:p>
        </w:tc>
        <w:tc>
          <w:tcPr>
            <w:tcW w:w="2735"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93"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850"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709"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813"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1100"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2000</w:t>
            </w:r>
          </w:p>
        </w:tc>
        <w:tc>
          <w:tcPr>
            <w:tcW w:w="2350"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7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433"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18" w:type="dxa"/>
            <w:vMerge w:val="restart"/>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生物质锅炉</w:t>
            </w:r>
          </w:p>
        </w:tc>
        <w:tc>
          <w:tcPr>
            <w:tcW w:w="1025" w:type="dxa"/>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颗粒物</w:t>
            </w:r>
          </w:p>
        </w:tc>
        <w:tc>
          <w:tcPr>
            <w:tcW w:w="2735"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c>
          <w:tcPr>
            <w:tcW w:w="993" w:type="dxa"/>
            <w:vMerge w:val="restart"/>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有组织</w:t>
            </w:r>
          </w:p>
        </w:tc>
        <w:tc>
          <w:tcPr>
            <w:tcW w:w="850" w:type="dxa"/>
            <w:vMerge w:val="restart"/>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1</w:t>
            </w:r>
          </w:p>
        </w:tc>
        <w:tc>
          <w:tcPr>
            <w:tcW w:w="709" w:type="dxa"/>
            <w:vMerge w:val="restart"/>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2</w:t>
            </w:r>
            <w:r>
              <w:rPr>
                <w:rFonts w:hint="default" w:ascii="Times New Roman" w:hAnsi="Times New Roman" w:cs="Times New Roman" w:eastAsiaTheme="minorEastAsia"/>
                <w:color w:val="000000" w:themeColor="text1"/>
                <w:spacing w:val="20"/>
                <w:lang w:val="en-US" w:eastAsia="zh-CN"/>
                <w14:textFill>
                  <w14:solidFill>
                    <w14:schemeClr w14:val="tx1"/>
                  </w14:solidFill>
                </w14:textFill>
              </w:rPr>
              <w:t>5</w:t>
            </w:r>
            <w:r>
              <w:rPr>
                <w:rFonts w:hint="default" w:ascii="Times New Roman" w:hAnsi="Times New Roman" w:cs="Times New Roman" w:eastAsiaTheme="minorEastAsia"/>
                <w:color w:val="000000" w:themeColor="text1"/>
                <w:spacing w:val="20"/>
                <w14:textFill>
                  <w14:solidFill>
                    <w14:schemeClr w14:val="tx1"/>
                  </w14:solidFill>
                </w14:textFill>
              </w:rPr>
              <w:t>m</w:t>
            </w:r>
          </w:p>
        </w:tc>
        <w:tc>
          <w:tcPr>
            <w:tcW w:w="813" w:type="dxa"/>
            <w:vMerge w:val="restart"/>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锅炉</w:t>
            </w:r>
          </w:p>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房</w:t>
            </w:r>
          </w:p>
        </w:tc>
        <w:tc>
          <w:tcPr>
            <w:tcW w:w="1100" w:type="dxa"/>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50</w:t>
            </w:r>
          </w:p>
        </w:tc>
        <w:tc>
          <w:tcPr>
            <w:tcW w:w="975" w:type="dxa"/>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c>
          <w:tcPr>
            <w:tcW w:w="2350"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《锅炉大气污染物排放标准》（GB13271-2014）表2标准</w:t>
            </w:r>
          </w:p>
        </w:tc>
        <w:tc>
          <w:tcPr>
            <w:tcW w:w="878" w:type="dxa"/>
            <w:tcBorders>
              <w:bottom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3"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18"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1025" w:type="dxa"/>
            <w:tcBorders>
              <w:top w:val="single" w:color="auto" w:sz="4" w:space="0"/>
            </w:tcBorders>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SO</w:t>
            </w:r>
            <w:r>
              <w:rPr>
                <w:rFonts w:hint="default" w:ascii="Times New Roman" w:hAnsi="Times New Roman" w:cs="Times New Roman" w:eastAsiaTheme="minorEastAsia"/>
                <w:color w:val="000000" w:themeColor="text1"/>
                <w:spacing w:val="20"/>
                <w:vertAlign w:val="subscript"/>
                <w14:textFill>
                  <w14:solidFill>
                    <w14:schemeClr w14:val="tx1"/>
                  </w14:solidFill>
                </w14:textFill>
              </w:rPr>
              <w:t>2</w:t>
            </w:r>
          </w:p>
        </w:tc>
        <w:tc>
          <w:tcPr>
            <w:tcW w:w="2735"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93"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850"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709"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813"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1100" w:type="dxa"/>
            <w:tcBorders>
              <w:top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300</w:t>
            </w:r>
          </w:p>
        </w:tc>
        <w:tc>
          <w:tcPr>
            <w:tcW w:w="975" w:type="dxa"/>
            <w:tcBorders>
              <w:top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c>
          <w:tcPr>
            <w:tcW w:w="2350"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78" w:type="dxa"/>
            <w:tcBorders>
              <w:top w:val="single" w:color="auto" w:sz="4"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33"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18"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1025" w:type="dxa"/>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NO</w:t>
            </w:r>
            <w:r>
              <w:rPr>
                <w:rFonts w:hint="default" w:ascii="Times New Roman" w:hAnsi="Times New Roman" w:cs="Times New Roman" w:eastAsiaTheme="minorEastAsia"/>
                <w:color w:val="000000" w:themeColor="text1"/>
                <w:spacing w:val="20"/>
                <w:vertAlign w:val="subscript"/>
                <w14:textFill>
                  <w14:solidFill>
                    <w14:schemeClr w14:val="tx1"/>
                  </w14:solidFill>
                </w14:textFill>
              </w:rPr>
              <w:t>X</w:t>
            </w:r>
          </w:p>
        </w:tc>
        <w:tc>
          <w:tcPr>
            <w:tcW w:w="2735"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93"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850"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709"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813"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110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300</w:t>
            </w:r>
          </w:p>
        </w:tc>
        <w:tc>
          <w:tcPr>
            <w:tcW w:w="9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c>
          <w:tcPr>
            <w:tcW w:w="2350"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7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33"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18"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1025" w:type="dxa"/>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烟气黑度</w:t>
            </w:r>
          </w:p>
        </w:tc>
        <w:tc>
          <w:tcPr>
            <w:tcW w:w="2735"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93"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850"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709"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813"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110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c>
          <w:tcPr>
            <w:tcW w:w="9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c>
          <w:tcPr>
            <w:tcW w:w="2350"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7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433"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18" w:type="dxa"/>
            <w:vMerge w:val="restart"/>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牛舍</w:t>
            </w:r>
          </w:p>
        </w:tc>
        <w:tc>
          <w:tcPr>
            <w:tcW w:w="1025" w:type="dxa"/>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氨</w:t>
            </w:r>
          </w:p>
        </w:tc>
        <w:tc>
          <w:tcPr>
            <w:tcW w:w="2735"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定期通风，喷洒添加EM菌除臭剂</w:t>
            </w:r>
          </w:p>
        </w:tc>
        <w:tc>
          <w:tcPr>
            <w:tcW w:w="993" w:type="dxa"/>
            <w:vMerge w:val="restart"/>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850" w:type="dxa"/>
            <w:vMerge w:val="restart"/>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709" w:type="dxa"/>
            <w:vMerge w:val="restart"/>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813" w:type="dxa"/>
            <w:vMerge w:val="restart"/>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牛舍</w:t>
            </w:r>
          </w:p>
        </w:tc>
        <w:tc>
          <w:tcPr>
            <w:tcW w:w="110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1.5</w:t>
            </w:r>
          </w:p>
        </w:tc>
        <w:tc>
          <w:tcPr>
            <w:tcW w:w="9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c>
          <w:tcPr>
            <w:tcW w:w="2350"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《恶臭污染物排放标准》（GB14554-1993）表1标准</w:t>
            </w:r>
          </w:p>
        </w:tc>
        <w:tc>
          <w:tcPr>
            <w:tcW w:w="87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33"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18"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1025" w:type="dxa"/>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硫化氢</w:t>
            </w:r>
          </w:p>
        </w:tc>
        <w:tc>
          <w:tcPr>
            <w:tcW w:w="2735"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93"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850"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709"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813"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110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0.06</w:t>
            </w:r>
          </w:p>
        </w:tc>
        <w:tc>
          <w:tcPr>
            <w:tcW w:w="9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c>
          <w:tcPr>
            <w:tcW w:w="2350"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7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33"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18"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1025" w:type="dxa"/>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臭气浓度</w:t>
            </w:r>
          </w:p>
        </w:tc>
        <w:tc>
          <w:tcPr>
            <w:tcW w:w="2735"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93"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850"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709"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813"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1100" w:type="dxa"/>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20（无量纲）</w:t>
            </w:r>
          </w:p>
        </w:tc>
        <w:tc>
          <w:tcPr>
            <w:tcW w:w="9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c>
          <w:tcPr>
            <w:tcW w:w="2350"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7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33"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18" w:type="dxa"/>
            <w:vMerge w:val="restart"/>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粪污处理区</w:t>
            </w:r>
          </w:p>
        </w:tc>
        <w:tc>
          <w:tcPr>
            <w:tcW w:w="1025" w:type="dxa"/>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氨</w:t>
            </w:r>
          </w:p>
        </w:tc>
        <w:tc>
          <w:tcPr>
            <w:tcW w:w="2735"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喷洒添加EM菌除臭剂</w:t>
            </w:r>
          </w:p>
        </w:tc>
        <w:tc>
          <w:tcPr>
            <w:tcW w:w="993" w:type="dxa"/>
            <w:vMerge w:val="restart"/>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无组织</w:t>
            </w:r>
          </w:p>
        </w:tc>
        <w:tc>
          <w:tcPr>
            <w:tcW w:w="850" w:type="dxa"/>
            <w:vMerge w:val="restart"/>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w:t>
            </w:r>
          </w:p>
        </w:tc>
        <w:tc>
          <w:tcPr>
            <w:tcW w:w="709" w:type="dxa"/>
            <w:vMerge w:val="restart"/>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w:t>
            </w:r>
          </w:p>
        </w:tc>
        <w:tc>
          <w:tcPr>
            <w:tcW w:w="813" w:type="dxa"/>
            <w:vMerge w:val="restart"/>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粪污处理区</w:t>
            </w:r>
          </w:p>
        </w:tc>
        <w:tc>
          <w:tcPr>
            <w:tcW w:w="1100" w:type="dxa"/>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1.5</w:t>
            </w:r>
          </w:p>
        </w:tc>
        <w:tc>
          <w:tcPr>
            <w:tcW w:w="9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c>
          <w:tcPr>
            <w:tcW w:w="2350"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《恶臭污染物排放标准》（GB14554-1993）表1标准</w:t>
            </w:r>
          </w:p>
        </w:tc>
        <w:tc>
          <w:tcPr>
            <w:tcW w:w="87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433"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18"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25" w:type="dxa"/>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硫化氢</w:t>
            </w:r>
          </w:p>
        </w:tc>
        <w:tc>
          <w:tcPr>
            <w:tcW w:w="2735"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93"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850"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709"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813"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1100" w:type="dxa"/>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0.06</w:t>
            </w:r>
          </w:p>
        </w:tc>
        <w:tc>
          <w:tcPr>
            <w:tcW w:w="9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c>
          <w:tcPr>
            <w:tcW w:w="2350"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7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33"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18"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25" w:type="dxa"/>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臭气浓度</w:t>
            </w:r>
          </w:p>
        </w:tc>
        <w:tc>
          <w:tcPr>
            <w:tcW w:w="2735"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93"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850"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709"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813" w:type="dxa"/>
            <w:vMerge w:val="continue"/>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p>
        </w:tc>
        <w:tc>
          <w:tcPr>
            <w:tcW w:w="1100" w:type="dxa"/>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20（无量纲）</w:t>
            </w:r>
          </w:p>
        </w:tc>
        <w:tc>
          <w:tcPr>
            <w:tcW w:w="9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c>
          <w:tcPr>
            <w:tcW w:w="2350"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7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433"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1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饲料加工无组织粉尘</w:t>
            </w:r>
          </w:p>
        </w:tc>
        <w:tc>
          <w:tcPr>
            <w:tcW w:w="1025" w:type="dxa"/>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颗粒物</w:t>
            </w:r>
          </w:p>
        </w:tc>
        <w:tc>
          <w:tcPr>
            <w:tcW w:w="273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c>
          <w:tcPr>
            <w:tcW w:w="993" w:type="dxa"/>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无组织</w:t>
            </w:r>
          </w:p>
        </w:tc>
        <w:tc>
          <w:tcPr>
            <w:tcW w:w="850" w:type="dxa"/>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w:t>
            </w:r>
          </w:p>
        </w:tc>
        <w:tc>
          <w:tcPr>
            <w:tcW w:w="709" w:type="dxa"/>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w:t>
            </w:r>
          </w:p>
        </w:tc>
        <w:tc>
          <w:tcPr>
            <w:tcW w:w="813" w:type="dxa"/>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精料车间</w:t>
            </w:r>
          </w:p>
        </w:tc>
        <w:tc>
          <w:tcPr>
            <w:tcW w:w="110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1.0</w:t>
            </w:r>
          </w:p>
        </w:tc>
        <w:tc>
          <w:tcPr>
            <w:tcW w:w="9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c>
          <w:tcPr>
            <w:tcW w:w="235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《大气污染物综合排放标准》（GB16297-1996）中表2无组织排放监控浓度限制</w:t>
            </w:r>
          </w:p>
        </w:tc>
        <w:tc>
          <w:tcPr>
            <w:tcW w:w="87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433"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废水</w:t>
            </w:r>
          </w:p>
        </w:tc>
        <w:tc>
          <w:tcPr>
            <w:tcW w:w="1018"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牛尿、牛舍冲洗废水、牛舍喷淋废水、挤奶厅清洗废水、生活污水</w:t>
            </w:r>
          </w:p>
        </w:tc>
        <w:tc>
          <w:tcPr>
            <w:tcW w:w="102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COD</w:t>
            </w:r>
          </w:p>
        </w:tc>
        <w:tc>
          <w:tcPr>
            <w:tcW w:w="2735"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尿、牛舍冲洗废水、牛舍喷淋水经牛舍粪沟统一收集，与挤奶厅清洗废水一同运至固液分离间进行固液分离，分离后液体排入黑膜沼气池发酵，生活污水进入化粪池后利用吸污车定期抽运至黑膜沼气池，发酵后定期还田</w:t>
            </w:r>
          </w:p>
        </w:tc>
        <w:tc>
          <w:tcPr>
            <w:tcW w:w="993" w:type="dxa"/>
            <w:vMerge w:val="restart"/>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w:t>
            </w:r>
          </w:p>
        </w:tc>
        <w:tc>
          <w:tcPr>
            <w:tcW w:w="850" w:type="dxa"/>
            <w:vMerge w:val="restart"/>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w:t>
            </w:r>
          </w:p>
        </w:tc>
        <w:tc>
          <w:tcPr>
            <w:tcW w:w="709" w:type="dxa"/>
            <w:vMerge w:val="restart"/>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w:t>
            </w:r>
          </w:p>
        </w:tc>
        <w:tc>
          <w:tcPr>
            <w:tcW w:w="813" w:type="dxa"/>
            <w:vMerge w:val="restart"/>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w:t>
            </w:r>
          </w:p>
        </w:tc>
        <w:tc>
          <w:tcPr>
            <w:tcW w:w="110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1202mg/L</w:t>
            </w:r>
          </w:p>
        </w:tc>
        <w:tc>
          <w:tcPr>
            <w:tcW w:w="9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c>
          <w:tcPr>
            <w:tcW w:w="2350"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c>
          <w:tcPr>
            <w:tcW w:w="878" w:type="dxa"/>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spacing w:val="20"/>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433"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18"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2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BOD</w:t>
            </w:r>
            <w:r>
              <w:rPr>
                <w:rFonts w:hint="default" w:ascii="Times New Roman" w:hAnsi="Times New Roman" w:cs="Times New Roman" w:eastAsiaTheme="minorEastAsia"/>
                <w:color w:val="000000" w:themeColor="text1"/>
                <w:vertAlign w:val="subscript"/>
                <w14:textFill>
                  <w14:solidFill>
                    <w14:schemeClr w14:val="tx1"/>
                  </w14:solidFill>
                </w14:textFill>
              </w:rPr>
              <w:t>5</w:t>
            </w:r>
          </w:p>
        </w:tc>
        <w:tc>
          <w:tcPr>
            <w:tcW w:w="2735"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93"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50"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709"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13"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10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721mg/L</w:t>
            </w:r>
          </w:p>
        </w:tc>
        <w:tc>
          <w:tcPr>
            <w:tcW w:w="9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c>
          <w:tcPr>
            <w:tcW w:w="2350"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78" w:type="dxa"/>
            <w:vAlign w:val="center"/>
          </w:tcPr>
          <w:p>
            <w:pPr>
              <w:pStyle w:val="666"/>
              <w:rPr>
                <w:rFonts w:hint="default" w:ascii="Times New Roman" w:hAnsi="Times New Roman" w:cs="Times New Roman" w:eastAsiaTheme="minorEastAsia"/>
                <w:color w:val="000000" w:themeColor="text1"/>
                <w:spacing w:val="20"/>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433"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18"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02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SS</w:t>
            </w:r>
          </w:p>
        </w:tc>
        <w:tc>
          <w:tcPr>
            <w:tcW w:w="2735"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993"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50"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709"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13"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110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29.56mg/L</w:t>
            </w:r>
          </w:p>
        </w:tc>
        <w:tc>
          <w:tcPr>
            <w:tcW w:w="97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c>
          <w:tcPr>
            <w:tcW w:w="2350"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87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3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噪声</w:t>
            </w:r>
          </w:p>
        </w:tc>
        <w:tc>
          <w:tcPr>
            <w:tcW w:w="101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排气扇、各类泵、风机等</w:t>
            </w:r>
          </w:p>
        </w:tc>
        <w:tc>
          <w:tcPr>
            <w:tcW w:w="102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噪声</w:t>
            </w:r>
          </w:p>
        </w:tc>
        <w:tc>
          <w:tcPr>
            <w:tcW w:w="273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基础减振、隔声、软管连接</w:t>
            </w:r>
          </w:p>
        </w:tc>
        <w:tc>
          <w:tcPr>
            <w:tcW w:w="3365" w:type="dxa"/>
            <w:gridSpan w:val="4"/>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厂界</w:t>
            </w:r>
          </w:p>
        </w:tc>
        <w:tc>
          <w:tcPr>
            <w:tcW w:w="2075" w:type="dxa"/>
            <w:gridSpan w:val="2"/>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昼间60  dB(A)</w:t>
            </w:r>
          </w:p>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夜间50  dB(A)</w:t>
            </w:r>
          </w:p>
        </w:tc>
        <w:tc>
          <w:tcPr>
            <w:tcW w:w="2350"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《工业企业厂界环境噪声排放标准》（GB12348-2008）中的2类标准</w:t>
            </w:r>
          </w:p>
        </w:tc>
        <w:tc>
          <w:tcPr>
            <w:tcW w:w="878"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433"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固体废物</w:t>
            </w:r>
          </w:p>
        </w:tc>
        <w:tc>
          <w:tcPr>
            <w:tcW w:w="2043" w:type="dxa"/>
            <w:gridSpan w:val="2"/>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牛粪污、沼渣</w:t>
            </w:r>
          </w:p>
        </w:tc>
        <w:tc>
          <w:tcPr>
            <w:tcW w:w="273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采用干清粪工艺，剩余少量粪污集中收集至固液分离间，经固液分离后干物质外委安达市瑞合玉米种植专业合作社堆肥还田处置。</w:t>
            </w:r>
          </w:p>
        </w:tc>
        <w:tc>
          <w:tcPr>
            <w:tcW w:w="8668" w:type="dxa"/>
            <w:gridSpan w:val="8"/>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33"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2043" w:type="dxa"/>
            <w:gridSpan w:val="2"/>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卧床垫料废物</w:t>
            </w:r>
          </w:p>
        </w:tc>
        <w:tc>
          <w:tcPr>
            <w:tcW w:w="273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卧床垫料废物定期还田处理</w:t>
            </w:r>
          </w:p>
        </w:tc>
        <w:tc>
          <w:tcPr>
            <w:tcW w:w="8668" w:type="dxa"/>
            <w:gridSpan w:val="8"/>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3"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2043" w:type="dxa"/>
            <w:gridSpan w:val="2"/>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生活垃圾</w:t>
            </w:r>
          </w:p>
        </w:tc>
        <w:tc>
          <w:tcPr>
            <w:tcW w:w="273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由建设单位负责拉运至先源乡垃圾收集点处理</w:t>
            </w:r>
          </w:p>
        </w:tc>
        <w:tc>
          <w:tcPr>
            <w:tcW w:w="8668" w:type="dxa"/>
            <w:gridSpan w:val="8"/>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3"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2043" w:type="dxa"/>
            <w:gridSpan w:val="2"/>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病死牛、胎盘</w:t>
            </w:r>
          </w:p>
        </w:tc>
        <w:tc>
          <w:tcPr>
            <w:tcW w:w="273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委托安达市题桥环保科技有限公司安全处置。</w:t>
            </w:r>
          </w:p>
        </w:tc>
        <w:tc>
          <w:tcPr>
            <w:tcW w:w="8668" w:type="dxa"/>
            <w:gridSpan w:val="8"/>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33"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2043" w:type="dxa"/>
            <w:gridSpan w:val="2"/>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废沼气脱硫剂</w:t>
            </w:r>
          </w:p>
        </w:tc>
        <w:tc>
          <w:tcPr>
            <w:tcW w:w="273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由生产厂家更换时回收处置</w:t>
            </w:r>
          </w:p>
        </w:tc>
        <w:tc>
          <w:tcPr>
            <w:tcW w:w="8668" w:type="dxa"/>
            <w:gridSpan w:val="8"/>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33"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2043" w:type="dxa"/>
            <w:gridSpan w:val="2"/>
            <w:vAlign w:val="center"/>
          </w:tcPr>
          <w:p>
            <w:pPr>
              <w:pStyle w:val="666"/>
              <w:rPr>
                <w:rFonts w:hint="default" w:ascii="Times New Roman" w:hAnsi="Times New Roman" w:cs="Times New Roman" w:eastAsiaTheme="minorEastAsia"/>
                <w:color w:val="000000" w:themeColor="text1"/>
                <w:lang w:eastAsia="zh-CN"/>
                <w14:textFill>
                  <w14:solidFill>
                    <w14:schemeClr w14:val="tx1"/>
                  </w14:solidFill>
                </w14:textFill>
              </w:rPr>
            </w:pPr>
            <w:r>
              <w:rPr>
                <w:rFonts w:hint="default" w:ascii="Times New Roman" w:hAnsi="Times New Roman" w:cs="Times New Roman" w:eastAsiaTheme="minorEastAsia"/>
                <w:color w:val="000000" w:themeColor="text1"/>
                <w:lang w:eastAsia="zh-CN"/>
                <w14:textFill>
                  <w14:solidFill>
                    <w14:schemeClr w14:val="tx1"/>
                  </w14:solidFill>
                </w14:textFill>
              </w:rPr>
              <w:t>废活性炭</w:t>
            </w:r>
          </w:p>
        </w:tc>
        <w:tc>
          <w:tcPr>
            <w:tcW w:w="273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由生产厂家更换时回收处置</w:t>
            </w:r>
          </w:p>
        </w:tc>
        <w:tc>
          <w:tcPr>
            <w:tcW w:w="8668" w:type="dxa"/>
            <w:gridSpan w:val="8"/>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33"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2043" w:type="dxa"/>
            <w:gridSpan w:val="2"/>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医疗废物</w:t>
            </w:r>
          </w:p>
        </w:tc>
        <w:tc>
          <w:tcPr>
            <w:tcW w:w="273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在危废暂存间存放，定期委托有资质的单位安全处置</w:t>
            </w:r>
          </w:p>
        </w:tc>
        <w:tc>
          <w:tcPr>
            <w:tcW w:w="8668" w:type="dxa"/>
            <w:gridSpan w:val="8"/>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r>
    </w:tbl>
    <w:p>
      <w:pPr>
        <w:ind w:firstLine="560"/>
        <w:rPr>
          <w:rFonts w:hint="default" w:ascii="Times New Roman" w:hAnsi="Times New Roman" w:cs="Times New Roman" w:eastAsiaTheme="minorEastAsia"/>
          <w:color w:val="000000" w:themeColor="text1"/>
          <w:szCs w:val="28"/>
          <w14:textFill>
            <w14:solidFill>
              <w14:schemeClr w14:val="tx1"/>
            </w14:solidFill>
          </w14:textFill>
        </w:rPr>
        <w:sectPr>
          <w:footerReference r:id="rId39" w:type="default"/>
          <w:pgSz w:w="16838" w:h="11906" w:orient="landscape"/>
          <w:pgMar w:top="1701" w:right="1701" w:bottom="1701" w:left="1474" w:header="1134" w:footer="1134" w:gutter="0"/>
          <w:pgBorders>
            <w:top w:val="none" w:sz="0" w:space="0"/>
            <w:left w:val="none" w:sz="0" w:space="0"/>
            <w:bottom w:val="none" w:sz="0" w:space="0"/>
            <w:right w:val="none" w:sz="0" w:space="0"/>
          </w:pgBorders>
          <w:cols w:space="720" w:num="1"/>
          <w:docGrid w:linePitch="312" w:charSpace="0"/>
        </w:sectPr>
      </w:pP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8.1.6 总量控制</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本项目废气主要总量控制因子为颗粒物、SO</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和NO</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X</w:t>
      </w:r>
      <w:r>
        <w:rPr>
          <w:rFonts w:hint="default" w:ascii="Times New Roman" w:hAnsi="Times New Roman" w:cs="Times New Roman" w:eastAsiaTheme="minorEastAsia"/>
          <w:color w:val="000000" w:themeColor="text1"/>
          <w:sz w:val="24"/>
          <w:szCs w:val="24"/>
          <w14:textFill>
            <w14:solidFill>
              <w14:schemeClr w14:val="tx1"/>
            </w14:solidFill>
          </w14:textFill>
        </w:rPr>
        <w:t>，所产生的各类污染物在经过治理后均可达标排放，废气污染物总量排放情况为：颗粒物0.162t/a、SO</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0.358t/a和NO</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X</w:t>
      </w:r>
      <w:r>
        <w:rPr>
          <w:rFonts w:hint="default" w:ascii="Times New Roman" w:hAnsi="Times New Roman" w:cs="Times New Roman" w:eastAsiaTheme="minorEastAsia"/>
          <w:color w:val="000000" w:themeColor="text1"/>
          <w:sz w:val="24"/>
          <w:szCs w:val="24"/>
          <w14:textFill>
            <w14:solidFill>
              <w14:schemeClr w14:val="tx1"/>
            </w14:solidFill>
          </w14:textFill>
        </w:rPr>
        <w:t>0.225t/a。</w:t>
      </w:r>
    </w:p>
    <w:p>
      <w:pPr>
        <w:pStyle w:val="639"/>
        <w:rPr>
          <w:rFonts w:hint="default" w:ascii="Times New Roman" w:hAnsi="Times New Roman" w:cs="Times New Roman" w:eastAsiaTheme="minorEastAsia"/>
          <w:b/>
          <w:bCs w:val="0"/>
          <w:color w:val="000000" w:themeColor="text1"/>
          <w14:textFill>
            <w14:solidFill>
              <w14:schemeClr w14:val="tx1"/>
            </w14:solidFill>
          </w14:textFill>
        </w:rPr>
      </w:pPr>
      <w:bookmarkStart w:id="297" w:name="_Toc253329388"/>
      <w:bookmarkStart w:id="298" w:name="_Toc472338516"/>
      <w:bookmarkStart w:id="299" w:name="_Toc11245"/>
      <w:r>
        <w:rPr>
          <w:rFonts w:hint="default" w:ascii="Times New Roman" w:hAnsi="Times New Roman" w:cs="Times New Roman" w:eastAsiaTheme="minorEastAsia"/>
          <w:b/>
          <w:bCs w:val="0"/>
          <w:color w:val="000000" w:themeColor="text1"/>
          <w14:textFill>
            <w14:solidFill>
              <w14:schemeClr w14:val="tx1"/>
            </w14:solidFill>
          </w14:textFill>
        </w:rPr>
        <w:t>8.2 环境监测计划</w:t>
      </w:r>
      <w:bookmarkEnd w:id="297"/>
      <w:bookmarkEnd w:id="298"/>
      <w:bookmarkEnd w:id="299"/>
    </w:p>
    <w:p>
      <w:pPr>
        <w:pStyle w:val="1167"/>
        <w:rPr>
          <w:rFonts w:hint="default" w:ascii="Times New Roman" w:hAnsi="Times New Roman" w:cs="Times New Roman" w:eastAsiaTheme="minorEastAsia"/>
          <w:color w:val="000000" w:themeColor="text1"/>
          <w14:textFill>
            <w14:solidFill>
              <w14:schemeClr w14:val="tx1"/>
            </w14:solidFill>
          </w14:textFill>
        </w:rPr>
      </w:pPr>
      <w:bookmarkStart w:id="300" w:name="_Toc406416205"/>
      <w:bookmarkStart w:id="301" w:name="_Toc458421903"/>
      <w:bookmarkStart w:id="302" w:name="_Toc288640091"/>
      <w:bookmarkStart w:id="303" w:name="_Toc314409141"/>
      <w:bookmarkStart w:id="304" w:name="_Toc407350203"/>
      <w:bookmarkStart w:id="305" w:name="_Toc382814468"/>
      <w:bookmarkStart w:id="306" w:name="_Toc376078470"/>
      <w:bookmarkStart w:id="307" w:name="_Toc338163187"/>
      <w:bookmarkStart w:id="308" w:name="_Toc313973143"/>
      <w:bookmarkStart w:id="309" w:name="_Toc288327318"/>
      <w:bookmarkStart w:id="310" w:name="_Toc379530173"/>
      <w:bookmarkStart w:id="311" w:name="_Toc446404790"/>
      <w:bookmarkStart w:id="312" w:name="_Toc455644983"/>
      <w:r>
        <w:rPr>
          <w:rFonts w:hint="default" w:ascii="Times New Roman" w:hAnsi="Times New Roman" w:cs="Times New Roman" w:eastAsiaTheme="minorEastAsia"/>
          <w:color w:val="000000" w:themeColor="text1"/>
          <w14:textFill>
            <w14:solidFill>
              <w14:schemeClr w14:val="tx1"/>
            </w14:solidFill>
          </w14:textFill>
        </w:rPr>
        <w:t xml:space="preserve">8.2.1 </w:t>
      </w:r>
      <w:bookmarkEnd w:id="300"/>
      <w:bookmarkEnd w:id="301"/>
      <w:bookmarkEnd w:id="302"/>
      <w:bookmarkEnd w:id="303"/>
      <w:bookmarkEnd w:id="304"/>
      <w:bookmarkEnd w:id="305"/>
      <w:bookmarkEnd w:id="306"/>
      <w:bookmarkEnd w:id="307"/>
      <w:bookmarkEnd w:id="308"/>
      <w:bookmarkEnd w:id="309"/>
      <w:bookmarkEnd w:id="310"/>
      <w:bookmarkEnd w:id="311"/>
      <w:bookmarkEnd w:id="312"/>
      <w:r>
        <w:rPr>
          <w:rFonts w:hint="default" w:ascii="Times New Roman" w:hAnsi="Times New Roman" w:cs="Times New Roman" w:eastAsiaTheme="minorEastAsia"/>
          <w:color w:val="000000" w:themeColor="text1"/>
          <w14:textFill>
            <w14:solidFill>
              <w14:schemeClr w14:val="tx1"/>
            </w14:solidFill>
          </w14:textFill>
        </w:rPr>
        <w:t>环境监测计划的目的、原则</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环境监测是环境管理和环境监理的主要保证条件，制定环境监测计划是为了监督各项环保措施的落实，为环保措施的实施时间和实施方案提供依据。因此，应建立相应的环境监测机构和制定相应的环境监测制度。制订的原则是根据预测各个时期的主要环境影响及可能超标的地段及超标指标而定。</w:t>
      </w:r>
    </w:p>
    <w:p>
      <w:pPr>
        <w:pStyle w:val="1167"/>
        <w:rPr>
          <w:rFonts w:hint="default" w:ascii="Times New Roman" w:hAnsi="Times New Roman" w:cs="Times New Roman" w:eastAsiaTheme="minorEastAsia"/>
          <w:color w:val="000000" w:themeColor="text1"/>
          <w14:textFill>
            <w14:solidFill>
              <w14:schemeClr w14:val="tx1"/>
            </w14:solidFill>
          </w14:textFill>
        </w:rPr>
      </w:pPr>
      <w:bookmarkStart w:id="313" w:name="_Toc458421904"/>
      <w:bookmarkStart w:id="314" w:name="_Toc376078471"/>
      <w:bookmarkStart w:id="315" w:name="_Toc446404791"/>
      <w:bookmarkStart w:id="316" w:name="_Toc338163188"/>
      <w:bookmarkStart w:id="317" w:name="_Toc288327319"/>
      <w:bookmarkStart w:id="318" w:name="_Toc406416206"/>
      <w:bookmarkStart w:id="319" w:name="_Toc455644984"/>
      <w:bookmarkStart w:id="320" w:name="_Toc314409142"/>
      <w:bookmarkStart w:id="321" w:name="_Toc288640092"/>
      <w:bookmarkStart w:id="322" w:name="_Toc382814469"/>
      <w:bookmarkStart w:id="323" w:name="_Toc313973144"/>
      <w:bookmarkStart w:id="324" w:name="_Toc379530174"/>
      <w:bookmarkStart w:id="325" w:name="_Toc407350204"/>
      <w:r>
        <w:rPr>
          <w:rFonts w:hint="default" w:ascii="Times New Roman" w:hAnsi="Times New Roman" w:cs="Times New Roman" w:eastAsiaTheme="minorEastAsia"/>
          <w:color w:val="000000" w:themeColor="text1"/>
          <w14:textFill>
            <w14:solidFill>
              <w14:schemeClr w14:val="tx1"/>
            </w14:solidFill>
          </w14:textFill>
        </w:rPr>
        <w:t>8.2.2 运行期环境监测计划</w:t>
      </w:r>
      <w:bookmarkEnd w:id="313"/>
      <w:bookmarkEnd w:id="314"/>
      <w:bookmarkEnd w:id="315"/>
      <w:bookmarkEnd w:id="316"/>
      <w:bookmarkEnd w:id="317"/>
      <w:bookmarkEnd w:id="318"/>
      <w:bookmarkEnd w:id="319"/>
      <w:bookmarkEnd w:id="320"/>
      <w:bookmarkEnd w:id="321"/>
      <w:bookmarkEnd w:id="322"/>
      <w:bookmarkEnd w:id="323"/>
      <w:bookmarkEnd w:id="324"/>
      <w:bookmarkEnd w:id="325"/>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bCs/>
          <w:color w:val="000000" w:themeColor="text1"/>
          <w:sz w:val="24"/>
          <w:szCs w:val="24"/>
          <w14:textFill>
            <w14:solidFill>
              <w14:schemeClr w14:val="tx1"/>
            </w14:solidFill>
          </w14:textFill>
        </w:rPr>
        <w:t>根据《排污单位自行监测技术指南 总则》（HJ819-2017）、《排污许可证申请与核发技术规范 畜禽养殖行业》（HJ1029-2019），参照各项有关环境质量标准、污染物排放标准、项目排污特点，制定</w:t>
      </w:r>
      <w:r>
        <w:rPr>
          <w:rFonts w:hint="default" w:ascii="Times New Roman" w:hAnsi="Times New Roman" w:cs="Times New Roman" w:eastAsiaTheme="minorEastAsia"/>
          <w:color w:val="000000" w:themeColor="text1"/>
          <w:sz w:val="24"/>
          <w:szCs w:val="24"/>
          <w14:textFill>
            <w14:solidFill>
              <w14:schemeClr w14:val="tx1"/>
            </w14:solidFill>
          </w14:textFill>
        </w:rPr>
        <w:t>本项目环境监测计划，建立完善各项监测规章制度，委托专业单位进行定期环境监测。本项目环境监测计划一览表见表8-2-1。</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表8-2-1 环境监测计划一览表</w:t>
      </w:r>
    </w:p>
    <w:tbl>
      <w:tblPr>
        <w:tblStyle w:val="91"/>
        <w:tblW w:w="90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5"/>
        <w:gridCol w:w="674"/>
        <w:gridCol w:w="1842"/>
        <w:gridCol w:w="1559"/>
        <w:gridCol w:w="3119"/>
        <w:gridCol w:w="11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45"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项目</w:t>
            </w:r>
          </w:p>
        </w:tc>
        <w:tc>
          <w:tcPr>
            <w:tcW w:w="674"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序号</w:t>
            </w:r>
          </w:p>
        </w:tc>
        <w:tc>
          <w:tcPr>
            <w:tcW w:w="1842"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污染源</w:t>
            </w:r>
          </w:p>
        </w:tc>
        <w:tc>
          <w:tcPr>
            <w:tcW w:w="155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监测位置</w:t>
            </w:r>
          </w:p>
        </w:tc>
        <w:tc>
          <w:tcPr>
            <w:tcW w:w="311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监测项目</w:t>
            </w:r>
          </w:p>
        </w:tc>
        <w:tc>
          <w:tcPr>
            <w:tcW w:w="113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45" w:type="dxa"/>
            <w:vMerge w:val="restart"/>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废气</w:t>
            </w:r>
          </w:p>
        </w:tc>
        <w:tc>
          <w:tcPr>
            <w:tcW w:w="674"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w:t>
            </w:r>
          </w:p>
        </w:tc>
        <w:tc>
          <w:tcPr>
            <w:tcW w:w="1842" w:type="dxa"/>
            <w:tcBorders>
              <w:bottom w:val="single" w:color="auto" w:sz="2" w:space="0"/>
            </w:tcBorders>
            <w:vAlign w:val="center"/>
          </w:tcPr>
          <w:p>
            <w:pPr>
              <w:pStyle w:val="666"/>
              <w:rPr>
                <w:rFonts w:hint="default" w:ascii="Times New Roman" w:hAnsi="Times New Roman" w:cs="Times New Roman" w:eastAsiaTheme="minorEastAsia"/>
                <w:snapToGrid w:val="0"/>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14:textFill>
                  <w14:solidFill>
                    <w14:schemeClr w14:val="tx1"/>
                  </w14:solidFill>
                </w14:textFill>
              </w:rPr>
              <w:t>沼气</w:t>
            </w:r>
            <w:r>
              <w:rPr>
                <w:rFonts w:hint="default" w:ascii="Times New Roman" w:hAnsi="Times New Roman" w:cs="Times New Roman" w:eastAsiaTheme="minorEastAsia"/>
                <w:snapToGrid w:val="0"/>
                <w:color w:val="000000" w:themeColor="text1"/>
                <w:lang w:eastAsia="zh-CN"/>
                <w14:textFill>
                  <w14:solidFill>
                    <w14:schemeClr w14:val="tx1"/>
                  </w14:solidFill>
                </w14:textFill>
              </w:rPr>
              <w:t>火炬</w:t>
            </w:r>
            <w:r>
              <w:rPr>
                <w:rFonts w:hint="default" w:ascii="Times New Roman" w:hAnsi="Times New Roman" w:cs="Times New Roman" w:eastAsiaTheme="minorEastAsia"/>
                <w:snapToGrid w:val="0"/>
                <w:color w:val="000000" w:themeColor="text1"/>
                <w14:textFill>
                  <w14:solidFill>
                    <w14:schemeClr w14:val="tx1"/>
                  </w14:solidFill>
                </w14:textFill>
              </w:rPr>
              <w:t>燃烧废气</w:t>
            </w:r>
          </w:p>
        </w:tc>
        <w:tc>
          <w:tcPr>
            <w:tcW w:w="1559"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排气筒出口</w:t>
            </w:r>
          </w:p>
        </w:tc>
        <w:tc>
          <w:tcPr>
            <w:tcW w:w="3119"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颗粒物、二氧化硫、氮氧化物</w:t>
            </w:r>
          </w:p>
        </w:tc>
        <w:tc>
          <w:tcPr>
            <w:tcW w:w="1133" w:type="dxa"/>
            <w:tcBorders>
              <w:bottom w:val="single" w:color="auto" w:sz="2" w:space="0"/>
            </w:tcBorders>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674"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p>
        </w:tc>
        <w:tc>
          <w:tcPr>
            <w:tcW w:w="1842" w:type="dxa"/>
            <w:vAlign w:val="center"/>
          </w:tcPr>
          <w:p>
            <w:pPr>
              <w:pStyle w:val="666"/>
              <w:rPr>
                <w:rFonts w:hint="default" w:ascii="Times New Roman" w:hAnsi="Times New Roman" w:cs="Times New Roman" w:eastAsiaTheme="minorEastAsia"/>
                <w:snapToGrid w:val="0"/>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14:textFill>
                  <w14:solidFill>
                    <w14:schemeClr w14:val="tx1"/>
                  </w14:solidFill>
                </w14:textFill>
              </w:rPr>
              <w:t>固液分离间</w:t>
            </w:r>
          </w:p>
        </w:tc>
        <w:tc>
          <w:tcPr>
            <w:tcW w:w="1559" w:type="dxa"/>
          </w:tcPr>
          <w:p>
            <w:pPr>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themeColor="text1"/>
                <w:sz w:val="21"/>
                <w:szCs w:val="21"/>
                <w14:textFill>
                  <w14:solidFill>
                    <w14:schemeClr w14:val="tx1"/>
                  </w14:solidFill>
                </w14:textFill>
              </w:rPr>
              <w:t>排气筒出口</w:t>
            </w:r>
          </w:p>
        </w:tc>
        <w:tc>
          <w:tcPr>
            <w:tcW w:w="311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氨、硫化氢、臭气浓度</w:t>
            </w:r>
          </w:p>
        </w:tc>
        <w:tc>
          <w:tcPr>
            <w:tcW w:w="1133" w:type="dxa"/>
          </w:tcPr>
          <w:p>
            <w:pPr>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themeColor="text1"/>
                <w:sz w:val="21"/>
                <w:szCs w:val="21"/>
                <w14:textFill>
                  <w14:solidFill>
                    <w14:schemeClr w14:val="tx1"/>
                  </w14:solidFill>
                </w14:textFill>
              </w:rPr>
              <w: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674"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w:t>
            </w:r>
          </w:p>
        </w:tc>
        <w:tc>
          <w:tcPr>
            <w:tcW w:w="1842" w:type="dxa"/>
            <w:vAlign w:val="center"/>
          </w:tcPr>
          <w:p>
            <w:pPr>
              <w:pStyle w:val="666"/>
              <w:rPr>
                <w:rFonts w:hint="default" w:ascii="Times New Roman" w:hAnsi="Times New Roman" w:cs="Times New Roman" w:eastAsiaTheme="minorEastAsia"/>
                <w:snapToGrid w:val="0"/>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14:textFill>
                  <w14:solidFill>
                    <w14:schemeClr w14:val="tx1"/>
                  </w14:solidFill>
                </w14:textFill>
              </w:rPr>
              <w:t>生物质锅炉</w:t>
            </w:r>
          </w:p>
        </w:tc>
        <w:tc>
          <w:tcPr>
            <w:tcW w:w="1559" w:type="dxa"/>
          </w:tcPr>
          <w:p>
            <w:pPr>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themeColor="text1"/>
                <w:sz w:val="21"/>
                <w:szCs w:val="21"/>
                <w14:textFill>
                  <w14:solidFill>
                    <w14:schemeClr w14:val="tx1"/>
                  </w14:solidFill>
                </w14:textFill>
              </w:rPr>
              <w:t>排气筒出口</w:t>
            </w:r>
          </w:p>
        </w:tc>
        <w:tc>
          <w:tcPr>
            <w:tcW w:w="311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颗粒物、二氧化硫、氮氧化物</w:t>
            </w:r>
          </w:p>
        </w:tc>
        <w:tc>
          <w:tcPr>
            <w:tcW w:w="1133" w:type="dxa"/>
          </w:tcPr>
          <w:p>
            <w:pPr>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themeColor="text1"/>
                <w:sz w:val="21"/>
                <w:szCs w:val="21"/>
                <w14:textFill>
                  <w14:solidFill>
                    <w14:schemeClr w14:val="tx1"/>
                  </w14:solidFill>
                </w14:textFill>
              </w:rPr>
              <w: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674"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4</w:t>
            </w:r>
          </w:p>
        </w:tc>
        <w:tc>
          <w:tcPr>
            <w:tcW w:w="1842" w:type="dxa"/>
            <w:vAlign w:val="center"/>
          </w:tcPr>
          <w:p>
            <w:pPr>
              <w:pStyle w:val="666"/>
              <w:rPr>
                <w:rFonts w:hint="default" w:ascii="Times New Roman" w:hAnsi="Times New Roman" w:cs="Times New Roman" w:eastAsiaTheme="minorEastAsia"/>
                <w:snapToGrid w:val="0"/>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14:textFill>
                  <w14:solidFill>
                    <w14:schemeClr w14:val="tx1"/>
                  </w14:solidFill>
                </w14:textFill>
              </w:rPr>
              <w:t>饲料加工</w:t>
            </w:r>
          </w:p>
        </w:tc>
        <w:tc>
          <w:tcPr>
            <w:tcW w:w="155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厂界</w:t>
            </w:r>
          </w:p>
        </w:tc>
        <w:tc>
          <w:tcPr>
            <w:tcW w:w="311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颗粒物</w:t>
            </w:r>
          </w:p>
        </w:tc>
        <w:tc>
          <w:tcPr>
            <w:tcW w:w="113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continue"/>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p>
        </w:tc>
        <w:tc>
          <w:tcPr>
            <w:tcW w:w="674"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5</w:t>
            </w:r>
          </w:p>
        </w:tc>
        <w:tc>
          <w:tcPr>
            <w:tcW w:w="1842" w:type="dxa"/>
            <w:vAlign w:val="center"/>
          </w:tcPr>
          <w:p>
            <w:pPr>
              <w:pStyle w:val="666"/>
              <w:rPr>
                <w:rFonts w:hint="default" w:ascii="Times New Roman" w:hAnsi="Times New Roman" w:cs="Times New Roman" w:eastAsiaTheme="minorEastAsia"/>
                <w:snapToGrid w:val="0"/>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14:textFill>
                  <w14:solidFill>
                    <w14:schemeClr w14:val="tx1"/>
                  </w14:solidFill>
                </w14:textFill>
              </w:rPr>
              <w:t>牛舍、粪污处理区</w:t>
            </w:r>
          </w:p>
        </w:tc>
        <w:tc>
          <w:tcPr>
            <w:tcW w:w="155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厂界</w:t>
            </w:r>
          </w:p>
        </w:tc>
        <w:tc>
          <w:tcPr>
            <w:tcW w:w="311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氨、硫化氢、臭气浓度</w:t>
            </w:r>
          </w:p>
        </w:tc>
        <w:tc>
          <w:tcPr>
            <w:tcW w:w="113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45" w:type="dxa"/>
            <w:vAlign w:val="center"/>
          </w:tcPr>
          <w:p>
            <w:pPr>
              <w:pStyle w:val="666"/>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地下水</w:t>
            </w:r>
          </w:p>
        </w:tc>
        <w:tc>
          <w:tcPr>
            <w:tcW w:w="674" w:type="dxa"/>
            <w:vAlign w:val="center"/>
          </w:tcPr>
          <w:p>
            <w:pPr>
              <w:pStyle w:val="666"/>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1</w:t>
            </w:r>
          </w:p>
        </w:tc>
        <w:tc>
          <w:tcPr>
            <w:tcW w:w="1842"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厂址区域</w:t>
            </w:r>
          </w:p>
        </w:tc>
        <w:tc>
          <w:tcPr>
            <w:tcW w:w="155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14:textFill>
                  <w14:solidFill>
                    <w14:schemeClr w14:val="tx1"/>
                  </w14:solidFill>
                </w14:textFill>
              </w:rPr>
              <w:t>地下水跟踪监测井</w:t>
            </w:r>
          </w:p>
        </w:tc>
        <w:tc>
          <w:tcPr>
            <w:tcW w:w="311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pH、氨氮、硝酸盐、亚硝酸盐、挥发性酚类、氰化物、砷、汞、铬（六价）、总硬度、铅、氟、镉、铁、锰、溶解性总固体、耗氧量、硫酸盐、氯化物、总大肠菌群、菌落总数</w:t>
            </w:r>
          </w:p>
        </w:tc>
        <w:tc>
          <w:tcPr>
            <w:tcW w:w="113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半年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45" w:type="dxa"/>
            <w:vAlign w:val="center"/>
          </w:tcPr>
          <w:p>
            <w:pPr>
              <w:pStyle w:val="666"/>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噪声</w:t>
            </w:r>
          </w:p>
        </w:tc>
        <w:tc>
          <w:tcPr>
            <w:tcW w:w="674" w:type="dxa"/>
            <w:vAlign w:val="center"/>
          </w:tcPr>
          <w:p>
            <w:pPr>
              <w:pStyle w:val="666"/>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1</w:t>
            </w:r>
          </w:p>
        </w:tc>
        <w:tc>
          <w:tcPr>
            <w:tcW w:w="1842"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厂界噪声</w:t>
            </w:r>
          </w:p>
        </w:tc>
        <w:tc>
          <w:tcPr>
            <w:tcW w:w="155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厂界四周</w:t>
            </w:r>
          </w:p>
        </w:tc>
        <w:tc>
          <w:tcPr>
            <w:tcW w:w="311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LeqdB（A）</w:t>
            </w:r>
          </w:p>
        </w:tc>
        <w:tc>
          <w:tcPr>
            <w:tcW w:w="113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半年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745" w:type="dxa"/>
            <w:vMerge w:val="restart"/>
            <w:vAlign w:val="center"/>
          </w:tcPr>
          <w:p>
            <w:pPr>
              <w:pStyle w:val="666"/>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土壤</w:t>
            </w:r>
          </w:p>
        </w:tc>
        <w:tc>
          <w:tcPr>
            <w:tcW w:w="674" w:type="dxa"/>
            <w:vAlign w:val="center"/>
          </w:tcPr>
          <w:p>
            <w:pPr>
              <w:pStyle w:val="666"/>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1</w:t>
            </w:r>
          </w:p>
        </w:tc>
        <w:tc>
          <w:tcPr>
            <w:tcW w:w="1842"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厂区</w:t>
            </w:r>
          </w:p>
        </w:tc>
        <w:tc>
          <w:tcPr>
            <w:tcW w:w="155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厂址</w:t>
            </w:r>
          </w:p>
        </w:tc>
        <w:tc>
          <w:tcPr>
            <w:tcW w:w="311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pH值、镉、汞、砷、铅、铬、铜、镍、锌</w:t>
            </w:r>
          </w:p>
        </w:tc>
        <w:tc>
          <w:tcPr>
            <w:tcW w:w="113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必要时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745" w:type="dxa"/>
            <w:vMerge w:val="continue"/>
            <w:vAlign w:val="center"/>
          </w:tcPr>
          <w:p>
            <w:pPr>
              <w:pStyle w:val="666"/>
              <w:rPr>
                <w:rFonts w:hint="default" w:ascii="Times New Roman" w:hAnsi="Times New Roman" w:cs="Times New Roman" w:eastAsiaTheme="minorEastAsia"/>
                <w:color w:val="000000" w:themeColor="text1"/>
                <w:kern w:val="2"/>
                <w14:textFill>
                  <w14:solidFill>
                    <w14:schemeClr w14:val="tx1"/>
                  </w14:solidFill>
                </w14:textFill>
              </w:rPr>
            </w:pPr>
          </w:p>
        </w:tc>
        <w:tc>
          <w:tcPr>
            <w:tcW w:w="674" w:type="dxa"/>
            <w:vAlign w:val="center"/>
          </w:tcPr>
          <w:p>
            <w:pPr>
              <w:pStyle w:val="666"/>
              <w:rPr>
                <w:rFonts w:hint="default" w:ascii="Times New Roman" w:hAnsi="Times New Roman" w:cs="Times New Roman" w:eastAsiaTheme="minorEastAsia"/>
                <w:color w:val="000000" w:themeColor="text1"/>
                <w:kern w:val="2"/>
                <w14:textFill>
                  <w14:solidFill>
                    <w14:schemeClr w14:val="tx1"/>
                  </w14:solidFill>
                </w14:textFill>
              </w:rPr>
            </w:pPr>
            <w:r>
              <w:rPr>
                <w:rFonts w:hint="default" w:ascii="Times New Roman" w:hAnsi="Times New Roman" w:cs="Times New Roman" w:eastAsiaTheme="minorEastAsia"/>
                <w:color w:val="000000" w:themeColor="text1"/>
                <w:kern w:val="2"/>
                <w14:textFill>
                  <w14:solidFill>
                    <w14:schemeClr w14:val="tx1"/>
                  </w14:solidFill>
                </w14:textFill>
              </w:rPr>
              <w:t>2</w:t>
            </w:r>
          </w:p>
        </w:tc>
        <w:tc>
          <w:tcPr>
            <w:tcW w:w="1842"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消纳土地</w:t>
            </w:r>
          </w:p>
        </w:tc>
        <w:tc>
          <w:tcPr>
            <w:tcW w:w="155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消纳土地</w:t>
            </w:r>
          </w:p>
        </w:tc>
        <w:tc>
          <w:tcPr>
            <w:tcW w:w="3119"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pH值、镉、汞、砷、铅、铬、铜、镍、锌</w:t>
            </w:r>
          </w:p>
        </w:tc>
        <w:tc>
          <w:tcPr>
            <w:tcW w:w="1133" w:type="dxa"/>
            <w:vAlign w:val="center"/>
          </w:tcPr>
          <w:p>
            <w:pPr>
              <w:pStyle w:val="666"/>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每3年</w:t>
            </w:r>
          </w:p>
        </w:tc>
      </w:tr>
    </w:tbl>
    <w:p>
      <w:pPr>
        <w:pStyle w:val="1167"/>
        <w:rPr>
          <w:rFonts w:hint="default" w:ascii="Times New Roman" w:hAnsi="Times New Roman" w:cs="Times New Roman" w:eastAsiaTheme="minorEastAsia"/>
          <w:color w:val="000000" w:themeColor="text1"/>
          <w14:textFill>
            <w14:solidFill>
              <w14:schemeClr w14:val="tx1"/>
            </w14:solidFill>
          </w14:textFill>
        </w:rPr>
      </w:pPr>
      <w:bookmarkStart w:id="326" w:name="_Toc406416208"/>
      <w:bookmarkStart w:id="327" w:name="_Toc338163191"/>
      <w:bookmarkStart w:id="328" w:name="_Toc446404793"/>
      <w:bookmarkStart w:id="329" w:name="_Toc243652892"/>
      <w:bookmarkStart w:id="330" w:name="_Toc245356932"/>
      <w:bookmarkStart w:id="331" w:name="_Toc455644985"/>
      <w:bookmarkStart w:id="332" w:name="_Toc214262447"/>
      <w:bookmarkStart w:id="333" w:name="_Toc376078474"/>
      <w:bookmarkStart w:id="334" w:name="_Toc458421905"/>
      <w:bookmarkStart w:id="335" w:name="_Toc379530176"/>
      <w:bookmarkStart w:id="336" w:name="_Toc382814471"/>
      <w:bookmarkStart w:id="337" w:name="_Toc314409145"/>
      <w:bookmarkStart w:id="338" w:name="_Toc313973147"/>
      <w:bookmarkStart w:id="339" w:name="_Toc407350206"/>
      <w:r>
        <w:rPr>
          <w:rFonts w:hint="default" w:ascii="Times New Roman" w:hAnsi="Times New Roman" w:cs="Times New Roman" w:eastAsiaTheme="minorEastAsia"/>
          <w:color w:val="000000" w:themeColor="text1"/>
          <w14:textFill>
            <w14:solidFill>
              <w14:schemeClr w14:val="tx1"/>
            </w14:solidFill>
          </w14:textFill>
        </w:rPr>
        <w:t>8.2.3 监测分析方法</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采用国家规定的相关标准进行。</w:t>
      </w:r>
    </w:p>
    <w:p>
      <w:pPr>
        <w:pStyle w:val="639"/>
        <w:rPr>
          <w:rFonts w:hint="default" w:ascii="Times New Roman" w:hAnsi="Times New Roman" w:cs="Times New Roman" w:eastAsiaTheme="minorEastAsia"/>
          <w:b/>
          <w:bCs w:val="0"/>
          <w:color w:val="000000" w:themeColor="text1"/>
          <w14:textFill>
            <w14:solidFill>
              <w14:schemeClr w14:val="tx1"/>
            </w14:solidFill>
          </w14:textFill>
        </w:rPr>
      </w:pPr>
      <w:bookmarkStart w:id="340" w:name="_Toc472338517"/>
      <w:bookmarkStart w:id="341" w:name="_Toc31851"/>
      <w:r>
        <w:rPr>
          <w:rFonts w:hint="default" w:ascii="Times New Roman" w:hAnsi="Times New Roman" w:cs="Times New Roman" w:eastAsiaTheme="minorEastAsia"/>
          <w:b/>
          <w:bCs w:val="0"/>
          <w:color w:val="000000" w:themeColor="text1"/>
          <w14:textFill>
            <w14:solidFill>
              <w14:schemeClr w14:val="tx1"/>
            </w14:solidFill>
          </w14:textFill>
        </w:rPr>
        <w:t>8.3 环境监管与信息公开</w:t>
      </w:r>
      <w:bookmarkEnd w:id="340"/>
      <w:bookmarkEnd w:id="341"/>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按监测计划定期对污染物监测，监测结果及时向生态环境主管部门申报并向社会公开，及时报告企业排放污染物变化情况。企业要建立完善的应急管理体系，对各类生产和消防安全事故制定环保处置预案，建设环保应急处置设施，提高污染事故应急处置能力。</w:t>
      </w:r>
    </w:p>
    <w:p>
      <w:pPr>
        <w:pStyle w:val="639"/>
        <w:rPr>
          <w:rFonts w:hint="default" w:ascii="Times New Roman" w:hAnsi="Times New Roman" w:cs="Times New Roman" w:eastAsiaTheme="minorEastAsia"/>
          <w:b/>
          <w:bCs w:val="0"/>
          <w:color w:val="000000" w:themeColor="text1"/>
          <w14:textFill>
            <w14:solidFill>
              <w14:schemeClr w14:val="tx1"/>
            </w14:solidFill>
          </w14:textFill>
        </w:rPr>
      </w:pPr>
      <w:bookmarkStart w:id="342" w:name="_Toc472338518"/>
      <w:bookmarkStart w:id="343" w:name="_Toc15491"/>
      <w:r>
        <w:rPr>
          <w:rFonts w:hint="default" w:ascii="Times New Roman" w:hAnsi="Times New Roman" w:cs="Times New Roman" w:eastAsiaTheme="minorEastAsia"/>
          <w:b/>
          <w:bCs w:val="0"/>
          <w:color w:val="000000" w:themeColor="text1"/>
          <w14:textFill>
            <w14:solidFill>
              <w14:schemeClr w14:val="tx1"/>
            </w14:solidFill>
          </w14:textFill>
        </w:rPr>
        <w:t>8.4 排污口规范化管理</w:t>
      </w:r>
      <w:bookmarkEnd w:id="342"/>
      <w:bookmarkEnd w:id="343"/>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排污口是企业排放污染物进入环境的通道，强化排污口的管理是实施污染物总量控制的基础工作之一，也是区域环境管理逐步实现污染物排放科学化、定量化的重要手段。</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（1）企业污染物排放口的标志，应按国家《环境保护图形标志 排放口》（15562.1-1995）及《环境保护图形标志 固体废物贮存（处置）场》（15562.2-1995）的规定，设置国家环保总局统一制作的环境保护图形标志牌。示例见表8-4-1。</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（2）污染物排放口的环保图形标志牌应设置在靠近采样点的醒目处，标志牌设置高度为其上缘距地面2m。</w:t>
      </w: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表8-4-1  排污口图形标志示例</w:t>
      </w:r>
    </w:p>
    <w:tbl>
      <w:tblPr>
        <w:tblStyle w:val="9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9"/>
        <w:gridCol w:w="1821"/>
        <w:gridCol w:w="1821"/>
        <w:gridCol w:w="1821"/>
        <w:gridCol w:w="21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919" w:type="dxa"/>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序号</w:t>
            </w:r>
          </w:p>
        </w:tc>
        <w:tc>
          <w:tcPr>
            <w:tcW w:w="1821" w:type="dxa"/>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提示图像符号</w:t>
            </w:r>
          </w:p>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背景颜色：绿色</w:t>
            </w:r>
          </w:p>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图形颜色：白色</w:t>
            </w:r>
          </w:p>
        </w:tc>
        <w:tc>
          <w:tcPr>
            <w:tcW w:w="1821" w:type="dxa"/>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警告图像符号</w:t>
            </w:r>
          </w:p>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背景颜色：黄色</w:t>
            </w:r>
          </w:p>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图形颜色：黑色</w:t>
            </w:r>
          </w:p>
        </w:tc>
        <w:tc>
          <w:tcPr>
            <w:tcW w:w="1821" w:type="dxa"/>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名  称</w:t>
            </w:r>
          </w:p>
        </w:tc>
        <w:tc>
          <w:tcPr>
            <w:tcW w:w="2123" w:type="dxa"/>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功  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919" w:type="dxa"/>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1</w:t>
            </w:r>
          </w:p>
        </w:tc>
        <w:tc>
          <w:tcPr>
            <w:tcW w:w="1821" w:type="dxa"/>
            <w:vAlign w:val="center"/>
          </w:tcPr>
          <w:p>
            <w:pPr>
              <w:spacing w:line="240" w:lineRule="auto"/>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drawing>
                <wp:inline distT="0" distB="0" distL="0" distR="0">
                  <wp:extent cx="846455" cy="880745"/>
                  <wp:effectExtent l="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846455" cy="880745"/>
                          </a:xfrm>
                          <a:prstGeom prst="rect">
                            <a:avLst/>
                          </a:prstGeom>
                          <a:noFill/>
                          <a:ln>
                            <a:noFill/>
                          </a:ln>
                        </pic:spPr>
                      </pic:pic>
                    </a:graphicData>
                  </a:graphic>
                </wp:inline>
              </w:drawing>
            </w:r>
          </w:p>
        </w:tc>
        <w:tc>
          <w:tcPr>
            <w:tcW w:w="1821" w:type="dxa"/>
            <w:vAlign w:val="center"/>
          </w:tcPr>
          <w:p>
            <w:pPr>
              <w:spacing w:line="240" w:lineRule="auto"/>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drawing>
                <wp:inline distT="0" distB="0" distL="0" distR="0">
                  <wp:extent cx="889000" cy="889000"/>
                  <wp:effectExtent l="0" t="0" r="6350" b="635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889000" cy="889000"/>
                          </a:xfrm>
                          <a:prstGeom prst="rect">
                            <a:avLst/>
                          </a:prstGeom>
                          <a:noFill/>
                          <a:ln>
                            <a:noFill/>
                          </a:ln>
                        </pic:spPr>
                      </pic:pic>
                    </a:graphicData>
                  </a:graphic>
                </wp:inline>
              </w:drawing>
            </w:r>
          </w:p>
        </w:tc>
        <w:tc>
          <w:tcPr>
            <w:tcW w:w="1821" w:type="dxa"/>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废气排放口</w:t>
            </w:r>
          </w:p>
        </w:tc>
        <w:tc>
          <w:tcPr>
            <w:tcW w:w="2123" w:type="dxa"/>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表示废气向大气排放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919" w:type="dxa"/>
            <w:vMerge w:val="restart"/>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2</w:t>
            </w:r>
          </w:p>
        </w:tc>
        <w:tc>
          <w:tcPr>
            <w:tcW w:w="1821" w:type="dxa"/>
            <w:vAlign w:val="center"/>
          </w:tcPr>
          <w:p>
            <w:pPr>
              <w:spacing w:line="240" w:lineRule="auto"/>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drawing>
                <wp:inline distT="0" distB="0" distL="0" distR="0">
                  <wp:extent cx="855345" cy="863600"/>
                  <wp:effectExtent l="0" t="0" r="1905" b="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855345" cy="863600"/>
                          </a:xfrm>
                          <a:prstGeom prst="rect">
                            <a:avLst/>
                          </a:prstGeom>
                          <a:noFill/>
                          <a:ln>
                            <a:noFill/>
                          </a:ln>
                        </pic:spPr>
                      </pic:pic>
                    </a:graphicData>
                  </a:graphic>
                </wp:inline>
              </w:drawing>
            </w:r>
          </w:p>
        </w:tc>
        <w:tc>
          <w:tcPr>
            <w:tcW w:w="1821" w:type="dxa"/>
            <w:vAlign w:val="center"/>
          </w:tcPr>
          <w:p>
            <w:pPr>
              <w:spacing w:line="240" w:lineRule="auto"/>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drawing>
                <wp:inline distT="0" distB="0" distL="0" distR="0">
                  <wp:extent cx="922655" cy="863600"/>
                  <wp:effectExtent l="0" t="0" r="0" b="0"/>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922655" cy="863600"/>
                          </a:xfrm>
                          <a:prstGeom prst="rect">
                            <a:avLst/>
                          </a:prstGeom>
                          <a:noFill/>
                          <a:ln>
                            <a:noFill/>
                          </a:ln>
                        </pic:spPr>
                      </pic:pic>
                    </a:graphicData>
                  </a:graphic>
                </wp:inline>
              </w:drawing>
            </w:r>
          </w:p>
        </w:tc>
        <w:tc>
          <w:tcPr>
            <w:tcW w:w="1821" w:type="dxa"/>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一般固体废物储存</w:t>
            </w:r>
          </w:p>
        </w:tc>
        <w:tc>
          <w:tcPr>
            <w:tcW w:w="2123" w:type="dxa"/>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表示固废储存处置场所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919" w:type="dxa"/>
            <w:vMerge w:val="continue"/>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p>
        </w:tc>
        <w:tc>
          <w:tcPr>
            <w:tcW w:w="1821" w:type="dxa"/>
            <w:vAlign w:val="center"/>
          </w:tcPr>
          <w:p>
            <w:pPr>
              <w:spacing w:line="240" w:lineRule="auto"/>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p>
        </w:tc>
        <w:tc>
          <w:tcPr>
            <w:tcW w:w="1821" w:type="dxa"/>
            <w:vAlign w:val="center"/>
          </w:tcPr>
          <w:p>
            <w:pPr>
              <w:spacing w:line="240" w:lineRule="auto"/>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drawing>
                <wp:inline distT="0" distB="0" distL="0" distR="0">
                  <wp:extent cx="1028700" cy="9017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89" cstate="print"/>
                          <a:stretch>
                            <a:fillRect/>
                          </a:stretch>
                        </pic:blipFill>
                        <pic:spPr>
                          <a:xfrm>
                            <a:off x="0" y="0"/>
                            <a:ext cx="1028572" cy="901669"/>
                          </a:xfrm>
                          <a:prstGeom prst="rect">
                            <a:avLst/>
                          </a:prstGeom>
                        </pic:spPr>
                      </pic:pic>
                    </a:graphicData>
                  </a:graphic>
                </wp:inline>
              </w:drawing>
            </w:r>
          </w:p>
        </w:tc>
        <w:tc>
          <w:tcPr>
            <w:tcW w:w="1821" w:type="dxa"/>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危险固体废物储存</w:t>
            </w:r>
          </w:p>
        </w:tc>
        <w:tc>
          <w:tcPr>
            <w:tcW w:w="2123" w:type="dxa"/>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表示固废储存处置场所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919" w:type="dxa"/>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3</w:t>
            </w:r>
          </w:p>
        </w:tc>
        <w:tc>
          <w:tcPr>
            <w:tcW w:w="1821" w:type="dxa"/>
            <w:vAlign w:val="center"/>
          </w:tcPr>
          <w:p>
            <w:pPr>
              <w:spacing w:line="240" w:lineRule="auto"/>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drawing>
                <wp:inline distT="0" distB="0" distL="0" distR="0">
                  <wp:extent cx="931545" cy="931545"/>
                  <wp:effectExtent l="0" t="0" r="1905" b="1905"/>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931545" cy="931545"/>
                          </a:xfrm>
                          <a:prstGeom prst="rect">
                            <a:avLst/>
                          </a:prstGeom>
                          <a:noFill/>
                          <a:ln>
                            <a:noFill/>
                          </a:ln>
                        </pic:spPr>
                      </pic:pic>
                    </a:graphicData>
                  </a:graphic>
                </wp:inline>
              </w:drawing>
            </w:r>
          </w:p>
        </w:tc>
        <w:tc>
          <w:tcPr>
            <w:tcW w:w="1821" w:type="dxa"/>
            <w:vAlign w:val="center"/>
          </w:tcPr>
          <w:p>
            <w:pPr>
              <w:spacing w:line="240" w:lineRule="auto"/>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drawing>
                <wp:inline distT="0" distB="0" distL="0" distR="0">
                  <wp:extent cx="965200" cy="855345"/>
                  <wp:effectExtent l="0" t="0" r="6350" b="1905"/>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965200" cy="855345"/>
                          </a:xfrm>
                          <a:prstGeom prst="rect">
                            <a:avLst/>
                          </a:prstGeom>
                          <a:noFill/>
                          <a:ln>
                            <a:noFill/>
                          </a:ln>
                        </pic:spPr>
                      </pic:pic>
                    </a:graphicData>
                  </a:graphic>
                </wp:inline>
              </w:drawing>
            </w:r>
          </w:p>
        </w:tc>
        <w:tc>
          <w:tcPr>
            <w:tcW w:w="1821" w:type="dxa"/>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噪声源</w:t>
            </w:r>
          </w:p>
        </w:tc>
        <w:tc>
          <w:tcPr>
            <w:tcW w:w="2123" w:type="dxa"/>
            <w:vAlign w:val="center"/>
          </w:tcPr>
          <w:p>
            <w:pPr>
              <w:spacing w:line="440" w:lineRule="exact"/>
              <w:ind w:firstLine="0" w:firstLineChars="0"/>
              <w:jc w:val="center"/>
              <w:rPr>
                <w:rFonts w:hint="default" w:ascii="Times New Roman" w:hAnsi="Times New Roman" w:cs="Times New Roman" w:eastAsiaTheme="minorEastAsia"/>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14:textFill>
                  <w14:solidFill>
                    <w14:schemeClr w14:val="tx1"/>
                  </w14:solidFill>
                </w14:textFill>
              </w:rPr>
              <w:t>表示噪声向外环境排放</w:t>
            </w:r>
          </w:p>
        </w:tc>
      </w:tr>
    </w:tbl>
    <w:p>
      <w:pPr>
        <w:pStyle w:val="639"/>
        <w:rPr>
          <w:rFonts w:hint="default" w:ascii="Times New Roman" w:hAnsi="Times New Roman" w:cs="Times New Roman" w:eastAsiaTheme="minorEastAsia"/>
          <w:b/>
          <w:bCs w:val="0"/>
          <w:color w:val="000000" w:themeColor="text1"/>
          <w14:textFill>
            <w14:solidFill>
              <w14:schemeClr w14:val="tx1"/>
            </w14:solidFill>
          </w14:textFill>
        </w:rPr>
      </w:pPr>
      <w:bookmarkStart w:id="344" w:name="_Toc472338519"/>
      <w:bookmarkStart w:id="345" w:name="_Toc253329399"/>
      <w:bookmarkStart w:id="346" w:name="_Toc17522"/>
      <w:r>
        <w:rPr>
          <w:rFonts w:hint="default" w:ascii="Times New Roman" w:hAnsi="Times New Roman" w:cs="Times New Roman" w:eastAsiaTheme="minorEastAsia"/>
          <w:b/>
          <w:bCs w:val="0"/>
          <w:color w:val="000000" w:themeColor="text1"/>
          <w14:textFill>
            <w14:solidFill>
              <w14:schemeClr w14:val="tx1"/>
            </w14:solidFill>
          </w14:textFill>
        </w:rPr>
        <w:t>8.5 技术文件管理</w:t>
      </w:r>
      <w:bookmarkEnd w:id="344"/>
      <w:bookmarkEnd w:id="345"/>
      <w:bookmarkEnd w:id="346"/>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在环境管理与环境监测中，应建立如下技术文件档案：</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（1）环境质量、污染源的监测记录技术文件；</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（2）污染控制、环境保护治理设施的设计和运行管理文件；</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（3）突发环境事件应急措施；</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（4）所有导致污染事件的分析报告和监测数据资料。</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（5）排污许可相关资料。</w:t>
      </w:r>
    </w:p>
    <w:p>
      <w:pPr>
        <w:pStyle w:val="639"/>
        <w:rPr>
          <w:rFonts w:hint="default" w:ascii="Times New Roman" w:hAnsi="Times New Roman" w:cs="Times New Roman" w:eastAsiaTheme="minorEastAsia"/>
          <w:b/>
          <w:bCs w:val="0"/>
          <w:color w:val="000000" w:themeColor="text1"/>
          <w14:textFill>
            <w14:solidFill>
              <w14:schemeClr w14:val="tx1"/>
            </w14:solidFill>
          </w14:textFill>
        </w:rPr>
      </w:pPr>
      <w:bookmarkStart w:id="347" w:name="_Toc253329400"/>
      <w:bookmarkStart w:id="348" w:name="_Toc472338520"/>
      <w:bookmarkStart w:id="349" w:name="_Toc32045"/>
      <w:r>
        <w:rPr>
          <w:rFonts w:hint="default" w:ascii="Times New Roman" w:hAnsi="Times New Roman" w:cs="Times New Roman" w:eastAsiaTheme="minorEastAsia"/>
          <w:b/>
          <w:bCs w:val="0"/>
          <w:color w:val="000000" w:themeColor="text1"/>
          <w14:textFill>
            <w14:solidFill>
              <w14:schemeClr w14:val="tx1"/>
            </w14:solidFill>
          </w14:textFill>
        </w:rPr>
        <w:t>8.6 建设项目环保“三同时”验收内容</w:t>
      </w:r>
      <w:bookmarkEnd w:id="347"/>
      <w:bookmarkEnd w:id="348"/>
      <w:bookmarkEnd w:id="349"/>
    </w:p>
    <w:p>
      <w:pPr>
        <w:ind w:firstLine="560"/>
        <w:rPr>
          <w:rFonts w:hint="default" w:ascii="Times New Roman" w:hAnsi="Times New Roman" w:cs="Times New Roman" w:eastAsiaTheme="minorEastAsia"/>
          <w:color w:val="000000" w:themeColor="text1"/>
          <w:szCs w:val="28"/>
          <w14:textFill>
            <w14:solidFill>
              <w14:schemeClr w14:val="tx1"/>
            </w14:solidFill>
          </w14:textFill>
        </w:rPr>
      </w:pPr>
      <w:r>
        <w:rPr>
          <w:rFonts w:hint="default" w:ascii="Times New Roman" w:hAnsi="Times New Roman" w:cs="Times New Roman" w:eastAsiaTheme="minorEastAsia"/>
          <w:color w:val="000000" w:themeColor="text1"/>
          <w:szCs w:val="28"/>
          <w14:textFill>
            <w14:solidFill>
              <w14:schemeClr w14:val="tx1"/>
            </w14:solidFill>
          </w14:textFill>
        </w:rPr>
        <w:t>本项目环保设施“三同时”竣工验收项目一览见表8-6-1。</w:t>
      </w:r>
    </w:p>
    <w:p>
      <w:pPr>
        <w:ind w:firstLine="0" w:firstLineChars="0"/>
        <w:rPr>
          <w:rFonts w:hint="default" w:ascii="Times New Roman" w:hAnsi="Times New Roman" w:cs="Times New Roman" w:eastAsiaTheme="minorEastAsia"/>
          <w:color w:val="000000" w:themeColor="text1"/>
          <w:szCs w:val="28"/>
          <w14:textFill>
            <w14:solidFill>
              <w14:schemeClr w14:val="tx1"/>
            </w14:solidFill>
          </w14:textFill>
        </w:rPr>
      </w:pPr>
    </w:p>
    <w:p>
      <w:pPr>
        <w:ind w:firstLine="560"/>
        <w:rPr>
          <w:rFonts w:hint="default" w:ascii="Times New Roman" w:hAnsi="Times New Roman" w:cs="Times New Roman" w:eastAsiaTheme="minorEastAsia"/>
          <w:color w:val="000000" w:themeColor="text1"/>
          <w:szCs w:val="28"/>
          <w14:textFill>
            <w14:solidFill>
              <w14:schemeClr w14:val="tx1"/>
            </w14:solidFill>
          </w14:textFill>
        </w:rPr>
        <w:sectPr>
          <w:footerReference r:id="rId40" w:type="default"/>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12" w:charSpace="0"/>
        </w:sectPr>
      </w:pPr>
    </w:p>
    <w:p>
      <w:pPr>
        <w:pStyle w:val="64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表8-6-1  “三同时”环保验收项目一览表</w:t>
      </w:r>
    </w:p>
    <w:tbl>
      <w:tblPr>
        <w:tblStyle w:val="9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52"/>
        <w:gridCol w:w="5954"/>
        <w:gridCol w:w="55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69" w:type="dxa"/>
            <w:gridSpan w:val="2"/>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分类</w:t>
            </w:r>
          </w:p>
        </w:tc>
        <w:tc>
          <w:tcPr>
            <w:tcW w:w="5954" w:type="dxa"/>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验收内容</w:t>
            </w:r>
          </w:p>
        </w:tc>
        <w:tc>
          <w:tcPr>
            <w:tcW w:w="5541" w:type="dxa"/>
            <w:vAlign w:val="center"/>
          </w:tcPr>
          <w:p>
            <w:pPr>
              <w:pStyle w:val="666"/>
              <w:spacing w:line="320" w:lineRule="exact"/>
              <w:rPr>
                <w:rFonts w:hint="default" w:ascii="Times New Roman" w:hAnsi="Times New Roman" w:cs="Times New Roman" w:eastAsiaTheme="minorEastAsia"/>
                <w:snapToGrid w:val="0"/>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14:textFill>
                  <w14:solidFill>
                    <w14:schemeClr w14:val="tx1"/>
                  </w14:solidFill>
                </w14:textFill>
              </w:rPr>
              <w:t>验收指标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864" w:type="dxa"/>
            <w:gridSpan w:val="4"/>
            <w:vAlign w:val="center"/>
          </w:tcPr>
          <w:p>
            <w:pPr>
              <w:pStyle w:val="666"/>
              <w:spacing w:line="320" w:lineRule="exact"/>
              <w:rPr>
                <w:rFonts w:hint="default" w:ascii="Times New Roman" w:hAnsi="Times New Roman" w:cs="Times New Roman" w:eastAsiaTheme="minorEastAsia"/>
                <w:b/>
                <w:color w:val="000000" w:themeColor="text1"/>
                <w14:textFill>
                  <w14:solidFill>
                    <w14:schemeClr w14:val="tx1"/>
                  </w14:solidFill>
                </w14:textFill>
              </w:rPr>
            </w:pPr>
            <w:r>
              <w:rPr>
                <w:rFonts w:hint="default" w:ascii="Times New Roman" w:hAnsi="Times New Roman" w:cs="Times New Roman" w:eastAsiaTheme="minorEastAsia"/>
                <w:b/>
                <w:color w:val="000000" w:themeColor="text1"/>
                <w14:textFill>
                  <w14:solidFill>
                    <w14:schemeClr w14:val="tx1"/>
                  </w14:solidFill>
                </w14:textFill>
              </w:rPr>
              <w:t>1、废气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7" w:type="dxa"/>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①</w:t>
            </w:r>
          </w:p>
        </w:tc>
        <w:tc>
          <w:tcPr>
            <w:tcW w:w="1652" w:type="dxa"/>
            <w:vAlign w:val="center"/>
          </w:tcPr>
          <w:p>
            <w:pPr>
              <w:pStyle w:val="666"/>
              <w:spacing w:line="320" w:lineRule="exact"/>
              <w:rPr>
                <w:rFonts w:hint="default" w:ascii="Times New Roman" w:hAnsi="Times New Roman" w:cs="Times New Roman" w:eastAsiaTheme="minorEastAsia"/>
                <w:color w:val="000000" w:themeColor="text1"/>
                <w:lang w:eastAsia="zh-CN"/>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沼气</w:t>
            </w:r>
            <w:r>
              <w:rPr>
                <w:rFonts w:hint="default" w:ascii="Times New Roman" w:hAnsi="Times New Roman" w:cs="Times New Roman" w:eastAsiaTheme="minorEastAsia"/>
                <w:color w:val="000000" w:themeColor="text1"/>
                <w:lang w:eastAsia="zh-CN"/>
                <w14:textFill>
                  <w14:solidFill>
                    <w14:schemeClr w14:val="tx1"/>
                  </w14:solidFill>
                </w14:textFill>
              </w:rPr>
              <w:t>火炬</w:t>
            </w:r>
          </w:p>
        </w:tc>
        <w:tc>
          <w:tcPr>
            <w:tcW w:w="5954" w:type="dxa"/>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沼气燃烧废气经15m高排气筒有组织排放。</w:t>
            </w:r>
          </w:p>
        </w:tc>
        <w:tc>
          <w:tcPr>
            <w:tcW w:w="5541" w:type="dxa"/>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颗粒物、SO</w:t>
            </w:r>
            <w:r>
              <w:rPr>
                <w:rFonts w:hint="default" w:ascii="Times New Roman" w:hAnsi="Times New Roman" w:cs="Times New Roman" w:eastAsiaTheme="minorEastAsia"/>
                <w:color w:val="000000" w:themeColor="text1"/>
                <w:vertAlign w:val="subscript"/>
                <w14:textFill>
                  <w14:solidFill>
                    <w14:schemeClr w14:val="tx1"/>
                  </w14:solidFill>
                </w14:textFill>
              </w:rPr>
              <w:t>2</w:t>
            </w:r>
            <w:r>
              <w:rPr>
                <w:rFonts w:hint="default" w:ascii="Times New Roman" w:hAnsi="Times New Roman" w:cs="Times New Roman" w:eastAsiaTheme="minorEastAsia"/>
                <w:color w:val="000000" w:themeColor="text1"/>
                <w14:textFill>
                  <w14:solidFill>
                    <w14:schemeClr w14:val="tx1"/>
                  </w14:solidFill>
                </w14:textFill>
              </w:rPr>
              <w:t>、NO</w:t>
            </w:r>
            <w:r>
              <w:rPr>
                <w:rFonts w:hint="default" w:ascii="Times New Roman" w:hAnsi="Times New Roman" w:cs="Times New Roman" w:eastAsiaTheme="minorEastAsia"/>
                <w:color w:val="000000" w:themeColor="text1"/>
                <w:vertAlign w:val="subscript"/>
                <w14:textFill>
                  <w14:solidFill>
                    <w14:schemeClr w14:val="tx1"/>
                  </w14:solidFill>
                </w14:textFill>
              </w:rPr>
              <w:t>X</w:t>
            </w:r>
            <w:r>
              <w:rPr>
                <w:rFonts w:hint="default" w:ascii="Times New Roman" w:hAnsi="Times New Roman" w:cs="Times New Roman" w:eastAsiaTheme="minorEastAsia"/>
                <w:color w:val="000000" w:themeColor="text1"/>
                <w14:textFill>
                  <w14:solidFill>
                    <w14:schemeClr w14:val="tx1"/>
                  </w14:solidFill>
                </w14:textFill>
              </w:rPr>
              <w:t>排放浓度满足《大气污染物综合排放标准》（GB16297-1996）表2二级标准限值（排放浓度：颗粒物120mg/m</w:t>
            </w:r>
            <w:r>
              <w:rPr>
                <w:rFonts w:hint="default" w:ascii="Times New Roman" w:hAnsi="Times New Roman" w:cs="Times New Roman" w:eastAsiaTheme="minorEastAsia"/>
                <w:color w:val="000000" w:themeColor="text1"/>
                <w:vertAlign w:val="superscript"/>
                <w14:textFill>
                  <w14:solidFill>
                    <w14:schemeClr w14:val="tx1"/>
                  </w14:solidFill>
                </w14:textFill>
              </w:rPr>
              <w:t>3</w:t>
            </w:r>
            <w:r>
              <w:rPr>
                <w:rFonts w:hint="default" w:ascii="Times New Roman" w:hAnsi="Times New Roman" w:cs="Times New Roman" w:eastAsiaTheme="minorEastAsia"/>
                <w:color w:val="000000" w:themeColor="text1"/>
                <w14:textFill>
                  <w14:solidFill>
                    <w14:schemeClr w14:val="tx1"/>
                  </w14:solidFill>
                </w14:textFill>
              </w:rPr>
              <w:t>，SO</w:t>
            </w:r>
            <w:r>
              <w:rPr>
                <w:rFonts w:hint="default" w:ascii="Times New Roman" w:hAnsi="Times New Roman" w:cs="Times New Roman" w:eastAsiaTheme="minorEastAsia"/>
                <w:color w:val="000000" w:themeColor="text1"/>
                <w:vertAlign w:val="subscript"/>
                <w14:textFill>
                  <w14:solidFill>
                    <w14:schemeClr w14:val="tx1"/>
                  </w14:solidFill>
                </w14:textFill>
              </w:rPr>
              <w:t>2</w:t>
            </w:r>
            <w:r>
              <w:rPr>
                <w:rFonts w:hint="default" w:ascii="Times New Roman" w:hAnsi="Times New Roman" w:cs="Times New Roman" w:eastAsiaTheme="minorEastAsia"/>
                <w:color w:val="000000" w:themeColor="text1"/>
                <w14:textFill>
                  <w14:solidFill>
                    <w14:schemeClr w14:val="tx1"/>
                  </w14:solidFill>
                </w14:textFill>
              </w:rPr>
              <w:t>550 mg/m</w:t>
            </w:r>
            <w:r>
              <w:rPr>
                <w:rFonts w:hint="default" w:ascii="Times New Roman" w:hAnsi="Times New Roman" w:cs="Times New Roman" w:eastAsiaTheme="minorEastAsia"/>
                <w:color w:val="000000" w:themeColor="text1"/>
                <w:vertAlign w:val="superscript"/>
                <w14:textFill>
                  <w14:solidFill>
                    <w14:schemeClr w14:val="tx1"/>
                  </w14:solidFill>
                </w14:textFill>
              </w:rPr>
              <w:t>3</w:t>
            </w:r>
            <w:r>
              <w:rPr>
                <w:rFonts w:hint="default" w:ascii="Times New Roman" w:hAnsi="Times New Roman" w:cs="Times New Roman" w:eastAsiaTheme="minorEastAsia"/>
                <w:color w:val="000000" w:themeColor="text1"/>
                <w14:textFill>
                  <w14:solidFill>
                    <w14:schemeClr w14:val="tx1"/>
                  </w14:solidFill>
                </w14:textFill>
              </w:rPr>
              <w:t>，NO</w:t>
            </w:r>
            <w:r>
              <w:rPr>
                <w:rFonts w:hint="default" w:ascii="Times New Roman" w:hAnsi="Times New Roman" w:cs="Times New Roman" w:eastAsiaTheme="minorEastAsia"/>
                <w:color w:val="000000" w:themeColor="text1"/>
                <w:vertAlign w:val="subscript"/>
                <w14:textFill>
                  <w14:solidFill>
                    <w14:schemeClr w14:val="tx1"/>
                  </w14:solidFill>
                </w14:textFill>
              </w:rPr>
              <w:t>X</w:t>
            </w:r>
            <w:r>
              <w:rPr>
                <w:rFonts w:hint="default" w:ascii="Times New Roman" w:hAnsi="Times New Roman" w:cs="Times New Roman" w:eastAsiaTheme="minorEastAsia"/>
                <w:color w:val="000000" w:themeColor="text1"/>
                <w14:textFill>
                  <w14:solidFill>
                    <w14:schemeClr w14:val="tx1"/>
                  </w14:solidFill>
                </w14:textFill>
              </w:rPr>
              <w:t>240 mg/m</w:t>
            </w:r>
            <w:r>
              <w:rPr>
                <w:rFonts w:hint="default" w:ascii="Times New Roman" w:hAnsi="Times New Roman" w:cs="Times New Roman" w:eastAsiaTheme="minorEastAsia"/>
                <w:color w:val="000000" w:themeColor="text1"/>
                <w:vertAlign w:val="superscript"/>
                <w14:textFill>
                  <w14:solidFill>
                    <w14:schemeClr w14:val="tx1"/>
                  </w14:solidFill>
                </w14:textFill>
              </w:rPr>
              <w:t>3</w:t>
            </w:r>
            <w:r>
              <w:rPr>
                <w:rFonts w:hint="default" w:ascii="Times New Roman" w:hAnsi="Times New Roman" w:cs="Times New Roman" w:eastAsiaTheme="minorEastAsia"/>
                <w:color w:val="000000" w:themeColor="text1"/>
                <w14:textFill>
                  <w14:solidFill>
                    <w14:schemeClr w14:val="tx1"/>
                  </w14:solidFill>
                </w14:textFill>
              </w:rPr>
              <w:t>；排放速率：颗粒物3.5kg/h，SO</w:t>
            </w:r>
            <w:r>
              <w:rPr>
                <w:rFonts w:hint="default" w:ascii="Times New Roman" w:hAnsi="Times New Roman" w:cs="Times New Roman" w:eastAsiaTheme="minorEastAsia"/>
                <w:color w:val="000000" w:themeColor="text1"/>
                <w:vertAlign w:val="subscript"/>
                <w14:textFill>
                  <w14:solidFill>
                    <w14:schemeClr w14:val="tx1"/>
                  </w14:solidFill>
                </w14:textFill>
              </w:rPr>
              <w:t>2</w:t>
            </w:r>
            <w:r>
              <w:rPr>
                <w:rFonts w:hint="default" w:ascii="Times New Roman" w:hAnsi="Times New Roman" w:cs="Times New Roman" w:eastAsiaTheme="minorEastAsia"/>
                <w:color w:val="000000" w:themeColor="text1"/>
                <w14:textFill>
                  <w14:solidFill>
                    <w14:schemeClr w14:val="tx1"/>
                  </w14:solidFill>
                </w14:textFill>
              </w:rPr>
              <w:t>2.6kg/h，氮氧化物0.77kg/h）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7" w:type="dxa"/>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②</w:t>
            </w:r>
          </w:p>
        </w:tc>
        <w:tc>
          <w:tcPr>
            <w:tcW w:w="1652" w:type="dxa"/>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固液分离间</w:t>
            </w:r>
          </w:p>
        </w:tc>
        <w:tc>
          <w:tcPr>
            <w:tcW w:w="5954" w:type="dxa"/>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恶臭气体负压收集活性炭吸附后经15m高排气筒有组织排放</w:t>
            </w:r>
          </w:p>
        </w:tc>
        <w:tc>
          <w:tcPr>
            <w:tcW w:w="5541" w:type="dxa"/>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氨、硫化氢和臭气浓度排放浓度《恶臭污染物排放标准》（GB14554-1993）表2标准（排放速率：氨4.9kg/h，硫化氢0.33kg/h；臭气浓度2000）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7" w:type="dxa"/>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fldChar w:fldCharType="begin"/>
            </w:r>
            <w:r>
              <w:rPr>
                <w:rFonts w:hint="default" w:ascii="Times New Roman" w:hAnsi="Times New Roman" w:cs="Times New Roman" w:eastAsiaTheme="minorEastAsia"/>
                <w:color w:val="000000" w:themeColor="text1"/>
                <w14:textFill>
                  <w14:solidFill>
                    <w14:schemeClr w14:val="tx1"/>
                  </w14:solidFill>
                </w14:textFill>
              </w:rPr>
              <w:instrText xml:space="preserve"> = 3 \* GB3 </w:instrText>
            </w:r>
            <w:r>
              <w:rPr>
                <w:rFonts w:hint="default" w:ascii="Times New Roman" w:hAnsi="Times New Roman" w:cs="Times New Roman" w:eastAsiaTheme="minorEastAsia"/>
                <w:color w:val="000000" w:themeColor="text1"/>
                <w14:textFill>
                  <w14:solidFill>
                    <w14:schemeClr w14:val="tx1"/>
                  </w14:solidFill>
                </w14:textFill>
              </w:rPr>
              <w:fldChar w:fldCharType="separate"/>
            </w:r>
            <w:r>
              <w:rPr>
                <w:rFonts w:hint="default" w:ascii="Times New Roman" w:hAnsi="Times New Roman" w:cs="Times New Roman" w:eastAsiaTheme="minorEastAsia"/>
                <w:color w:val="000000" w:themeColor="text1"/>
                <w14:textFill>
                  <w14:solidFill>
                    <w14:schemeClr w14:val="tx1"/>
                  </w14:solidFill>
                </w14:textFill>
              </w:rPr>
              <w:t>③</w:t>
            </w:r>
            <w:r>
              <w:rPr>
                <w:rFonts w:hint="default" w:ascii="Times New Roman" w:hAnsi="Times New Roman" w:cs="Times New Roman" w:eastAsiaTheme="minorEastAsia"/>
                <w:color w:val="000000" w:themeColor="text1"/>
                <w14:textFill>
                  <w14:solidFill>
                    <w14:schemeClr w14:val="tx1"/>
                  </w14:solidFill>
                </w14:textFill>
              </w:rPr>
              <w:fldChar w:fldCharType="end"/>
            </w:r>
          </w:p>
        </w:tc>
        <w:tc>
          <w:tcPr>
            <w:tcW w:w="1652" w:type="dxa"/>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生物质锅炉</w:t>
            </w:r>
          </w:p>
        </w:tc>
        <w:tc>
          <w:tcPr>
            <w:tcW w:w="5954" w:type="dxa"/>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布袋除尘器除尘经2</w:t>
            </w:r>
            <w:r>
              <w:rPr>
                <w:rFonts w:hint="default" w:ascii="Times New Roman" w:hAnsi="Times New Roman" w:cs="Times New Roman" w:eastAsiaTheme="minorEastAsia"/>
                <w:color w:val="000000" w:themeColor="text1"/>
                <w:lang w:val="en-US" w:eastAsia="zh-CN"/>
                <w14:textFill>
                  <w14:solidFill>
                    <w14:schemeClr w14:val="tx1"/>
                  </w14:solidFill>
                </w14:textFill>
              </w:rPr>
              <w:t>5</w:t>
            </w:r>
            <w:r>
              <w:rPr>
                <w:rFonts w:hint="default" w:ascii="Times New Roman" w:hAnsi="Times New Roman" w:cs="Times New Roman" w:eastAsiaTheme="minorEastAsia"/>
                <w:color w:val="000000" w:themeColor="text1"/>
                <w14:textFill>
                  <w14:solidFill>
                    <w14:schemeClr w14:val="tx1"/>
                  </w14:solidFill>
                </w14:textFill>
              </w:rPr>
              <w:t>m高排气筒有组织排放</w:t>
            </w:r>
          </w:p>
        </w:tc>
        <w:tc>
          <w:tcPr>
            <w:tcW w:w="5541" w:type="dxa"/>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颗粒物、SO</w:t>
            </w:r>
            <w:r>
              <w:rPr>
                <w:rFonts w:hint="default" w:ascii="Times New Roman" w:hAnsi="Times New Roman" w:cs="Times New Roman" w:eastAsiaTheme="minorEastAsia"/>
                <w:color w:val="000000" w:themeColor="text1"/>
                <w:vertAlign w:val="subscript"/>
                <w14:textFill>
                  <w14:solidFill>
                    <w14:schemeClr w14:val="tx1"/>
                  </w14:solidFill>
                </w14:textFill>
              </w:rPr>
              <w:t>2</w:t>
            </w:r>
            <w:r>
              <w:rPr>
                <w:rFonts w:hint="default" w:ascii="Times New Roman" w:hAnsi="Times New Roman" w:cs="Times New Roman" w:eastAsiaTheme="minorEastAsia"/>
                <w:color w:val="000000" w:themeColor="text1"/>
                <w14:textFill>
                  <w14:solidFill>
                    <w14:schemeClr w14:val="tx1"/>
                  </w14:solidFill>
                </w14:textFill>
              </w:rPr>
              <w:t>、NO</w:t>
            </w:r>
            <w:r>
              <w:rPr>
                <w:rFonts w:hint="default" w:ascii="Times New Roman" w:hAnsi="Times New Roman" w:cs="Times New Roman" w:eastAsiaTheme="minorEastAsia"/>
                <w:color w:val="000000" w:themeColor="text1"/>
                <w:vertAlign w:val="subscript"/>
                <w14:textFill>
                  <w14:solidFill>
                    <w14:schemeClr w14:val="tx1"/>
                  </w14:solidFill>
                </w14:textFill>
              </w:rPr>
              <w:t>X</w:t>
            </w:r>
            <w:r>
              <w:rPr>
                <w:rFonts w:hint="default" w:ascii="Times New Roman" w:hAnsi="Times New Roman" w:cs="Times New Roman" w:eastAsiaTheme="minorEastAsia"/>
                <w:color w:val="000000" w:themeColor="text1"/>
                <w14:textFill>
                  <w14:solidFill>
                    <w14:schemeClr w14:val="tx1"/>
                  </w14:solidFill>
                </w14:textFill>
              </w:rPr>
              <w:t>和烟气黑度排放浓度满足《锅炉大气污染物排放标准》（GB13271-2014）表2标准（排放浓度：颗粒物50mg/m</w:t>
            </w:r>
            <w:r>
              <w:rPr>
                <w:rFonts w:hint="default" w:ascii="Times New Roman" w:hAnsi="Times New Roman" w:cs="Times New Roman" w:eastAsiaTheme="minorEastAsia"/>
                <w:color w:val="000000" w:themeColor="text1"/>
                <w:vertAlign w:val="superscript"/>
                <w14:textFill>
                  <w14:solidFill>
                    <w14:schemeClr w14:val="tx1"/>
                  </w14:solidFill>
                </w14:textFill>
              </w:rPr>
              <w:t>3</w:t>
            </w:r>
            <w:r>
              <w:rPr>
                <w:rFonts w:hint="default" w:ascii="Times New Roman" w:hAnsi="Times New Roman" w:cs="Times New Roman" w:eastAsiaTheme="minorEastAsia"/>
                <w:color w:val="000000" w:themeColor="text1"/>
                <w14:textFill>
                  <w14:solidFill>
                    <w14:schemeClr w14:val="tx1"/>
                  </w14:solidFill>
                </w14:textFill>
              </w:rPr>
              <w:t>，SO</w:t>
            </w:r>
            <w:r>
              <w:rPr>
                <w:rFonts w:hint="default" w:ascii="Times New Roman" w:hAnsi="Times New Roman" w:cs="Times New Roman" w:eastAsiaTheme="minorEastAsia"/>
                <w:color w:val="000000" w:themeColor="text1"/>
                <w:vertAlign w:val="subscript"/>
                <w14:textFill>
                  <w14:solidFill>
                    <w14:schemeClr w14:val="tx1"/>
                  </w14:solidFill>
                </w14:textFill>
              </w:rPr>
              <w:t>2</w:t>
            </w:r>
            <w:r>
              <w:rPr>
                <w:rFonts w:hint="default" w:ascii="Times New Roman" w:hAnsi="Times New Roman" w:cs="Times New Roman" w:eastAsiaTheme="minorEastAsia"/>
                <w:color w:val="000000" w:themeColor="text1"/>
                <w14:textFill>
                  <w14:solidFill>
                    <w14:schemeClr w14:val="tx1"/>
                  </w14:solidFill>
                </w14:textFill>
              </w:rPr>
              <w:t>300 mg/m</w:t>
            </w:r>
            <w:r>
              <w:rPr>
                <w:rFonts w:hint="default" w:ascii="Times New Roman" w:hAnsi="Times New Roman" w:cs="Times New Roman" w:eastAsiaTheme="minorEastAsia"/>
                <w:color w:val="000000" w:themeColor="text1"/>
                <w:vertAlign w:val="superscript"/>
                <w14:textFill>
                  <w14:solidFill>
                    <w14:schemeClr w14:val="tx1"/>
                  </w14:solidFill>
                </w14:textFill>
              </w:rPr>
              <w:t>3</w:t>
            </w:r>
            <w:r>
              <w:rPr>
                <w:rFonts w:hint="default" w:ascii="Times New Roman" w:hAnsi="Times New Roman" w:cs="Times New Roman" w:eastAsiaTheme="minorEastAsia"/>
                <w:color w:val="000000" w:themeColor="text1"/>
                <w14:textFill>
                  <w14:solidFill>
                    <w14:schemeClr w14:val="tx1"/>
                  </w14:solidFill>
                </w14:textFill>
              </w:rPr>
              <w:t>，NO</w:t>
            </w:r>
            <w:r>
              <w:rPr>
                <w:rFonts w:hint="default" w:ascii="Times New Roman" w:hAnsi="Times New Roman" w:cs="Times New Roman" w:eastAsiaTheme="minorEastAsia"/>
                <w:color w:val="000000" w:themeColor="text1"/>
                <w:vertAlign w:val="subscript"/>
                <w14:textFill>
                  <w14:solidFill>
                    <w14:schemeClr w14:val="tx1"/>
                  </w14:solidFill>
                </w14:textFill>
              </w:rPr>
              <w:t>X</w:t>
            </w:r>
            <w:r>
              <w:rPr>
                <w:rFonts w:hint="default" w:ascii="Times New Roman" w:hAnsi="Times New Roman" w:cs="Times New Roman" w:eastAsiaTheme="minorEastAsia"/>
                <w:color w:val="000000" w:themeColor="text1"/>
                <w14:textFill>
                  <w14:solidFill>
                    <w14:schemeClr w14:val="tx1"/>
                  </w14:solidFill>
                </w14:textFill>
              </w:rPr>
              <w:t>300 mg/m</w:t>
            </w:r>
            <w:r>
              <w:rPr>
                <w:rFonts w:hint="default" w:ascii="Times New Roman" w:hAnsi="Times New Roman" w:cs="Times New Roman" w:eastAsiaTheme="minorEastAsia"/>
                <w:color w:val="000000" w:themeColor="text1"/>
                <w:vertAlign w:val="superscript"/>
                <w14:textFill>
                  <w14:solidFill>
                    <w14:schemeClr w14:val="tx1"/>
                  </w14:solidFill>
                </w14:textFill>
              </w:rPr>
              <w:t>3</w:t>
            </w:r>
            <w:r>
              <w:rPr>
                <w:rFonts w:hint="default" w:ascii="Times New Roman" w:hAnsi="Times New Roman" w:cs="Times New Roman" w:eastAsiaTheme="minorEastAsia"/>
                <w:color w:val="000000" w:themeColor="text1"/>
                <w14:textFill>
                  <w14:solidFill>
                    <w14:schemeClr w14:val="tx1"/>
                  </w14:solidFill>
                </w14:textFill>
              </w:rPr>
              <w:t>；林格曼黑度≤1）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9" w:hRule="atLeast"/>
          <w:jc w:val="center"/>
        </w:trPr>
        <w:tc>
          <w:tcPr>
            <w:tcW w:w="717" w:type="dxa"/>
            <w:vMerge w:val="restart"/>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fldChar w:fldCharType="begin"/>
            </w:r>
            <w:r>
              <w:rPr>
                <w:rFonts w:hint="default" w:ascii="Times New Roman" w:hAnsi="Times New Roman" w:cs="Times New Roman" w:eastAsiaTheme="minorEastAsia"/>
                <w:color w:val="000000" w:themeColor="text1"/>
                <w14:textFill>
                  <w14:solidFill>
                    <w14:schemeClr w14:val="tx1"/>
                  </w14:solidFill>
                </w14:textFill>
              </w:rPr>
              <w:instrText xml:space="preserve"> = 4 \* GB3 </w:instrText>
            </w:r>
            <w:r>
              <w:rPr>
                <w:rFonts w:hint="default" w:ascii="Times New Roman" w:hAnsi="Times New Roman" w:cs="Times New Roman" w:eastAsiaTheme="minorEastAsia"/>
                <w:color w:val="000000" w:themeColor="text1"/>
                <w14:textFill>
                  <w14:solidFill>
                    <w14:schemeClr w14:val="tx1"/>
                  </w14:solidFill>
                </w14:textFill>
              </w:rPr>
              <w:fldChar w:fldCharType="separate"/>
            </w:r>
            <w:r>
              <w:rPr>
                <w:rFonts w:hint="default" w:ascii="Times New Roman" w:hAnsi="Times New Roman" w:cs="Times New Roman" w:eastAsiaTheme="minorEastAsia"/>
                <w:color w:val="000000" w:themeColor="text1"/>
                <w14:textFill>
                  <w14:solidFill>
                    <w14:schemeClr w14:val="tx1"/>
                  </w14:solidFill>
                </w14:textFill>
              </w:rPr>
              <w:t>④</w:t>
            </w:r>
            <w:r>
              <w:rPr>
                <w:rFonts w:hint="default" w:ascii="Times New Roman" w:hAnsi="Times New Roman" w:cs="Times New Roman" w:eastAsiaTheme="minorEastAsia"/>
                <w:color w:val="000000" w:themeColor="text1"/>
                <w14:textFill>
                  <w14:solidFill>
                    <w14:schemeClr w14:val="tx1"/>
                  </w14:solidFill>
                </w14:textFill>
              </w:rPr>
              <w:fldChar w:fldCharType="end"/>
            </w:r>
          </w:p>
        </w:tc>
        <w:tc>
          <w:tcPr>
            <w:tcW w:w="1652" w:type="dxa"/>
            <w:vMerge w:val="restart"/>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无组织排放</w:t>
            </w:r>
          </w:p>
        </w:tc>
        <w:tc>
          <w:tcPr>
            <w:tcW w:w="5954" w:type="dxa"/>
            <w:tcBorders>
              <w:bottom w:val="single" w:color="auto" w:sz="4" w:space="0"/>
            </w:tcBorders>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牛舍、粪污处理区恶臭，喷洒添加EM菌生物除臭剂，厂区种植高大树木减少无组织逸散</w:t>
            </w:r>
          </w:p>
        </w:tc>
        <w:tc>
          <w:tcPr>
            <w:tcW w:w="5541" w:type="dxa"/>
            <w:tcBorders>
              <w:bottom w:val="single" w:color="auto" w:sz="4" w:space="0"/>
            </w:tcBorders>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厂界H</w:t>
            </w:r>
            <w:r>
              <w:rPr>
                <w:rFonts w:hint="default" w:ascii="Times New Roman" w:hAnsi="Times New Roman" w:cs="Times New Roman" w:eastAsiaTheme="minorEastAsia"/>
                <w:color w:val="000000" w:themeColor="text1"/>
                <w:vertAlign w:val="subscript"/>
                <w14:textFill>
                  <w14:solidFill>
                    <w14:schemeClr w14:val="tx1"/>
                  </w14:solidFill>
                </w14:textFill>
              </w:rPr>
              <w:t>2</w:t>
            </w:r>
            <w:r>
              <w:rPr>
                <w:rFonts w:hint="default" w:ascii="Times New Roman" w:hAnsi="Times New Roman" w:cs="Times New Roman" w:eastAsiaTheme="minorEastAsia"/>
                <w:color w:val="000000" w:themeColor="text1"/>
                <w14:textFill>
                  <w14:solidFill>
                    <w14:schemeClr w14:val="tx1"/>
                  </w14:solidFill>
                </w14:textFill>
              </w:rPr>
              <w:t>S、NH</w:t>
            </w:r>
            <w:r>
              <w:rPr>
                <w:rFonts w:hint="default" w:ascii="Times New Roman" w:hAnsi="Times New Roman" w:cs="Times New Roman" w:eastAsiaTheme="minorEastAsia"/>
                <w:color w:val="000000" w:themeColor="text1"/>
                <w:vertAlign w:val="subscript"/>
                <w14:textFill>
                  <w14:solidFill>
                    <w14:schemeClr w14:val="tx1"/>
                  </w14:solidFill>
                </w14:textFill>
              </w:rPr>
              <w:t>3</w:t>
            </w:r>
            <w:r>
              <w:rPr>
                <w:rFonts w:hint="default" w:ascii="Times New Roman" w:hAnsi="Times New Roman" w:cs="Times New Roman" w:eastAsiaTheme="minorEastAsia"/>
                <w:color w:val="000000" w:themeColor="text1"/>
                <w14:textFill>
                  <w14:solidFill>
                    <w14:schemeClr w14:val="tx1"/>
                  </w14:solidFill>
                </w14:textFill>
              </w:rPr>
              <w:t>满足《恶臭污染物排放标准》（GB14554-1993）表2标准限值（氨浓度1.5mg/m</w:t>
            </w:r>
            <w:r>
              <w:rPr>
                <w:rFonts w:hint="default" w:ascii="Times New Roman" w:hAnsi="Times New Roman" w:cs="Times New Roman" w:eastAsiaTheme="minorEastAsia"/>
                <w:color w:val="000000" w:themeColor="text1"/>
                <w:vertAlign w:val="superscript"/>
                <w14:textFill>
                  <w14:solidFill>
                    <w14:schemeClr w14:val="tx1"/>
                  </w14:solidFill>
                </w14:textFill>
              </w:rPr>
              <w:t>3</w:t>
            </w:r>
            <w:r>
              <w:rPr>
                <w:rFonts w:hint="default" w:ascii="Times New Roman" w:hAnsi="Times New Roman" w:cs="Times New Roman" w:eastAsiaTheme="minorEastAsia"/>
                <w:color w:val="000000" w:themeColor="text1"/>
                <w14:textFill>
                  <w14:solidFill>
                    <w14:schemeClr w14:val="tx1"/>
                  </w14:solidFill>
                </w14:textFill>
              </w:rPr>
              <w:t>，硫化氢0.06mg/m</w:t>
            </w:r>
            <w:r>
              <w:rPr>
                <w:rFonts w:hint="default" w:ascii="Times New Roman" w:hAnsi="Times New Roman" w:cs="Times New Roman" w:eastAsiaTheme="minorEastAsia"/>
                <w:color w:val="000000" w:themeColor="text1"/>
                <w:vertAlign w:val="superscript"/>
                <w14:textFill>
                  <w14:solidFill>
                    <w14:schemeClr w14:val="tx1"/>
                  </w14:solidFill>
                </w14:textFill>
              </w:rPr>
              <w:t>3</w:t>
            </w:r>
            <w:r>
              <w:rPr>
                <w:rFonts w:hint="default" w:ascii="Times New Roman" w:hAnsi="Times New Roman" w:cs="Times New Roman" w:eastAsiaTheme="minorEastAsia"/>
                <w:color w:val="000000" w:themeColor="text1"/>
                <w14:textFill>
                  <w14:solidFill>
                    <w14:schemeClr w14:val="tx1"/>
                  </w14:solidFill>
                </w14:textFill>
              </w:rPr>
              <w:t>）；臭气浓度满足《畜禽养殖业污染物排放标准》（GB18596-2001）中表7标准限值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17" w:type="dxa"/>
            <w:vMerge w:val="continue"/>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p>
        </w:tc>
        <w:tc>
          <w:tcPr>
            <w:tcW w:w="1652" w:type="dxa"/>
            <w:vMerge w:val="continue"/>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p>
        </w:tc>
        <w:tc>
          <w:tcPr>
            <w:tcW w:w="5954" w:type="dxa"/>
            <w:tcBorders>
              <w:bottom w:val="single" w:color="auto" w:sz="2" w:space="0"/>
            </w:tcBorders>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饲料加工无组织粉尘</w:t>
            </w:r>
          </w:p>
        </w:tc>
        <w:tc>
          <w:tcPr>
            <w:tcW w:w="5541" w:type="dxa"/>
            <w:tcBorders>
              <w:bottom w:val="single" w:color="auto" w:sz="2" w:space="0"/>
            </w:tcBorders>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厂界颗粒物浓度满足《大气污染物综合排放标准》（GB16297-1996）表2无组织排放监控浓度限值（排放浓度：颗粒物1.0mg/m</w:t>
            </w:r>
            <w:r>
              <w:rPr>
                <w:rFonts w:hint="default" w:ascii="Times New Roman" w:hAnsi="Times New Roman" w:cs="Times New Roman" w:eastAsiaTheme="minorEastAsia"/>
                <w:color w:val="000000" w:themeColor="text1"/>
                <w:vertAlign w:val="superscript"/>
                <w14:textFill>
                  <w14:solidFill>
                    <w14:schemeClr w14:val="tx1"/>
                  </w14:solidFill>
                </w14:textFill>
              </w:rPr>
              <w:t>3</w:t>
            </w:r>
            <w:r>
              <w:rPr>
                <w:rFonts w:hint="default" w:ascii="Times New Roman" w:hAnsi="Times New Roman" w:cs="Times New Roman" w:eastAsiaTheme="minor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864" w:type="dxa"/>
            <w:gridSpan w:val="4"/>
            <w:vAlign w:val="center"/>
          </w:tcPr>
          <w:p>
            <w:pPr>
              <w:pStyle w:val="666"/>
              <w:spacing w:line="320" w:lineRule="exact"/>
              <w:rPr>
                <w:rFonts w:hint="default" w:ascii="Times New Roman" w:hAnsi="Times New Roman" w:cs="Times New Roman" w:eastAsiaTheme="minorEastAsia"/>
                <w:b/>
                <w:color w:val="000000" w:themeColor="text1"/>
                <w14:textFill>
                  <w14:solidFill>
                    <w14:schemeClr w14:val="tx1"/>
                  </w14:solidFill>
                </w14:textFill>
              </w:rPr>
            </w:pPr>
            <w:r>
              <w:rPr>
                <w:rFonts w:hint="default" w:ascii="Times New Roman" w:hAnsi="Times New Roman" w:cs="Times New Roman" w:eastAsiaTheme="minorEastAsia"/>
                <w:b/>
                <w:color w:val="000000" w:themeColor="text1"/>
                <w14:textFill>
                  <w14:solidFill>
                    <w14:schemeClr w14:val="tx1"/>
                  </w14:solidFill>
                </w14:textFill>
              </w:rPr>
              <w:t>2、废水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7" w:type="dxa"/>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①</w:t>
            </w:r>
          </w:p>
        </w:tc>
        <w:tc>
          <w:tcPr>
            <w:tcW w:w="1652" w:type="dxa"/>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黑膜沼气池</w:t>
            </w:r>
          </w:p>
        </w:tc>
        <w:tc>
          <w:tcPr>
            <w:tcW w:w="5954" w:type="dxa"/>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一座，容积5400m</w:t>
            </w:r>
            <w:r>
              <w:rPr>
                <w:rFonts w:hint="default" w:ascii="Times New Roman" w:hAnsi="Times New Roman" w:cs="Times New Roman" w:eastAsiaTheme="minorEastAsia"/>
                <w:color w:val="000000" w:themeColor="text1"/>
                <w:vertAlign w:val="superscript"/>
                <w14:textFill>
                  <w14:solidFill>
                    <w14:schemeClr w14:val="tx1"/>
                  </w14:solidFill>
                </w14:textFill>
              </w:rPr>
              <w:t>3</w:t>
            </w:r>
          </w:p>
        </w:tc>
        <w:tc>
          <w:tcPr>
            <w:tcW w:w="5541" w:type="dxa"/>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黑膜沼气池发酵，定期还田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17" w:type="dxa"/>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②</w:t>
            </w:r>
          </w:p>
        </w:tc>
        <w:tc>
          <w:tcPr>
            <w:tcW w:w="1652" w:type="dxa"/>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雨水</w:t>
            </w:r>
          </w:p>
        </w:tc>
        <w:tc>
          <w:tcPr>
            <w:tcW w:w="5954" w:type="dxa"/>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雨污分流</w:t>
            </w:r>
          </w:p>
        </w:tc>
        <w:tc>
          <w:tcPr>
            <w:tcW w:w="5541" w:type="dxa"/>
            <w:vAlign w:val="center"/>
          </w:tcPr>
          <w:p>
            <w:pPr>
              <w:pStyle w:val="666"/>
              <w:spacing w:line="320" w:lineRule="exact"/>
              <w:rPr>
                <w:rFonts w:hint="default" w:ascii="Times New Roman" w:hAnsi="Times New Roman" w:cs="Times New Roman" w:eastAsiaTheme="minorEastAsia"/>
                <w:color w:val="000000" w:themeColor="text1"/>
                <w:spacing w:val="-10"/>
                <w14:textFill>
                  <w14:solidFill>
                    <w14:schemeClr w14:val="tx1"/>
                  </w14:solidFill>
                </w14:textFill>
              </w:rPr>
            </w:pPr>
            <w:r>
              <w:rPr>
                <w:rFonts w:hint="default" w:ascii="Times New Roman" w:hAnsi="Times New Roman" w:cs="Times New Roman" w:eastAsiaTheme="minorEastAsia"/>
                <w:color w:val="000000" w:themeColor="text1"/>
                <w:spacing w:val="-10"/>
                <w14:textFill>
                  <w14:solidFill>
                    <w14:schemeClr w14:val="tx1"/>
                  </w14:solidFill>
                </w14:textFill>
              </w:rPr>
              <w:t>厂区内设置雨水雨水收集管沟，雨水汇流后排至厂区外边沟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3864" w:type="dxa"/>
            <w:gridSpan w:val="4"/>
            <w:vAlign w:val="center"/>
          </w:tcPr>
          <w:p>
            <w:pPr>
              <w:pStyle w:val="666"/>
              <w:spacing w:line="320" w:lineRule="exact"/>
              <w:rPr>
                <w:rFonts w:hint="default" w:ascii="Times New Roman" w:hAnsi="Times New Roman" w:cs="Times New Roman" w:eastAsiaTheme="minorEastAsia"/>
                <w:b/>
                <w:color w:val="000000" w:themeColor="text1"/>
                <w14:textFill>
                  <w14:solidFill>
                    <w14:schemeClr w14:val="tx1"/>
                  </w14:solidFill>
                </w14:textFill>
              </w:rPr>
            </w:pPr>
            <w:r>
              <w:rPr>
                <w:rFonts w:hint="default" w:ascii="Times New Roman" w:hAnsi="Times New Roman" w:cs="Times New Roman" w:eastAsiaTheme="minorEastAsia"/>
                <w:b/>
                <w:color w:val="000000" w:themeColor="text1"/>
                <w14:textFill>
                  <w14:solidFill>
                    <w14:schemeClr w14:val="tx1"/>
                  </w14:solidFill>
                </w14:textFill>
              </w:rPr>
              <w:t>3、固废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17" w:type="dxa"/>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①</w:t>
            </w:r>
          </w:p>
        </w:tc>
        <w:tc>
          <w:tcPr>
            <w:tcW w:w="1652" w:type="dxa"/>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危废暂存间</w:t>
            </w:r>
          </w:p>
        </w:tc>
        <w:tc>
          <w:tcPr>
            <w:tcW w:w="5954" w:type="dxa"/>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一座，20m</w:t>
            </w:r>
            <w:r>
              <w:rPr>
                <w:rFonts w:hint="default" w:ascii="Times New Roman" w:hAnsi="Times New Roman" w:cs="Times New Roman" w:eastAsiaTheme="minorEastAsia"/>
                <w:color w:val="000000" w:themeColor="text1"/>
                <w:vertAlign w:val="superscript"/>
                <w14:textFill>
                  <w14:solidFill>
                    <w14:schemeClr w14:val="tx1"/>
                  </w14:solidFill>
                </w14:textFill>
              </w:rPr>
              <w:t>2</w:t>
            </w:r>
            <w:r>
              <w:rPr>
                <w:rFonts w:hint="default" w:ascii="Times New Roman" w:hAnsi="Times New Roman" w:cs="Times New Roman" w:eastAsiaTheme="minorEastAsia"/>
                <w:color w:val="000000" w:themeColor="text1"/>
                <w14:textFill>
                  <w14:solidFill>
                    <w14:schemeClr w14:val="tx1"/>
                  </w14:solidFill>
                </w14:textFill>
              </w:rPr>
              <w:t>，位于厂区</w:t>
            </w:r>
            <w:r>
              <w:rPr>
                <w:rFonts w:hint="default" w:ascii="Times New Roman" w:hAnsi="Times New Roman" w:cs="Times New Roman" w:eastAsiaTheme="minorEastAsia"/>
                <w:color w:val="auto"/>
                <w:highlight w:val="none"/>
              </w:rPr>
              <w:t>南</w:t>
            </w:r>
            <w:r>
              <w:rPr>
                <w:rFonts w:hint="default" w:ascii="Times New Roman" w:hAnsi="Times New Roman" w:cs="Times New Roman" w:eastAsiaTheme="minorEastAsia"/>
                <w:color w:val="000000" w:themeColor="text1"/>
                <w14:textFill>
                  <w14:solidFill>
                    <w14:schemeClr w14:val="tx1"/>
                  </w14:solidFill>
                </w14:textFill>
              </w:rPr>
              <w:t xml:space="preserve">侧 </w:t>
            </w:r>
          </w:p>
        </w:tc>
        <w:tc>
          <w:tcPr>
            <w:tcW w:w="5541" w:type="dxa"/>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满足《危险废物贮存污染控制标准》（GB18597-2001）及其修改单要求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3864" w:type="dxa"/>
            <w:gridSpan w:val="4"/>
            <w:vAlign w:val="center"/>
          </w:tcPr>
          <w:p>
            <w:pPr>
              <w:pStyle w:val="666"/>
              <w:spacing w:line="320" w:lineRule="exact"/>
              <w:rPr>
                <w:rFonts w:hint="default" w:ascii="Times New Roman" w:hAnsi="Times New Roman" w:cs="Times New Roman" w:eastAsiaTheme="minorEastAsia"/>
                <w:b/>
                <w:color w:val="000000" w:themeColor="text1"/>
                <w14:textFill>
                  <w14:solidFill>
                    <w14:schemeClr w14:val="tx1"/>
                  </w14:solidFill>
                </w14:textFill>
              </w:rPr>
            </w:pPr>
            <w:r>
              <w:rPr>
                <w:rFonts w:hint="default" w:ascii="Times New Roman" w:hAnsi="Times New Roman" w:cs="Times New Roman" w:eastAsiaTheme="minorEastAsia"/>
                <w:b/>
                <w:color w:val="000000" w:themeColor="text1"/>
                <w14:textFill>
                  <w14:solidFill>
                    <w14:schemeClr w14:val="tx1"/>
                  </w14:solidFill>
                </w14:textFill>
              </w:rPr>
              <w:t>4、地下水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17" w:type="dxa"/>
            <w:tcBorders>
              <w:bottom w:val="single" w:color="auto" w:sz="2" w:space="0"/>
            </w:tcBorders>
            <w:vAlign w:val="center"/>
          </w:tcPr>
          <w:p>
            <w:pPr>
              <w:pStyle w:val="666"/>
              <w:spacing w:line="300" w:lineRule="exact"/>
              <w:rPr>
                <w:rFonts w:hint="default" w:ascii="Times New Roman" w:hAnsi="Times New Roman" w:cs="Times New Roman" w:eastAsiaTheme="minorEastAsia"/>
                <w:b/>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①</w:t>
            </w:r>
          </w:p>
        </w:tc>
        <w:tc>
          <w:tcPr>
            <w:tcW w:w="1652" w:type="dxa"/>
            <w:tcBorders>
              <w:bottom w:val="single" w:color="auto" w:sz="2" w:space="0"/>
            </w:tcBorders>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重点防渗区</w:t>
            </w:r>
          </w:p>
        </w:tc>
        <w:tc>
          <w:tcPr>
            <w:tcW w:w="5954" w:type="dxa"/>
            <w:tcBorders>
              <w:bottom w:val="single" w:color="auto" w:sz="2" w:space="0"/>
            </w:tcBorders>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危废暂存间</w:t>
            </w:r>
          </w:p>
        </w:tc>
        <w:tc>
          <w:tcPr>
            <w:tcW w:w="5541" w:type="dxa"/>
            <w:tcBorders>
              <w:bottom w:val="single" w:color="auto" w:sz="2" w:space="0"/>
            </w:tcBorders>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采用2mm厚</w:t>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"http://baike.baidu.com/view/1012701.htm" \t "_blank"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color w:val="000000" w:themeColor="text1"/>
                <w14:textFill>
                  <w14:solidFill>
                    <w14:schemeClr w14:val="tx1"/>
                  </w14:solidFill>
                </w14:textFill>
              </w:rPr>
              <w:t>高密度聚乙烯</w:t>
            </w:r>
            <w:r>
              <w:rPr>
                <w:rFonts w:hint="default" w:ascii="Times New Roman" w:hAnsi="Times New Roman" w:cs="Times New Roman" w:eastAsiaTheme="minorEastAsia"/>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14:textFill>
                  <w14:solidFill>
                    <w14:schemeClr w14:val="tx1"/>
                  </w14:solidFill>
                </w14:textFill>
              </w:rPr>
              <w:t>膜（渗透系数≤10</w:t>
            </w:r>
            <w:r>
              <w:rPr>
                <w:rFonts w:hint="default" w:ascii="Times New Roman" w:hAnsi="Times New Roman" w:cs="Times New Roman" w:eastAsiaTheme="minorEastAsia"/>
                <w:color w:val="000000" w:themeColor="text1"/>
                <w:vertAlign w:val="superscript"/>
                <w14:textFill>
                  <w14:solidFill>
                    <w14:schemeClr w14:val="tx1"/>
                  </w14:solidFill>
                </w14:textFill>
              </w:rPr>
              <w:t>-10</w:t>
            </w:r>
            <w:r>
              <w:rPr>
                <w:rFonts w:hint="default" w:ascii="Times New Roman" w:hAnsi="Times New Roman" w:cs="Times New Roman" w:eastAsiaTheme="minorEastAsia"/>
                <w:color w:val="000000" w:themeColor="text1"/>
                <w14:textFill>
                  <w14:solidFill>
                    <w14:schemeClr w14:val="tx1"/>
                  </w14:solidFill>
                </w14:textFill>
              </w:rPr>
              <w:t>cm/s）+25cm防渗混凝土（防渗等级P6），满足《危险废物贮存污染控制标准》（GB18597-2001）及其修改单要求；同时也满足《环境影响评价技术导则 地下水环境》（HJ610-2016）中等效粘土防渗层Mb≥6.0m、K≤1.0×10</w:t>
            </w:r>
            <w:r>
              <w:rPr>
                <w:rFonts w:hint="default" w:ascii="Times New Roman" w:hAnsi="Times New Roman" w:cs="Times New Roman" w:eastAsiaTheme="minorEastAsia"/>
                <w:color w:val="000000" w:themeColor="text1"/>
                <w:vertAlign w:val="superscript"/>
                <w14:textFill>
                  <w14:solidFill>
                    <w14:schemeClr w14:val="tx1"/>
                  </w14:solidFill>
                </w14:textFill>
              </w:rPr>
              <w:t>-7</w:t>
            </w:r>
            <w:r>
              <w:rPr>
                <w:rFonts w:hint="default" w:ascii="Times New Roman" w:hAnsi="Times New Roman" w:cs="Times New Roman" w:eastAsiaTheme="minorEastAsia"/>
                <w:color w:val="000000" w:themeColor="text1"/>
                <w14:textFill>
                  <w14:solidFill>
                    <w14:schemeClr w14:val="tx1"/>
                  </w14:solidFill>
                </w14:textFill>
              </w:rPr>
              <w:t>cm/s的重点防渗要求。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17" w:type="dxa"/>
            <w:tcBorders>
              <w:top w:val="single" w:color="auto" w:sz="2" w:space="0"/>
            </w:tcBorders>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②</w:t>
            </w:r>
          </w:p>
        </w:tc>
        <w:tc>
          <w:tcPr>
            <w:tcW w:w="1652" w:type="dxa"/>
            <w:tcBorders>
              <w:top w:val="single" w:color="auto" w:sz="2" w:space="0"/>
            </w:tcBorders>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一般防渗区</w:t>
            </w:r>
          </w:p>
        </w:tc>
        <w:tc>
          <w:tcPr>
            <w:tcW w:w="5954" w:type="dxa"/>
            <w:tcBorders>
              <w:top w:val="single" w:color="auto" w:sz="2" w:space="0"/>
            </w:tcBorders>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固液分离间、黑膜沼气池、沼液储池</w:t>
            </w:r>
          </w:p>
        </w:tc>
        <w:tc>
          <w:tcPr>
            <w:tcW w:w="5541" w:type="dxa"/>
            <w:tcBorders>
              <w:top w:val="single" w:color="auto" w:sz="2" w:space="0"/>
            </w:tcBorders>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采用25cm厚度的防渗混凝土（防渗等级P6），K≤10</w:t>
            </w:r>
            <w:r>
              <w:rPr>
                <w:rFonts w:hint="default" w:ascii="Times New Roman" w:hAnsi="Times New Roman" w:cs="Times New Roman" w:eastAsiaTheme="minorEastAsia"/>
                <w:color w:val="000000" w:themeColor="text1"/>
                <w:vertAlign w:val="superscript"/>
                <w14:textFill>
                  <w14:solidFill>
                    <w14:schemeClr w14:val="tx1"/>
                  </w14:solidFill>
                </w14:textFill>
              </w:rPr>
              <w:t>-7</w:t>
            </w:r>
            <w:r>
              <w:rPr>
                <w:rFonts w:hint="default" w:ascii="Times New Roman" w:hAnsi="Times New Roman" w:cs="Times New Roman" w:eastAsiaTheme="minorEastAsia"/>
                <w:color w:val="000000" w:themeColor="text1"/>
                <w14:textFill>
                  <w14:solidFill>
                    <w14:schemeClr w14:val="tx1"/>
                  </w14:solidFill>
                </w14:textFill>
              </w:rPr>
              <w:t>cm/s，防渗技术满足等效粘土防渗层Mb≥1.5m、K≤1.0×10</w:t>
            </w:r>
            <w:r>
              <w:rPr>
                <w:rFonts w:hint="default" w:ascii="Times New Roman" w:hAnsi="Times New Roman" w:cs="Times New Roman" w:eastAsiaTheme="minorEastAsia"/>
                <w:color w:val="000000" w:themeColor="text1"/>
                <w:vertAlign w:val="superscript"/>
                <w14:textFill>
                  <w14:solidFill>
                    <w14:schemeClr w14:val="tx1"/>
                  </w14:solidFill>
                </w14:textFill>
              </w:rPr>
              <w:t>-7</w:t>
            </w:r>
            <w:r>
              <w:rPr>
                <w:rFonts w:hint="default" w:ascii="Times New Roman" w:hAnsi="Times New Roman" w:cs="Times New Roman" w:eastAsiaTheme="minorEastAsia"/>
                <w:color w:val="000000" w:themeColor="text1"/>
                <w14:textFill>
                  <w14:solidFill>
                    <w14:schemeClr w14:val="tx1"/>
                  </w14:solidFill>
                </w14:textFill>
              </w:rPr>
              <w:t>cm/s要求，满足《环境影响评价技术导则 地下水环境》（HJ610-2016）一般防渗要求。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7" w:type="dxa"/>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③</w:t>
            </w:r>
          </w:p>
        </w:tc>
        <w:tc>
          <w:tcPr>
            <w:tcW w:w="1652" w:type="dxa"/>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简单防渗区</w:t>
            </w:r>
          </w:p>
        </w:tc>
        <w:tc>
          <w:tcPr>
            <w:tcW w:w="5954" w:type="dxa"/>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除重点防渗区、一般防渗区、绿化用地外其他建筑物区域外</w:t>
            </w:r>
          </w:p>
        </w:tc>
        <w:tc>
          <w:tcPr>
            <w:tcW w:w="5541" w:type="dxa"/>
            <w:vAlign w:val="center"/>
          </w:tcPr>
          <w:p>
            <w:pPr>
              <w:pStyle w:val="666"/>
              <w:spacing w:line="30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一般地面硬化，满足《环境影响评价技术导则 地下水环境》（HJ610-2016）简单防渗要求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17" w:type="dxa"/>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④</w:t>
            </w:r>
          </w:p>
        </w:tc>
        <w:tc>
          <w:tcPr>
            <w:tcW w:w="1652" w:type="dxa"/>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14:textFill>
                  <w14:solidFill>
                    <w14:schemeClr w14:val="tx1"/>
                  </w14:solidFill>
                </w14:textFill>
              </w:rPr>
              <w:t>地下水监测井</w:t>
            </w:r>
          </w:p>
        </w:tc>
        <w:tc>
          <w:tcPr>
            <w:tcW w:w="5954" w:type="dxa"/>
            <w:vAlign w:val="center"/>
          </w:tcPr>
          <w:p>
            <w:pPr>
              <w:pStyle w:val="666"/>
              <w:spacing w:line="320" w:lineRule="exact"/>
              <w:rPr>
                <w:rFonts w:hint="default" w:ascii="Times New Roman" w:hAnsi="Times New Roman" w:cs="Times New Roman" w:eastAsiaTheme="minorEastAsia"/>
                <w:snapToGrid w:val="0"/>
                <w:color w:val="auto"/>
                <w:highlight w:val="none"/>
                <w:lang w:val="en-US" w:eastAsia="zh-CN"/>
              </w:rPr>
            </w:pPr>
            <w:r>
              <w:rPr>
                <w:rFonts w:hint="default" w:ascii="Times New Roman" w:hAnsi="Times New Roman" w:cs="Times New Roman" w:eastAsiaTheme="minorEastAsia"/>
                <w:snapToGrid w:val="0"/>
                <w:color w:val="auto"/>
                <w:highlight w:val="none"/>
              </w:rPr>
              <w:t xml:space="preserve">厂址地下水径流下游1眼，潜水层，N </w:t>
            </w:r>
            <w:r>
              <w:rPr>
                <w:rFonts w:hint="default" w:ascii="Times New Roman" w:hAnsi="Times New Roman" w:cs="Times New Roman" w:eastAsiaTheme="minorEastAsia"/>
                <w:snapToGrid w:val="0"/>
                <w:color w:val="auto"/>
                <w:highlight w:val="none"/>
                <w:lang w:val="en-US" w:eastAsia="zh-CN"/>
              </w:rPr>
              <w:t>46.509084</w:t>
            </w:r>
            <w:r>
              <w:rPr>
                <w:rFonts w:hint="default" w:ascii="Times New Roman" w:hAnsi="Times New Roman" w:cs="Times New Roman" w:eastAsiaTheme="minorEastAsia"/>
                <w:snapToGrid w:val="0"/>
                <w:color w:val="auto"/>
                <w:highlight w:val="none"/>
              </w:rPr>
              <w:t>，E</w:t>
            </w:r>
            <w:r>
              <w:rPr>
                <w:rFonts w:hint="default" w:ascii="Times New Roman" w:hAnsi="Times New Roman" w:cs="Times New Roman" w:eastAsiaTheme="minorEastAsia"/>
                <w:snapToGrid w:val="0"/>
                <w:color w:val="auto"/>
                <w:highlight w:val="none"/>
                <w:lang w:val="en-US" w:eastAsia="zh-CN"/>
              </w:rPr>
              <w:t>125.475497</w:t>
            </w:r>
          </w:p>
        </w:tc>
        <w:tc>
          <w:tcPr>
            <w:tcW w:w="5541" w:type="dxa"/>
            <w:vAlign w:val="center"/>
          </w:tcPr>
          <w:p>
            <w:pPr>
              <w:pStyle w:val="666"/>
              <w:spacing w:line="320" w:lineRule="exac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snapToGrid w:val="0"/>
                <w:color w:val="auto"/>
                <w:highlight w:val="none"/>
              </w:rPr>
              <w:t>对地下水水质进行监控，满足《地下水质量标准》（GB/T14848-2017）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13864" w:type="dxa"/>
            <w:gridSpan w:val="4"/>
            <w:vAlign w:val="center"/>
          </w:tcPr>
          <w:p>
            <w:pPr>
              <w:pStyle w:val="666"/>
              <w:spacing w:line="320" w:lineRule="exact"/>
              <w:rPr>
                <w:rFonts w:hint="default" w:ascii="Times New Roman" w:hAnsi="Times New Roman" w:cs="Times New Roman" w:eastAsiaTheme="minorEastAsia"/>
                <w:b/>
                <w:snapToGrid w:val="0"/>
                <w:color w:val="000000" w:themeColor="text1"/>
                <w14:textFill>
                  <w14:solidFill>
                    <w14:schemeClr w14:val="tx1"/>
                  </w14:solidFill>
                </w14:textFill>
              </w:rPr>
            </w:pPr>
            <w:r>
              <w:rPr>
                <w:rFonts w:hint="default" w:ascii="Times New Roman" w:hAnsi="Times New Roman" w:cs="Times New Roman" w:eastAsiaTheme="minorEastAsia"/>
                <w:b/>
                <w:snapToGrid w:val="0"/>
                <w:color w:val="000000" w:themeColor="text1"/>
                <w14:textFill>
                  <w14:solidFill>
                    <w14:schemeClr w14:val="tx1"/>
                  </w14:solidFill>
                </w14:textFill>
              </w:rPr>
              <w:t>5、噪声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7" w:type="dxa"/>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①</w:t>
            </w:r>
          </w:p>
        </w:tc>
        <w:tc>
          <w:tcPr>
            <w:tcW w:w="1652" w:type="dxa"/>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风机、水泵噪声</w:t>
            </w:r>
          </w:p>
        </w:tc>
        <w:tc>
          <w:tcPr>
            <w:tcW w:w="5954" w:type="dxa"/>
            <w:vAlign w:val="center"/>
          </w:tcPr>
          <w:p>
            <w:pPr>
              <w:pStyle w:val="666"/>
              <w:spacing w:line="320" w:lineRule="exact"/>
              <w:rPr>
                <w:rFonts w:hint="default" w:ascii="Times New Roman" w:hAnsi="Times New Roman" w:cs="Times New Roman" w:eastAsiaTheme="minorEastAsia"/>
                <w:color w:val="000000" w:themeColor="text1"/>
                <w:spacing w:val="-20"/>
                <w:lang w:val="zh-CN"/>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采用低噪声设备，同时采取基础减振、隔声、软管连接等措施。</w:t>
            </w:r>
          </w:p>
        </w:tc>
        <w:tc>
          <w:tcPr>
            <w:tcW w:w="5541" w:type="dxa"/>
            <w:vAlign w:val="center"/>
          </w:tcPr>
          <w:p>
            <w:pPr>
              <w:pStyle w:val="666"/>
              <w:spacing w:line="320" w:lineRule="exact"/>
              <w:rPr>
                <w:rFonts w:hint="default" w:ascii="Times New Roman" w:hAnsi="Times New Roman" w:cs="Times New Roman" w:eastAsiaTheme="minorEastAsia"/>
                <w:snapToGrid w:val="0"/>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满足《工业企业厂界环境噪声排放标准》（GB12348-2008）2类限值要求（昼间≤60dB(A)，夜间≤50dB(A)）。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864" w:type="dxa"/>
            <w:gridSpan w:val="4"/>
            <w:vAlign w:val="center"/>
          </w:tcPr>
          <w:p>
            <w:pPr>
              <w:pStyle w:val="666"/>
              <w:spacing w:line="320" w:lineRule="exact"/>
              <w:rPr>
                <w:rFonts w:hint="default" w:ascii="Times New Roman" w:hAnsi="Times New Roman" w:cs="Times New Roman" w:eastAsiaTheme="minorEastAsia"/>
                <w:b/>
                <w:color w:val="000000" w:themeColor="text1"/>
                <w14:textFill>
                  <w14:solidFill>
                    <w14:schemeClr w14:val="tx1"/>
                  </w14:solidFill>
                </w14:textFill>
              </w:rPr>
            </w:pPr>
            <w:r>
              <w:rPr>
                <w:rFonts w:hint="default" w:ascii="Times New Roman" w:hAnsi="Times New Roman" w:cs="Times New Roman" w:eastAsiaTheme="minorEastAsia"/>
                <w:b/>
                <w:color w:val="000000" w:themeColor="text1"/>
                <w14:textFill>
                  <w14:solidFill>
                    <w14:schemeClr w14:val="tx1"/>
                  </w14:solidFill>
                </w14:textFill>
              </w:rPr>
              <w:t>6、其他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7" w:type="dxa"/>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①</w:t>
            </w:r>
          </w:p>
        </w:tc>
        <w:tc>
          <w:tcPr>
            <w:tcW w:w="1652" w:type="dxa"/>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排污口规范化</w:t>
            </w:r>
          </w:p>
        </w:tc>
        <w:tc>
          <w:tcPr>
            <w:tcW w:w="5954" w:type="dxa"/>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废气排放口、噪声源、危险固体废物储存</w:t>
            </w:r>
          </w:p>
        </w:tc>
        <w:tc>
          <w:tcPr>
            <w:tcW w:w="5541" w:type="dxa"/>
            <w:vAlign w:val="center"/>
          </w:tcPr>
          <w:p>
            <w:pPr>
              <w:pStyle w:val="666"/>
              <w:spacing w:line="320" w:lineRule="exac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《排污许可管理条例》（国令第736号）要求</w:t>
            </w:r>
          </w:p>
        </w:tc>
      </w:tr>
    </w:tbl>
    <w:p>
      <w:pPr>
        <w:ind w:firstLine="560"/>
        <w:rPr>
          <w:rFonts w:hint="default" w:ascii="Times New Roman" w:hAnsi="Times New Roman" w:cs="Times New Roman" w:eastAsiaTheme="minorEastAsia"/>
          <w:color w:val="000000" w:themeColor="text1"/>
          <w:szCs w:val="28"/>
          <w14:textFill>
            <w14:solidFill>
              <w14:schemeClr w14:val="tx1"/>
            </w14:solidFill>
          </w14:textFill>
        </w:rPr>
        <w:sectPr>
          <w:footerReference r:id="rId41" w:type="default"/>
          <w:pgSz w:w="16838" w:h="11906" w:orient="landscape"/>
          <w:pgMar w:top="1701" w:right="1701" w:bottom="1701" w:left="1474" w:header="1134" w:footer="1134" w:gutter="0"/>
          <w:pgBorders>
            <w:top w:val="none" w:sz="0" w:space="0"/>
            <w:left w:val="none" w:sz="0" w:space="0"/>
            <w:bottom w:val="none" w:sz="0" w:space="0"/>
            <w:right w:val="none" w:sz="0" w:space="0"/>
          </w:pgBorders>
          <w:cols w:space="720" w:num="1"/>
          <w:docGrid w:linePitch="312" w:charSpace="0"/>
        </w:sectPr>
      </w:pPr>
    </w:p>
    <w:p>
      <w:pPr>
        <w:pStyle w:val="6"/>
        <w:keepNext/>
        <w:keepLines/>
        <w:pageBreakBefore w:val="0"/>
        <w:widowControl/>
        <w:kinsoku/>
        <w:wordWrap/>
        <w:overflowPunct/>
        <w:topLinePunct w:val="0"/>
        <w:autoSpaceDE/>
        <w:autoSpaceDN/>
        <w:bidi w:val="0"/>
        <w:adjustRightInd w:val="0"/>
        <w:snapToGrid w:val="0"/>
        <w:spacing w:before="0" w:after="0" w:line="500" w:lineRule="exact"/>
        <w:ind w:left="0" w:leftChars="0" w:firstLine="0" w:firstLineChars="0"/>
        <w:textAlignment w:val="auto"/>
        <w:rPr>
          <w:rFonts w:hint="default" w:ascii="Times New Roman" w:hAnsi="Times New Roman" w:cs="Times New Roman" w:eastAsiaTheme="minorEastAsia"/>
          <w:b/>
          <w:bCs w:val="0"/>
          <w:sz w:val="30"/>
          <w:szCs w:val="30"/>
        </w:rPr>
      </w:pPr>
      <w:bookmarkStart w:id="350" w:name="_Toc15991728"/>
      <w:bookmarkStart w:id="351" w:name="_Toc9688"/>
      <w:bookmarkStart w:id="352" w:name="_Toc15991729"/>
      <w:bookmarkStart w:id="353" w:name="_Toc477368705"/>
      <w:r>
        <w:rPr>
          <w:rFonts w:hint="default" w:ascii="Times New Roman" w:hAnsi="Times New Roman" w:cs="Times New Roman" w:eastAsiaTheme="minorEastAsia"/>
          <w:b/>
          <w:bCs w:val="0"/>
          <w:sz w:val="30"/>
          <w:szCs w:val="30"/>
        </w:rPr>
        <w:t>8.</w:t>
      </w:r>
      <w:r>
        <w:rPr>
          <w:rFonts w:hint="default" w:ascii="Times New Roman" w:hAnsi="Times New Roman" w:cs="Times New Roman" w:eastAsiaTheme="minorEastAsia"/>
          <w:b/>
          <w:bCs w:val="0"/>
          <w:sz w:val="30"/>
          <w:szCs w:val="30"/>
          <w:lang w:val="en-US" w:eastAsia="zh-CN"/>
        </w:rPr>
        <w:t>7</w:t>
      </w:r>
      <w:r>
        <w:rPr>
          <w:rFonts w:hint="default" w:ascii="Times New Roman" w:hAnsi="Times New Roman" w:cs="Times New Roman" w:eastAsiaTheme="minorEastAsia"/>
          <w:b/>
          <w:bCs w:val="0"/>
          <w:sz w:val="30"/>
          <w:szCs w:val="30"/>
        </w:rPr>
        <w:t>总量控制</w:t>
      </w:r>
      <w:bookmarkEnd w:id="350"/>
      <w:bookmarkEnd w:id="351"/>
    </w:p>
    <w:p>
      <w:pPr>
        <w:pStyle w:val="7"/>
        <w:keepNext/>
        <w:keepLines/>
        <w:pageBreakBefore w:val="0"/>
        <w:widowControl/>
        <w:kinsoku/>
        <w:wordWrap/>
        <w:overflowPunct/>
        <w:topLinePunct w:val="0"/>
        <w:autoSpaceDE/>
        <w:autoSpaceDN/>
        <w:bidi w:val="0"/>
        <w:adjustRightInd w:val="0"/>
        <w:snapToGrid w:val="0"/>
        <w:spacing w:before="0" w:after="0" w:line="500" w:lineRule="exact"/>
        <w:ind w:left="0" w:leftChars="0" w:firstLine="0" w:firstLineChars="0"/>
        <w:textAlignment w:val="auto"/>
        <w:rPr>
          <w:rFonts w:hint="default" w:ascii="Times New Roman" w:hAnsi="Times New Roman" w:cs="Times New Roman" w:eastAsiaTheme="minorEastAsia"/>
          <w:b/>
          <w:bCs w:val="0"/>
          <w:sz w:val="28"/>
          <w:szCs w:val="28"/>
        </w:rPr>
      </w:pPr>
      <w:r>
        <w:rPr>
          <w:rFonts w:hint="default" w:ascii="Times New Roman" w:hAnsi="Times New Roman" w:cs="Times New Roman" w:eastAsiaTheme="minorEastAsia"/>
          <w:b/>
          <w:bCs w:val="0"/>
          <w:sz w:val="28"/>
          <w:szCs w:val="28"/>
        </w:rPr>
        <w:t>8.</w:t>
      </w:r>
      <w:r>
        <w:rPr>
          <w:rFonts w:hint="default" w:ascii="Times New Roman" w:hAnsi="Times New Roman" w:cs="Times New Roman" w:eastAsiaTheme="minorEastAsia"/>
          <w:b/>
          <w:bCs w:val="0"/>
          <w:sz w:val="28"/>
          <w:szCs w:val="28"/>
          <w:lang w:val="en-US" w:eastAsia="zh-CN"/>
        </w:rPr>
        <w:t>7</w:t>
      </w:r>
      <w:r>
        <w:rPr>
          <w:rFonts w:hint="default" w:ascii="Times New Roman" w:hAnsi="Times New Roman" w:cs="Times New Roman" w:eastAsiaTheme="minorEastAsia"/>
          <w:b/>
          <w:bCs w:val="0"/>
          <w:sz w:val="28"/>
          <w:szCs w:val="28"/>
        </w:rPr>
        <w:t>.1总量控制的意义和原则</w:t>
      </w:r>
      <w:bookmarkEnd w:id="352"/>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实施总量控制将促进资源、能源的合量利用和优化配置，加速产业结构的调整，实现经济增长方式的根本转变；实施总量控制可以较好地协调经济发展与环境保护之间的关系，推动可持续发展战略的实行。</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本工程属于养殖项目，总量控制应以绥化市总量控制规划为目标，将本工程投产后排放的污染物总量纳入其总量控制规划中，通过区域调整平衡，实现绥化市污染物排放总量控制的目标。</w:t>
      </w:r>
    </w:p>
    <w:p>
      <w:pPr>
        <w:pStyle w:val="7"/>
        <w:keepNext/>
        <w:keepLines/>
        <w:pageBreakBefore w:val="0"/>
        <w:widowControl/>
        <w:kinsoku/>
        <w:wordWrap/>
        <w:overflowPunct/>
        <w:topLinePunct w:val="0"/>
        <w:autoSpaceDE/>
        <w:autoSpaceDN/>
        <w:bidi w:val="0"/>
        <w:adjustRightInd w:val="0"/>
        <w:snapToGrid w:val="0"/>
        <w:spacing w:before="0" w:after="0" w:line="500" w:lineRule="exact"/>
        <w:ind w:left="0" w:leftChars="0" w:firstLine="0" w:firstLineChars="0"/>
        <w:textAlignment w:val="auto"/>
        <w:rPr>
          <w:rFonts w:hint="default" w:ascii="Times New Roman" w:hAnsi="Times New Roman" w:cs="Times New Roman" w:eastAsiaTheme="minorEastAsia"/>
          <w:sz w:val="28"/>
          <w:szCs w:val="28"/>
        </w:rPr>
      </w:pPr>
      <w:bookmarkStart w:id="354" w:name="_Toc15991730"/>
      <w:r>
        <w:rPr>
          <w:rFonts w:hint="default" w:ascii="Times New Roman" w:hAnsi="Times New Roman" w:cs="Times New Roman" w:eastAsiaTheme="minorEastAsia"/>
          <w:sz w:val="28"/>
          <w:szCs w:val="28"/>
        </w:rPr>
        <w:t>8.</w:t>
      </w:r>
      <w:r>
        <w:rPr>
          <w:rFonts w:hint="default" w:ascii="Times New Roman" w:hAnsi="Times New Roman" w:cs="Times New Roman" w:eastAsiaTheme="minorEastAsia"/>
          <w:sz w:val="28"/>
          <w:szCs w:val="28"/>
          <w:lang w:val="en-US" w:eastAsia="zh-CN"/>
        </w:rPr>
        <w:t>7</w:t>
      </w:r>
      <w:r>
        <w:rPr>
          <w:rFonts w:hint="default" w:ascii="Times New Roman" w:hAnsi="Times New Roman" w:cs="Times New Roman" w:eastAsiaTheme="minorEastAsia"/>
          <w:sz w:val="28"/>
          <w:szCs w:val="28"/>
        </w:rPr>
        <w:t>.2总量控制因子</w:t>
      </w:r>
      <w:bookmarkEnd w:id="354"/>
    </w:p>
    <w:p>
      <w:pPr>
        <w:pStyle w:val="8"/>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根据国家“十三五”实施总量控制的有关规定要求，考虑本项目工程排污特征，确定本项目污染物排放总量控制因子为：废气：颗粒物。</w:t>
      </w:r>
    </w:p>
    <w:p>
      <w:pPr>
        <w:pStyle w:val="7"/>
        <w:keepNext/>
        <w:keepLines/>
        <w:pageBreakBefore w:val="0"/>
        <w:widowControl/>
        <w:kinsoku/>
        <w:wordWrap/>
        <w:overflowPunct/>
        <w:topLinePunct w:val="0"/>
        <w:autoSpaceDE/>
        <w:autoSpaceDN/>
        <w:bidi w:val="0"/>
        <w:adjustRightInd w:val="0"/>
        <w:snapToGrid w:val="0"/>
        <w:spacing w:before="0" w:after="0" w:line="500" w:lineRule="exact"/>
        <w:ind w:left="0" w:leftChars="0" w:firstLine="0" w:firstLineChars="0"/>
        <w:textAlignment w:val="auto"/>
        <w:rPr>
          <w:rFonts w:hint="default" w:ascii="Times New Roman" w:hAnsi="Times New Roman" w:cs="Times New Roman" w:eastAsiaTheme="minorEastAsia"/>
          <w:sz w:val="28"/>
          <w:szCs w:val="28"/>
        </w:rPr>
      </w:pPr>
      <w:bookmarkStart w:id="355" w:name="_Toc15991731"/>
      <w:r>
        <w:rPr>
          <w:rFonts w:hint="default" w:ascii="Times New Roman" w:hAnsi="Times New Roman" w:cs="Times New Roman" w:eastAsiaTheme="minorEastAsia"/>
          <w:sz w:val="28"/>
          <w:szCs w:val="28"/>
        </w:rPr>
        <w:t>8.</w:t>
      </w:r>
      <w:r>
        <w:rPr>
          <w:rFonts w:hint="default" w:ascii="Times New Roman" w:hAnsi="Times New Roman" w:cs="Times New Roman" w:eastAsiaTheme="minorEastAsia"/>
          <w:sz w:val="28"/>
          <w:szCs w:val="28"/>
          <w:lang w:val="en-US" w:eastAsia="zh-CN"/>
        </w:rPr>
        <w:t>7</w:t>
      </w:r>
      <w:r>
        <w:rPr>
          <w:rFonts w:hint="default" w:ascii="Times New Roman" w:hAnsi="Times New Roman" w:cs="Times New Roman" w:eastAsiaTheme="minorEastAsia"/>
          <w:sz w:val="28"/>
          <w:szCs w:val="28"/>
        </w:rPr>
        <w:t>.3总量核算</w:t>
      </w:r>
      <w:bookmarkEnd w:id="355"/>
    </w:p>
    <w:p>
      <w:pPr>
        <w:pStyle w:val="8"/>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本项目大气环境总量核算见表8-4-1。</w:t>
      </w:r>
    </w:p>
    <w:p>
      <w:pPr>
        <w:pStyle w:val="952"/>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rPr>
      </w:pPr>
      <w:r>
        <w:rPr>
          <w:rFonts w:hint="default" w:ascii="Times New Roman" w:hAnsi="Times New Roman" w:cs="Times New Roman" w:eastAsiaTheme="minorEastAsia"/>
        </w:rPr>
        <w:t xml:space="preserve">表8-4-1本项目大气污染物排放量统计表 </w:t>
      </w:r>
      <w:r>
        <w:rPr>
          <w:rFonts w:hint="default" w:ascii="Times New Roman" w:hAnsi="Times New Roman" w:cs="Times New Roman" w:eastAsiaTheme="minorEastAsia"/>
          <w:lang w:val="en-US" w:eastAsia="zh-CN"/>
        </w:rPr>
        <w:t xml:space="preserve"> </w:t>
      </w:r>
      <w:r>
        <w:rPr>
          <w:rFonts w:hint="default" w:ascii="Times New Roman" w:hAnsi="Times New Roman" w:cs="Times New Roman" w:eastAsiaTheme="minorEastAsia"/>
        </w:rPr>
        <w:t xml:space="preserve"> 单位：t/a</w:t>
      </w:r>
    </w:p>
    <w:tbl>
      <w:tblPr>
        <w:tblStyle w:val="9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71"/>
        <w:gridCol w:w="2690"/>
        <w:gridCol w:w="2446"/>
        <w:gridCol w:w="17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0" w:type="pct"/>
            <w:vMerge w:val="restart"/>
            <w:shd w:val="clear" w:color="auto" w:fill="auto"/>
            <w:vAlign w:val="center"/>
          </w:tcPr>
          <w:p>
            <w:pPr>
              <w:pStyle w:val="1252"/>
              <w:jc w:val="both"/>
              <w:rPr>
                <w:rFonts w:hint="default" w:ascii="Times New Roman" w:hAnsi="Times New Roman" w:cs="Times New Roman" w:eastAsiaTheme="minorEastAsia"/>
                <w:snapToGrid w:val="0"/>
                <w:kern w:val="2"/>
                <w:sz w:val="21"/>
                <w:szCs w:val="22"/>
              </w:rPr>
            </w:pPr>
            <w:r>
              <w:rPr>
                <w:rFonts w:hint="default" w:ascii="Times New Roman" w:hAnsi="Times New Roman" w:cs="Times New Roman" w:eastAsiaTheme="minorEastAsia"/>
                <w:snapToGrid w:val="0"/>
                <w:kern w:val="2"/>
                <w:sz w:val="21"/>
                <w:szCs w:val="22"/>
              </w:rPr>
              <w:t>污染物</w:t>
            </w:r>
          </w:p>
        </w:tc>
        <w:tc>
          <w:tcPr>
            <w:tcW w:w="4020" w:type="pct"/>
            <w:gridSpan w:val="3"/>
            <w:shd w:val="clear" w:color="auto" w:fill="auto"/>
            <w:vAlign w:val="center"/>
          </w:tcPr>
          <w:p>
            <w:pPr>
              <w:pStyle w:val="1252"/>
              <w:jc w:val="center"/>
              <w:rPr>
                <w:rFonts w:hint="default" w:ascii="Times New Roman" w:hAnsi="Times New Roman" w:cs="Times New Roman" w:eastAsiaTheme="minorEastAsia"/>
                <w:snapToGrid w:val="0"/>
                <w:kern w:val="2"/>
                <w:sz w:val="21"/>
                <w:szCs w:val="22"/>
              </w:rPr>
            </w:pPr>
            <w:r>
              <w:rPr>
                <w:rFonts w:hint="default" w:ascii="Times New Roman" w:hAnsi="Times New Roman" w:cs="Times New Roman" w:eastAsiaTheme="minorEastAsia"/>
                <w:snapToGrid w:val="0"/>
                <w:kern w:val="2"/>
                <w:sz w:val="21"/>
                <w:szCs w:val="22"/>
              </w:rPr>
              <w:t>本项目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0" w:type="pct"/>
            <w:vMerge w:val="continue"/>
            <w:shd w:val="clear" w:color="auto" w:fill="auto"/>
            <w:vAlign w:val="center"/>
          </w:tcPr>
          <w:p>
            <w:pPr>
              <w:pStyle w:val="1252"/>
              <w:jc w:val="center"/>
              <w:rPr>
                <w:rFonts w:hint="default" w:ascii="Times New Roman" w:hAnsi="Times New Roman" w:cs="Times New Roman" w:eastAsiaTheme="minorEastAsia"/>
                <w:snapToGrid w:val="0"/>
                <w:kern w:val="2"/>
                <w:sz w:val="21"/>
                <w:szCs w:val="22"/>
              </w:rPr>
            </w:pPr>
          </w:p>
        </w:tc>
        <w:tc>
          <w:tcPr>
            <w:tcW w:w="1577" w:type="pct"/>
            <w:shd w:val="clear" w:color="auto" w:fill="auto"/>
            <w:vAlign w:val="center"/>
          </w:tcPr>
          <w:p>
            <w:pPr>
              <w:pStyle w:val="1252"/>
              <w:jc w:val="center"/>
              <w:rPr>
                <w:rFonts w:hint="default" w:ascii="Times New Roman" w:hAnsi="Times New Roman" w:cs="Times New Roman" w:eastAsiaTheme="minorEastAsia"/>
                <w:snapToGrid w:val="0"/>
                <w:kern w:val="2"/>
                <w:sz w:val="21"/>
                <w:szCs w:val="22"/>
              </w:rPr>
            </w:pPr>
            <w:r>
              <w:rPr>
                <w:rFonts w:hint="default" w:ascii="Times New Roman" w:hAnsi="Times New Roman" w:cs="Times New Roman" w:eastAsiaTheme="minorEastAsia"/>
                <w:snapToGrid w:val="0"/>
                <w:kern w:val="2"/>
                <w:sz w:val="21"/>
                <w:szCs w:val="22"/>
              </w:rPr>
              <w:t>颗粒物</w:t>
            </w:r>
          </w:p>
        </w:tc>
        <w:tc>
          <w:tcPr>
            <w:tcW w:w="1434" w:type="pct"/>
            <w:shd w:val="clear" w:color="auto" w:fill="auto"/>
            <w:vAlign w:val="center"/>
          </w:tcPr>
          <w:p>
            <w:pPr>
              <w:pStyle w:val="1252"/>
              <w:jc w:val="center"/>
              <w:rPr>
                <w:rFonts w:hint="default" w:ascii="Times New Roman" w:hAnsi="Times New Roman" w:cs="Times New Roman" w:eastAsiaTheme="minorEastAsia"/>
                <w:snapToGrid w:val="0"/>
                <w:kern w:val="2"/>
                <w:sz w:val="21"/>
                <w:szCs w:val="22"/>
              </w:rPr>
            </w:pPr>
            <w:r>
              <w:rPr>
                <w:rFonts w:hint="default" w:ascii="Times New Roman" w:hAnsi="Times New Roman" w:cs="Times New Roman" w:eastAsiaTheme="minorEastAsia"/>
                <w:snapToGrid w:val="0"/>
                <w:kern w:val="2"/>
                <w:sz w:val="21"/>
                <w:szCs w:val="22"/>
              </w:rPr>
              <w:t>SO</w:t>
            </w:r>
            <w:r>
              <w:rPr>
                <w:rFonts w:hint="default" w:ascii="Times New Roman" w:hAnsi="Times New Roman" w:cs="Times New Roman" w:eastAsiaTheme="minorEastAsia"/>
                <w:snapToGrid w:val="0"/>
                <w:kern w:val="2"/>
                <w:sz w:val="21"/>
                <w:szCs w:val="22"/>
                <w:vertAlign w:val="subscript"/>
              </w:rPr>
              <w:t>2</w:t>
            </w:r>
          </w:p>
        </w:tc>
        <w:tc>
          <w:tcPr>
            <w:tcW w:w="1009" w:type="pct"/>
            <w:shd w:val="clear" w:color="auto" w:fill="auto"/>
            <w:vAlign w:val="center"/>
          </w:tcPr>
          <w:p>
            <w:pPr>
              <w:pStyle w:val="1252"/>
              <w:jc w:val="center"/>
              <w:rPr>
                <w:rFonts w:hint="default" w:ascii="Times New Roman" w:hAnsi="Times New Roman" w:cs="Times New Roman" w:eastAsiaTheme="minorEastAsia"/>
                <w:snapToGrid w:val="0"/>
                <w:kern w:val="2"/>
                <w:sz w:val="21"/>
                <w:szCs w:val="22"/>
              </w:rPr>
            </w:pPr>
            <w:r>
              <w:rPr>
                <w:rFonts w:hint="default" w:ascii="Times New Roman" w:hAnsi="Times New Roman" w:cs="Times New Roman" w:eastAsiaTheme="minorEastAsia"/>
                <w:snapToGrid w:val="0"/>
                <w:kern w:val="2"/>
                <w:sz w:val="21"/>
                <w:szCs w:val="22"/>
              </w:rPr>
              <w:t>NO</w:t>
            </w:r>
            <w:r>
              <w:rPr>
                <w:rFonts w:hint="default" w:ascii="Times New Roman" w:hAnsi="Times New Roman" w:cs="Times New Roman" w:eastAsiaTheme="minorEastAsia"/>
                <w:snapToGrid w:val="0"/>
                <w:kern w:val="2"/>
                <w:sz w:val="21"/>
                <w:szCs w:val="22"/>
                <w:vertAlign w:val="subscript"/>
              </w:rPr>
              <w:t>X</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0" w:type="pct"/>
            <w:shd w:val="clear" w:color="auto" w:fill="auto"/>
            <w:vAlign w:val="center"/>
          </w:tcPr>
          <w:p>
            <w:pPr>
              <w:pStyle w:val="1252"/>
              <w:ind w:left="0" w:leftChars="0" w:firstLine="0" w:firstLineChars="0"/>
              <w:jc w:val="center"/>
              <w:rPr>
                <w:rFonts w:hint="default" w:ascii="Times New Roman" w:hAnsi="Times New Roman" w:cs="Times New Roman" w:eastAsiaTheme="minorEastAsia"/>
                <w:snapToGrid w:val="0"/>
                <w:kern w:val="2"/>
                <w:sz w:val="21"/>
                <w:szCs w:val="22"/>
              </w:rPr>
            </w:pPr>
            <w:r>
              <w:rPr>
                <w:rFonts w:hint="default" w:ascii="Times New Roman" w:hAnsi="Times New Roman" w:cs="Times New Roman" w:eastAsiaTheme="minorEastAsia"/>
                <w:snapToGrid w:val="0"/>
                <w:kern w:val="2"/>
                <w:sz w:val="21"/>
                <w:szCs w:val="22"/>
              </w:rPr>
              <w:t>预测排放量</w:t>
            </w:r>
          </w:p>
        </w:tc>
        <w:tc>
          <w:tcPr>
            <w:tcW w:w="1577" w:type="pct"/>
            <w:shd w:val="clear" w:color="auto" w:fill="auto"/>
            <w:vAlign w:val="center"/>
          </w:tcPr>
          <w:p>
            <w:pPr>
              <w:pStyle w:val="1252"/>
              <w:jc w:val="center"/>
              <w:rPr>
                <w:rFonts w:hint="default" w:ascii="Times New Roman" w:hAnsi="Times New Roman" w:cs="Times New Roman" w:eastAsiaTheme="minorEastAsia"/>
                <w:snapToGrid w:val="0"/>
                <w:kern w:val="2"/>
                <w:sz w:val="21"/>
                <w:szCs w:val="21"/>
              </w:rPr>
            </w:pPr>
            <w:r>
              <w:rPr>
                <w:rFonts w:hint="default" w:ascii="Times New Roman" w:hAnsi="Times New Roman" w:cs="Times New Roman" w:eastAsiaTheme="minorEastAsia"/>
                <w:color w:val="000000" w:themeColor="text1"/>
                <w:sz w:val="21"/>
                <w:szCs w:val="21"/>
                <w14:textFill>
                  <w14:solidFill>
                    <w14:schemeClr w14:val="tx1"/>
                  </w14:solidFill>
                </w14:textFill>
              </w:rPr>
              <w:t>0.162</w:t>
            </w:r>
          </w:p>
        </w:tc>
        <w:tc>
          <w:tcPr>
            <w:tcW w:w="1434" w:type="pct"/>
            <w:shd w:val="clear" w:color="auto" w:fill="auto"/>
            <w:vAlign w:val="center"/>
          </w:tcPr>
          <w:p>
            <w:pPr>
              <w:pStyle w:val="1252"/>
              <w:jc w:val="center"/>
              <w:rPr>
                <w:rFonts w:hint="default" w:ascii="Times New Roman" w:hAnsi="Times New Roman" w:cs="Times New Roman" w:eastAsiaTheme="minorEastAsia"/>
                <w:snapToGrid w:val="0"/>
                <w:kern w:val="2"/>
                <w:sz w:val="21"/>
                <w:szCs w:val="21"/>
              </w:rPr>
            </w:pPr>
            <w:r>
              <w:rPr>
                <w:rFonts w:hint="default" w:ascii="Times New Roman" w:hAnsi="Times New Roman" w:cs="Times New Roman" w:eastAsiaTheme="minorEastAsia"/>
                <w:color w:val="000000" w:themeColor="text1"/>
                <w:sz w:val="21"/>
                <w:szCs w:val="21"/>
                <w14:textFill>
                  <w14:solidFill>
                    <w14:schemeClr w14:val="tx1"/>
                  </w14:solidFill>
                </w14:textFill>
              </w:rPr>
              <w:t>0.358</w:t>
            </w:r>
          </w:p>
        </w:tc>
        <w:tc>
          <w:tcPr>
            <w:tcW w:w="1009" w:type="pct"/>
            <w:shd w:val="clear" w:color="auto" w:fill="auto"/>
            <w:vAlign w:val="center"/>
          </w:tcPr>
          <w:p>
            <w:pPr>
              <w:pStyle w:val="1252"/>
              <w:jc w:val="center"/>
              <w:rPr>
                <w:rFonts w:hint="default" w:ascii="Times New Roman" w:hAnsi="Times New Roman" w:cs="Times New Roman" w:eastAsiaTheme="minorEastAsia"/>
                <w:snapToGrid w:val="0"/>
                <w:kern w:val="2"/>
                <w:sz w:val="21"/>
                <w:szCs w:val="21"/>
              </w:rPr>
            </w:pPr>
            <w:r>
              <w:rPr>
                <w:rFonts w:hint="default" w:ascii="Times New Roman" w:hAnsi="Times New Roman" w:cs="Times New Roman" w:eastAsiaTheme="minorEastAsia"/>
                <w:color w:val="000000" w:themeColor="text1"/>
                <w:sz w:val="21"/>
                <w:szCs w:val="21"/>
                <w14:textFill>
                  <w14:solidFill>
                    <w14:schemeClr w14:val="tx1"/>
                  </w14:solidFill>
                </w14:textFill>
              </w:rPr>
              <w:t>0.225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0" w:type="pct"/>
            <w:shd w:val="clear" w:color="auto" w:fill="auto"/>
            <w:vAlign w:val="center"/>
          </w:tcPr>
          <w:p>
            <w:pPr>
              <w:pStyle w:val="1252"/>
              <w:ind w:left="0" w:leftChars="0" w:firstLine="0" w:firstLineChars="0"/>
              <w:jc w:val="center"/>
              <w:rPr>
                <w:rFonts w:hint="default" w:ascii="Times New Roman" w:hAnsi="Times New Roman" w:cs="Times New Roman" w:eastAsiaTheme="minorEastAsia"/>
                <w:snapToGrid w:val="0"/>
                <w:kern w:val="2"/>
                <w:sz w:val="21"/>
                <w:szCs w:val="22"/>
              </w:rPr>
            </w:pPr>
            <w:r>
              <w:rPr>
                <w:rFonts w:hint="default" w:ascii="Times New Roman" w:hAnsi="Times New Roman" w:cs="Times New Roman" w:eastAsiaTheme="minorEastAsia"/>
                <w:snapToGrid w:val="0"/>
                <w:kern w:val="2"/>
                <w:sz w:val="21"/>
                <w:szCs w:val="22"/>
              </w:rPr>
              <w:t>核定排放量</w:t>
            </w:r>
          </w:p>
        </w:tc>
        <w:tc>
          <w:tcPr>
            <w:tcW w:w="2690" w:type="dxa"/>
            <w:shd w:val="clear" w:color="auto" w:fill="auto"/>
            <w:vAlign w:val="center"/>
          </w:tcPr>
          <w:p>
            <w:pPr>
              <w:pStyle w:val="1252"/>
              <w:ind w:firstLine="420" w:firstLineChars="200"/>
              <w:jc w:val="center"/>
              <w:rPr>
                <w:rFonts w:hint="default" w:ascii="Times New Roman" w:hAnsi="Times New Roman" w:cs="Times New Roman" w:eastAsiaTheme="minorEastAsia"/>
                <w:snapToGrid w:val="0"/>
                <w:kern w:val="2"/>
                <w:sz w:val="21"/>
                <w:szCs w:val="22"/>
              </w:rPr>
            </w:pPr>
            <w:r>
              <w:rPr>
                <w:rFonts w:hint="default" w:ascii="Times New Roman" w:hAnsi="Times New Roman" w:cs="Times New Roman" w:eastAsiaTheme="minorEastAsia"/>
                <w:color w:val="000000" w:themeColor="text1"/>
                <w:sz w:val="21"/>
                <w:szCs w:val="21"/>
                <w14:textFill>
                  <w14:solidFill>
                    <w14:schemeClr w14:val="tx1"/>
                  </w14:solidFill>
                </w14:textFill>
              </w:rPr>
              <w:t>0.162</w:t>
            </w:r>
          </w:p>
        </w:tc>
        <w:tc>
          <w:tcPr>
            <w:tcW w:w="2446" w:type="dxa"/>
            <w:shd w:val="clear" w:color="auto" w:fill="auto"/>
            <w:vAlign w:val="center"/>
          </w:tcPr>
          <w:p>
            <w:pPr>
              <w:pStyle w:val="1252"/>
              <w:ind w:firstLine="420" w:firstLineChars="200"/>
              <w:jc w:val="center"/>
              <w:rPr>
                <w:rFonts w:hint="default" w:ascii="Times New Roman" w:hAnsi="Times New Roman" w:cs="Times New Roman" w:eastAsiaTheme="minorEastAsia"/>
                <w:snapToGrid w:val="0"/>
                <w:kern w:val="2"/>
                <w:sz w:val="21"/>
                <w:szCs w:val="22"/>
              </w:rPr>
            </w:pPr>
            <w:r>
              <w:rPr>
                <w:rFonts w:hint="default" w:ascii="Times New Roman" w:hAnsi="Times New Roman" w:cs="Times New Roman" w:eastAsiaTheme="minorEastAsia"/>
                <w:color w:val="000000" w:themeColor="text1"/>
                <w:sz w:val="21"/>
                <w:szCs w:val="21"/>
                <w14:textFill>
                  <w14:solidFill>
                    <w14:schemeClr w14:val="tx1"/>
                  </w14:solidFill>
                </w14:textFill>
              </w:rPr>
              <w:t>0.358</w:t>
            </w:r>
          </w:p>
        </w:tc>
        <w:tc>
          <w:tcPr>
            <w:tcW w:w="1721" w:type="dxa"/>
            <w:shd w:val="clear" w:color="auto" w:fill="auto"/>
            <w:vAlign w:val="center"/>
          </w:tcPr>
          <w:p>
            <w:pPr>
              <w:pStyle w:val="1252"/>
              <w:ind w:firstLine="420" w:firstLineChars="200"/>
              <w:jc w:val="center"/>
              <w:rPr>
                <w:rFonts w:hint="default" w:ascii="Times New Roman" w:hAnsi="Times New Roman" w:cs="Times New Roman" w:eastAsiaTheme="minorEastAsia"/>
                <w:snapToGrid w:val="0"/>
                <w:kern w:val="2"/>
                <w:sz w:val="21"/>
                <w:szCs w:val="22"/>
              </w:rPr>
            </w:pPr>
            <w:r>
              <w:rPr>
                <w:rFonts w:hint="default" w:ascii="Times New Roman" w:hAnsi="Times New Roman" w:cs="Times New Roman" w:eastAsiaTheme="minorEastAsia"/>
                <w:color w:val="000000" w:themeColor="text1"/>
                <w:sz w:val="21"/>
                <w:szCs w:val="21"/>
                <w14:textFill>
                  <w14:solidFill>
                    <w14:schemeClr w14:val="tx1"/>
                  </w14:solidFill>
                </w14:textFill>
              </w:rPr>
              <w:t>0.225</w:t>
            </w:r>
          </w:p>
        </w:tc>
      </w:tr>
    </w:tbl>
    <w:p>
      <w:pPr>
        <w:pStyle w:val="6"/>
        <w:pageBreakBefore w:val="0"/>
        <w:widowControl/>
        <w:kinsoku/>
        <w:wordWrap/>
        <w:overflowPunct/>
        <w:topLinePunct w:val="0"/>
        <w:autoSpaceDE/>
        <w:autoSpaceDN/>
        <w:bidi w:val="0"/>
        <w:adjustRightInd w:val="0"/>
        <w:snapToGrid w:val="0"/>
        <w:spacing w:before="0" w:after="0"/>
        <w:ind w:left="0" w:leftChars="0" w:firstLine="0" w:firstLineChars="0"/>
        <w:textAlignment w:val="auto"/>
        <w:rPr>
          <w:rFonts w:hint="default" w:ascii="Times New Roman" w:hAnsi="Times New Roman" w:cs="Times New Roman" w:eastAsiaTheme="minorEastAsia"/>
          <w:b/>
          <w:bCs w:val="0"/>
          <w:sz w:val="30"/>
          <w:szCs w:val="30"/>
        </w:rPr>
      </w:pPr>
      <w:bookmarkStart w:id="356" w:name="_Toc15991732"/>
      <w:bookmarkStart w:id="357" w:name="_Toc9713"/>
      <w:r>
        <w:rPr>
          <w:rFonts w:hint="default" w:ascii="Times New Roman" w:hAnsi="Times New Roman" w:cs="Times New Roman" w:eastAsiaTheme="minorEastAsia"/>
          <w:b/>
          <w:bCs w:val="0"/>
          <w:sz w:val="30"/>
          <w:szCs w:val="30"/>
        </w:rPr>
        <w:t>8.</w:t>
      </w:r>
      <w:r>
        <w:rPr>
          <w:rFonts w:hint="default" w:ascii="Times New Roman" w:hAnsi="Times New Roman" w:cs="Times New Roman" w:eastAsiaTheme="minorEastAsia"/>
          <w:b/>
          <w:bCs w:val="0"/>
          <w:sz w:val="30"/>
          <w:szCs w:val="30"/>
          <w:lang w:val="en-US" w:eastAsia="zh-CN"/>
        </w:rPr>
        <w:t>8</w:t>
      </w:r>
      <w:r>
        <w:rPr>
          <w:rFonts w:hint="default" w:ascii="Times New Roman" w:hAnsi="Times New Roman" w:cs="Times New Roman" w:eastAsiaTheme="minorEastAsia"/>
          <w:b/>
          <w:bCs w:val="0"/>
          <w:sz w:val="30"/>
          <w:szCs w:val="30"/>
        </w:rPr>
        <w:t>与排污许可证制度衔接</w:t>
      </w:r>
      <w:bookmarkEnd w:id="356"/>
      <w:bookmarkEnd w:id="357"/>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目前我国正在推进排污许可制度改革工作。环保部也大力推进排污许可证制度，并作为“十三五”国家固定源环境管理的核心，《国务院办公厅关于印发控制污染物排放许可制实施方案的通知》（国办发[2016]81号）明确将排污许可制建设成为固定污染源环境管理的核心制度，作为企业守法、部门执法、社会监督的依据，为提高环境管理效能和改善环境质量奠定坚实基础。</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应严格按照国家排污许可证改革的要求，推进刷卡排污及污染源“一证式”管理工作，并作为建设单位在生产运营期接受环境监管和环境保护部门实施监管的主要法律文书，单位依法申领排污许可证，按证排污，自证守法。环境保护部门基于企事业单位守法承诺，依法发放排污许可证，依证强化事中事后监管，对违法排污行为实施严厉打击。</w:t>
      </w:r>
    </w:p>
    <w:p>
      <w:pPr>
        <w:pStyle w:val="8"/>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根据《关于做好环境影响评价制度与排污许可制衔接相关工作的通知》（环办环评[2017]84号），建设项目发生实际排污行为之前，排污单位应当按照国家环境保护相关法律法规以及排污许可证申请与核发技术规范要求申请排污许可证，不得无证排污或不按证排污。环境影响报告书（表）2015年1月1日（含）后获得批准的建设项目，其环境影响报告书（表）以及审批文件中与污染物排放相关的主要内容应当纳入排污许可证。为此，下阶段应将项目建设内容、产品方案、建设规模，采用的工艺流程、工艺技术方案，污染预防和清洁生产措施，环保设施和治理措施，各类污染物排放总量，在线监测和自主监测要求，环境安全防范措施，环境应急体系和应急设施等，全部按装置、设施载入排污许可证，具体内容详见报告书各章节。企业在设计，建设和运营过程中，需按照许可证管理要求进行监测和申报，自证守法；许可证内容发生变更应进行申报，重大变更应重新环评和申请许可证变更。环保管理部门对许可证内容进行定期和不定期的监督核查。</w:t>
      </w:r>
    </w:p>
    <w:p>
      <w:pPr>
        <w:pStyle w:val="8"/>
        <w:rPr>
          <w:rFonts w:hint="default" w:ascii="Times New Roman" w:hAnsi="Times New Roman" w:cs="Times New Roman" w:eastAsiaTheme="minorEastAsia"/>
        </w:rPr>
      </w:pPr>
    </w:p>
    <w:p>
      <w:pPr>
        <w:pStyle w:val="8"/>
        <w:rPr>
          <w:rFonts w:hint="default" w:ascii="Times New Roman" w:hAnsi="Times New Roman" w:cs="Times New Roman" w:eastAsiaTheme="minorEastAsia"/>
        </w:rPr>
        <w:sectPr>
          <w:pgSz w:w="11906" w:h="16838"/>
          <w:pgMar w:top="1440" w:right="1797" w:bottom="1440" w:left="1797" w:header="851" w:footer="992" w:gutter="0"/>
          <w:pgBorders>
            <w:top w:val="none" w:sz="0" w:space="0"/>
            <w:left w:val="none" w:sz="0" w:space="0"/>
            <w:bottom w:val="none" w:sz="0" w:space="0"/>
            <w:right w:val="none" w:sz="0" w:space="0"/>
          </w:pgBorders>
          <w:cols w:space="425" w:num="1"/>
          <w:docGrid w:type="linesAndChars" w:linePitch="326" w:charSpace="0"/>
        </w:sectPr>
      </w:pPr>
    </w:p>
    <w:bookmarkEnd w:id="353"/>
    <w:p>
      <w:pPr>
        <w:pStyle w:val="641"/>
        <w:rPr>
          <w:rFonts w:hint="default" w:ascii="Times New Roman" w:hAnsi="Times New Roman" w:cs="Times New Roman" w:eastAsiaTheme="minorEastAsia"/>
          <w:color w:val="000000" w:themeColor="text1"/>
          <w14:textFill>
            <w14:solidFill>
              <w14:schemeClr w14:val="tx1"/>
            </w14:solidFill>
          </w14:textFill>
        </w:rPr>
      </w:pPr>
      <w:bookmarkStart w:id="358" w:name="_Toc8011"/>
      <w:r>
        <w:rPr>
          <w:rFonts w:hint="default" w:ascii="Times New Roman" w:hAnsi="Times New Roman" w:cs="Times New Roman" w:eastAsiaTheme="minorEastAsia"/>
          <w:color w:val="000000" w:themeColor="text1"/>
          <w14:textFill>
            <w14:solidFill>
              <w14:schemeClr w14:val="tx1"/>
            </w14:solidFill>
          </w14:textFill>
        </w:rPr>
        <w:t>9 环境影响评价结论</w:t>
      </w:r>
      <w:bookmarkEnd w:id="358"/>
    </w:p>
    <w:bookmarkEnd w:id="10"/>
    <w:p>
      <w:pPr>
        <w:pStyle w:val="639"/>
        <w:rPr>
          <w:rFonts w:hint="default" w:ascii="Times New Roman" w:hAnsi="Times New Roman" w:cs="Times New Roman" w:eastAsiaTheme="minorEastAsia"/>
          <w:b/>
          <w:bCs w:val="0"/>
          <w:color w:val="000000" w:themeColor="text1"/>
          <w14:textFill>
            <w14:solidFill>
              <w14:schemeClr w14:val="tx1"/>
            </w14:solidFill>
          </w14:textFill>
        </w:rPr>
      </w:pPr>
      <w:bookmarkStart w:id="359" w:name="_Toc131389983"/>
      <w:bookmarkStart w:id="360" w:name="_Toc101109126"/>
      <w:bookmarkStart w:id="361" w:name="_Toc101131423"/>
      <w:bookmarkStart w:id="362" w:name="_Toc472338522"/>
      <w:bookmarkStart w:id="363" w:name="_Toc133139139"/>
      <w:bookmarkStart w:id="364" w:name="_Toc132632274"/>
      <w:bookmarkStart w:id="365" w:name="_Toc368988014"/>
      <w:bookmarkStart w:id="366" w:name="_Toc221941580"/>
      <w:bookmarkStart w:id="367" w:name="_Toc350940139"/>
      <w:bookmarkStart w:id="368" w:name="_Toc20095"/>
      <w:r>
        <w:rPr>
          <w:rFonts w:hint="default" w:ascii="Times New Roman" w:hAnsi="Times New Roman" w:cs="Times New Roman" w:eastAsiaTheme="minorEastAsia"/>
          <w:b/>
          <w:bCs w:val="0"/>
          <w:color w:val="000000" w:themeColor="text1"/>
          <w14:textFill>
            <w14:solidFill>
              <w14:schemeClr w14:val="tx1"/>
            </w14:solidFill>
          </w14:textFill>
        </w:rPr>
        <w:t>9.1</w:t>
      </w:r>
      <w:bookmarkEnd w:id="359"/>
      <w:bookmarkEnd w:id="360"/>
      <w:bookmarkEnd w:id="361"/>
      <w:bookmarkEnd w:id="362"/>
      <w:bookmarkEnd w:id="363"/>
      <w:bookmarkEnd w:id="364"/>
      <w:bookmarkEnd w:id="365"/>
      <w:bookmarkEnd w:id="366"/>
      <w:bookmarkEnd w:id="367"/>
      <w:bookmarkStart w:id="369" w:name="_Toc490033264"/>
      <w:bookmarkStart w:id="370" w:name="_Toc480859355"/>
      <w:bookmarkStart w:id="371" w:name="_Toc459612669"/>
      <w:bookmarkStart w:id="372" w:name="_Toc438023533"/>
      <w:r>
        <w:rPr>
          <w:rFonts w:hint="default" w:ascii="Times New Roman" w:hAnsi="Times New Roman" w:cs="Times New Roman" w:eastAsiaTheme="minorEastAsia"/>
          <w:b/>
          <w:bCs w:val="0"/>
          <w:color w:val="000000" w:themeColor="text1"/>
          <w14:textFill>
            <w14:solidFill>
              <w14:schemeClr w14:val="tx1"/>
            </w14:solidFill>
          </w14:textFill>
        </w:rPr>
        <w:t xml:space="preserve"> 建设项目概况</w:t>
      </w:r>
      <w:bookmarkEnd w:id="368"/>
      <w:bookmarkEnd w:id="369"/>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本项目位于</w:t>
      </w:r>
      <w:r>
        <w:rPr>
          <w:rFonts w:hint="default" w:ascii="Times New Roman" w:hAnsi="Times New Roman" w:cs="Times New Roman" w:eastAsiaTheme="minorEastAsia"/>
          <w:color w:val="000000" w:themeColor="text1"/>
          <w:sz w:val="24"/>
          <w:szCs w:val="22"/>
          <w14:textFill>
            <w14:solidFill>
              <w14:schemeClr w14:val="tx1"/>
            </w14:solidFill>
          </w14:textFill>
        </w:rPr>
        <w:t>黑龙江省绥化市</w:t>
      </w:r>
      <w:r>
        <w:rPr>
          <w:rFonts w:hint="eastAsia" w:ascii="Times New Roman" w:hAnsi="Times New Roman" w:cs="Times New Roman" w:eastAsiaTheme="minorEastAsia"/>
          <w:color w:val="000000" w:themeColor="text1"/>
          <w:sz w:val="24"/>
          <w:szCs w:val="22"/>
          <w:lang w:eastAsia="zh-CN"/>
          <w14:textFill>
            <w14:solidFill>
              <w14:schemeClr w14:val="tx1"/>
            </w14:solidFill>
          </w14:textFill>
        </w:rPr>
        <w:t>安达市东14公里，明沈公路南侧1000米处</w:t>
      </w:r>
      <w:r>
        <w:rPr>
          <w:rFonts w:hint="default" w:ascii="Times New Roman" w:hAnsi="Times New Roman" w:cs="Times New Roman" w:eastAsiaTheme="minorEastAsia"/>
          <w:color w:val="000000" w:themeColor="text1"/>
          <w:sz w:val="24"/>
          <w:szCs w:val="22"/>
          <w:lang w:val="en-GB"/>
          <w14:textFill>
            <w14:solidFill>
              <w14:schemeClr w14:val="tx1"/>
            </w14:solidFill>
          </w14:textFill>
        </w:rPr>
        <w:t>，</w:t>
      </w:r>
      <w:r>
        <w:rPr>
          <w:rFonts w:hint="default" w:ascii="Times New Roman" w:hAnsi="Times New Roman" w:cs="Times New Roman" w:eastAsiaTheme="minorEastAsia"/>
          <w:color w:val="000000" w:themeColor="text1"/>
          <w:sz w:val="24"/>
          <w:szCs w:val="22"/>
          <w14:textFill>
            <w14:solidFill>
              <w14:schemeClr w14:val="tx1"/>
            </w14:solidFill>
          </w14:textFill>
        </w:rPr>
        <w:t>占地面积143000m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szCs w:val="22"/>
          <w14:textFill>
            <w14:solidFill>
              <w14:schemeClr w14:val="tx1"/>
            </w14:solidFill>
          </w14:textFill>
        </w:rPr>
        <w:t>，建设奶牛养殖基地，建成后存栏1500头奶牛，总投资520万元，年运行8760h，总定员20人。</w:t>
      </w:r>
    </w:p>
    <w:p>
      <w:pPr>
        <w:pStyle w:val="639"/>
        <w:rPr>
          <w:rFonts w:hint="default" w:ascii="Times New Roman" w:hAnsi="Times New Roman" w:cs="Times New Roman" w:eastAsiaTheme="minorEastAsia"/>
          <w:b/>
          <w:bCs w:val="0"/>
          <w:color w:val="000000" w:themeColor="text1"/>
          <w14:textFill>
            <w14:solidFill>
              <w14:schemeClr w14:val="tx1"/>
            </w14:solidFill>
          </w14:textFill>
        </w:rPr>
      </w:pPr>
      <w:bookmarkStart w:id="373" w:name="_Toc490033265"/>
      <w:bookmarkStart w:id="374" w:name="_Toc5770"/>
      <w:r>
        <w:rPr>
          <w:rFonts w:hint="default" w:ascii="Times New Roman" w:hAnsi="Times New Roman" w:cs="Times New Roman" w:eastAsiaTheme="minorEastAsia"/>
          <w:b/>
          <w:bCs w:val="0"/>
          <w:color w:val="000000" w:themeColor="text1"/>
          <w14:textFill>
            <w14:solidFill>
              <w14:schemeClr w14:val="tx1"/>
            </w14:solidFill>
          </w14:textFill>
        </w:rPr>
        <w:t>9.2 规划及产业政策相符性结论</w:t>
      </w:r>
      <w:bookmarkEnd w:id="373"/>
      <w:bookmarkEnd w:id="374"/>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本项目位于</w:t>
      </w:r>
      <w:r>
        <w:rPr>
          <w:rFonts w:hint="default" w:ascii="Times New Roman" w:hAnsi="Times New Roman" w:cs="Times New Roman" w:eastAsiaTheme="minorEastAsia"/>
          <w:color w:val="000000" w:themeColor="text1"/>
          <w:sz w:val="24"/>
          <w:szCs w:val="22"/>
          <w14:textFill>
            <w14:solidFill>
              <w14:schemeClr w14:val="tx1"/>
            </w14:solidFill>
          </w14:textFill>
        </w:rPr>
        <w:t>黑龙江省绥化市</w:t>
      </w:r>
      <w:r>
        <w:rPr>
          <w:rFonts w:hint="eastAsia" w:ascii="Times New Roman" w:hAnsi="Times New Roman" w:cs="Times New Roman" w:eastAsiaTheme="minorEastAsia"/>
          <w:color w:val="000000" w:themeColor="text1"/>
          <w:sz w:val="24"/>
          <w:szCs w:val="22"/>
          <w:lang w:eastAsia="zh-CN"/>
          <w14:textFill>
            <w14:solidFill>
              <w14:schemeClr w14:val="tx1"/>
            </w14:solidFill>
          </w14:textFill>
        </w:rPr>
        <w:t>安达市东14公里，明沈公路南侧1000米处</w:t>
      </w:r>
      <w:r>
        <w:rPr>
          <w:rFonts w:hint="default" w:ascii="Times New Roman" w:hAnsi="Times New Roman" w:cs="Times New Roman" w:eastAsiaTheme="minorEastAsia"/>
          <w:color w:val="000000" w:themeColor="text1"/>
          <w:sz w:val="24"/>
          <w:szCs w:val="24"/>
          <w14:textFill>
            <w14:solidFill>
              <w14:schemeClr w14:val="tx1"/>
            </w14:solidFill>
          </w14:textFill>
        </w:rPr>
        <w:t>，选址与《畜禽养殖业污染防治技术规范》（HJ/T81-2001）、《畜禽养殖禁养区划定技术指南》（环办水体[2016]99号）、《畜禽粪便无害化处理技术规范》（GB/T36195-2018）、《黑龙江省畜禽禁养区划定技术指南》（黑环函[2016]67号）、《关于做好畜禽规模养殖项目环境影响评价管理工作的通知》（环办环评[2018]31号）、《安达市畜禽禁养区划定方案》、《动物防疫条件审查办法》（农业部令2010年第7号）相符合相符合，不在禁养区范围内，项目选址合理。</w:t>
      </w:r>
      <w:bookmarkStart w:id="375" w:name="_Toc490033266"/>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本项目为奶牛养殖场建设项目，根据《产业结构调整指导目录（2019年本）》，本项目属于“第一类 鼓励类”中“一、农林业”、“4、畜禽标准化规模养殖技术开发与应用”，属于鼓励类项目，本项目符合国家产业政策。</w:t>
      </w:r>
    </w:p>
    <w:p>
      <w:pPr>
        <w:pStyle w:val="639"/>
        <w:rPr>
          <w:rFonts w:hint="default" w:ascii="Times New Roman" w:hAnsi="Times New Roman" w:cs="Times New Roman" w:eastAsiaTheme="minorEastAsia"/>
          <w:b/>
          <w:bCs w:val="0"/>
          <w:color w:val="000000" w:themeColor="text1"/>
          <w14:textFill>
            <w14:solidFill>
              <w14:schemeClr w14:val="tx1"/>
            </w14:solidFill>
          </w14:textFill>
        </w:rPr>
      </w:pPr>
      <w:bookmarkStart w:id="376" w:name="_Toc1830"/>
      <w:r>
        <w:rPr>
          <w:rFonts w:hint="default" w:ascii="Times New Roman" w:hAnsi="Times New Roman" w:cs="Times New Roman" w:eastAsiaTheme="minorEastAsia"/>
          <w:b/>
          <w:bCs w:val="0"/>
          <w:color w:val="000000" w:themeColor="text1"/>
          <w14:textFill>
            <w14:solidFill>
              <w14:schemeClr w14:val="tx1"/>
            </w14:solidFill>
          </w14:textFill>
        </w:rPr>
        <w:t>9.3 环境质量现状</w:t>
      </w:r>
      <w:bookmarkEnd w:id="370"/>
      <w:bookmarkEnd w:id="371"/>
      <w:bookmarkEnd w:id="372"/>
      <w:r>
        <w:rPr>
          <w:rFonts w:hint="default" w:ascii="Times New Roman" w:hAnsi="Times New Roman" w:cs="Times New Roman" w:eastAsiaTheme="minorEastAsia"/>
          <w:b/>
          <w:bCs w:val="0"/>
          <w:color w:val="000000" w:themeColor="text1"/>
          <w14:textFill>
            <w14:solidFill>
              <w14:schemeClr w14:val="tx1"/>
            </w14:solidFill>
          </w14:textFill>
        </w:rPr>
        <w:t>评价结论</w:t>
      </w:r>
      <w:bookmarkEnd w:id="375"/>
      <w:bookmarkEnd w:id="376"/>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9.3.1 环境空气质量现状</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auto"/>
          <w:sz w:val="24"/>
          <w:szCs w:val="22"/>
          <w:highlight w:val="none"/>
        </w:rPr>
        <w:t>根据《2020年生态环境状况公报》，</w:t>
      </w:r>
      <w:r>
        <w:rPr>
          <w:rFonts w:hint="default" w:ascii="Times New Roman" w:hAnsi="Times New Roman" w:cs="Times New Roman" w:eastAsiaTheme="minorEastAsia"/>
          <w:color w:val="000000" w:themeColor="text1"/>
          <w:sz w:val="24"/>
          <w:szCs w:val="22"/>
          <w14:textFill>
            <w14:solidFill>
              <w14:schemeClr w14:val="tx1"/>
            </w14:solidFill>
          </w14:textFill>
        </w:rPr>
        <w:t>评价区域内基本污染物指标均满足《环境空气质量标准》（GB3095-2012）及其修改单二级标准。因此判断项目所在区域为环境空气质量达标区；根据补充监测单项污染指数评价结果表明，评价区其他污染物单项污染指数均小于1，说明其他污染物氨、硫化氢、TSP环境质量现状达标。</w:t>
      </w: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9.3.2 地表水环境质量现状</w:t>
      </w:r>
    </w:p>
    <w:p>
      <w:pPr>
        <w:widowControl w:val="0"/>
        <w:adjustRightInd/>
        <w:spacing w:line="520" w:lineRule="atLeas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距离本项目最近地表水体为东湖水库，位于本项目东侧8km,东湖水库</w:t>
      </w:r>
      <w:r>
        <w:rPr>
          <w:rFonts w:hint="default" w:ascii="Times New Roman" w:hAnsi="Times New Roman" w:cs="Times New Roman" w:eastAsiaTheme="minorEastAsia"/>
          <w:color w:val="auto"/>
          <w:sz w:val="24"/>
          <w:szCs w:val="22"/>
          <w:highlight w:val="none"/>
          <w:lang w:eastAsia="zh-CN"/>
        </w:rPr>
        <w:t>总氮因子不</w:t>
      </w:r>
      <w:r>
        <w:rPr>
          <w:rFonts w:hint="default" w:ascii="Times New Roman" w:hAnsi="Times New Roman" w:cs="Times New Roman" w:eastAsiaTheme="minorEastAsia"/>
          <w:color w:val="auto"/>
          <w:sz w:val="24"/>
          <w:szCs w:val="22"/>
          <w:highlight w:val="none"/>
        </w:rPr>
        <w:t>满足《地表水环境质量标准》（GB3838-2002）Ⅴ类标准</w:t>
      </w:r>
      <w:r>
        <w:rPr>
          <w:rFonts w:hint="default" w:ascii="Times New Roman" w:hAnsi="Times New Roman" w:cs="Times New Roman" w:eastAsiaTheme="minorEastAsia"/>
          <w:color w:val="auto"/>
          <w:sz w:val="24"/>
          <w:szCs w:val="22"/>
          <w:highlight w:val="none"/>
          <w:lang w:eastAsia="zh-CN"/>
        </w:rPr>
        <w:t>，其余指标</w:t>
      </w:r>
      <w:r>
        <w:rPr>
          <w:rFonts w:hint="default" w:ascii="Times New Roman" w:hAnsi="Times New Roman" w:cs="Times New Roman" w:eastAsiaTheme="minorEastAsia"/>
          <w:color w:val="auto"/>
          <w:sz w:val="24"/>
          <w:szCs w:val="22"/>
          <w:highlight w:val="none"/>
        </w:rPr>
        <w:t>满足《地表水环境质量标准》（GB3838-2002）Ⅴ类标准</w:t>
      </w:r>
      <w:r>
        <w:rPr>
          <w:rFonts w:hint="default" w:ascii="Times New Roman" w:hAnsi="Times New Roman" w:cs="Times New Roman" w:eastAsiaTheme="minorEastAsia"/>
          <w:color w:val="auto"/>
          <w:sz w:val="24"/>
          <w:szCs w:val="24"/>
          <w:highlight w:val="none"/>
        </w:rPr>
        <w:t>。</w:t>
      </w: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9.3.3 地下水环境质量现状</w:t>
      </w:r>
    </w:p>
    <w:p>
      <w:pPr>
        <w:widowControl w:val="0"/>
        <w:adjustRightInd/>
        <w:snapToGrid/>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auto"/>
          <w:sz w:val="24"/>
          <w:szCs w:val="22"/>
          <w:highlight w:val="none"/>
        </w:rPr>
        <w:t>根据地下水监测结果，监测点水质整体较好，所有指标标准指数值小于1。1#、2#、3#点位为潜水层，监测指标满足《地下水质量标准》（GB/T14848-2017）中Ⅲ类标准，4#点位为承压水层，</w:t>
      </w:r>
      <w:r>
        <w:rPr>
          <w:rFonts w:hint="default" w:ascii="Times New Roman" w:hAnsi="Times New Roman" w:cs="Times New Roman" w:eastAsiaTheme="minorEastAsia"/>
          <w:color w:val="000000" w:themeColor="text1"/>
          <w:sz w:val="24"/>
          <w:szCs w:val="22"/>
          <w14:textFill>
            <w14:solidFill>
              <w14:schemeClr w14:val="tx1"/>
            </w14:solidFill>
          </w14:textFill>
        </w:rPr>
        <w:t>监测指标满足《地下水质量标准》（GB/T14848-2017）中Ⅲ类标准。</w:t>
      </w: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9.3.4 声环境质量现状</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通过对现状噪声监测结果分析，厂界声环境质量符合《声环境质量标准》（GB3096-2008）中2类声环境功能区的标准要求，本项目所在区域声环境质量较好。</w:t>
      </w: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9.3.5 土壤环境质量现状</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项目各监测点的土壤环境质量现状均符合《土壤环境质量 农用地土壤污染风险管控标准（试行）》（GB15618-2018）中风险筛选值，本项目土壤环境质量现状满足要求。</w:t>
      </w:r>
    </w:p>
    <w:p>
      <w:pPr>
        <w:pStyle w:val="639"/>
        <w:rPr>
          <w:rFonts w:hint="default" w:ascii="Times New Roman" w:hAnsi="Times New Roman" w:cs="Times New Roman" w:eastAsiaTheme="minorEastAsia"/>
          <w:b/>
          <w:bCs w:val="0"/>
          <w:color w:val="000000" w:themeColor="text1"/>
          <w14:textFill>
            <w14:solidFill>
              <w14:schemeClr w14:val="tx1"/>
            </w14:solidFill>
          </w14:textFill>
        </w:rPr>
      </w:pPr>
      <w:bookmarkStart w:id="377" w:name="_Toc490033267"/>
      <w:bookmarkStart w:id="378" w:name="_Toc15886"/>
      <w:r>
        <w:rPr>
          <w:rFonts w:hint="default" w:ascii="Times New Roman" w:hAnsi="Times New Roman" w:cs="Times New Roman" w:eastAsiaTheme="minorEastAsia"/>
          <w:b/>
          <w:bCs w:val="0"/>
          <w:color w:val="000000" w:themeColor="text1"/>
          <w14:textFill>
            <w14:solidFill>
              <w14:schemeClr w14:val="tx1"/>
            </w14:solidFill>
          </w14:textFill>
        </w:rPr>
        <w:t xml:space="preserve">9.4 </w:t>
      </w:r>
      <w:bookmarkEnd w:id="377"/>
      <w:r>
        <w:rPr>
          <w:rFonts w:hint="default" w:ascii="Times New Roman" w:hAnsi="Times New Roman" w:cs="Times New Roman" w:eastAsiaTheme="minorEastAsia"/>
          <w:b/>
          <w:bCs w:val="0"/>
          <w:color w:val="000000" w:themeColor="text1"/>
          <w14:textFill>
            <w14:solidFill>
              <w14:schemeClr w14:val="tx1"/>
            </w14:solidFill>
          </w14:textFill>
        </w:rPr>
        <w:t>环境保护措施</w:t>
      </w:r>
      <w:bookmarkEnd w:id="378"/>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9.4.1 废气</w:t>
      </w:r>
    </w:p>
    <w:p>
      <w:pPr>
        <w:spacing w:line="500" w:lineRule="exact"/>
        <w:ind w:firstLine="0" w:firstLineChars="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9.4.1.1有组织废气</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（1）沼气燃烧废气</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沼气脱硫后送至</w:t>
      </w:r>
      <w:r>
        <w:rPr>
          <w:rFonts w:hint="default" w:ascii="Times New Roman" w:hAnsi="Times New Roman" w:cs="Times New Roman" w:eastAsiaTheme="minorEastAsia"/>
          <w:color w:val="auto"/>
          <w:sz w:val="24"/>
          <w:szCs w:val="22"/>
          <w:highlight w:val="none"/>
          <w:lang w:eastAsia="zh-CN"/>
        </w:rPr>
        <w:t>火炬燃烧消耗掉</w:t>
      </w:r>
      <w:r>
        <w:rPr>
          <w:rFonts w:hint="default" w:ascii="Times New Roman" w:hAnsi="Times New Roman" w:cs="Times New Roman" w:eastAsiaTheme="minorEastAsia"/>
          <w:color w:val="auto"/>
          <w:sz w:val="24"/>
          <w:szCs w:val="22"/>
          <w:highlight w:val="none"/>
        </w:rPr>
        <w:t>，沼气燃烧废气中SO</w:t>
      </w:r>
      <w:r>
        <w:rPr>
          <w:rFonts w:hint="default" w:ascii="Times New Roman" w:hAnsi="Times New Roman" w:cs="Times New Roman" w:eastAsiaTheme="minorEastAsia"/>
          <w:color w:val="auto"/>
          <w:sz w:val="24"/>
          <w:szCs w:val="22"/>
          <w:highlight w:val="none"/>
          <w:vertAlign w:val="subscript"/>
        </w:rPr>
        <w:t>2</w:t>
      </w:r>
      <w:r>
        <w:rPr>
          <w:rFonts w:hint="default" w:ascii="Times New Roman" w:hAnsi="Times New Roman" w:cs="Times New Roman" w:eastAsiaTheme="minorEastAsia"/>
          <w:color w:val="auto"/>
          <w:sz w:val="24"/>
          <w:szCs w:val="22"/>
          <w:highlight w:val="none"/>
        </w:rPr>
        <w:t>排放速率为0.00026kg/h（0.0011t/a），颗粒物排放速率为0.00037kg/h（0.0016t/a），NO</w:t>
      </w:r>
      <w:r>
        <w:rPr>
          <w:rFonts w:hint="default" w:ascii="Times New Roman" w:hAnsi="Times New Roman" w:cs="Times New Roman" w:eastAsiaTheme="minorEastAsia"/>
          <w:color w:val="auto"/>
          <w:sz w:val="24"/>
          <w:szCs w:val="22"/>
          <w:highlight w:val="none"/>
          <w:vertAlign w:val="subscript"/>
        </w:rPr>
        <w:t>x</w:t>
      </w:r>
      <w:r>
        <w:rPr>
          <w:rFonts w:hint="default" w:ascii="Times New Roman" w:hAnsi="Times New Roman" w:cs="Times New Roman" w:eastAsiaTheme="minorEastAsia"/>
          <w:color w:val="auto"/>
          <w:sz w:val="24"/>
          <w:szCs w:val="22"/>
          <w:highlight w:val="none"/>
        </w:rPr>
        <w:t>排放速率为0.0024kg/h（0.01t/a）。基准烟气量为13.58Nm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/h。SO</w:t>
      </w:r>
      <w:r>
        <w:rPr>
          <w:rFonts w:hint="default" w:ascii="Times New Roman" w:hAnsi="Times New Roman" w:cs="Times New Roman" w:eastAsiaTheme="minorEastAsia"/>
          <w:color w:val="auto"/>
          <w:sz w:val="24"/>
          <w:szCs w:val="22"/>
          <w:highlight w:val="none"/>
          <w:vertAlign w:val="subscript"/>
        </w:rPr>
        <w:t>2</w:t>
      </w:r>
      <w:r>
        <w:rPr>
          <w:rFonts w:hint="default" w:ascii="Times New Roman" w:hAnsi="Times New Roman" w:cs="Times New Roman" w:eastAsiaTheme="minorEastAsia"/>
          <w:color w:val="auto"/>
          <w:sz w:val="24"/>
          <w:szCs w:val="22"/>
          <w:highlight w:val="none"/>
        </w:rPr>
        <w:t>排放浓度为19.14mg/m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，颗粒物排放浓度为27.24mg/m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，NO</w:t>
      </w:r>
      <w:r>
        <w:rPr>
          <w:rFonts w:hint="default" w:ascii="Times New Roman" w:hAnsi="Times New Roman" w:cs="Times New Roman" w:eastAsiaTheme="minorEastAsia"/>
          <w:color w:val="auto"/>
          <w:sz w:val="24"/>
          <w:szCs w:val="22"/>
          <w:highlight w:val="none"/>
          <w:vertAlign w:val="subscript"/>
        </w:rPr>
        <w:t>x</w:t>
      </w:r>
      <w:r>
        <w:rPr>
          <w:rFonts w:hint="default" w:ascii="Times New Roman" w:hAnsi="Times New Roman" w:cs="Times New Roman" w:eastAsiaTheme="minorEastAsia"/>
          <w:color w:val="auto"/>
          <w:sz w:val="24"/>
          <w:szCs w:val="22"/>
          <w:highlight w:val="none"/>
        </w:rPr>
        <w:t>排放浓度为176.73mg/m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。沼气燃烧废气满足《大气污染物综合排放标准》（GB16297-1996）中表2二级标准后经15m高排气筒排放。</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（2）固液分离间恶臭</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auto"/>
          <w:sz w:val="24"/>
          <w:szCs w:val="22"/>
          <w:highlight w:val="none"/>
        </w:rPr>
        <w:t>本项目建设固液分离间对牛舍内产生的牛尿、牛舍冲洗废水、挤奶厅清洗废水等进行固液分离，固液分离后的固体外运处置堆肥。固液分离间操作产生恶臭气体，主要为氨和硫化氢，固液分离间密闭，</w:t>
      </w:r>
      <w:r>
        <w:rPr>
          <w:rFonts w:hint="default" w:ascii="Times New Roman" w:hAnsi="Times New Roman" w:cs="Times New Roman" w:eastAsiaTheme="minorEastAsia"/>
          <w:color w:val="auto"/>
          <w:sz w:val="24"/>
          <w:szCs w:val="24"/>
          <w:highlight w:val="none"/>
        </w:rPr>
        <w:t>负压收集废气送活性炭吸附装置处理后通过15 m高排气筒排放，配套风机风量为2000 m</w:t>
      </w:r>
      <w:r>
        <w:rPr>
          <w:rFonts w:hint="default" w:ascii="Times New Roman" w:hAnsi="Times New Roman" w:cs="Times New Roman" w:eastAsiaTheme="minorEastAsia"/>
          <w:color w:val="auto"/>
          <w:sz w:val="24"/>
          <w:szCs w:val="24"/>
          <w:highlight w:val="none"/>
          <w:vertAlign w:val="superscript"/>
        </w:rPr>
        <w:t>3</w:t>
      </w:r>
      <w:r>
        <w:rPr>
          <w:rFonts w:hint="default" w:ascii="Times New Roman" w:hAnsi="Times New Roman" w:cs="Times New Roman" w:eastAsiaTheme="minorEastAsia"/>
          <w:color w:val="auto"/>
          <w:sz w:val="24"/>
          <w:szCs w:val="24"/>
          <w:highlight w:val="none"/>
        </w:rPr>
        <w:t>/h。</w:t>
      </w:r>
      <w:r>
        <w:rPr>
          <w:rFonts w:hint="default" w:ascii="Times New Roman" w:hAnsi="Times New Roman" w:cs="Times New Roman" w:eastAsiaTheme="minorEastAsia"/>
          <w:color w:val="auto"/>
          <w:sz w:val="24"/>
          <w:szCs w:val="22"/>
          <w:highlight w:val="none"/>
        </w:rPr>
        <w:t>本项目固液分离间采用活性炭吸附除臭，去除率为70%，集气率为90%，则固液分离间NH</w:t>
      </w:r>
      <w:r>
        <w:rPr>
          <w:rFonts w:hint="default" w:ascii="Times New Roman" w:hAnsi="Times New Roman" w:cs="Times New Roman" w:eastAsiaTheme="minorEastAsia"/>
          <w:color w:val="auto"/>
          <w:sz w:val="24"/>
          <w:szCs w:val="22"/>
          <w:highlight w:val="none"/>
          <w:vertAlign w:val="subscript"/>
        </w:rPr>
        <w:t>3</w:t>
      </w:r>
      <w:r>
        <w:rPr>
          <w:rFonts w:hint="default" w:ascii="Times New Roman" w:hAnsi="Times New Roman" w:cs="Times New Roman" w:eastAsiaTheme="minorEastAsia"/>
          <w:color w:val="auto"/>
          <w:sz w:val="24"/>
          <w:szCs w:val="22"/>
          <w:highlight w:val="none"/>
        </w:rPr>
        <w:t>、H</w:t>
      </w:r>
      <w:r>
        <w:rPr>
          <w:rFonts w:hint="default" w:ascii="Times New Roman" w:hAnsi="Times New Roman" w:cs="Times New Roman" w:eastAsiaTheme="minorEastAsia"/>
          <w:color w:val="auto"/>
          <w:sz w:val="24"/>
          <w:szCs w:val="22"/>
          <w:highlight w:val="none"/>
          <w:vertAlign w:val="subscript"/>
        </w:rPr>
        <w:t>2</w:t>
      </w:r>
      <w:r>
        <w:rPr>
          <w:rFonts w:hint="default" w:ascii="Times New Roman" w:hAnsi="Times New Roman" w:cs="Times New Roman" w:eastAsiaTheme="minorEastAsia"/>
          <w:color w:val="auto"/>
          <w:sz w:val="24"/>
          <w:szCs w:val="22"/>
          <w:highlight w:val="none"/>
        </w:rPr>
        <w:t>S有组织排放速率分别为0.0008kg/h和0.0005kg/h。NH</w:t>
      </w:r>
      <w:r>
        <w:rPr>
          <w:rFonts w:hint="default" w:ascii="Times New Roman" w:hAnsi="Times New Roman" w:cs="Times New Roman" w:eastAsiaTheme="minorEastAsia"/>
          <w:color w:val="auto"/>
          <w:sz w:val="24"/>
          <w:szCs w:val="22"/>
          <w:highlight w:val="none"/>
          <w:vertAlign w:val="subscript"/>
        </w:rPr>
        <w:t>3</w:t>
      </w:r>
      <w:r>
        <w:rPr>
          <w:rFonts w:hint="default" w:ascii="Times New Roman" w:hAnsi="Times New Roman" w:cs="Times New Roman" w:eastAsiaTheme="minorEastAsia"/>
          <w:color w:val="auto"/>
          <w:sz w:val="24"/>
          <w:szCs w:val="22"/>
          <w:highlight w:val="none"/>
        </w:rPr>
        <w:t>排放浓度为0.4mg/m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，H</w:t>
      </w:r>
      <w:r>
        <w:rPr>
          <w:rFonts w:hint="default" w:ascii="Times New Roman" w:hAnsi="Times New Roman" w:cs="Times New Roman" w:eastAsiaTheme="minorEastAsia"/>
          <w:color w:val="auto"/>
          <w:sz w:val="24"/>
          <w:szCs w:val="22"/>
          <w:highlight w:val="none"/>
          <w:vertAlign w:val="subscript"/>
        </w:rPr>
        <w:t>2</w:t>
      </w:r>
      <w:r>
        <w:rPr>
          <w:rFonts w:hint="default" w:ascii="Times New Roman" w:hAnsi="Times New Roman" w:cs="Times New Roman" w:eastAsiaTheme="minorEastAsia"/>
          <w:color w:val="auto"/>
          <w:sz w:val="24"/>
          <w:szCs w:val="22"/>
          <w:highlight w:val="none"/>
        </w:rPr>
        <w:t>S排放浓度为0.25mg/m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。固液分离间排放废气满足</w:t>
      </w:r>
      <w:r>
        <w:rPr>
          <w:rFonts w:hint="default" w:ascii="Times New Roman" w:hAnsi="Times New Roman" w:cs="Times New Roman" w:eastAsiaTheme="minorEastAsia"/>
          <w:color w:val="auto"/>
          <w:sz w:val="24"/>
          <w:szCs w:val="24"/>
          <w:highlight w:val="none"/>
        </w:rPr>
        <w:t>《恶臭污染物排放标准</w:t>
      </w:r>
      <w:r>
        <w:rPr>
          <w:rFonts w:hint="default" w:ascii="Times New Roman" w:hAnsi="Times New Roman" w:cs="Times New Roman" w:eastAsiaTheme="minorEastAsia"/>
          <w:sz w:val="24"/>
          <w:szCs w:val="24"/>
        </w:rPr>
        <w:t>》（GB14554-93）中表2恶臭污染物排放标准值</w:t>
      </w:r>
      <w:r>
        <w:rPr>
          <w:rFonts w:hint="default" w:ascii="Times New Roman" w:hAnsi="Times New Roman" w:cs="Times New Roman" w:eastAsiaTheme="minorEastAsia"/>
          <w:color w:val="000000" w:themeColor="text1"/>
          <w:sz w:val="24"/>
          <w:szCs w:val="22"/>
          <w14:textFill>
            <w14:solidFill>
              <w14:schemeClr w14:val="tx1"/>
            </w14:solidFill>
          </w14:textFill>
        </w:rPr>
        <w:t>后经15m高排气筒排放。</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（3）生物质采暖锅炉</w:t>
      </w:r>
    </w:p>
    <w:p>
      <w:pPr>
        <w:spacing w:line="480" w:lineRule="exact"/>
        <w:ind w:firstLine="592"/>
        <w:rPr>
          <w:rFonts w:hint="default" w:ascii="Times New Roman" w:hAnsi="Times New Roman" w:cs="Times New Roman" w:eastAsiaTheme="minorEastAsia"/>
          <w:sz w:val="24"/>
          <w:szCs w:val="24"/>
        </w:rPr>
      </w:pPr>
      <w:r>
        <w:rPr>
          <w:rFonts w:hint="default" w:ascii="Times New Roman" w:hAnsi="Times New Roman" w:cs="Times New Roman" w:eastAsiaTheme="minorEastAsia"/>
          <w:snapToGrid w:val="0"/>
          <w:spacing w:val="8"/>
          <w:sz w:val="24"/>
          <w:szCs w:val="24"/>
        </w:rPr>
        <w:t>本项目设锅炉房一座，新建1台7MW生物质热水锅炉，配套安装布袋除尘器。设置1个烟囱，高度为2</w:t>
      </w:r>
      <w:r>
        <w:rPr>
          <w:rFonts w:hint="default" w:ascii="Times New Roman" w:hAnsi="Times New Roman" w:cs="Times New Roman" w:eastAsiaTheme="minorEastAsia"/>
          <w:snapToGrid w:val="0"/>
          <w:spacing w:val="8"/>
          <w:sz w:val="24"/>
          <w:szCs w:val="24"/>
          <w:lang w:val="en-US" w:eastAsia="zh-CN"/>
        </w:rPr>
        <w:t>5</w:t>
      </w:r>
      <w:r>
        <w:rPr>
          <w:rFonts w:hint="default" w:ascii="Times New Roman" w:hAnsi="Times New Roman" w:cs="Times New Roman" w:eastAsiaTheme="minorEastAsia"/>
          <w:snapToGrid w:val="0"/>
          <w:spacing w:val="8"/>
          <w:sz w:val="24"/>
          <w:szCs w:val="24"/>
        </w:rPr>
        <w:t>m。锅炉燃料为生物质颗粒，主要用于采暖。锅炉年运行时间150d左右，每天运行时间20h，约消耗生物质成型燃料2100t/a。</w:t>
      </w:r>
      <w:r>
        <w:rPr>
          <w:rFonts w:hint="default" w:ascii="Times New Roman" w:hAnsi="Times New Roman" w:cs="Times New Roman" w:eastAsiaTheme="minorEastAsia"/>
          <w:sz w:val="24"/>
          <w:szCs w:val="24"/>
        </w:rPr>
        <w:t>锅炉烟气产生量为1.38×10</w:t>
      </w:r>
      <w:r>
        <w:rPr>
          <w:rFonts w:hint="default" w:ascii="Times New Roman" w:hAnsi="Times New Roman" w:cs="Times New Roman" w:eastAsiaTheme="minorEastAsia"/>
          <w:sz w:val="24"/>
          <w:szCs w:val="24"/>
          <w:vertAlign w:val="superscript"/>
        </w:rPr>
        <w:t>7</w:t>
      </w:r>
      <w:r>
        <w:rPr>
          <w:rFonts w:hint="default" w:ascii="Times New Roman" w:hAnsi="Times New Roman" w:cs="Times New Roman" w:eastAsiaTheme="minorEastAsia"/>
          <w:sz w:val="24"/>
          <w:szCs w:val="24"/>
        </w:rPr>
        <w:t>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/a，颗粒物产生浓度为170.29mg/m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，产生量2350kg/a；SO</w:t>
      </w:r>
      <w:r>
        <w:rPr>
          <w:rFonts w:hint="default" w:ascii="Times New Roman" w:hAnsi="Times New Roman" w:cs="Times New Roman" w:eastAsiaTheme="minorEastAsia"/>
          <w:sz w:val="24"/>
          <w:szCs w:val="24"/>
          <w:vertAlign w:val="subscript"/>
        </w:rPr>
        <w:t>2</w:t>
      </w:r>
      <w:r>
        <w:rPr>
          <w:rFonts w:hint="default" w:ascii="Times New Roman" w:hAnsi="Times New Roman" w:cs="Times New Roman" w:eastAsiaTheme="minorEastAsia"/>
          <w:sz w:val="24"/>
          <w:szCs w:val="24"/>
        </w:rPr>
        <w:t>产生浓度为258.69mg/m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，产生量3570kg/a；NO</w:t>
      </w:r>
      <w:r>
        <w:rPr>
          <w:rFonts w:hint="default" w:ascii="Times New Roman" w:hAnsi="Times New Roman" w:cs="Times New Roman" w:eastAsiaTheme="minorEastAsia"/>
          <w:sz w:val="24"/>
          <w:szCs w:val="24"/>
          <w:vertAlign w:val="subscript"/>
        </w:rPr>
        <w:t>X</w:t>
      </w:r>
      <w:r>
        <w:rPr>
          <w:rFonts w:hint="default" w:ascii="Times New Roman" w:hAnsi="Times New Roman" w:cs="Times New Roman" w:eastAsiaTheme="minorEastAsia"/>
          <w:sz w:val="24"/>
          <w:szCs w:val="24"/>
        </w:rPr>
        <w:t>产生浓度为155.07mg/m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，产生量2140kg/a。布袋除尘器除尘效率95%。经处理后颗粒物排放浓度为8.7mg/m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、排放量120kg/a；SO</w:t>
      </w:r>
      <w:r>
        <w:rPr>
          <w:rFonts w:hint="default" w:ascii="Times New Roman" w:hAnsi="Times New Roman" w:cs="Times New Roman" w:eastAsiaTheme="minorEastAsia"/>
          <w:sz w:val="24"/>
          <w:szCs w:val="24"/>
          <w:vertAlign w:val="subscript"/>
        </w:rPr>
        <w:t>2</w:t>
      </w:r>
      <w:r>
        <w:rPr>
          <w:rFonts w:hint="default" w:ascii="Times New Roman" w:hAnsi="Times New Roman" w:cs="Times New Roman" w:eastAsiaTheme="minorEastAsia"/>
          <w:sz w:val="24"/>
          <w:szCs w:val="24"/>
        </w:rPr>
        <w:t>排放浓度258.69mg/m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、排放量3570kg/a；NO</w:t>
      </w:r>
      <w:r>
        <w:rPr>
          <w:rFonts w:hint="default" w:ascii="Times New Roman" w:hAnsi="Times New Roman" w:cs="Times New Roman" w:eastAsiaTheme="minorEastAsia"/>
          <w:sz w:val="24"/>
          <w:szCs w:val="24"/>
          <w:vertAlign w:val="subscript"/>
        </w:rPr>
        <w:t>X</w:t>
      </w:r>
      <w:r>
        <w:rPr>
          <w:rFonts w:hint="default" w:ascii="Times New Roman" w:hAnsi="Times New Roman" w:cs="Times New Roman" w:eastAsiaTheme="minorEastAsia"/>
          <w:sz w:val="24"/>
          <w:szCs w:val="24"/>
        </w:rPr>
        <w:t>排放浓度为155.07mg/m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、排放量2140kg/a；烟气黑度＜1，各污染物排放浓度满足《锅炉大气污染物排放标准》（GB13271-2014）中表2燃煤锅炉标准，能够做到达标排放。</w:t>
      </w:r>
    </w:p>
    <w:p>
      <w:pPr>
        <w:ind w:firstLine="0" w:firstLineChars="0"/>
        <w:rPr>
          <w:rFonts w:hint="default" w:ascii="Times New Roman" w:hAnsi="Times New Roman" w:cs="Times New Roman" w:eastAsiaTheme="minorEastAsia"/>
          <w:b/>
          <w:bCs/>
          <w:color w:val="000000" w:themeColor="text1"/>
          <w14:textFill>
            <w14:solidFill>
              <w14:schemeClr w14:val="tx1"/>
            </w14:solidFill>
          </w14:textFill>
        </w:rPr>
      </w:pPr>
      <w:r>
        <w:rPr>
          <w:rFonts w:hint="default" w:ascii="Times New Roman" w:hAnsi="Times New Roman" w:cs="Times New Roman" w:eastAsiaTheme="minorEastAsia"/>
          <w:b/>
          <w:bCs/>
          <w:color w:val="000000" w:themeColor="text1"/>
          <w14:textFill>
            <w14:solidFill>
              <w14:schemeClr w14:val="tx1"/>
            </w14:solidFill>
          </w14:textFill>
        </w:rPr>
        <w:t>9.4.1.2无组织废气</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（1）牛舍恶臭</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牛舍恶臭污染物中主要成分为氨、硫化氢，本项目牛舍恶臭气体氨产生速率为0.048kg/h，硫化氢产生速率为0.006kg/h。采取加强牛舍卫生管理、改善饲料营养结构和增加清粪次数等措施，本项目牛舍恶臭氨气排放速率为0.007kg/h，硫化氢排放速率为0.0004kg/h。</w:t>
      </w:r>
    </w:p>
    <w:p>
      <w:pPr>
        <w:spacing w:line="500" w:lineRule="exact"/>
        <w:ind w:firstLine="560"/>
        <w:rPr>
          <w:rFonts w:hint="default" w:ascii="Times New Roman" w:hAnsi="Times New Roman" w:cs="Times New Roman" w:eastAsiaTheme="minorEastAsia"/>
          <w:bCs/>
          <w:color w:val="auto"/>
          <w:sz w:val="24"/>
          <w:szCs w:val="22"/>
          <w:highlight w:val="none"/>
        </w:rPr>
      </w:pPr>
      <w:r>
        <w:rPr>
          <w:rFonts w:hint="default" w:ascii="Times New Roman" w:hAnsi="Times New Roman" w:cs="Times New Roman" w:eastAsiaTheme="minorEastAsia"/>
          <w:color w:val="auto"/>
          <w:sz w:val="24"/>
          <w:szCs w:val="22"/>
          <w:highlight w:val="none"/>
        </w:rPr>
        <w:t>根据估算模式预测结果，牛舍无组织氨、硫化氢排放厂界处最大浓度分别为0.008</w:t>
      </w:r>
      <w:r>
        <w:rPr>
          <w:rFonts w:hint="default" w:ascii="Times New Roman" w:hAnsi="Times New Roman" w:cs="Times New Roman" w:eastAsiaTheme="minorEastAsia"/>
          <w:bCs/>
          <w:color w:val="auto"/>
          <w:sz w:val="24"/>
          <w:szCs w:val="22"/>
          <w:highlight w:val="none"/>
        </w:rPr>
        <w:t>mg/m</w:t>
      </w:r>
      <w:r>
        <w:rPr>
          <w:rFonts w:hint="default" w:ascii="Times New Roman" w:hAnsi="Times New Roman" w:cs="Times New Roman" w:eastAsiaTheme="minorEastAsia"/>
          <w:bCs/>
          <w:color w:val="auto"/>
          <w:sz w:val="24"/>
          <w:szCs w:val="22"/>
          <w:highlight w:val="none"/>
          <w:vertAlign w:val="superscript"/>
        </w:rPr>
        <w:t>3</w:t>
      </w:r>
      <w:r>
        <w:rPr>
          <w:rFonts w:hint="default" w:ascii="Times New Roman" w:hAnsi="Times New Roman" w:cs="Times New Roman" w:eastAsiaTheme="minorEastAsia"/>
          <w:bCs/>
          <w:color w:val="auto"/>
          <w:sz w:val="24"/>
          <w:szCs w:val="22"/>
          <w:highlight w:val="none"/>
        </w:rPr>
        <w:t>和0.0004 mg/m</w:t>
      </w:r>
      <w:r>
        <w:rPr>
          <w:rFonts w:hint="default" w:ascii="Times New Roman" w:hAnsi="Times New Roman" w:cs="Times New Roman" w:eastAsiaTheme="minorEastAsia"/>
          <w:bCs/>
          <w:color w:val="auto"/>
          <w:sz w:val="24"/>
          <w:szCs w:val="22"/>
          <w:highlight w:val="none"/>
          <w:vertAlign w:val="superscript"/>
        </w:rPr>
        <w:t>3</w:t>
      </w:r>
      <w:r>
        <w:rPr>
          <w:rFonts w:hint="default" w:ascii="Times New Roman" w:hAnsi="Times New Roman" w:cs="Times New Roman" w:eastAsiaTheme="minorEastAsia"/>
          <w:bCs/>
          <w:color w:val="auto"/>
          <w:sz w:val="24"/>
          <w:szCs w:val="22"/>
          <w:highlight w:val="none"/>
        </w:rPr>
        <w:t>，满足</w:t>
      </w:r>
      <w:r>
        <w:rPr>
          <w:rFonts w:hint="default" w:ascii="Times New Roman" w:hAnsi="Times New Roman" w:cs="Times New Roman" w:eastAsiaTheme="minorEastAsia"/>
          <w:color w:val="auto"/>
          <w:sz w:val="24"/>
          <w:szCs w:val="22"/>
          <w:highlight w:val="none"/>
        </w:rPr>
        <w:t>氨、硫化氢在厂界浓度满足《恶臭污染物排放标准》（GB14554-93）表1中二级新改扩建标准值（氨为1.5mg/m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，硫化氢为0.06mg/m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），臭气浓度满足《畜禽养殖业污染物排放标准》（GB18596-2001）中表7标准限值。</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（2）粪污处理区恶臭</w:t>
      </w:r>
    </w:p>
    <w:p>
      <w:pPr>
        <w:spacing w:line="480" w:lineRule="exact"/>
        <w:ind w:firstLine="56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2"/>
          <w:highlight w:val="none"/>
        </w:rPr>
        <w:t>本项目粪污处理区包括固液分离间、黑膜沼气池和沼液储存池，</w:t>
      </w:r>
      <w:r>
        <w:rPr>
          <w:rFonts w:hint="default" w:ascii="Times New Roman" w:hAnsi="Times New Roman" w:cs="Times New Roman" w:eastAsiaTheme="minorEastAsia"/>
          <w:color w:val="auto"/>
          <w:sz w:val="24"/>
          <w:szCs w:val="24"/>
          <w:highlight w:val="none"/>
        </w:rPr>
        <w:t>粪污处理区氨、硫化氢</w:t>
      </w:r>
      <w:r>
        <w:rPr>
          <w:rFonts w:hint="default" w:ascii="Times New Roman" w:hAnsi="Times New Roman" w:cs="Times New Roman" w:eastAsiaTheme="minorEastAsia"/>
          <w:color w:val="auto"/>
          <w:sz w:val="24"/>
          <w:szCs w:val="22"/>
          <w:highlight w:val="none"/>
        </w:rPr>
        <w:t>无组织排放速率分别为0.0006kg/h和0.00022kg/h。</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根据估算模式预测结果，粪污处理区无组织氨、硫化氢排放厂界处最大浓度分别为0.01</w:t>
      </w:r>
      <w:r>
        <w:rPr>
          <w:rFonts w:hint="default" w:ascii="Times New Roman" w:hAnsi="Times New Roman" w:cs="Times New Roman" w:eastAsiaTheme="minorEastAsia"/>
          <w:bCs/>
          <w:color w:val="auto"/>
          <w:sz w:val="24"/>
          <w:szCs w:val="22"/>
          <w:highlight w:val="none"/>
        </w:rPr>
        <w:t>mg/m</w:t>
      </w:r>
      <w:r>
        <w:rPr>
          <w:rFonts w:hint="default" w:ascii="Times New Roman" w:hAnsi="Times New Roman" w:cs="Times New Roman" w:eastAsiaTheme="minorEastAsia"/>
          <w:bCs/>
          <w:color w:val="auto"/>
          <w:sz w:val="24"/>
          <w:szCs w:val="22"/>
          <w:highlight w:val="none"/>
          <w:vertAlign w:val="superscript"/>
        </w:rPr>
        <w:t>3</w:t>
      </w:r>
      <w:r>
        <w:rPr>
          <w:rFonts w:hint="default" w:ascii="Times New Roman" w:hAnsi="Times New Roman" w:cs="Times New Roman" w:eastAsiaTheme="minorEastAsia"/>
          <w:bCs/>
          <w:color w:val="auto"/>
          <w:sz w:val="24"/>
          <w:szCs w:val="22"/>
          <w:highlight w:val="none"/>
        </w:rPr>
        <w:t>和0.0004mg/m</w:t>
      </w:r>
      <w:r>
        <w:rPr>
          <w:rFonts w:hint="default" w:ascii="Times New Roman" w:hAnsi="Times New Roman" w:cs="Times New Roman" w:eastAsiaTheme="minorEastAsia"/>
          <w:bCs/>
          <w:color w:val="auto"/>
          <w:sz w:val="24"/>
          <w:szCs w:val="22"/>
          <w:highlight w:val="none"/>
          <w:vertAlign w:val="superscript"/>
        </w:rPr>
        <w:t>3</w:t>
      </w:r>
      <w:r>
        <w:rPr>
          <w:rFonts w:hint="default" w:ascii="Times New Roman" w:hAnsi="Times New Roman" w:cs="Times New Roman" w:eastAsiaTheme="minorEastAsia"/>
          <w:bCs/>
          <w:color w:val="auto"/>
          <w:sz w:val="24"/>
          <w:szCs w:val="22"/>
          <w:highlight w:val="none"/>
        </w:rPr>
        <w:t>，满足</w:t>
      </w:r>
      <w:r>
        <w:rPr>
          <w:rFonts w:hint="default" w:ascii="Times New Roman" w:hAnsi="Times New Roman" w:cs="Times New Roman" w:eastAsiaTheme="minorEastAsia"/>
          <w:snapToGrid w:val="0"/>
          <w:color w:val="auto"/>
          <w:w w:val="99"/>
          <w:sz w:val="24"/>
          <w:szCs w:val="22"/>
          <w:highlight w:val="none"/>
          <w:lang w:val="zh-CN"/>
        </w:rPr>
        <w:t>硫化氢、氨在厂界浓度满足《恶臭污染物排放标准》（GB14554-93）表1中二级新改扩建标准值</w:t>
      </w:r>
      <w:r>
        <w:rPr>
          <w:rFonts w:hint="default" w:ascii="Times New Roman" w:hAnsi="Times New Roman" w:cs="Times New Roman" w:eastAsiaTheme="minorEastAsia"/>
          <w:color w:val="auto"/>
          <w:sz w:val="24"/>
          <w:szCs w:val="22"/>
          <w:highlight w:val="none"/>
        </w:rPr>
        <w:t>（氨为1.5mg/m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，硫化氢为0.06mg/m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），臭气浓度满足《畜禽养殖业污染物排放标准》（GB18596-2001）中表7标准限值。</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本项目采用的恶臭污染物治理措施，满足《排污许可证申请与核发技术规范 畜禽养殖行业》（HJ 1029—2019）表7 恶臭无组织排放控制要求，属于可行技术。</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（3）饲料加工粉尘</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auto"/>
          <w:sz w:val="24"/>
          <w:szCs w:val="22"/>
          <w:highlight w:val="none"/>
        </w:rPr>
        <w:t>本项目饲料加工时间365d/a，每天8h，风机风量2000m</w:t>
      </w:r>
      <w:r>
        <w:rPr>
          <w:rFonts w:hint="default" w:ascii="Times New Roman" w:hAnsi="Times New Roman" w:cs="Times New Roman" w:eastAsiaTheme="minorEastAsia"/>
          <w:color w:val="auto"/>
          <w:sz w:val="24"/>
          <w:szCs w:val="22"/>
          <w:highlight w:val="none"/>
          <w:vertAlign w:val="superscript"/>
        </w:rPr>
        <w:t>3</w:t>
      </w:r>
      <w:r>
        <w:rPr>
          <w:rFonts w:hint="default" w:ascii="Times New Roman" w:hAnsi="Times New Roman" w:cs="Times New Roman" w:eastAsiaTheme="minorEastAsia"/>
          <w:color w:val="auto"/>
          <w:sz w:val="24"/>
          <w:szCs w:val="22"/>
          <w:highlight w:val="none"/>
        </w:rPr>
        <w:t>/h，饲料加工无组织粉尘产生速率为0.014kg/h。厂界无组织颗粒物的排放浓度</w:t>
      </w:r>
      <w:r>
        <w:rPr>
          <w:rFonts w:hint="default" w:ascii="Times New Roman" w:hAnsi="Times New Roman" w:cs="Times New Roman" w:eastAsiaTheme="minorEastAsia"/>
          <w:color w:val="000000" w:themeColor="text1"/>
          <w:sz w:val="24"/>
          <w:szCs w:val="22"/>
          <w14:textFill>
            <w14:solidFill>
              <w14:schemeClr w14:val="tx1"/>
            </w14:solidFill>
          </w14:textFill>
        </w:rPr>
        <w:t>满足《大气污染物综合排放标准》（GB16297-1996）表2无组织排放监控浓度限值。</w:t>
      </w: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9.4.2 废水</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雨污分流，厂区内设置雨水雨水收集管沟，雨水汇流后排至厂区外边沟。运营期废水污染源主要为牛尿、牛舍冲洗废水、生活污水等，牛尿、牛舍冲洗废水、牛舍喷淋水经牛舍粪沟统一收集，与挤奶厅清洗废水一同运至固液分离间进行固液分离，分离后液体排入黑膜沼气池发酵，生活污水进入化粪池后利用吸污车定期抽运至黑膜沼气池，</w:t>
      </w:r>
      <w:r>
        <w:rPr>
          <w:rFonts w:hint="default" w:ascii="Times New Roman" w:hAnsi="Times New Roman" w:cs="Times New Roman" w:eastAsiaTheme="minorEastAsia"/>
          <w:color w:val="000000" w:themeColor="text1"/>
          <w:sz w:val="24"/>
          <w:szCs w:val="24"/>
          <w14:textFill>
            <w14:solidFill>
              <w14:schemeClr w14:val="tx1"/>
            </w14:solidFill>
          </w14:textFill>
        </w:rPr>
        <w:t>满足《畜禽粪便还田技术规范》（GB/T 25246-2010）表2卫生要求，定期还田，由罐车拉运至消纳土地，采用重力自压式进行还田</w:t>
      </w:r>
      <w:r>
        <w:rPr>
          <w:rFonts w:hint="default" w:ascii="Times New Roman" w:hAnsi="Times New Roman" w:cs="Times New Roman" w:eastAsiaTheme="minorEastAsia"/>
          <w:color w:val="000000" w:themeColor="text1"/>
          <w:sz w:val="24"/>
          <w:szCs w:val="22"/>
          <w14:textFill>
            <w14:solidFill>
              <w14:schemeClr w14:val="tx1"/>
            </w14:solidFill>
          </w14:textFill>
        </w:rPr>
        <w:t>。</w:t>
      </w: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9.4.3 固废</w:t>
      </w:r>
    </w:p>
    <w:p>
      <w:pPr>
        <w:pStyle w:val="1297"/>
        <w:rPr>
          <w:rFonts w:hint="default" w:ascii="Times New Roman" w:hAnsi="Times New Roman" w:cs="Times New Roman" w:eastAsiaTheme="minorEastAsia"/>
          <w:b/>
          <w:bCs/>
          <w:color w:val="000000" w:themeColor="text1"/>
          <w14:textFill>
            <w14:solidFill>
              <w14:schemeClr w14:val="tx1"/>
            </w14:solidFill>
          </w14:textFill>
        </w:rPr>
      </w:pPr>
      <w:r>
        <w:rPr>
          <w:rFonts w:hint="default" w:ascii="Times New Roman" w:hAnsi="Times New Roman" w:cs="Times New Roman" w:eastAsiaTheme="minorEastAsia"/>
          <w:b/>
          <w:bCs/>
          <w:color w:val="000000" w:themeColor="text1"/>
          <w14:textFill>
            <w14:solidFill>
              <w14:schemeClr w14:val="tx1"/>
            </w14:solidFill>
          </w14:textFill>
        </w:rPr>
        <w:t>9.4.3.1 一般固废</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（1）牛粪污</w:t>
      </w:r>
    </w:p>
    <w:p>
      <w:pPr>
        <w:spacing w:line="500" w:lineRule="exact"/>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根据《畜禽养殖业污染治理工程技术规范》（HJ497-2009）中表A.2不同畜禽粪污日排泄量，每头牛排粪量20kg/d，本项目年存栏1500头奶牛，其中泌乳牛1200头，后备牛300头，泌乳牛按排粪量20kg/d计，后备牛按排粪量10kg/d计，因此产生牛粪约27t/d，即9855t/a。牛粪及经固液分离后干物质外委安达市瑞合玉米种植专业合作社堆肥还田。</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（2）病死牛、胎盘</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本奶牛存栏量1500头，死亡率约为1%，病死牛约15头/a，奶牛平均体重约为320kg，则项目奶牛病死牛尸体产生总量约为4.8t/a。</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奶牛养殖场病死牛多发生于犊牛，生产后的犊牛死亡率约为2%。本项目预计常年待孕奶牛存栏量为300头，受胎率为95%，则受胎后的犊牛约为285头，即项目每年约产生6个死亡胎盘。胎盘（死胎按照胎盘重量计）平均重量约为4.5kg，则项目胎盘产生总量约为27 kg /a。</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本项目年病死牛尸体及胎盘产生总量为4.827t，外委安达市题桥环保科技有限公司安全处置。</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（3）废沼气脱硫剂</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项目沼气脱硫采用干式脱硫，脱硫剂的主要成分为氧化铁，脱硫效率为95%，废沼气脱硫剂未纳入《国家危险废物名录（2021年版）》，主要成分为氧化铁，不属于危险废物，沼气脱硫装置中失去活性的废脱硫剂由生产厂家更换时回收处置，项目废脱硫剂产生量约为0.5t/a。</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（4）沼渣</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项目进入沼气池的含少量固体的液体部分为7936.1t/a，厌氧反应处理后的沼渣约占5%，产生量为396.805t/a。沼渣和牛粪、固液分离后干物质一起外运安达市瑞合玉米种植专业合作社堆肥处置。</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（5）卧床垫料废物</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牛舍卧床垫料，需要定期更换、补充，产生卧床垫料废物，卧床垫料废物产生量为10000t/a，定期还田。</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（6）生活垃圾</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生活垃圾产生量为0.5kg/d·人，本项目定员20人，产生总量为3.65t/a，属于一般固体废物，由建设单位负责拉运至先源乡垃圾收集点。</w:t>
      </w:r>
    </w:p>
    <w:p>
      <w:pPr>
        <w:pStyle w:val="2"/>
        <w:jc w:val="both"/>
        <w:rPr>
          <w:rFonts w:hint="default" w:ascii="Times New Roman" w:hAnsi="Times New Roman" w:cs="Times New Roman" w:eastAsiaTheme="minorEastAsia"/>
          <w:b w:val="0"/>
          <w:bCs/>
          <w:color w:val="auto"/>
          <w:sz w:val="24"/>
          <w:szCs w:val="24"/>
          <w:highlight w:val="none"/>
          <w:lang w:eastAsia="zh-CN"/>
        </w:rPr>
      </w:pPr>
      <w:r>
        <w:rPr>
          <w:rFonts w:hint="default" w:ascii="Times New Roman" w:hAnsi="Times New Roman" w:cs="Times New Roman" w:eastAsiaTheme="minorEastAsia"/>
          <w:b w:val="0"/>
          <w:bCs/>
          <w:color w:val="auto"/>
          <w:sz w:val="24"/>
          <w:szCs w:val="24"/>
          <w:highlight w:val="none"/>
          <w:lang w:eastAsia="zh-CN"/>
        </w:rPr>
        <w:t>（</w:t>
      </w:r>
      <w:r>
        <w:rPr>
          <w:rFonts w:hint="default" w:ascii="Times New Roman" w:hAnsi="Times New Roman" w:cs="Times New Roman" w:eastAsiaTheme="minorEastAsia"/>
          <w:b w:val="0"/>
          <w:bCs/>
          <w:color w:val="auto"/>
          <w:sz w:val="24"/>
          <w:szCs w:val="24"/>
          <w:highlight w:val="none"/>
          <w:lang w:val="en-US" w:eastAsia="zh-CN"/>
        </w:rPr>
        <w:t>7</w:t>
      </w:r>
      <w:r>
        <w:rPr>
          <w:rFonts w:hint="default" w:ascii="Times New Roman" w:hAnsi="Times New Roman" w:cs="Times New Roman" w:eastAsiaTheme="minorEastAsia"/>
          <w:b w:val="0"/>
          <w:bCs/>
          <w:color w:val="auto"/>
          <w:sz w:val="24"/>
          <w:szCs w:val="24"/>
          <w:highlight w:val="none"/>
          <w:lang w:eastAsia="zh-CN"/>
        </w:rPr>
        <w:t>）废活性炭</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项目废</w:t>
      </w:r>
      <w:r>
        <w:rPr>
          <w:rFonts w:hint="default" w:ascii="Times New Roman" w:hAnsi="Times New Roman" w:cs="Times New Roman" w:eastAsiaTheme="minorEastAsia"/>
          <w:color w:val="auto"/>
          <w:sz w:val="24"/>
          <w:szCs w:val="22"/>
          <w:highlight w:val="none"/>
          <w:lang w:eastAsia="zh-CN"/>
        </w:rPr>
        <w:t>活性炭</w:t>
      </w:r>
      <w:r>
        <w:rPr>
          <w:rFonts w:hint="default" w:ascii="Times New Roman" w:hAnsi="Times New Roman" w:cs="Times New Roman" w:eastAsiaTheme="minorEastAsia"/>
          <w:color w:val="auto"/>
          <w:sz w:val="24"/>
          <w:szCs w:val="22"/>
          <w:highlight w:val="none"/>
        </w:rPr>
        <w:t>产生量约为</w:t>
      </w:r>
      <w:r>
        <w:rPr>
          <w:rFonts w:hint="default" w:ascii="Times New Roman" w:hAnsi="Times New Roman" w:cs="Times New Roman" w:eastAsiaTheme="minorEastAsia"/>
          <w:color w:val="auto"/>
          <w:sz w:val="24"/>
          <w:szCs w:val="22"/>
          <w:highlight w:val="none"/>
          <w:lang w:val="en-US" w:eastAsia="zh-CN"/>
        </w:rPr>
        <w:t>1</w:t>
      </w:r>
      <w:r>
        <w:rPr>
          <w:rFonts w:hint="default" w:ascii="Times New Roman" w:hAnsi="Times New Roman" w:cs="Times New Roman" w:eastAsiaTheme="minorEastAsia"/>
          <w:color w:val="auto"/>
          <w:sz w:val="24"/>
          <w:szCs w:val="22"/>
          <w:highlight w:val="none"/>
        </w:rPr>
        <w:t>t/a</w:t>
      </w:r>
      <w:r>
        <w:rPr>
          <w:rFonts w:hint="default" w:ascii="Times New Roman" w:hAnsi="Times New Roman" w:cs="Times New Roman" w:eastAsiaTheme="minorEastAsia"/>
          <w:color w:val="auto"/>
          <w:sz w:val="24"/>
          <w:szCs w:val="22"/>
          <w:highlight w:val="none"/>
          <w:lang w:eastAsia="zh-CN"/>
        </w:rPr>
        <w:t>，</w:t>
      </w:r>
      <w:r>
        <w:rPr>
          <w:rFonts w:hint="default" w:ascii="Times New Roman" w:hAnsi="Times New Roman" w:cs="Times New Roman" w:eastAsiaTheme="minorEastAsia"/>
          <w:color w:val="auto"/>
          <w:sz w:val="24"/>
          <w:szCs w:val="22"/>
          <w:highlight w:val="none"/>
        </w:rPr>
        <w:t>由生产厂家更换时回收处置。</w:t>
      </w:r>
    </w:p>
    <w:p>
      <w:pPr>
        <w:pStyle w:val="1297"/>
        <w:rPr>
          <w:rFonts w:hint="default" w:ascii="Times New Roman" w:hAnsi="Times New Roman" w:cs="Times New Roman" w:eastAsiaTheme="minorEastAsia"/>
          <w:b/>
          <w:bCs/>
          <w:color w:val="auto"/>
          <w:highlight w:val="none"/>
        </w:rPr>
      </w:pPr>
      <w:r>
        <w:rPr>
          <w:rFonts w:hint="default" w:ascii="Times New Roman" w:hAnsi="Times New Roman" w:cs="Times New Roman" w:eastAsiaTheme="minorEastAsia"/>
          <w:b/>
          <w:bCs/>
          <w:color w:val="auto"/>
          <w:highlight w:val="none"/>
        </w:rPr>
        <w:t>9.4.3.2 危险废物</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本项目需要使用预防疾病用药，每年约使用药1000瓶、300袋，药瓶重量约为0.02kg/个，用药包装袋重量约为0.01kg/个，经计算，医疗废物废物总产生量约为0.023t/a。根据《国家危险废物名录（2021年版）》，属于HW01类危险废物，废物代码为841-001-01。医疗废物在危废暂存间存放，定期委托有资质的单位安全处置。</w:t>
      </w:r>
    </w:p>
    <w:p>
      <w:pPr>
        <w:spacing w:line="500" w:lineRule="exact"/>
        <w:ind w:firstLine="560"/>
        <w:rPr>
          <w:rFonts w:hint="default" w:ascii="Times New Roman" w:hAnsi="Times New Roman" w:cs="Times New Roman" w:eastAsiaTheme="minorEastAsia"/>
          <w:color w:val="auto"/>
          <w:sz w:val="24"/>
          <w:szCs w:val="22"/>
          <w:highlight w:val="none"/>
        </w:rPr>
      </w:pPr>
      <w:r>
        <w:rPr>
          <w:rFonts w:hint="default" w:ascii="Times New Roman" w:hAnsi="Times New Roman" w:cs="Times New Roman" w:eastAsiaTheme="minorEastAsia"/>
          <w:color w:val="auto"/>
          <w:sz w:val="24"/>
          <w:szCs w:val="22"/>
          <w:highlight w:val="none"/>
        </w:rPr>
        <w:t>本项目危险废物建议委托大庆龙铁医疗废物处理有限公司进行安全处置，该公司具有医疗废物（感染性废物、损伤性废物）安全处置资质，可将本项目产生危险废物进行安全处置。</w:t>
      </w:r>
    </w:p>
    <w:p>
      <w:pPr>
        <w:spacing w:line="500" w:lineRule="exact"/>
        <w:ind w:firstLine="562"/>
        <w:rPr>
          <w:rFonts w:hint="default" w:ascii="Times New Roman" w:hAnsi="Times New Roman" w:cs="Times New Roman" w:eastAsiaTheme="minorEastAsia"/>
          <w:b/>
          <w:color w:val="auto"/>
          <w:highlight w:val="none"/>
        </w:rPr>
      </w:pPr>
      <w:r>
        <w:rPr>
          <w:rFonts w:hint="default" w:ascii="Times New Roman" w:hAnsi="Times New Roman" w:cs="Times New Roman" w:eastAsiaTheme="minorEastAsia"/>
          <w:b/>
          <w:color w:val="auto"/>
          <w:highlight w:val="none"/>
        </w:rPr>
        <w:t>9.4.4 噪声</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在工程设计上，优先选用低噪声设备，对不同噪声源分别采取隔声、基础减振、软管连接等降噪措施。本项目主要设备噪声源为风机、泵类等，采取的具体措施如下：</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（1）选用低噪设备：本项目主要产噪设备均选用低噪声设备，所有高噪声动力设备采购时都将噪声级作为技术指标之一；要求主机和有关辅机生产厂家提供配套的隔音罩和消音器。</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（2）降低噪声：项目产生噪声较大的设备均设减振基座并采用室内布置。</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（3）合理布局：在场区总体布置中统筹规划、合理布局、注重防噪声间距。</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（4）运营期维护：建立完善的监管、维修制度，设专人对设备及管道进行监管，及时维修、更换坏损部件，防止机械噪声及空气动力学噪声的升高。</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（5）隔声：利用牛舍墙体隔声，进一步降低生产噪声对周围环境的影响。</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采取以上噪声污染防治措施，能够降低噪声声源强度、控制声波传播途径，确保厂界噪声满足《工业企业厂界环境噪声排放标准》(GB12348-2008)中2类标准限值。因此，本项目采取以上噪声污染防治措施是可行。</w:t>
      </w: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9.4.5 土壤</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（1）危险废物严格按要求进行处理处置，严禁随意倾倒、丢弃；企业应集中收集，专人管理，集中贮存，贮存设施应满足《危险废物贮存污染控制标准》（GB18597-2001）及其修改单中的要求。</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（2）企业应对厂区内各项设施采取防渗措施，如好氧发酵间、黑膜沼气池等，防止发生渗漏现象时污染土壤环境。</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（3）在生产过程中做好对设备的维护、检修，切实杜绝“跑、冒、滴、漏”现象发生，同时，应加强关键部位的安全防护、报警措施，以便发现事故隐患，采取有效的应对措施以防事故发生。</w:t>
      </w: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9.4.6 污染物排放总量</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本项目所产生的各类污染物在经过治理后均可达标排放，废气污染物总量排放情况为：颗粒物0.162t/a、SO</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0.358t/a和NO</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X</w:t>
      </w:r>
      <w:r>
        <w:rPr>
          <w:rFonts w:hint="default" w:ascii="Times New Roman" w:hAnsi="Times New Roman" w:cs="Times New Roman" w:eastAsiaTheme="minorEastAsia"/>
          <w:color w:val="000000" w:themeColor="text1"/>
          <w:sz w:val="24"/>
          <w:szCs w:val="24"/>
          <w14:textFill>
            <w14:solidFill>
              <w14:schemeClr w14:val="tx1"/>
            </w14:solidFill>
          </w14:textFill>
        </w:rPr>
        <w:t>0.225t/a。。</w:t>
      </w:r>
    </w:p>
    <w:p>
      <w:pPr>
        <w:pStyle w:val="639"/>
        <w:rPr>
          <w:rFonts w:hint="default" w:ascii="Times New Roman" w:hAnsi="Times New Roman" w:cs="Times New Roman" w:eastAsiaTheme="minorEastAsia"/>
          <w:color w:val="000000" w:themeColor="text1"/>
          <w:sz w:val="28"/>
          <w:szCs w:val="28"/>
          <w14:textFill>
            <w14:solidFill>
              <w14:schemeClr w14:val="tx1"/>
            </w14:solidFill>
          </w14:textFill>
        </w:rPr>
      </w:pPr>
      <w:bookmarkStart w:id="379" w:name="_Toc490033269"/>
      <w:bookmarkStart w:id="380" w:name="_Toc5714"/>
      <w:r>
        <w:rPr>
          <w:rFonts w:hint="default" w:ascii="Times New Roman" w:hAnsi="Times New Roman" w:cs="Times New Roman" w:eastAsiaTheme="minorEastAsia"/>
          <w:color w:val="000000" w:themeColor="text1"/>
          <w:sz w:val="28"/>
          <w:szCs w:val="28"/>
          <w14:textFill>
            <w14:solidFill>
              <w14:schemeClr w14:val="tx1"/>
            </w14:solidFill>
          </w14:textFill>
        </w:rPr>
        <w:t>9.5 环境影响评价结论</w:t>
      </w:r>
      <w:bookmarkEnd w:id="379"/>
      <w:bookmarkEnd w:id="380"/>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9.5.1 大气环境</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本项目主要污染物为TSP、PM</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10</w:t>
      </w:r>
      <w:r>
        <w:rPr>
          <w:rFonts w:hint="default" w:ascii="Times New Roman" w:hAnsi="Times New Roman" w:cs="Times New Roman" w:eastAsiaTheme="minorEastAsia"/>
          <w:color w:val="000000" w:themeColor="text1"/>
          <w:sz w:val="24"/>
          <w:szCs w:val="22"/>
          <w14:textFill>
            <w14:solidFill>
              <w14:schemeClr w14:val="tx1"/>
            </w14:solidFill>
          </w14:textFill>
        </w:rPr>
        <w:t>、SO</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2</w:t>
      </w:r>
      <w:r>
        <w:rPr>
          <w:rFonts w:hint="default" w:ascii="Times New Roman" w:hAnsi="Times New Roman" w:cs="Times New Roman" w:eastAsiaTheme="minorEastAsia"/>
          <w:color w:val="000000" w:themeColor="text1"/>
          <w:sz w:val="24"/>
          <w:szCs w:val="22"/>
          <w14:textFill>
            <w14:solidFill>
              <w14:schemeClr w14:val="tx1"/>
            </w14:solidFill>
          </w14:textFill>
        </w:rPr>
        <w:t>、NO</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X</w:t>
      </w:r>
      <w:r>
        <w:rPr>
          <w:rFonts w:hint="default" w:ascii="Times New Roman" w:hAnsi="Times New Roman" w:cs="Times New Roman" w:eastAsiaTheme="minorEastAsia"/>
          <w:color w:val="000000" w:themeColor="text1"/>
          <w:sz w:val="24"/>
          <w:szCs w:val="22"/>
          <w14:textFill>
            <w14:solidFill>
              <w14:schemeClr w14:val="tx1"/>
            </w14:solidFill>
          </w14:textFill>
        </w:rPr>
        <w:t>、NH</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和H</w:t>
      </w:r>
      <w:r>
        <w:rPr>
          <w:rFonts w:hint="default" w:ascii="Times New Roman" w:hAnsi="Times New Roman" w:cs="Times New Roman" w:eastAsiaTheme="minorEastAsia"/>
          <w:color w:val="000000" w:themeColor="text1"/>
          <w:sz w:val="24"/>
          <w:szCs w:val="22"/>
          <w:vertAlign w:val="subscript"/>
          <w14:textFill>
            <w14:solidFill>
              <w14:schemeClr w14:val="tx1"/>
            </w14:solidFill>
          </w14:textFill>
        </w:rPr>
        <w:t>2</w:t>
      </w:r>
      <w:r>
        <w:rPr>
          <w:rFonts w:hint="default" w:ascii="Times New Roman" w:hAnsi="Times New Roman" w:cs="Times New Roman" w:eastAsiaTheme="minorEastAsia"/>
          <w:color w:val="000000" w:themeColor="text1"/>
          <w:sz w:val="24"/>
          <w:szCs w:val="22"/>
          <w14:textFill>
            <w14:solidFill>
              <w14:schemeClr w14:val="tx1"/>
            </w14:solidFill>
          </w14:textFill>
        </w:rPr>
        <w:t>S，通过AERSCREEN模型估算结果可知，项目各污染物最大落地浓度占标率均低于10%，不进行进一步预测与评价，项目不设置大气环境防护距离。参考《禽养殖业污染防治技术规范》（HJ/T81-2001）中规定的畜禽养殖场选址应设在禁建区域常年主导风向下风向或侧风向处，厂界与禁建区域边界的最小距离不得小于500m要求，本项目以厂界参考设置500m卫生防护距离，在500m卫生防护距离内不得规划建设学校、医院、居民区、办公楼等敏感设施。本项目所在区域为环境空气质量达标区，大气污染物对大气环境影响可接受。</w:t>
      </w:r>
    </w:p>
    <w:p>
      <w:pPr>
        <w:pStyle w:val="1167"/>
        <w:rPr>
          <w:rFonts w:hint="default" w:ascii="Times New Roman" w:hAnsi="Times New Roman" w:cs="Times New Roman" w:eastAsiaTheme="minorEastAsia"/>
          <w:color w:val="000000" w:themeColor="text1"/>
          <w14:textFill>
            <w14:solidFill>
              <w14:schemeClr w14:val="tx1"/>
            </w14:solidFill>
          </w14:textFill>
        </w:rPr>
      </w:pP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9.5.2 地表水环境</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本项目运营期废水污染源主要为牛尿、牛舍冲洗废水、牛舍喷淋废水、挤奶厅清洗废水、生活污水等</w:t>
      </w:r>
      <w:r>
        <w:rPr>
          <w:rFonts w:hint="default" w:ascii="Times New Roman" w:hAnsi="Times New Roman" w:cs="Times New Roman" w:eastAsiaTheme="minorEastAsia"/>
          <w:color w:val="000000" w:themeColor="text1"/>
          <w:sz w:val="24"/>
          <w:szCs w:val="22"/>
          <w14:textFill>
            <w14:solidFill>
              <w14:schemeClr w14:val="tx1"/>
            </w14:solidFill>
          </w14:textFill>
        </w:rPr>
        <w:t>。牛尿、牛舍冲洗废水、牛舍喷淋水经牛舍粪沟统一收集，与挤奶厅清洗废水一同运至固液分离间进行固液分离，</w:t>
      </w:r>
      <w:r>
        <w:rPr>
          <w:rFonts w:hint="default" w:ascii="Times New Roman" w:hAnsi="Times New Roman" w:cs="Times New Roman" w:eastAsiaTheme="minorEastAsia"/>
          <w:color w:val="000000" w:themeColor="text1"/>
          <w:sz w:val="24"/>
          <w:szCs w:val="24"/>
          <w14:textFill>
            <w14:solidFill>
              <w14:schemeClr w14:val="tx1"/>
            </w14:solidFill>
          </w14:textFill>
        </w:rPr>
        <w:t>分离后液体排入黑膜沼气池发酵，生活污水进入化粪池后利用吸污车定期抽运至黑膜沼气池，发酵后进入沼液储池，满足《畜禽粪便还田技术规范》（GB/T 25246-2010）表2卫生要求，定期还田，对地表水环境无影响</w:t>
      </w:r>
      <w:r>
        <w:rPr>
          <w:rFonts w:hint="default" w:ascii="Times New Roman" w:hAnsi="Times New Roman" w:cs="Times New Roman" w:eastAsiaTheme="minorEastAsia"/>
          <w:color w:val="000000" w:themeColor="text1"/>
          <w:sz w:val="24"/>
          <w:szCs w:val="22"/>
          <w14:textFill>
            <w14:solidFill>
              <w14:schemeClr w14:val="tx1"/>
            </w14:solidFill>
          </w14:textFill>
        </w:rPr>
        <w:t>。</w:t>
      </w: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9.5.3 地下水环境</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污染物在潜水层以水平扩散为主，地下水流速缓慢；在非正常工况下，集污池年久失修导致防渗系数下降一个数量级，100d污染物氨氮超标扩散距离为76m，污染物超标扩散面积324m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szCs w:val="22"/>
          <w14:textFill>
            <w14:solidFill>
              <w14:schemeClr w14:val="tx1"/>
            </w14:solidFill>
          </w14:textFill>
        </w:rPr>
        <w:t>，最大影响距离84m；1000d污染物氨氮超标扩散距离为258m，污染物超标扩散面积706m</w:t>
      </w:r>
      <w:r>
        <w:rPr>
          <w:rFonts w:hint="default" w:ascii="Times New Roman" w:hAnsi="Times New Roman" w:cs="Times New Roman" w:eastAsiaTheme="minorEastAsia"/>
          <w:color w:val="000000" w:themeColor="text1"/>
          <w:sz w:val="24"/>
          <w:szCs w:val="22"/>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szCs w:val="22"/>
          <w14:textFill>
            <w14:solidFill>
              <w14:schemeClr w14:val="tx1"/>
            </w14:solidFill>
          </w14:textFill>
        </w:rPr>
        <w:t>，最大影响距离282m。区域潜水地下水流向为自北向南，配套有地下水跟踪监测井，对厂区内水井定期开展监测，可及时发现渗漏，降低对厂区内水井污染影响，距离本项目固液分离间最近地下水环境保护目标为厂区内新建饮用水井，距离</w:t>
      </w:r>
      <w:r>
        <w:rPr>
          <w:rFonts w:hint="default" w:ascii="Times New Roman" w:hAnsi="Times New Roman" w:cs="Times New Roman" w:eastAsiaTheme="minorEastAsia"/>
          <w:color w:val="auto"/>
          <w:sz w:val="24"/>
          <w:szCs w:val="22"/>
          <w:highlight w:val="none"/>
        </w:rPr>
        <w:t>为</w:t>
      </w:r>
      <w:r>
        <w:rPr>
          <w:rFonts w:hint="default" w:ascii="Times New Roman" w:hAnsi="Times New Roman" w:cs="Times New Roman" w:eastAsiaTheme="minorEastAsia"/>
          <w:color w:val="auto"/>
          <w:sz w:val="24"/>
          <w:szCs w:val="22"/>
          <w:highlight w:val="none"/>
          <w:lang w:val="en-US" w:eastAsia="zh-CN"/>
        </w:rPr>
        <w:t>352</w:t>
      </w:r>
      <w:r>
        <w:rPr>
          <w:rFonts w:hint="default" w:ascii="Times New Roman" w:hAnsi="Times New Roman" w:cs="Times New Roman" w:eastAsiaTheme="minorEastAsia"/>
          <w:color w:val="auto"/>
          <w:sz w:val="24"/>
          <w:szCs w:val="22"/>
          <w:highlight w:val="none"/>
        </w:rPr>
        <w:t>m，</w:t>
      </w:r>
      <w:r>
        <w:rPr>
          <w:rFonts w:hint="default" w:ascii="Times New Roman" w:hAnsi="Times New Roman" w:cs="Times New Roman" w:eastAsiaTheme="minorEastAsia"/>
          <w:color w:val="000000" w:themeColor="text1"/>
          <w:sz w:val="24"/>
          <w:szCs w:val="22"/>
          <w14:textFill>
            <w14:solidFill>
              <w14:schemeClr w14:val="tx1"/>
            </w14:solidFill>
          </w14:textFill>
        </w:rPr>
        <w:t>因此项目建设对区域地下水环境影响较小。</w:t>
      </w: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9.5.4 声环境</w:t>
      </w:r>
    </w:p>
    <w:p>
      <w:pPr>
        <w:ind w:firstLine="56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本项目运行后</w:t>
      </w:r>
      <w:r>
        <w:rPr>
          <w:rFonts w:hint="default" w:ascii="Times New Roman" w:hAnsi="Times New Roman" w:cs="Times New Roman" w:eastAsiaTheme="minorEastAsia"/>
          <w:color w:val="000000" w:themeColor="text1"/>
          <w:sz w:val="24"/>
          <w:szCs w:val="22"/>
          <w14:textFill>
            <w14:solidFill>
              <w14:schemeClr w14:val="tx1"/>
            </w14:solidFill>
          </w14:textFill>
        </w:rPr>
        <w:t>厂界四周噪声贡献值在15.8~31.6dB(A)之间，噪声预测值均满足《声环境质量标准》(GB3096-2008)中的2类声环境功能区噪声限值</w:t>
      </w:r>
      <w:r>
        <w:rPr>
          <w:rFonts w:hint="default" w:ascii="Times New Roman" w:hAnsi="Times New Roman" w:cs="Times New Roman" w:eastAsiaTheme="minorEastAsia"/>
          <w:color w:val="000000" w:themeColor="text1"/>
          <w:sz w:val="24"/>
          <w:szCs w:val="24"/>
          <w14:textFill>
            <w14:solidFill>
              <w14:schemeClr w14:val="tx1"/>
            </w14:solidFill>
          </w14:textFill>
        </w:rPr>
        <w:t>，本项目建设对周围声环境影响较小。</w:t>
      </w:r>
    </w:p>
    <w:p>
      <w:pPr>
        <w:pStyle w:val="1167"/>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9.5.5 固废</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本项目固体废物的处置处理符合相关法律法规的规定要求，杜绝了二次污染的产生，对周围环境影响很小。</w:t>
      </w:r>
    </w:p>
    <w:p>
      <w:pPr>
        <w:pStyle w:val="1167"/>
        <w:rPr>
          <w:rFonts w:hint="default" w:ascii="Times New Roman" w:hAnsi="Times New Roman" w:cs="Times New Roman" w:eastAsiaTheme="minorEastAsia"/>
          <w:color w:val="000000" w:themeColor="text1"/>
          <w14:textFill>
            <w14:solidFill>
              <w14:schemeClr w14:val="tx1"/>
            </w14:solidFill>
          </w14:textFill>
        </w:rPr>
      </w:pPr>
    </w:p>
    <w:p>
      <w:pPr>
        <w:pStyle w:val="1167"/>
        <w:rPr>
          <w:rFonts w:hint="default" w:ascii="Times New Roman" w:hAnsi="Times New Roman" w:cs="Times New Roman" w:eastAsiaTheme="minorEastAsia"/>
          <w:color w:val="000000" w:themeColor="text1"/>
          <w14:textFill>
            <w14:solidFill>
              <w14:schemeClr w14:val="tx1"/>
            </w14:solidFill>
          </w14:textFill>
        </w:rPr>
      </w:pPr>
    </w:p>
    <w:p>
      <w:pPr>
        <w:pStyle w:val="1167"/>
        <w:rPr>
          <w:rFonts w:hint="default" w:ascii="Times New Roman" w:hAnsi="Times New Roman" w:cs="Times New Roman" w:eastAsiaTheme="minorEastAsia"/>
          <w:color w:val="000000" w:themeColor="text1"/>
          <w14:textFill>
            <w14:solidFill>
              <w14:schemeClr w14:val="tx1"/>
            </w14:solidFill>
          </w14:textFill>
        </w:rPr>
      </w:pPr>
    </w:p>
    <w:p>
      <w:pPr>
        <w:pStyle w:val="1167"/>
        <w:rPr>
          <w:rFonts w:hint="default" w:ascii="Times New Roman" w:hAnsi="Times New Roman" w:cs="Times New Roman" w:eastAsiaTheme="minorEastAsia"/>
          <w:color w:val="000000" w:themeColor="text1"/>
          <w14:textFill>
            <w14:solidFill>
              <w14:schemeClr w14:val="tx1"/>
            </w14:solidFill>
          </w14:textFill>
        </w:rPr>
      </w:pPr>
      <w:bookmarkStart w:id="390" w:name="_GoBack"/>
      <w:bookmarkEnd w:id="390"/>
      <w:r>
        <w:rPr>
          <w:rFonts w:hint="default" w:ascii="Times New Roman" w:hAnsi="Times New Roman" w:cs="Times New Roman" w:eastAsiaTheme="minorEastAsia"/>
          <w:color w:val="000000" w:themeColor="text1"/>
          <w14:textFill>
            <w14:solidFill>
              <w14:schemeClr w14:val="tx1"/>
            </w14:solidFill>
          </w14:textFill>
        </w:rPr>
        <w:t>9.5.6 土壤环境</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bookmarkStart w:id="381" w:name="_Toc490033270"/>
      <w:r>
        <w:rPr>
          <w:rFonts w:hint="default" w:ascii="Times New Roman" w:hAnsi="Times New Roman" w:cs="Times New Roman" w:eastAsiaTheme="minorEastAsia"/>
          <w:color w:val="000000" w:themeColor="text1"/>
          <w:sz w:val="24"/>
          <w:szCs w:val="24"/>
          <w14:textFill>
            <w14:solidFill>
              <w14:schemeClr w14:val="tx1"/>
            </w14:solidFill>
          </w14:textFill>
        </w:rPr>
        <w:t>本项目产生的污染物主要通过垂直入渗进入土壤，本项目废水主要涉及COD、氨氮等污染因子，废水以有机污染物为主，通过严格落实地下水分区防渗措施，可有效阻隔污染物随废水下渗进入土壤，项目对土壤影响很小。</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企业暂存的固废、危废等在运输、贮存或堆放过程中通过扩散、降水淋洗等直接或间接地影响土壤，通过落实土壤和地下水的污染防治措施，加强环境管理，固体废物不会改变厂区现有的土壤环境。</w:t>
      </w:r>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本项目沼液还田可能会造成土壤中营养元素相对过剩，使耕层土壤富营养化，发生盐化。针对土壤环境产生的影响，采取改良耕作、间种套种等改良措施，减少对还田土壤环境影响。</w:t>
      </w:r>
    </w:p>
    <w:p>
      <w:pPr>
        <w:pStyle w:val="639"/>
        <w:rPr>
          <w:rFonts w:hint="default" w:ascii="Times New Roman" w:hAnsi="Times New Roman" w:cs="Times New Roman" w:eastAsiaTheme="minorEastAsia"/>
          <w:color w:val="000000" w:themeColor="text1"/>
          <w:sz w:val="24"/>
          <w:szCs w:val="24"/>
          <w14:textFill>
            <w14:solidFill>
              <w14:schemeClr w14:val="tx1"/>
            </w14:solidFill>
          </w14:textFill>
        </w:rPr>
      </w:pPr>
      <w:bookmarkStart w:id="382" w:name="_Toc4354"/>
      <w:r>
        <w:rPr>
          <w:rFonts w:hint="default" w:ascii="Times New Roman" w:hAnsi="Times New Roman" w:cs="Times New Roman" w:eastAsiaTheme="minorEastAsia"/>
          <w:color w:val="000000" w:themeColor="text1"/>
          <w:sz w:val="24"/>
          <w:szCs w:val="24"/>
          <w14:textFill>
            <w14:solidFill>
              <w14:schemeClr w14:val="tx1"/>
            </w14:solidFill>
          </w14:textFill>
        </w:rPr>
        <w:t xml:space="preserve">9.6 </w:t>
      </w:r>
      <w:bookmarkEnd w:id="381"/>
      <w:bookmarkStart w:id="383" w:name="_Toc490033271"/>
      <w:r>
        <w:rPr>
          <w:rFonts w:hint="default" w:ascii="Times New Roman" w:hAnsi="Times New Roman" w:cs="Times New Roman" w:eastAsiaTheme="minorEastAsia"/>
          <w:color w:val="000000" w:themeColor="text1"/>
          <w:sz w:val="24"/>
          <w:szCs w:val="24"/>
          <w14:textFill>
            <w14:solidFill>
              <w14:schemeClr w14:val="tx1"/>
            </w14:solidFill>
          </w14:textFill>
        </w:rPr>
        <w:t>环境经济损益分析结论</w:t>
      </w:r>
      <w:bookmarkEnd w:id="382"/>
      <w:bookmarkEnd w:id="383"/>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总投资为520万元，环保措施投资为96万元，占项目总投资的18.46％。通过对本项目建设的经济、社会和环境效益分析可知，在落实本评价所提出的各项污染防治措施的前提下，本项目建设能够达到经济效益、社会效益和环境效益相统一的要求，既为地方经济发展做出贡献，又通过环保投资减少了污染物排放量。本项目建设满足可持续发展的要求，工程建设是可行的。</w:t>
      </w:r>
    </w:p>
    <w:p>
      <w:pPr>
        <w:pStyle w:val="639"/>
        <w:rPr>
          <w:rFonts w:hint="default" w:ascii="Times New Roman" w:hAnsi="Times New Roman" w:cs="Times New Roman" w:eastAsiaTheme="minorEastAsia"/>
          <w:color w:val="000000" w:themeColor="text1"/>
          <w14:textFill>
            <w14:solidFill>
              <w14:schemeClr w14:val="tx1"/>
            </w14:solidFill>
          </w14:textFill>
        </w:rPr>
      </w:pPr>
      <w:bookmarkStart w:id="384" w:name="_Toc490033272"/>
      <w:bookmarkStart w:id="385" w:name="_Toc26411"/>
      <w:r>
        <w:rPr>
          <w:rFonts w:hint="default" w:ascii="Times New Roman" w:hAnsi="Times New Roman" w:cs="Times New Roman" w:eastAsiaTheme="minorEastAsia"/>
          <w:color w:val="000000" w:themeColor="text1"/>
          <w14:textFill>
            <w14:solidFill>
              <w14:schemeClr w14:val="tx1"/>
            </w14:solidFill>
          </w14:textFill>
        </w:rPr>
        <w:t>9.7 环境管理与监测计划</w:t>
      </w:r>
      <w:bookmarkEnd w:id="384"/>
      <w:bookmarkEnd w:id="385"/>
    </w:p>
    <w:p>
      <w:pPr>
        <w:ind w:firstLine="560"/>
        <w:rPr>
          <w:rFonts w:hint="default" w:ascii="Times New Roman" w:hAnsi="Times New Roman" w:cs="Times New Roman" w:eastAsiaTheme="minorEastAsia"/>
          <w:color w:val="000000" w:themeColor="text1"/>
          <w:szCs w:val="28"/>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项目运营后应建立健全完善的企业环境保护管理与监测体制，检查环保设施的运行情况，对污染物排放情况进行监督检查，做好环保记录建立排污档案。定期检查监督环保法规执行情况，及时和有关部门联系落实各方面的环保措施，使之正常运行。制定环境监测年度计划和实施方案。厂区内采取分区防渗措施，并设置地下水污染监测井，</w:t>
      </w:r>
      <w:r>
        <w:rPr>
          <w:rFonts w:hint="default" w:ascii="Times New Roman" w:hAnsi="Times New Roman" w:cs="Times New Roman" w:eastAsiaTheme="minorEastAsia"/>
          <w:color w:val="000000" w:themeColor="text1"/>
          <w:szCs w:val="28"/>
          <w14:textFill>
            <w14:solidFill>
              <w14:schemeClr w14:val="tx1"/>
            </w14:solidFill>
          </w14:textFill>
        </w:rPr>
        <w:t>进行地下水水质的监控。</w:t>
      </w:r>
    </w:p>
    <w:p>
      <w:pPr>
        <w:pStyle w:val="639"/>
        <w:rPr>
          <w:rFonts w:hint="default" w:ascii="Times New Roman" w:hAnsi="Times New Roman" w:cs="Times New Roman" w:eastAsiaTheme="minorEastAsia"/>
          <w:b/>
          <w:bCs w:val="0"/>
          <w:color w:val="000000" w:themeColor="text1"/>
          <w14:textFill>
            <w14:solidFill>
              <w14:schemeClr w14:val="tx1"/>
            </w14:solidFill>
          </w14:textFill>
        </w:rPr>
      </w:pPr>
      <w:bookmarkStart w:id="386" w:name="_Toc490033273"/>
      <w:bookmarkStart w:id="387" w:name="_Toc24559"/>
      <w:r>
        <w:rPr>
          <w:rFonts w:hint="default" w:ascii="Times New Roman" w:hAnsi="Times New Roman" w:cs="Times New Roman" w:eastAsiaTheme="minorEastAsia"/>
          <w:b/>
          <w:bCs w:val="0"/>
          <w:color w:val="000000" w:themeColor="text1"/>
          <w14:textFill>
            <w14:solidFill>
              <w14:schemeClr w14:val="tx1"/>
            </w14:solidFill>
          </w14:textFill>
        </w:rPr>
        <w:t>9.8 公众意见采纳情况</w:t>
      </w:r>
      <w:bookmarkEnd w:id="386"/>
      <w:bookmarkEnd w:id="387"/>
    </w:p>
    <w:p>
      <w:pPr>
        <w:ind w:firstLine="560"/>
        <w:rPr>
          <w:rFonts w:hint="default" w:ascii="Times New Roman" w:hAnsi="Times New Roman" w:cs="Times New Roman" w:eastAsiaTheme="minorEastAsia"/>
          <w:bCs/>
          <w:color w:val="FF0000"/>
          <w:sz w:val="24"/>
          <w:szCs w:val="22"/>
        </w:rPr>
      </w:pPr>
      <w:r>
        <w:rPr>
          <w:rFonts w:hint="default" w:ascii="Times New Roman" w:hAnsi="Times New Roman" w:cs="Times New Roman" w:eastAsiaTheme="minorEastAsia"/>
          <w:color w:val="FF0000"/>
          <w:sz w:val="24"/>
          <w:szCs w:val="22"/>
          <w:highlight w:val="yellow"/>
        </w:rPr>
        <w:t>建设单位对本项目于2021年</w:t>
      </w:r>
      <w:r>
        <w:rPr>
          <w:rFonts w:hint="eastAsia" w:cs="Times New Roman" w:eastAsiaTheme="minorEastAsia"/>
          <w:color w:val="FF0000"/>
          <w:sz w:val="24"/>
          <w:szCs w:val="22"/>
          <w:highlight w:val="yellow"/>
          <w:lang w:val="en-US" w:eastAsia="zh-CN"/>
        </w:rPr>
        <w:t>9</w:t>
      </w:r>
      <w:r>
        <w:rPr>
          <w:rFonts w:hint="default" w:ascii="Times New Roman" w:hAnsi="Times New Roman" w:cs="Times New Roman" w:eastAsiaTheme="minorEastAsia"/>
          <w:color w:val="FF0000"/>
          <w:sz w:val="24"/>
          <w:szCs w:val="22"/>
          <w:highlight w:val="yellow"/>
        </w:rPr>
        <w:t>月</w:t>
      </w:r>
      <w:r>
        <w:rPr>
          <w:rFonts w:hint="eastAsia" w:cs="Times New Roman" w:eastAsiaTheme="minorEastAsia"/>
          <w:color w:val="FF0000"/>
          <w:sz w:val="24"/>
          <w:szCs w:val="22"/>
          <w:highlight w:val="yellow"/>
          <w:lang w:val="en-US" w:eastAsia="zh-CN"/>
        </w:rPr>
        <w:t>1</w:t>
      </w:r>
      <w:r>
        <w:rPr>
          <w:rFonts w:hint="default" w:ascii="Times New Roman" w:hAnsi="Times New Roman" w:cs="Times New Roman" w:eastAsiaTheme="minorEastAsia"/>
          <w:color w:val="FF0000"/>
          <w:sz w:val="24"/>
          <w:szCs w:val="22"/>
          <w:highlight w:val="yellow"/>
        </w:rPr>
        <w:t>日-</w:t>
      </w:r>
      <w:r>
        <w:rPr>
          <w:rFonts w:hint="eastAsia" w:cs="Times New Roman" w:eastAsiaTheme="minorEastAsia"/>
          <w:color w:val="FF0000"/>
          <w:sz w:val="24"/>
          <w:szCs w:val="22"/>
          <w:highlight w:val="yellow"/>
          <w:lang w:val="en-US" w:eastAsia="zh-CN"/>
        </w:rPr>
        <w:t>9</w:t>
      </w:r>
      <w:r>
        <w:rPr>
          <w:rFonts w:hint="default" w:ascii="Times New Roman" w:hAnsi="Times New Roman" w:cs="Times New Roman" w:eastAsiaTheme="minorEastAsia"/>
          <w:color w:val="FF0000"/>
          <w:sz w:val="24"/>
          <w:szCs w:val="22"/>
          <w:highlight w:val="yellow"/>
        </w:rPr>
        <w:t>月</w:t>
      </w:r>
      <w:r>
        <w:rPr>
          <w:rFonts w:hint="eastAsia" w:cs="Times New Roman" w:eastAsiaTheme="minorEastAsia"/>
          <w:color w:val="FF0000"/>
          <w:sz w:val="24"/>
          <w:szCs w:val="22"/>
          <w:highlight w:val="yellow"/>
          <w:lang w:val="en-US" w:eastAsia="zh-CN"/>
        </w:rPr>
        <w:t>14</w:t>
      </w:r>
      <w:r>
        <w:rPr>
          <w:rFonts w:hint="default" w:ascii="Times New Roman" w:hAnsi="Times New Roman" w:cs="Times New Roman" w:eastAsiaTheme="minorEastAsia"/>
          <w:color w:val="FF0000"/>
          <w:sz w:val="24"/>
          <w:szCs w:val="22"/>
          <w:highlight w:val="yellow"/>
        </w:rPr>
        <w:t>日（10个工作日）在黑龙江环保技术服务网网（http://www.hljhbjsfw.cn/NewsDetail.aspx?ID=399）进行一次网络公示；于2021年</w:t>
      </w:r>
      <w:r>
        <w:rPr>
          <w:rFonts w:hint="eastAsia" w:cs="Times New Roman" w:eastAsiaTheme="minorEastAsia"/>
          <w:color w:val="FF0000"/>
          <w:sz w:val="24"/>
          <w:szCs w:val="22"/>
          <w:highlight w:val="yellow"/>
          <w:lang w:val="en-US" w:eastAsia="zh-CN"/>
        </w:rPr>
        <w:t>11</w:t>
      </w:r>
      <w:r>
        <w:rPr>
          <w:rFonts w:hint="default" w:ascii="Times New Roman" w:hAnsi="Times New Roman" w:cs="Times New Roman" w:eastAsiaTheme="minorEastAsia"/>
          <w:color w:val="FF0000"/>
          <w:sz w:val="24"/>
          <w:szCs w:val="22"/>
          <w:highlight w:val="yellow"/>
        </w:rPr>
        <w:t>月</w:t>
      </w:r>
      <w:r>
        <w:rPr>
          <w:rFonts w:hint="eastAsia" w:cs="Times New Roman" w:eastAsiaTheme="minorEastAsia"/>
          <w:color w:val="FF0000"/>
          <w:sz w:val="24"/>
          <w:szCs w:val="22"/>
          <w:highlight w:val="yellow"/>
          <w:lang w:val="en-US" w:eastAsia="zh-CN"/>
        </w:rPr>
        <w:t>3</w:t>
      </w:r>
      <w:r>
        <w:rPr>
          <w:rFonts w:hint="default" w:ascii="Times New Roman" w:hAnsi="Times New Roman" w:cs="Times New Roman" w:eastAsiaTheme="minorEastAsia"/>
          <w:color w:val="FF0000"/>
          <w:sz w:val="24"/>
          <w:szCs w:val="22"/>
          <w:highlight w:val="yellow"/>
        </w:rPr>
        <w:t>日-</w:t>
      </w:r>
      <w:r>
        <w:rPr>
          <w:rFonts w:hint="eastAsia" w:cs="Times New Roman" w:eastAsiaTheme="minorEastAsia"/>
          <w:color w:val="FF0000"/>
          <w:sz w:val="24"/>
          <w:szCs w:val="22"/>
          <w:highlight w:val="yellow"/>
          <w:lang w:val="en-US" w:eastAsia="zh-CN"/>
        </w:rPr>
        <w:t>11</w:t>
      </w:r>
      <w:r>
        <w:rPr>
          <w:rFonts w:hint="default" w:ascii="Times New Roman" w:hAnsi="Times New Roman" w:cs="Times New Roman" w:eastAsiaTheme="minorEastAsia"/>
          <w:bCs/>
          <w:color w:val="FF0000"/>
          <w:sz w:val="24"/>
          <w:szCs w:val="22"/>
          <w:highlight w:val="yellow"/>
        </w:rPr>
        <w:t>月</w:t>
      </w:r>
      <w:r>
        <w:rPr>
          <w:rFonts w:hint="eastAsia" w:cs="Times New Roman" w:eastAsiaTheme="minorEastAsia"/>
          <w:bCs/>
          <w:color w:val="FF0000"/>
          <w:sz w:val="24"/>
          <w:szCs w:val="22"/>
          <w:highlight w:val="yellow"/>
          <w:lang w:val="en-US" w:eastAsia="zh-CN"/>
        </w:rPr>
        <w:t>16</w:t>
      </w:r>
      <w:r>
        <w:rPr>
          <w:rFonts w:hint="default" w:ascii="Times New Roman" w:hAnsi="Times New Roman" w:cs="Times New Roman" w:eastAsiaTheme="minorEastAsia"/>
          <w:bCs/>
          <w:color w:val="FF0000"/>
          <w:sz w:val="24"/>
          <w:szCs w:val="22"/>
          <w:highlight w:val="yellow"/>
        </w:rPr>
        <w:t>日（10个工作日）</w:t>
      </w:r>
      <w:r>
        <w:rPr>
          <w:rFonts w:hint="default" w:ascii="Times New Roman" w:hAnsi="Times New Roman" w:cs="Times New Roman" w:eastAsiaTheme="minorEastAsia"/>
          <w:color w:val="FF0000"/>
          <w:sz w:val="24"/>
          <w:szCs w:val="22"/>
          <w:highlight w:val="yellow"/>
        </w:rPr>
        <w:t>在</w:t>
      </w:r>
      <w:r>
        <w:rPr>
          <w:rFonts w:hint="default" w:ascii="Times New Roman" w:hAnsi="Times New Roman" w:cs="Times New Roman" w:eastAsiaTheme="minorEastAsia"/>
          <w:color w:val="FF0000"/>
          <w:sz w:val="24"/>
          <w:szCs w:val="22"/>
          <w:highlight w:val="yellow"/>
          <w:lang w:val="en-US" w:eastAsia="zh-CN"/>
        </w:rPr>
        <w:t xml:space="preserve">    </w:t>
      </w:r>
      <w:r>
        <w:rPr>
          <w:rFonts w:hint="default" w:ascii="Times New Roman" w:hAnsi="Times New Roman" w:cs="Times New Roman" w:eastAsiaTheme="minorEastAsia"/>
          <w:color w:val="FF0000"/>
          <w:sz w:val="24"/>
          <w:szCs w:val="22"/>
          <w:highlight w:val="yellow"/>
        </w:rPr>
        <w:t>网进行征求意见稿网络公示。征求意见稿网络公示期间，于2021年</w:t>
      </w:r>
      <w:r>
        <w:rPr>
          <w:rFonts w:hint="eastAsia" w:cs="Times New Roman" w:eastAsiaTheme="minorEastAsia"/>
          <w:color w:val="FF0000"/>
          <w:sz w:val="24"/>
          <w:szCs w:val="22"/>
          <w:highlight w:val="yellow"/>
          <w:lang w:val="en-US" w:eastAsia="zh-CN"/>
        </w:rPr>
        <w:t>10</w:t>
      </w:r>
      <w:r>
        <w:rPr>
          <w:rFonts w:hint="default" w:ascii="Times New Roman" w:hAnsi="Times New Roman" w:cs="Times New Roman" w:eastAsiaTheme="minorEastAsia"/>
          <w:color w:val="FF0000"/>
          <w:sz w:val="24"/>
          <w:szCs w:val="22"/>
          <w:highlight w:val="yellow"/>
        </w:rPr>
        <w:t>月</w:t>
      </w:r>
      <w:r>
        <w:rPr>
          <w:rFonts w:hint="eastAsia" w:cs="Times New Roman" w:eastAsiaTheme="minorEastAsia"/>
          <w:color w:val="FF0000"/>
          <w:sz w:val="24"/>
          <w:szCs w:val="22"/>
          <w:highlight w:val="yellow"/>
          <w:lang w:val="en-US" w:eastAsia="zh-CN"/>
        </w:rPr>
        <w:t>28</w:t>
      </w:r>
      <w:r>
        <w:rPr>
          <w:rFonts w:hint="default" w:ascii="Times New Roman" w:hAnsi="Times New Roman" w:cs="Times New Roman" w:eastAsiaTheme="minorEastAsia"/>
          <w:color w:val="FF0000"/>
          <w:sz w:val="24"/>
          <w:szCs w:val="22"/>
          <w:highlight w:val="yellow"/>
        </w:rPr>
        <w:t>日和</w:t>
      </w:r>
      <w:r>
        <w:rPr>
          <w:rFonts w:hint="eastAsia" w:cs="Times New Roman" w:eastAsiaTheme="minorEastAsia"/>
          <w:color w:val="FF0000"/>
          <w:sz w:val="24"/>
          <w:szCs w:val="22"/>
          <w:highlight w:val="yellow"/>
          <w:lang w:val="en-US" w:eastAsia="zh-CN"/>
        </w:rPr>
        <w:t>11</w:t>
      </w:r>
      <w:r>
        <w:rPr>
          <w:rFonts w:hint="default" w:ascii="Times New Roman" w:hAnsi="Times New Roman" w:cs="Times New Roman" w:eastAsiaTheme="minorEastAsia"/>
          <w:color w:val="FF0000"/>
          <w:sz w:val="24"/>
          <w:szCs w:val="22"/>
          <w:highlight w:val="yellow"/>
        </w:rPr>
        <w:t>月</w:t>
      </w:r>
      <w:r>
        <w:rPr>
          <w:rFonts w:hint="eastAsia" w:cs="Times New Roman" w:eastAsiaTheme="minorEastAsia"/>
          <w:color w:val="FF0000"/>
          <w:sz w:val="24"/>
          <w:szCs w:val="22"/>
          <w:highlight w:val="yellow"/>
          <w:lang w:val="en-US" w:eastAsia="zh-CN"/>
        </w:rPr>
        <w:t>2</w:t>
      </w:r>
      <w:r>
        <w:rPr>
          <w:rFonts w:hint="default" w:ascii="Times New Roman" w:hAnsi="Times New Roman" w:cs="Times New Roman" w:eastAsiaTheme="minorEastAsia"/>
          <w:color w:val="FF0000"/>
          <w:sz w:val="24"/>
          <w:szCs w:val="22"/>
          <w:highlight w:val="yellow"/>
        </w:rPr>
        <w:t>日在《</w:t>
      </w:r>
      <w:r>
        <w:rPr>
          <w:rFonts w:hint="eastAsia" w:cs="Times New Roman" w:eastAsiaTheme="minorEastAsia"/>
          <w:color w:val="FF0000"/>
          <w:sz w:val="24"/>
          <w:szCs w:val="22"/>
          <w:highlight w:val="yellow"/>
          <w:lang w:eastAsia="zh-CN"/>
        </w:rPr>
        <w:t>绥化</w:t>
      </w:r>
      <w:r>
        <w:rPr>
          <w:rFonts w:hint="default" w:ascii="Times New Roman" w:hAnsi="Times New Roman" w:cs="Times New Roman" w:eastAsiaTheme="minorEastAsia"/>
          <w:color w:val="FF0000"/>
          <w:sz w:val="24"/>
          <w:szCs w:val="22"/>
          <w:highlight w:val="yellow"/>
        </w:rPr>
        <w:t>日报》进行两次报纸公示，同时在评价范围内村屯进行了张贴公告公示；于</w:t>
      </w:r>
      <w:r>
        <w:rPr>
          <w:rFonts w:hint="default" w:ascii="Times New Roman" w:hAnsi="Times New Roman" w:cs="Times New Roman" w:eastAsiaTheme="minorEastAsia"/>
          <w:bCs/>
          <w:color w:val="FF0000"/>
          <w:sz w:val="24"/>
          <w:szCs w:val="22"/>
          <w:highlight w:val="yellow"/>
        </w:rPr>
        <w:t>2021年8月28日在黑龙江环保技术服务网网网（http://www.</w:t>
      </w:r>
      <w:r>
        <w:rPr>
          <w:rFonts w:hint="default" w:ascii="Times New Roman" w:hAnsi="Times New Roman" w:cs="Times New Roman" w:eastAsiaTheme="minorEastAsia"/>
          <w:bCs/>
          <w:color w:val="FF0000"/>
          <w:sz w:val="24"/>
          <w:szCs w:val="22"/>
          <w:highlight w:val="yellow"/>
          <w:lang w:val="en-US" w:eastAsia="zh-CN"/>
        </w:rPr>
        <w:t xml:space="preserve">  </w:t>
      </w:r>
      <w:r>
        <w:rPr>
          <w:rFonts w:hint="default" w:ascii="Times New Roman" w:hAnsi="Times New Roman" w:cs="Times New Roman" w:eastAsiaTheme="minorEastAsia"/>
          <w:bCs/>
          <w:color w:val="FF0000"/>
          <w:sz w:val="24"/>
          <w:szCs w:val="22"/>
          <w:highlight w:val="yellow"/>
        </w:rPr>
        <w:t>/）进行拟报批全本及公众参与说明网络公示，</w:t>
      </w:r>
      <w:r>
        <w:rPr>
          <w:rFonts w:hint="default" w:ascii="Times New Roman" w:hAnsi="Times New Roman" w:cs="Times New Roman" w:eastAsiaTheme="minorEastAsia"/>
          <w:color w:val="FF0000"/>
          <w:sz w:val="24"/>
          <w:szCs w:val="22"/>
          <w:highlight w:val="yellow"/>
        </w:rPr>
        <w:t>公众参与期间未收到公众反馈意见。</w:t>
      </w:r>
    </w:p>
    <w:p>
      <w:pPr>
        <w:pStyle w:val="639"/>
        <w:rPr>
          <w:rFonts w:hint="default" w:ascii="Times New Roman" w:hAnsi="Times New Roman" w:cs="Times New Roman" w:eastAsiaTheme="minorEastAsia"/>
          <w:b/>
          <w:bCs w:val="0"/>
          <w:color w:val="000000" w:themeColor="text1"/>
          <w14:textFill>
            <w14:solidFill>
              <w14:schemeClr w14:val="tx1"/>
            </w14:solidFill>
          </w14:textFill>
        </w:rPr>
      </w:pPr>
      <w:bookmarkStart w:id="388" w:name="_Toc490033274"/>
      <w:bookmarkStart w:id="389" w:name="_Toc23060"/>
      <w:r>
        <w:rPr>
          <w:rFonts w:hint="default" w:ascii="Times New Roman" w:hAnsi="Times New Roman" w:cs="Times New Roman" w:eastAsiaTheme="minorEastAsia"/>
          <w:b/>
          <w:bCs w:val="0"/>
          <w:color w:val="000000" w:themeColor="text1"/>
          <w14:textFill>
            <w14:solidFill>
              <w14:schemeClr w14:val="tx1"/>
            </w14:solidFill>
          </w14:textFill>
        </w:rPr>
        <w:t>9.9 环境影响可行性结论</w:t>
      </w:r>
      <w:bookmarkEnd w:id="388"/>
      <w:bookmarkEnd w:id="389"/>
    </w:p>
    <w:p>
      <w:pPr>
        <w:ind w:firstLine="56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本项目厂址位于绥化市</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安达市东14公里，明沈公路南侧1000米处</w:t>
      </w:r>
      <w:r>
        <w:rPr>
          <w:rFonts w:hint="default" w:ascii="Times New Roman" w:hAnsi="Times New Roman" w:cs="Times New Roman" w:eastAsiaTheme="minorEastAsia"/>
          <w:color w:val="000000" w:themeColor="text1"/>
          <w:sz w:val="24"/>
          <w:szCs w:val="24"/>
          <w14:textFill>
            <w14:solidFill>
              <w14:schemeClr w14:val="tx1"/>
            </w14:solidFill>
          </w14:textFill>
        </w:rPr>
        <w:t>，项目建设符合相关产业政策，与各级相关规划区划相协调，厂址选择合理；项目拟采取的污染防治措施可行、有效，实施后可以使自身产生的各类污染物达标排放，满足相关标准和法规要求。在认真落实各项管理、监控、污染防治和应急防范措施的前提下，从环保角度分析本项目的建设可行。</w:t>
      </w:r>
    </w:p>
    <w:sectPr>
      <w:footerReference r:id="rId42" w:type="default"/>
      <w:pgSz w:w="11906" w:h="16838"/>
      <w:pgMar w:top="1701" w:right="1701" w:bottom="1474" w:left="1701" w:header="1134" w:footer="1134" w:gutter="0"/>
      <w:pgBorders>
        <w:top w:val="none" w:sz="0" w:space="0"/>
        <w:left w:val="none" w:sz="0" w:space="0"/>
        <w:bottom w:val="none" w:sz="0" w:space="0"/>
        <w:right w:val="none" w:sz="0" w:space="0"/>
      </w:pgBorders>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宋体 ...">
    <w:altName w:val="宋体"/>
    <w:panose1 w:val="00000000000000000000"/>
    <w:charset w:val="86"/>
    <w:family w:val="roman"/>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Verdana">
    <w:panose1 w:val="020B0604030504040204"/>
    <w:charset w:val="00"/>
    <w:family w:val="swiss"/>
    <w:pitch w:val="default"/>
    <w:sig w:usb0="A1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ˎ̥">
    <w:altName w:val="Times New Roman"/>
    <w:panose1 w:val="00000000000000000000"/>
    <w:charset w:val="00"/>
    <w:family w:val="roman"/>
    <w:pitch w:val="default"/>
    <w:sig w:usb0="00000000" w:usb1="00000000" w:usb2="00000000" w:usb3="00000000" w:csb0="00040001" w:csb1="00000000"/>
  </w:font>
  <w:font w:name="@宋体">
    <w:panose1 w:val="02010600030101010101"/>
    <w:charset w:val="86"/>
    <w:family w:val="auto"/>
    <w:pitch w:val="default"/>
    <w:sig w:usb0="00000003" w:usb1="288F0000" w:usb2="00000006" w:usb3="00000000" w:csb0="00040001"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康简宋">
    <w:altName w:val="新宋体"/>
    <w:panose1 w:val="00000000000000000000"/>
    <w:charset w:val="86"/>
    <w:family w:val="modern"/>
    <w:pitch w:val="default"/>
    <w:sig w:usb0="00000000" w:usb1="00000000" w:usb2="00000010" w:usb3="00000000" w:csb0="00040000" w:csb1="00000000"/>
  </w:font>
  <w:font w:name="新宋体">
    <w:panose1 w:val="02010609030101010101"/>
    <w:charset w:val="86"/>
    <w:family w:val="auto"/>
    <w:pitch w:val="default"/>
    <w:sig w:usb0="00000003" w:usb1="288F0000" w:usb2="00000006" w:usb3="00000000" w:csb0="00040001" w:csb1="00000000"/>
  </w:font>
  <w:font w:name="方正宋三简体">
    <w:altName w:val="宋体"/>
    <w:panose1 w:val="00000000000000000000"/>
    <w:charset w:val="86"/>
    <w:family w:val="auto"/>
    <w:pitch w:val="default"/>
    <w:sig w:usb0="00000000" w:usb1="00000000" w:usb2="00000000" w:usb3="00000000" w:csb0="00040000" w:csb1="00000000"/>
  </w:font>
  <w:font w:name="MS Sans Serif">
    <w:altName w:val="Arial"/>
    <w:panose1 w:val="00000000000000000000"/>
    <w:charset w:val="00"/>
    <w:family w:val="swiss"/>
    <w:pitch w:val="default"/>
    <w:sig w:usb0="00000000" w:usb1="00000000" w:usb2="00000000" w:usb3="00000000" w:csb0="00000001" w:csb1="00000000"/>
  </w:font>
  <w:font w:name="Arial Black">
    <w:panose1 w:val="020B0A04020102020204"/>
    <w:charset w:val="00"/>
    <w:family w:val="swiss"/>
    <w:pitch w:val="default"/>
    <w:sig w:usb0="00000287" w:usb1="00000000" w:usb2="00000000" w:usb3="00000000" w:csb0="2000009F" w:csb1="DFD70000"/>
  </w:font>
  <w:font w:name="Batang">
    <w:panose1 w:val="02030600000101010101"/>
    <w:charset w:val="81"/>
    <w:family w:val="roman"/>
    <w:pitch w:val="default"/>
    <w:sig w:usb0="B00002AF" w:usb1="69D77CFB" w:usb2="00000030" w:usb3="00000000" w:csb0="4008009F" w:csb1="DFD70000"/>
  </w:font>
  <w:font w:name="p10">
    <w:altName w:val="Times New Roman"/>
    <w:panose1 w:val="00000000000000000000"/>
    <w:charset w:val="00"/>
    <w:family w:val="roman"/>
    <w:pitch w:val="default"/>
    <w:sig w:usb0="00000000" w:usb1="00000000" w:usb2="00000000" w:usb3="00000000" w:csb0="00040001" w:csb1="00000000"/>
  </w:font>
  <w:font w:name="TimesNewRoman">
    <w:altName w:val="Times New Roman"/>
    <w:panose1 w:val="00000000000000000000"/>
    <w:charset w:val="00"/>
    <w:family w:val="roman"/>
    <w:pitch w:val="default"/>
    <w:sig w:usb0="00000000" w:usb1="00000000" w:usb2="00000000" w:usb3="00000000" w:csb0="00000001" w:csb1="00000000"/>
  </w:font>
  <w:font w:name="BankGothic Lt BT">
    <w:panose1 w:val="020B0607020203060204"/>
    <w:charset w:val="00"/>
    <w:family w:val="swiss"/>
    <w:pitch w:val="default"/>
    <w:sig w:usb0="00000000" w:usb1="00000000" w:usb2="00000000" w:usb3="00000000" w:csb0="00000000" w:csb1="00000000"/>
  </w:font>
  <w:font w:name="Garamond">
    <w:panose1 w:val="02020404030301010803"/>
    <w:charset w:val="00"/>
    <w:family w:val="roman"/>
    <w:pitch w:val="default"/>
    <w:sig w:usb0="00000287" w:usb1="00000000" w:usb2="00000000" w:usb3="00000000" w:csb0="0000009F" w:csb1="DFD70000"/>
  </w:font>
  <w:font w:name="Arial Narrow">
    <w:panose1 w:val="020B0606020202030204"/>
    <w:charset w:val="00"/>
    <w:family w:val="swiss"/>
    <w:pitch w:val="default"/>
    <w:sig w:usb0="00000287" w:usb1="00000800" w:usb2="00000000" w:usb3="00000000" w:csb0="2000009F" w:csb1="DFD70000"/>
  </w:font>
  <w:font w:name="文鼎CS大隶书">
    <w:altName w:val="宋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新宋体-18030">
    <w:altName w:val="宋体"/>
    <w:panose1 w:val="00000000000000000000"/>
    <w:charset w:val="86"/>
    <w:family w:val="modern"/>
    <w:pitch w:val="default"/>
    <w:sig w:usb0="00000000" w:usb1="00000000" w:usb2="000A005E" w:usb3="00000000" w:csb0="00040001" w:csb1="00000000"/>
  </w:font>
  <w:font w:name="汉鼎简书宋">
    <w:altName w:val="宋体"/>
    <w:panose1 w:val="00000000000000000000"/>
    <w:charset w:val="86"/>
    <w:family w:val="modern"/>
    <w:pitch w:val="default"/>
    <w:sig w:usb0="00000000" w:usb1="00000000" w:usb2="00000010" w:usb3="00000000" w:csb0="00040000" w:csb1="00000000"/>
  </w:font>
  <w:font w:name="Bookman Old Style">
    <w:panose1 w:val="02050604050505020204"/>
    <w:charset w:val="00"/>
    <w:family w:val="roman"/>
    <w:pitch w:val="default"/>
    <w:sig w:usb0="00000287" w:usb1="00000000" w:usb2="00000000" w:usb3="00000000" w:csb0="2000009F" w:csb1="DFD70000"/>
  </w:font>
  <w:font w:name="CG Times (W1)">
    <w:altName w:val="Times New Roman"/>
    <w:panose1 w:val="00000000000000000000"/>
    <w:charset w:val="00"/>
    <w:family w:val="roman"/>
    <w:pitch w:val="default"/>
    <w:sig w:usb0="00000000" w:usb1="00000000" w:usb2="00000000" w:usb3="00000000" w:csb0="00000001" w:csb1="00000000"/>
  </w:font>
  <w:font w:name="MingLiU">
    <w:panose1 w:val="02020509000000000000"/>
    <w:charset w:val="88"/>
    <w:family w:val="modern"/>
    <w:pitch w:val="default"/>
    <w:sig w:usb0="A00002FF" w:usb1="28CFFCFA" w:usb2="00000016" w:usb3="00000000" w:csb0="00100001" w:csb1="00000000"/>
  </w:font>
  <w:font w:name="华文行楷">
    <w:panose1 w:val="02010800040101010101"/>
    <w:charset w:val="86"/>
    <w:family w:val="auto"/>
    <w:pitch w:val="default"/>
    <w:sig w:usb0="00000001" w:usb1="080F0000" w:usb2="00000000" w:usb3="00000000" w:csb0="00040000" w:csb1="00000000"/>
  </w:font>
  <w:font w:name="方正大标宋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经典叠圆体简">
    <w:altName w:val="宋体"/>
    <w:panose1 w:val="00000000000000000000"/>
    <w:charset w:val="86"/>
    <w:family w:val="modern"/>
    <w:pitch w:val="default"/>
    <w:sig w:usb0="00000000" w:usb1="00000000" w:usb2="0000001E" w:usb3="00000000" w:csb0="00040000" w:csb1="00000000"/>
  </w:font>
  <w:font w:name="五">
    <w:altName w:val="黑体"/>
    <w:panose1 w:val="00000000000000000000"/>
    <w:charset w:val="86"/>
    <w:family w:val="auto"/>
    <w:pitch w:val="default"/>
    <w:sig w:usb0="00000000" w:usb1="00000000" w:usb2="00000010" w:usb3="00000000" w:csb0="00040000" w:csb1="00000000"/>
  </w:font>
  <w:font w:name="Calisto MT">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方正仿宋简体">
    <w:altName w:val="宋体"/>
    <w:panose1 w:val="00000000000000000000"/>
    <w:charset w:val="86"/>
    <w:family w:val="auto"/>
    <w:pitch w:val="default"/>
    <w:sig w:usb0="00000000" w:usb1="00000000" w:usb2="0000001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
    <w:altName w:val="Malgun Gothic"/>
    <w:panose1 w:val="00000000000000000000"/>
    <w:charset w:val="81"/>
    <w:family w:val="auto"/>
    <w:pitch w:val="default"/>
    <w:sig w:usb0="00000000" w:usb1="00000000" w:usb2="00000010" w:usb3="00000000" w:csb0="00080000" w:csb1="00000000"/>
  </w:font>
  <w:font w:name="Malgun Gothic">
    <w:panose1 w:val="020B0503020000020004"/>
    <w:charset w:val="81"/>
    <w:family w:val="auto"/>
    <w:pitch w:val="default"/>
    <w:sig w:usb0="900002AF" w:usb1="01D77CFB" w:usb2="00000012" w:usb3="00000000" w:csb0="00080001" w:csb1="00000000"/>
  </w:font>
  <w:font w:name="华文仿宋">
    <w:panose1 w:val="02010600040101010101"/>
    <w:charset w:val="86"/>
    <w:family w:val="auto"/>
    <w:pitch w:val="default"/>
    <w:sig w:usb0="00000287" w:usb1="080F0000" w:usb2="00000000" w:usb3="00000000" w:csb0="0004009F" w:csb1="DFD70000"/>
  </w:font>
  <w:font w:name="长城楷体_GB2312">
    <w:altName w:val="宋体"/>
    <w:panose1 w:val="00000000000000000000"/>
    <w:charset w:val="86"/>
    <w:family w:val="roman"/>
    <w:pitch w:val="default"/>
    <w:sig w:usb0="00000000" w:usb1="00000000" w:usb2="00000010" w:usb3="00000000" w:csb0="00040000" w:csb1="00000000"/>
  </w:font>
  <w:font w:name="Sim Sun">
    <w:altName w:val="仿宋"/>
    <w:panose1 w:val="00000000000000000000"/>
    <w:charset w:val="86"/>
    <w:family w:val="swiss"/>
    <w:pitch w:val="default"/>
    <w:sig w:usb0="00000000" w:usb1="00000000" w:usb2="00000010" w:usb3="00000000" w:csb0="00040000" w:csb1="00000000"/>
  </w:font>
  <w:font w:name="CG Times (WN)">
    <w:altName w:val="Times New Roman"/>
    <w:panose1 w:val="00000000000000000000"/>
    <w:charset w:val="00"/>
    <w:family w:val="auto"/>
    <w:pitch w:val="default"/>
    <w:sig w:usb0="00000000" w:usb1="00000000" w:usb2="00000000" w:usb3="00000000" w:csb0="00000001" w:csb1="00000000"/>
  </w:font>
  <w:font w:name="文鼎CS行楷">
    <w:altName w:val="宋体"/>
    <w:panose1 w:val="00000000000000000000"/>
    <w:charset w:val="86"/>
    <w:family w:val="modern"/>
    <w:pitch w:val="default"/>
    <w:sig w:usb0="00000000" w:usb1="00000000" w:usb2="00000010" w:usb3="00000000" w:csb0="00040000" w:csb1="00000000"/>
  </w:font>
  <w:font w:name="Symusic">
    <w:panose1 w:val="00000400000000000000"/>
    <w:charset w:val="00"/>
    <w:family w:val="auto"/>
    <w:pitch w:val="default"/>
    <w:sig w:usb0="00000001" w:usb1="00000000" w:usb2="00000000" w:usb3="00000000" w:csb0="000001FF" w:csb1="00000000"/>
  </w:font>
  <w:font w:name="Tms Rmn">
    <w:altName w:val="Segoe Print"/>
    <w:panose1 w:val="02020603040505020304"/>
    <w:charset w:val="00"/>
    <w:family w:val="roman"/>
    <w:pitch w:val="default"/>
    <w:sig w:usb0="00000000" w:usb1="00000000" w:usb2="00000000" w:usb3="00000000" w:csb0="00000001" w:csb1="00000000"/>
  </w:font>
  <w:font w:name="方正姚体">
    <w:panose1 w:val="02010601030101010101"/>
    <w:charset w:val="86"/>
    <w:family w:val="auto"/>
    <w:pitch w:val="default"/>
    <w:sig w:usb0="00000003" w:usb1="080E0000" w:usb2="00000000" w:usb3="00000000" w:csb0="00040000" w:csb1="00000000"/>
  </w:font>
  <w:font w:name="JKIKGP+CenturyGothic">
    <w:altName w:val="宋体"/>
    <w:panose1 w:val="00000000000000000000"/>
    <w:charset w:val="86"/>
    <w:family w:val="swiss"/>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2FF" w:usb1="420024FF" w:usb2="00000000" w:usb3="00000000" w:csb0="2000019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top w:val="single" w:color="auto" w:sz="4" w:space="1"/>
      </w:pBdr>
      <w:ind w:right="360"/>
      <w:jc w:val="center"/>
      <w:rPr>
        <w:rFonts w:ascii="隶书"/>
      </w:rPr>
    </w:pPr>
    <w:r>
      <w:fldChar w:fldCharType="begin"/>
    </w:r>
    <w:r>
      <w:instrText xml:space="preserve">PAGE   \* MERGEFORMAT</w:instrText>
    </w:r>
    <w:r>
      <w:fldChar w:fldCharType="separate"/>
    </w:r>
    <w:r>
      <w:rPr>
        <w:lang w:val="zh-CN"/>
      </w:rPr>
      <w:t>1</w:t>
    </w:r>
    <w:r>
      <w:rPr>
        <w:lang w:val="zh-CN"/>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top w:val="single" w:color="auto" w:sz="4" w:space="1"/>
      </w:pBdr>
      <w:jc w:val="center"/>
    </w:pPr>
    <w:r>
      <w:fldChar w:fldCharType="begin"/>
    </w:r>
    <w:r>
      <w:instrText xml:space="preserve">PAGE   \* MERGEFORMAT</w:instrText>
    </w:r>
    <w:r>
      <w:fldChar w:fldCharType="separate"/>
    </w:r>
    <w:r>
      <w:rPr>
        <w:lang w:val="zh-CN"/>
      </w:rPr>
      <w:t>66</w:t>
    </w:r>
    <w:r>
      <w:rPr>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top w:val="single" w:color="auto" w:sz="4" w:space="1"/>
      </w:pBdr>
      <w:ind w:firstLine="560"/>
      <w:jc w:val="center"/>
    </w:pPr>
    <w:r>
      <w:fldChar w:fldCharType="begin"/>
    </w:r>
    <w:r>
      <w:instrText xml:space="preserve">PAGE   \* MERGEFORMAT</w:instrText>
    </w:r>
    <w:r>
      <w:fldChar w:fldCharType="separate"/>
    </w:r>
    <w:r>
      <w:rPr>
        <w:lang w:val="zh-CN"/>
      </w:rPr>
      <w:t>67</w:t>
    </w:r>
    <w:r>
      <w:rPr>
        <w:lang w:val="zh-C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top w:val="single" w:color="auto" w:sz="4" w:space="1"/>
      </w:pBdr>
      <w:jc w:val="center"/>
    </w:pPr>
    <w:r>
      <w:fldChar w:fldCharType="begin"/>
    </w:r>
    <w:r>
      <w:instrText xml:space="preserve">PAGE   \* MERGEFORMAT</w:instrText>
    </w:r>
    <w:r>
      <w:fldChar w:fldCharType="separate"/>
    </w:r>
    <w:r>
      <w:rPr>
        <w:lang w:val="zh-CN"/>
      </w:rPr>
      <w:t>73</w:t>
    </w:r>
    <w:r>
      <w:rPr>
        <w:lang w:val="zh-C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top w:val="single" w:color="auto" w:sz="4" w:space="1"/>
      </w:pBdr>
      <w:jc w:val="center"/>
    </w:pPr>
    <w:r>
      <w:fldChar w:fldCharType="begin"/>
    </w:r>
    <w:r>
      <w:instrText xml:space="preserve">PAGE   \* MERGEFORMAT</w:instrText>
    </w:r>
    <w:r>
      <w:fldChar w:fldCharType="separate"/>
    </w:r>
    <w:r>
      <w:rPr>
        <w:lang w:val="zh-CN"/>
      </w:rPr>
      <w:t>92</w:t>
    </w:r>
    <w:r>
      <w:rPr>
        <w:lang w:val="zh-C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top w:val="single" w:color="auto" w:sz="4" w:space="1"/>
      </w:pBdr>
      <w:ind w:firstLine="560"/>
      <w:jc w:val="center"/>
    </w:pPr>
    <w:r>
      <w:fldChar w:fldCharType="begin"/>
    </w:r>
    <w:r>
      <w:instrText xml:space="preserve">PAGE   \* MERGEFORMAT</w:instrText>
    </w:r>
    <w:r>
      <w:fldChar w:fldCharType="separate"/>
    </w:r>
    <w:r>
      <w:rPr>
        <w:lang w:val="zh-CN"/>
      </w:rPr>
      <w:t>97</w:t>
    </w:r>
    <w:r>
      <w:rPr>
        <w:lang w:val="zh-C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top w:val="single" w:color="auto" w:sz="4" w:space="1"/>
      </w:pBdr>
      <w:ind w:firstLine="560"/>
      <w:jc w:val="center"/>
    </w:pPr>
    <w:r>
      <w:fldChar w:fldCharType="begin"/>
    </w:r>
    <w:r>
      <w:instrText xml:space="preserve">PAGE   \* MERGEFORMAT</w:instrText>
    </w:r>
    <w:r>
      <w:fldChar w:fldCharType="separate"/>
    </w:r>
    <w:r>
      <w:rPr>
        <w:lang w:val="zh-CN"/>
      </w:rPr>
      <w:t>100</w:t>
    </w:r>
    <w:r>
      <w:rPr>
        <w:lang w:val="zh-CN"/>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top w:val="single" w:color="auto" w:sz="4" w:space="1"/>
      </w:pBdr>
      <w:ind w:firstLine="560"/>
      <w:jc w:val="center"/>
    </w:pPr>
    <w:r>
      <w:fldChar w:fldCharType="begin"/>
    </w:r>
    <w:r>
      <w:instrText xml:space="preserve">PAGE   \* MERGEFORMAT</w:instrText>
    </w:r>
    <w:r>
      <w:fldChar w:fldCharType="separate"/>
    </w:r>
    <w:r>
      <w:rPr>
        <w:lang w:val="zh-CN"/>
      </w:rPr>
      <w:t>104</w:t>
    </w:r>
    <w:r>
      <w:rPr>
        <w:lang w:val="zh-CN"/>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top w:val="single" w:color="auto" w:sz="4" w:space="1"/>
      </w:pBdr>
      <w:ind w:firstLine="560"/>
      <w:jc w:val="center"/>
    </w:pPr>
    <w:r>
      <w:fldChar w:fldCharType="begin"/>
    </w:r>
    <w:r>
      <w:instrText xml:space="preserve">PAGE   \* MERGEFORMAT</w:instrText>
    </w:r>
    <w:r>
      <w:fldChar w:fldCharType="separate"/>
    </w:r>
    <w:r>
      <w:rPr>
        <w:lang w:val="zh-CN"/>
      </w:rPr>
      <w:t>106</w:t>
    </w:r>
    <w:r>
      <w:rPr>
        <w:lang w:val="zh-CN"/>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top w:val="single" w:color="auto" w:sz="4" w:space="1"/>
      </w:pBdr>
      <w:ind w:firstLine="560"/>
      <w:jc w:val="center"/>
    </w:pPr>
    <w:r>
      <w:fldChar w:fldCharType="begin"/>
    </w:r>
    <w:r>
      <w:instrText xml:space="preserve">PAGE   \* MERGEFORMAT</w:instrText>
    </w:r>
    <w:r>
      <w:fldChar w:fldCharType="separate"/>
    </w:r>
    <w:r>
      <w:rPr>
        <w:lang w:val="zh-CN"/>
      </w:rPr>
      <w:t>108</w:t>
    </w:r>
    <w:r>
      <w:rPr>
        <w:lang w:val="zh-CN"/>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top w:val="single" w:color="auto" w:sz="4" w:space="1"/>
      </w:pBdr>
      <w:jc w:val="center"/>
    </w:pPr>
    <w:r>
      <w:fldChar w:fldCharType="begin"/>
    </w:r>
    <w:r>
      <w:instrText xml:space="preserve">PAGE   \* MERGEFORMAT</w:instrText>
    </w:r>
    <w:r>
      <w:fldChar w:fldCharType="separate"/>
    </w:r>
    <w:r>
      <w:rPr>
        <w:lang w:val="zh-CN"/>
      </w:rPr>
      <w:t>109</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top w:val="single" w:color="auto" w:sz="4" w:space="1"/>
      </w:pBdr>
      <w:jc w:val="center"/>
    </w:pPr>
    <w:r>
      <w:fldChar w:fldCharType="begin"/>
    </w:r>
    <w:r>
      <w:instrText xml:space="preserve">PAGE   \* MERGEFORMAT</w:instrText>
    </w:r>
    <w:r>
      <w:fldChar w:fldCharType="separate"/>
    </w:r>
    <w:r>
      <w:rPr>
        <w:lang w:val="zh-CN"/>
      </w:rPr>
      <w:t>120</w:t>
    </w:r>
    <w:r>
      <w:rPr>
        <w:lang w:val="zh-CN"/>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top w:val="single" w:color="auto" w:sz="6" w:space="1"/>
      </w:pBdr>
      <w:ind w:firstLine="560"/>
      <w:jc w:val="center"/>
    </w:pPr>
    <w:r>
      <w:fldChar w:fldCharType="begin"/>
    </w:r>
    <w:r>
      <w:instrText xml:space="preserve">PAGE   \* MERGEFORMAT</w:instrText>
    </w:r>
    <w:r>
      <w:fldChar w:fldCharType="separate"/>
    </w:r>
    <w:r>
      <w:rPr>
        <w:lang w:val="zh-CN"/>
      </w:rPr>
      <w:t>121</w:t>
    </w:r>
    <w:r>
      <w:rPr>
        <w:lang w:val="zh-CN"/>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top w:val="single" w:color="auto" w:sz="4" w:space="1"/>
      </w:pBdr>
      <w:jc w:val="center"/>
    </w:pPr>
    <w:r>
      <w:fldChar w:fldCharType="begin"/>
    </w:r>
    <w:r>
      <w:instrText xml:space="preserve">PAGE   \* MERGEFORMAT</w:instrText>
    </w:r>
    <w:r>
      <w:fldChar w:fldCharType="separate"/>
    </w:r>
    <w:r>
      <w:rPr>
        <w:lang w:val="zh-CN"/>
      </w:rPr>
      <w:t>166</w:t>
    </w:r>
    <w:r>
      <w:rPr>
        <w:lang w:val="zh-CN"/>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top w:val="single" w:color="auto" w:sz="4" w:space="1"/>
      </w:pBdr>
      <w:jc w:val="center"/>
    </w:pPr>
    <w:r>
      <w:fldChar w:fldCharType="begin"/>
    </w:r>
    <w:r>
      <w:instrText xml:space="preserve">PAGE   \* MERGEFORMAT</w:instrText>
    </w:r>
    <w:r>
      <w:fldChar w:fldCharType="separate"/>
    </w:r>
    <w:r>
      <w:rPr>
        <w:lang w:val="zh-CN"/>
      </w:rPr>
      <w:t>177</w:t>
    </w:r>
    <w:r>
      <w:rPr>
        <w:lang w:val="zh-CN"/>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top w:val="single" w:color="auto" w:sz="4" w:space="1"/>
      </w:pBdr>
      <w:jc w:val="center"/>
    </w:pPr>
    <w:r>
      <w:fldChar w:fldCharType="begin"/>
    </w:r>
    <w:r>
      <w:instrText xml:space="preserve">PAGE   \* MERGEFORMAT</w:instrText>
    </w:r>
    <w:r>
      <w:fldChar w:fldCharType="separate"/>
    </w:r>
    <w:r>
      <w:rPr>
        <w:lang w:val="zh-CN"/>
      </w:rPr>
      <w:t>184</w:t>
    </w:r>
    <w:r>
      <w:rPr>
        <w:lang w:val="zh-CN"/>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top w:val="single" w:color="auto" w:sz="4" w:space="1"/>
      </w:pBdr>
      <w:ind w:firstLine="560"/>
      <w:jc w:val="center"/>
    </w:pPr>
    <w:r>
      <w:fldChar w:fldCharType="begin"/>
    </w:r>
    <w:r>
      <w:instrText xml:space="preserve">PAGE   \* MERGEFORMAT</w:instrText>
    </w:r>
    <w:r>
      <w:fldChar w:fldCharType="separate"/>
    </w:r>
    <w:r>
      <w:rPr>
        <w:lang w:val="zh-CN"/>
      </w:rPr>
      <w:t>185</w:t>
    </w:r>
    <w:r>
      <w:rPr>
        <w:lang w:val="zh-CN"/>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top w:val="single" w:color="auto" w:sz="4" w:space="1"/>
      </w:pBdr>
      <w:jc w:val="center"/>
    </w:pPr>
    <w:r>
      <w:fldChar w:fldCharType="begin"/>
    </w:r>
    <w:r>
      <w:instrText xml:space="preserve">PAGE   \* MERGEFORMAT</w:instrText>
    </w:r>
    <w:r>
      <w:fldChar w:fldCharType="separate"/>
    </w:r>
    <w:r>
      <w:rPr>
        <w:lang w:val="zh-CN"/>
      </w:rPr>
      <w:t>189</w:t>
    </w:r>
    <w:r>
      <w:rPr>
        <w:lang w:val="zh-CN"/>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top w:val="single" w:color="auto" w:sz="4" w:space="1"/>
      </w:pBdr>
      <w:ind w:firstLine="560"/>
      <w:jc w:val="center"/>
    </w:pPr>
    <w:r>
      <w:fldChar w:fldCharType="begin"/>
    </w:r>
    <w:r>
      <w:instrText xml:space="preserve">PAGE   \* MERGEFORMAT</w:instrText>
    </w:r>
    <w:r>
      <w:fldChar w:fldCharType="separate"/>
    </w:r>
    <w:r>
      <w:rPr>
        <w:lang w:val="zh-CN"/>
      </w:rPr>
      <w:t>192</w:t>
    </w:r>
    <w:r>
      <w:rPr>
        <w:lang w:val="zh-CN"/>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top w:val="single" w:color="auto" w:sz="4" w:space="1"/>
      </w:pBdr>
      <w:jc w:val="center"/>
    </w:pPr>
    <w:r>
      <w:fldChar w:fldCharType="begin"/>
    </w:r>
    <w:r>
      <w:instrText xml:space="preserve">PAGE   \* MERGEFORMAT</w:instrText>
    </w:r>
    <w:r>
      <w:fldChar w:fldCharType="separate"/>
    </w:r>
    <w:r>
      <w:rPr>
        <w:lang w:val="zh-CN"/>
      </w:rPr>
      <w:t>195</w:t>
    </w:r>
    <w:r>
      <w:rPr>
        <w:lang w:val="zh-CN"/>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top w:val="single" w:color="auto" w:sz="4" w:space="1"/>
      </w:pBdr>
      <w:ind w:firstLine="560"/>
      <w:jc w:val="center"/>
    </w:pPr>
    <w:r>
      <w:fldChar w:fldCharType="begin"/>
    </w:r>
    <w:r>
      <w:instrText xml:space="preserve">PAGE   \* MERGEFORMAT</w:instrText>
    </w:r>
    <w:r>
      <w:fldChar w:fldCharType="separate"/>
    </w:r>
    <w:r>
      <w:rPr>
        <w:lang w:val="zh-CN"/>
      </w:rPr>
      <w:t>197</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top w:val="single" w:color="auto" w:sz="4" w:space="1"/>
      </w:pBdr>
      <w:ind w:right="360"/>
      <w:rPr>
        <w:rFonts w:ascii="隶书"/>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top w:val="single" w:color="auto" w:sz="4" w:space="1"/>
      </w:pBdr>
      <w:jc w:val="center"/>
      <w:rPr>
        <w:b/>
        <w:bCs/>
        <w:i/>
        <w:iCs/>
      </w:rPr>
    </w:pPr>
    <w:r>
      <w:fldChar w:fldCharType="begin"/>
    </w:r>
    <w:r>
      <w:rPr>
        <w:rStyle w:val="139"/>
      </w:rPr>
      <w:instrText xml:space="preserve"> PAGE </w:instrText>
    </w:r>
    <w:r>
      <w:fldChar w:fldCharType="separate"/>
    </w:r>
    <w:r>
      <w:rPr>
        <w:rStyle w:val="139"/>
      </w:rPr>
      <w:t>207</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rPr>
        <w:rFonts w:ascii="隶书"/>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top w:val="single" w:color="auto" w:sz="4" w:space="1"/>
      </w:pBdr>
      <w:ind w:right="360"/>
      <w:jc w:val="center"/>
      <w:rPr>
        <w:rFonts w:ascii="隶书"/>
      </w:rPr>
    </w:pPr>
    <w:r>
      <w:fldChar w:fldCharType="begin"/>
    </w:r>
    <w:r>
      <w:instrText xml:space="preserve">PAGE   \* MERGEFORMAT</w:instrText>
    </w:r>
    <w:r>
      <w:fldChar w:fldCharType="separate"/>
    </w:r>
    <w:r>
      <w:rPr>
        <w:lang w:val="zh-CN"/>
      </w:rPr>
      <w:t>II</w:t>
    </w:r>
    <w:r>
      <w:rPr>
        <w:lang w:val="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top w:val="single" w:color="auto" w:sz="4" w:space="1"/>
      </w:pBdr>
      <w:jc w:val="center"/>
      <w:rPr>
        <w:rFonts w:ascii="隶书"/>
      </w:rPr>
    </w:pPr>
    <w:r>
      <w:fldChar w:fldCharType="begin"/>
    </w:r>
    <w:r>
      <w:instrText xml:space="preserve">PAGE   \* MERGEFORMAT</w:instrText>
    </w:r>
    <w:r>
      <w:fldChar w:fldCharType="separate"/>
    </w:r>
    <w:r>
      <w:rPr>
        <w:lang w:val="zh-CN"/>
      </w:rPr>
      <w:t>III</w:t>
    </w:r>
    <w:r>
      <w:rPr>
        <w:lang w:val="zh-C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top w:val="single" w:color="auto" w:sz="4" w:space="1"/>
      </w:pBdr>
      <w:jc w:val="center"/>
    </w:pPr>
    <w:r>
      <w:fldChar w:fldCharType="begin"/>
    </w:r>
    <w:r>
      <w:instrText xml:space="preserve">PAGE   \* MERGEFORMAT</w:instrText>
    </w:r>
    <w:r>
      <w:fldChar w:fldCharType="separate"/>
    </w:r>
    <w:r>
      <w:rPr>
        <w:lang w:val="zh-CN"/>
      </w:rPr>
      <w:t>5</w:t>
    </w:r>
    <w:r>
      <w:rPr>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top w:val="single" w:color="auto" w:sz="4" w:space="1"/>
      </w:pBdr>
      <w:ind w:firstLine="560"/>
      <w:jc w:val="center"/>
    </w:pPr>
    <w:r>
      <w:fldChar w:fldCharType="begin"/>
    </w:r>
    <w:r>
      <w:instrText xml:space="preserve">PAGE   \* MERGEFORMAT</w:instrText>
    </w:r>
    <w:r>
      <w:fldChar w:fldCharType="separate"/>
    </w:r>
    <w:r>
      <w:rPr>
        <w:lang w:val="zh-CN"/>
      </w:rPr>
      <w:t>8</w:t>
    </w:r>
    <w:r>
      <w:rPr>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top w:val="single" w:color="auto" w:sz="4" w:space="1"/>
      </w:pBdr>
      <w:jc w:val="center"/>
    </w:pPr>
    <w:r>
      <w:fldChar w:fldCharType="begin"/>
    </w:r>
    <w:r>
      <w:instrText xml:space="preserve">PAGE   \* MERGEFORMAT</w:instrText>
    </w:r>
    <w:r>
      <w:fldChar w:fldCharType="separate"/>
    </w:r>
    <w:r>
      <w:rPr>
        <w:lang w:val="zh-CN"/>
      </w:rPr>
      <w:t>45</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rPr>
        <w:rFonts w:ascii="隶书"/>
        <w:szCs w:val="21"/>
      </w:rPr>
    </w:pPr>
    <w:r>
      <w:rPr>
        <w:rFonts w:hint="eastAsia" w:ascii="隶书"/>
        <w:szCs w:val="21"/>
      </w:rPr>
      <w:t>黑龙江菊乐惠丰优牧牧业有限公司肇源县义顺乡东义顺村奶牛养殖项目环境影响报告书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rPr>
        <w:rFonts w:ascii="隶书"/>
        <w:szCs w:val="21"/>
      </w:rPr>
    </w:pPr>
    <w:r>
      <w:rPr>
        <w:rFonts w:hint="eastAsia" w:ascii="隶书"/>
        <w:szCs w:val="21"/>
      </w:rPr>
      <w:t>黑龙江菊乐惠丰优牧牧业有限公司肇源县义顺乡东义顺村奶牛养殖项目环境影响报告书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rPr>
        <w:rFonts w:ascii="隶书"/>
        <w:szCs w:val="21"/>
      </w:rPr>
    </w:pPr>
    <w:r>
      <w:rPr>
        <w:rFonts w:hint="eastAsia" w:ascii="隶书"/>
        <w:szCs w:val="21"/>
      </w:rPr>
      <w:t>安达市宝源现代示范奶牛场项目环境影响报告书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rPr>
        <w:rFonts w:ascii="隶书"/>
        <w:szCs w:val="21"/>
      </w:rPr>
    </w:pPr>
    <w:r>
      <w:rPr>
        <w:rFonts w:hint="eastAsia" w:ascii="隶书"/>
        <w:szCs w:val="21"/>
      </w:rPr>
      <w:t>安达市宝源现代示范奶牛场项目项目环境影响报告书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rPr>
        <w:rFonts w:ascii="隶书"/>
        <w:szCs w:val="21"/>
      </w:rPr>
    </w:pPr>
    <w:r>
      <w:rPr>
        <w:rFonts w:hint="eastAsia" w:ascii="隶书"/>
        <w:szCs w:val="21"/>
      </w:rPr>
      <w:t>安达市宝源现代示范奶牛场项目环境影响报告书</w:t>
    </w:r>
  </w:p>
  <w:p>
    <w:pPr>
      <w:pStyle w:val="6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76B9F2"/>
    <w:multiLevelType w:val="singleLevel"/>
    <w:tmpl w:val="8776B9F2"/>
    <w:lvl w:ilvl="0" w:tentative="0">
      <w:start w:val="7"/>
      <w:numFmt w:val="decimal"/>
      <w:suff w:val="nothing"/>
      <w:lvlText w:val="（%1）"/>
      <w:lvlJc w:val="left"/>
      <w:pPr>
        <w:ind w:left="280"/>
      </w:pPr>
    </w:lvl>
  </w:abstractNum>
  <w:abstractNum w:abstractNumId="1">
    <w:nsid w:val="AD07696B"/>
    <w:multiLevelType w:val="singleLevel"/>
    <w:tmpl w:val="AD07696B"/>
    <w:lvl w:ilvl="0" w:tentative="0">
      <w:start w:val="2"/>
      <w:numFmt w:val="decimal"/>
      <w:suff w:val="nothing"/>
      <w:lvlText w:val="（%1）"/>
      <w:lvlJc w:val="left"/>
    </w:lvl>
  </w:abstractNum>
  <w:abstractNum w:abstractNumId="2">
    <w:nsid w:val="7D146D58"/>
    <w:multiLevelType w:val="singleLevel"/>
    <w:tmpl w:val="7D146D58"/>
    <w:lvl w:ilvl="0" w:tentative="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1"/>
  <w:bordersDoNotSurroundFooter w:val="1"/>
  <w:hideSpellingErrors/>
  <w:documentProtection w:enforcement="0"/>
  <w:defaultTabStop w:val="420"/>
  <w:drawingGridHorizontalSpacing w:val="140"/>
  <w:drawingGridVerticalSpacing w:val="381"/>
  <w:displayHorizontalDrawingGridEvery w:val="2"/>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2E4"/>
    <w:rsid w:val="00000C9F"/>
    <w:rsid w:val="0000176E"/>
    <w:rsid w:val="00001A1F"/>
    <w:rsid w:val="00001AA6"/>
    <w:rsid w:val="00001AD2"/>
    <w:rsid w:val="00001B4C"/>
    <w:rsid w:val="00002B47"/>
    <w:rsid w:val="00002C0D"/>
    <w:rsid w:val="000032D6"/>
    <w:rsid w:val="000037AC"/>
    <w:rsid w:val="00003A34"/>
    <w:rsid w:val="00004006"/>
    <w:rsid w:val="00004283"/>
    <w:rsid w:val="00004D95"/>
    <w:rsid w:val="00004EAE"/>
    <w:rsid w:val="0000695C"/>
    <w:rsid w:val="00006DA8"/>
    <w:rsid w:val="00007109"/>
    <w:rsid w:val="00007E70"/>
    <w:rsid w:val="00007F7A"/>
    <w:rsid w:val="00007FDF"/>
    <w:rsid w:val="0001029E"/>
    <w:rsid w:val="000103B0"/>
    <w:rsid w:val="000106CB"/>
    <w:rsid w:val="000110AA"/>
    <w:rsid w:val="00011162"/>
    <w:rsid w:val="000115C0"/>
    <w:rsid w:val="0001198D"/>
    <w:rsid w:val="00011BFF"/>
    <w:rsid w:val="000124F8"/>
    <w:rsid w:val="000126FE"/>
    <w:rsid w:val="00012A2B"/>
    <w:rsid w:val="00012AE3"/>
    <w:rsid w:val="00012BC3"/>
    <w:rsid w:val="00013703"/>
    <w:rsid w:val="00013F71"/>
    <w:rsid w:val="00014230"/>
    <w:rsid w:val="0001439E"/>
    <w:rsid w:val="0001494A"/>
    <w:rsid w:val="00014D3A"/>
    <w:rsid w:val="00014F71"/>
    <w:rsid w:val="000158DB"/>
    <w:rsid w:val="00015E04"/>
    <w:rsid w:val="00015F9B"/>
    <w:rsid w:val="000165B5"/>
    <w:rsid w:val="000167FB"/>
    <w:rsid w:val="000168E9"/>
    <w:rsid w:val="000175D0"/>
    <w:rsid w:val="0001780B"/>
    <w:rsid w:val="00017AA2"/>
    <w:rsid w:val="00020A10"/>
    <w:rsid w:val="00021399"/>
    <w:rsid w:val="000215B7"/>
    <w:rsid w:val="00021D1F"/>
    <w:rsid w:val="00021D68"/>
    <w:rsid w:val="0002278E"/>
    <w:rsid w:val="00022962"/>
    <w:rsid w:val="0002397F"/>
    <w:rsid w:val="000240D5"/>
    <w:rsid w:val="000242FF"/>
    <w:rsid w:val="00024BA7"/>
    <w:rsid w:val="0002503C"/>
    <w:rsid w:val="00025390"/>
    <w:rsid w:val="00025444"/>
    <w:rsid w:val="000267F4"/>
    <w:rsid w:val="00026AC3"/>
    <w:rsid w:val="000274F9"/>
    <w:rsid w:val="00027524"/>
    <w:rsid w:val="00027833"/>
    <w:rsid w:val="00027A33"/>
    <w:rsid w:val="0003109B"/>
    <w:rsid w:val="000311BB"/>
    <w:rsid w:val="000313EE"/>
    <w:rsid w:val="0003144E"/>
    <w:rsid w:val="00031456"/>
    <w:rsid w:val="00031644"/>
    <w:rsid w:val="00031843"/>
    <w:rsid w:val="0003212B"/>
    <w:rsid w:val="0003267D"/>
    <w:rsid w:val="000327A3"/>
    <w:rsid w:val="00032EAC"/>
    <w:rsid w:val="0003356A"/>
    <w:rsid w:val="00033954"/>
    <w:rsid w:val="000343B8"/>
    <w:rsid w:val="00034CE0"/>
    <w:rsid w:val="00034DBB"/>
    <w:rsid w:val="00034FE9"/>
    <w:rsid w:val="00035CDC"/>
    <w:rsid w:val="0003619C"/>
    <w:rsid w:val="00036A3E"/>
    <w:rsid w:val="00037721"/>
    <w:rsid w:val="000378ED"/>
    <w:rsid w:val="00037A1D"/>
    <w:rsid w:val="00040149"/>
    <w:rsid w:val="0004039F"/>
    <w:rsid w:val="00041883"/>
    <w:rsid w:val="000418FD"/>
    <w:rsid w:val="00042204"/>
    <w:rsid w:val="00042943"/>
    <w:rsid w:val="00042F4E"/>
    <w:rsid w:val="00043FBA"/>
    <w:rsid w:val="000441AE"/>
    <w:rsid w:val="000448F8"/>
    <w:rsid w:val="00046434"/>
    <w:rsid w:val="00046DD9"/>
    <w:rsid w:val="0004738E"/>
    <w:rsid w:val="00047461"/>
    <w:rsid w:val="0004755C"/>
    <w:rsid w:val="00047A78"/>
    <w:rsid w:val="00047FB1"/>
    <w:rsid w:val="000501EB"/>
    <w:rsid w:val="00050C00"/>
    <w:rsid w:val="00051853"/>
    <w:rsid w:val="0005226A"/>
    <w:rsid w:val="000523EE"/>
    <w:rsid w:val="0005310D"/>
    <w:rsid w:val="0005386E"/>
    <w:rsid w:val="00053EAB"/>
    <w:rsid w:val="00055E69"/>
    <w:rsid w:val="000562F7"/>
    <w:rsid w:val="00056DA1"/>
    <w:rsid w:val="00056F09"/>
    <w:rsid w:val="0005735B"/>
    <w:rsid w:val="00057793"/>
    <w:rsid w:val="0005781E"/>
    <w:rsid w:val="00057E08"/>
    <w:rsid w:val="000611E7"/>
    <w:rsid w:val="000619F1"/>
    <w:rsid w:val="00061AFD"/>
    <w:rsid w:val="00061CF5"/>
    <w:rsid w:val="00061EEB"/>
    <w:rsid w:val="00062005"/>
    <w:rsid w:val="000622CA"/>
    <w:rsid w:val="00062349"/>
    <w:rsid w:val="00062902"/>
    <w:rsid w:val="0006296B"/>
    <w:rsid w:val="000658A7"/>
    <w:rsid w:val="00065D33"/>
    <w:rsid w:val="00066AAF"/>
    <w:rsid w:val="00067F93"/>
    <w:rsid w:val="00070601"/>
    <w:rsid w:val="0007084D"/>
    <w:rsid w:val="00070E2F"/>
    <w:rsid w:val="00072A49"/>
    <w:rsid w:val="00073DFF"/>
    <w:rsid w:val="00073F45"/>
    <w:rsid w:val="00074347"/>
    <w:rsid w:val="00074F45"/>
    <w:rsid w:val="0007585B"/>
    <w:rsid w:val="0007587D"/>
    <w:rsid w:val="00076D31"/>
    <w:rsid w:val="00076DA7"/>
    <w:rsid w:val="00076EF9"/>
    <w:rsid w:val="00080839"/>
    <w:rsid w:val="0008114D"/>
    <w:rsid w:val="00081497"/>
    <w:rsid w:val="000815DF"/>
    <w:rsid w:val="000819FE"/>
    <w:rsid w:val="00081A3A"/>
    <w:rsid w:val="00081AE3"/>
    <w:rsid w:val="00081B98"/>
    <w:rsid w:val="00081DC8"/>
    <w:rsid w:val="00081DD4"/>
    <w:rsid w:val="0008204E"/>
    <w:rsid w:val="00082168"/>
    <w:rsid w:val="000829AA"/>
    <w:rsid w:val="00082F2D"/>
    <w:rsid w:val="0008328F"/>
    <w:rsid w:val="00084240"/>
    <w:rsid w:val="00084334"/>
    <w:rsid w:val="0008454A"/>
    <w:rsid w:val="0008529B"/>
    <w:rsid w:val="0008555C"/>
    <w:rsid w:val="00085D5B"/>
    <w:rsid w:val="00086A7D"/>
    <w:rsid w:val="00086BA2"/>
    <w:rsid w:val="00086E7F"/>
    <w:rsid w:val="0008707C"/>
    <w:rsid w:val="000873F5"/>
    <w:rsid w:val="0008751D"/>
    <w:rsid w:val="00087576"/>
    <w:rsid w:val="00087B5B"/>
    <w:rsid w:val="00087E39"/>
    <w:rsid w:val="00087E7B"/>
    <w:rsid w:val="000908B4"/>
    <w:rsid w:val="0009091B"/>
    <w:rsid w:val="0009091D"/>
    <w:rsid w:val="00090C37"/>
    <w:rsid w:val="00091A27"/>
    <w:rsid w:val="00091C5A"/>
    <w:rsid w:val="00091EEC"/>
    <w:rsid w:val="00092978"/>
    <w:rsid w:val="00092B0C"/>
    <w:rsid w:val="00092F53"/>
    <w:rsid w:val="000934A5"/>
    <w:rsid w:val="0009367B"/>
    <w:rsid w:val="00094046"/>
    <w:rsid w:val="00094E50"/>
    <w:rsid w:val="00095A56"/>
    <w:rsid w:val="00096B4A"/>
    <w:rsid w:val="00097793"/>
    <w:rsid w:val="00097AF4"/>
    <w:rsid w:val="00097C12"/>
    <w:rsid w:val="00097DB2"/>
    <w:rsid w:val="000A06E4"/>
    <w:rsid w:val="000A1B3C"/>
    <w:rsid w:val="000A24E3"/>
    <w:rsid w:val="000A27EA"/>
    <w:rsid w:val="000A283C"/>
    <w:rsid w:val="000A29C7"/>
    <w:rsid w:val="000A2A71"/>
    <w:rsid w:val="000A3CEF"/>
    <w:rsid w:val="000A3ED5"/>
    <w:rsid w:val="000A41D9"/>
    <w:rsid w:val="000A42A1"/>
    <w:rsid w:val="000A459A"/>
    <w:rsid w:val="000A463C"/>
    <w:rsid w:val="000A477F"/>
    <w:rsid w:val="000A4BA8"/>
    <w:rsid w:val="000A5118"/>
    <w:rsid w:val="000A53A8"/>
    <w:rsid w:val="000A5A2C"/>
    <w:rsid w:val="000A5DB6"/>
    <w:rsid w:val="000A5E30"/>
    <w:rsid w:val="000A61FE"/>
    <w:rsid w:val="000A6AF6"/>
    <w:rsid w:val="000B0210"/>
    <w:rsid w:val="000B1821"/>
    <w:rsid w:val="000B1EB8"/>
    <w:rsid w:val="000B2605"/>
    <w:rsid w:val="000B267A"/>
    <w:rsid w:val="000B2BD7"/>
    <w:rsid w:val="000B3104"/>
    <w:rsid w:val="000B32D6"/>
    <w:rsid w:val="000B33DA"/>
    <w:rsid w:val="000B3A99"/>
    <w:rsid w:val="000B445C"/>
    <w:rsid w:val="000B4509"/>
    <w:rsid w:val="000B4994"/>
    <w:rsid w:val="000B4BD4"/>
    <w:rsid w:val="000B4C4A"/>
    <w:rsid w:val="000B517D"/>
    <w:rsid w:val="000B5C80"/>
    <w:rsid w:val="000B5E34"/>
    <w:rsid w:val="000B69A6"/>
    <w:rsid w:val="000B69F7"/>
    <w:rsid w:val="000B6AC8"/>
    <w:rsid w:val="000B6DA0"/>
    <w:rsid w:val="000B78C1"/>
    <w:rsid w:val="000B78DD"/>
    <w:rsid w:val="000C06DD"/>
    <w:rsid w:val="000C0737"/>
    <w:rsid w:val="000C0998"/>
    <w:rsid w:val="000C0B9D"/>
    <w:rsid w:val="000C0C2F"/>
    <w:rsid w:val="000C1C6B"/>
    <w:rsid w:val="000C23BE"/>
    <w:rsid w:val="000C242B"/>
    <w:rsid w:val="000C2766"/>
    <w:rsid w:val="000C294B"/>
    <w:rsid w:val="000C31CF"/>
    <w:rsid w:val="000C32E7"/>
    <w:rsid w:val="000C3346"/>
    <w:rsid w:val="000C35BC"/>
    <w:rsid w:val="000C37AB"/>
    <w:rsid w:val="000C3939"/>
    <w:rsid w:val="000C4289"/>
    <w:rsid w:val="000C4850"/>
    <w:rsid w:val="000C4E90"/>
    <w:rsid w:val="000C4ED5"/>
    <w:rsid w:val="000C5241"/>
    <w:rsid w:val="000C5926"/>
    <w:rsid w:val="000C658A"/>
    <w:rsid w:val="000C664E"/>
    <w:rsid w:val="000C69D2"/>
    <w:rsid w:val="000C6A55"/>
    <w:rsid w:val="000C6D40"/>
    <w:rsid w:val="000C724D"/>
    <w:rsid w:val="000C7841"/>
    <w:rsid w:val="000C7904"/>
    <w:rsid w:val="000C7F67"/>
    <w:rsid w:val="000D044E"/>
    <w:rsid w:val="000D0B47"/>
    <w:rsid w:val="000D0C80"/>
    <w:rsid w:val="000D108E"/>
    <w:rsid w:val="000D10BF"/>
    <w:rsid w:val="000D1AEF"/>
    <w:rsid w:val="000D1CAC"/>
    <w:rsid w:val="000D1F83"/>
    <w:rsid w:val="000D200E"/>
    <w:rsid w:val="000D2F68"/>
    <w:rsid w:val="000D3285"/>
    <w:rsid w:val="000D38B1"/>
    <w:rsid w:val="000D38CA"/>
    <w:rsid w:val="000D3C0E"/>
    <w:rsid w:val="000D3D8E"/>
    <w:rsid w:val="000D3E88"/>
    <w:rsid w:val="000D47B6"/>
    <w:rsid w:val="000D4A0A"/>
    <w:rsid w:val="000D52A8"/>
    <w:rsid w:val="000D534F"/>
    <w:rsid w:val="000D582B"/>
    <w:rsid w:val="000D58AE"/>
    <w:rsid w:val="000D596E"/>
    <w:rsid w:val="000D59D5"/>
    <w:rsid w:val="000D5D33"/>
    <w:rsid w:val="000D61A0"/>
    <w:rsid w:val="000D65EB"/>
    <w:rsid w:val="000D6637"/>
    <w:rsid w:val="000D6EAE"/>
    <w:rsid w:val="000D6FC6"/>
    <w:rsid w:val="000D7553"/>
    <w:rsid w:val="000E0991"/>
    <w:rsid w:val="000E0D4A"/>
    <w:rsid w:val="000E142B"/>
    <w:rsid w:val="000E1538"/>
    <w:rsid w:val="000E174E"/>
    <w:rsid w:val="000E1863"/>
    <w:rsid w:val="000E1D4F"/>
    <w:rsid w:val="000E1EE1"/>
    <w:rsid w:val="000E202D"/>
    <w:rsid w:val="000E227E"/>
    <w:rsid w:val="000E2B88"/>
    <w:rsid w:val="000E34E4"/>
    <w:rsid w:val="000E4475"/>
    <w:rsid w:val="000E4A3F"/>
    <w:rsid w:val="000E4B1B"/>
    <w:rsid w:val="000E4EA4"/>
    <w:rsid w:val="000E507A"/>
    <w:rsid w:val="000E5D91"/>
    <w:rsid w:val="000E5F67"/>
    <w:rsid w:val="000E64AC"/>
    <w:rsid w:val="000E6CD1"/>
    <w:rsid w:val="000E6F3C"/>
    <w:rsid w:val="000E7347"/>
    <w:rsid w:val="000E7FBC"/>
    <w:rsid w:val="000F01D4"/>
    <w:rsid w:val="000F0362"/>
    <w:rsid w:val="000F0449"/>
    <w:rsid w:val="000F0852"/>
    <w:rsid w:val="000F0950"/>
    <w:rsid w:val="000F103F"/>
    <w:rsid w:val="000F1BF4"/>
    <w:rsid w:val="000F1DDA"/>
    <w:rsid w:val="000F20DF"/>
    <w:rsid w:val="000F2147"/>
    <w:rsid w:val="000F218A"/>
    <w:rsid w:val="000F249A"/>
    <w:rsid w:val="000F2B76"/>
    <w:rsid w:val="000F2D25"/>
    <w:rsid w:val="000F363D"/>
    <w:rsid w:val="000F43A4"/>
    <w:rsid w:val="000F45AE"/>
    <w:rsid w:val="000F4866"/>
    <w:rsid w:val="000F4B16"/>
    <w:rsid w:val="000F4DBA"/>
    <w:rsid w:val="000F582E"/>
    <w:rsid w:val="000F5A3A"/>
    <w:rsid w:val="000F5B83"/>
    <w:rsid w:val="000F6288"/>
    <w:rsid w:val="000F6F95"/>
    <w:rsid w:val="000F72C1"/>
    <w:rsid w:val="000F7AB8"/>
    <w:rsid w:val="000F7AC7"/>
    <w:rsid w:val="00101530"/>
    <w:rsid w:val="00101EBD"/>
    <w:rsid w:val="001027B4"/>
    <w:rsid w:val="001034B8"/>
    <w:rsid w:val="001038BA"/>
    <w:rsid w:val="0010396D"/>
    <w:rsid w:val="0010424B"/>
    <w:rsid w:val="001048D9"/>
    <w:rsid w:val="001057E5"/>
    <w:rsid w:val="00105F78"/>
    <w:rsid w:val="00106E85"/>
    <w:rsid w:val="00106EE3"/>
    <w:rsid w:val="0010765E"/>
    <w:rsid w:val="0010776C"/>
    <w:rsid w:val="00110957"/>
    <w:rsid w:val="00110B8B"/>
    <w:rsid w:val="00110ECB"/>
    <w:rsid w:val="00111187"/>
    <w:rsid w:val="0011127F"/>
    <w:rsid w:val="00111C50"/>
    <w:rsid w:val="00112655"/>
    <w:rsid w:val="00112B12"/>
    <w:rsid w:val="00112C6B"/>
    <w:rsid w:val="00113427"/>
    <w:rsid w:val="001136C6"/>
    <w:rsid w:val="00113A10"/>
    <w:rsid w:val="00113D6F"/>
    <w:rsid w:val="0011469D"/>
    <w:rsid w:val="00115A28"/>
    <w:rsid w:val="00116265"/>
    <w:rsid w:val="00116723"/>
    <w:rsid w:val="00116B93"/>
    <w:rsid w:val="001171F6"/>
    <w:rsid w:val="00117B01"/>
    <w:rsid w:val="00117CEF"/>
    <w:rsid w:val="0012014B"/>
    <w:rsid w:val="00120A3A"/>
    <w:rsid w:val="001214B3"/>
    <w:rsid w:val="0012200B"/>
    <w:rsid w:val="00122304"/>
    <w:rsid w:val="00122490"/>
    <w:rsid w:val="00122FF0"/>
    <w:rsid w:val="001230C3"/>
    <w:rsid w:val="00123915"/>
    <w:rsid w:val="001239B2"/>
    <w:rsid w:val="00123C67"/>
    <w:rsid w:val="00123DCA"/>
    <w:rsid w:val="00124280"/>
    <w:rsid w:val="0012436E"/>
    <w:rsid w:val="0012478B"/>
    <w:rsid w:val="00124B27"/>
    <w:rsid w:val="00124E62"/>
    <w:rsid w:val="00125646"/>
    <w:rsid w:val="001259E3"/>
    <w:rsid w:val="00125B79"/>
    <w:rsid w:val="001263E6"/>
    <w:rsid w:val="00126415"/>
    <w:rsid w:val="00126D85"/>
    <w:rsid w:val="0012758A"/>
    <w:rsid w:val="00127DA5"/>
    <w:rsid w:val="0013070D"/>
    <w:rsid w:val="00130B28"/>
    <w:rsid w:val="001310FE"/>
    <w:rsid w:val="001317F1"/>
    <w:rsid w:val="00131B4B"/>
    <w:rsid w:val="0013221C"/>
    <w:rsid w:val="00133388"/>
    <w:rsid w:val="001335CE"/>
    <w:rsid w:val="00134204"/>
    <w:rsid w:val="00134A11"/>
    <w:rsid w:val="00134AC0"/>
    <w:rsid w:val="00135356"/>
    <w:rsid w:val="0013572C"/>
    <w:rsid w:val="001358AA"/>
    <w:rsid w:val="0013592A"/>
    <w:rsid w:val="00136963"/>
    <w:rsid w:val="00136D06"/>
    <w:rsid w:val="0013718D"/>
    <w:rsid w:val="001372A0"/>
    <w:rsid w:val="00137344"/>
    <w:rsid w:val="00137540"/>
    <w:rsid w:val="00137A7F"/>
    <w:rsid w:val="00137F3E"/>
    <w:rsid w:val="00140084"/>
    <w:rsid w:val="0014050E"/>
    <w:rsid w:val="00141AFF"/>
    <w:rsid w:val="00141FCB"/>
    <w:rsid w:val="0014279C"/>
    <w:rsid w:val="00142C86"/>
    <w:rsid w:val="0014301B"/>
    <w:rsid w:val="00144255"/>
    <w:rsid w:val="0014425F"/>
    <w:rsid w:val="00144351"/>
    <w:rsid w:val="00144568"/>
    <w:rsid w:val="00144E8B"/>
    <w:rsid w:val="00145074"/>
    <w:rsid w:val="00145F89"/>
    <w:rsid w:val="001460D9"/>
    <w:rsid w:val="001460F4"/>
    <w:rsid w:val="0014663C"/>
    <w:rsid w:val="001467C1"/>
    <w:rsid w:val="00147258"/>
    <w:rsid w:val="00147408"/>
    <w:rsid w:val="001508BF"/>
    <w:rsid w:val="00150B97"/>
    <w:rsid w:val="00150CB1"/>
    <w:rsid w:val="00150E36"/>
    <w:rsid w:val="001519A2"/>
    <w:rsid w:val="00151C01"/>
    <w:rsid w:val="00152EFF"/>
    <w:rsid w:val="00153C7B"/>
    <w:rsid w:val="00153DBB"/>
    <w:rsid w:val="001543C3"/>
    <w:rsid w:val="00154FEC"/>
    <w:rsid w:val="001569DF"/>
    <w:rsid w:val="0015750C"/>
    <w:rsid w:val="001576F3"/>
    <w:rsid w:val="001577B7"/>
    <w:rsid w:val="00160165"/>
    <w:rsid w:val="001602AD"/>
    <w:rsid w:val="001602D4"/>
    <w:rsid w:val="00160356"/>
    <w:rsid w:val="00160E92"/>
    <w:rsid w:val="00161B65"/>
    <w:rsid w:val="00162245"/>
    <w:rsid w:val="001626F7"/>
    <w:rsid w:val="00162F3E"/>
    <w:rsid w:val="00162FA3"/>
    <w:rsid w:val="001637B4"/>
    <w:rsid w:val="00164CA3"/>
    <w:rsid w:val="00166384"/>
    <w:rsid w:val="00166AB7"/>
    <w:rsid w:val="001671F8"/>
    <w:rsid w:val="00167331"/>
    <w:rsid w:val="001674CB"/>
    <w:rsid w:val="001675B4"/>
    <w:rsid w:val="00167D8F"/>
    <w:rsid w:val="0017016F"/>
    <w:rsid w:val="00170CCB"/>
    <w:rsid w:val="00171152"/>
    <w:rsid w:val="001711AE"/>
    <w:rsid w:val="0017286A"/>
    <w:rsid w:val="00172976"/>
    <w:rsid w:val="00172A27"/>
    <w:rsid w:val="00172E2A"/>
    <w:rsid w:val="0017365F"/>
    <w:rsid w:val="0017433E"/>
    <w:rsid w:val="00174683"/>
    <w:rsid w:val="001753BA"/>
    <w:rsid w:val="00175C21"/>
    <w:rsid w:val="0017789F"/>
    <w:rsid w:val="00180024"/>
    <w:rsid w:val="00180262"/>
    <w:rsid w:val="001805EE"/>
    <w:rsid w:val="00180D28"/>
    <w:rsid w:val="00180FEE"/>
    <w:rsid w:val="00181076"/>
    <w:rsid w:val="001818DF"/>
    <w:rsid w:val="0018211C"/>
    <w:rsid w:val="00182306"/>
    <w:rsid w:val="00182E30"/>
    <w:rsid w:val="0018318D"/>
    <w:rsid w:val="00183504"/>
    <w:rsid w:val="00183DA5"/>
    <w:rsid w:val="00184E39"/>
    <w:rsid w:val="00185303"/>
    <w:rsid w:val="00185445"/>
    <w:rsid w:val="00185732"/>
    <w:rsid w:val="0018629A"/>
    <w:rsid w:val="001863C8"/>
    <w:rsid w:val="0018693B"/>
    <w:rsid w:val="0018696B"/>
    <w:rsid w:val="00187B38"/>
    <w:rsid w:val="00187DAB"/>
    <w:rsid w:val="00187E46"/>
    <w:rsid w:val="001907C6"/>
    <w:rsid w:val="00190A44"/>
    <w:rsid w:val="00190C6C"/>
    <w:rsid w:val="001913C5"/>
    <w:rsid w:val="0019145E"/>
    <w:rsid w:val="00191C11"/>
    <w:rsid w:val="0019267B"/>
    <w:rsid w:val="001929AD"/>
    <w:rsid w:val="00193054"/>
    <w:rsid w:val="00193657"/>
    <w:rsid w:val="00193885"/>
    <w:rsid w:val="00193BB5"/>
    <w:rsid w:val="00193E5C"/>
    <w:rsid w:val="001945B9"/>
    <w:rsid w:val="00195805"/>
    <w:rsid w:val="001958AB"/>
    <w:rsid w:val="00196125"/>
    <w:rsid w:val="001971EA"/>
    <w:rsid w:val="00197359"/>
    <w:rsid w:val="00197994"/>
    <w:rsid w:val="00197F02"/>
    <w:rsid w:val="001A0C58"/>
    <w:rsid w:val="001A0DC2"/>
    <w:rsid w:val="001A0F11"/>
    <w:rsid w:val="001A0F50"/>
    <w:rsid w:val="001A10D8"/>
    <w:rsid w:val="001A17F3"/>
    <w:rsid w:val="001A1935"/>
    <w:rsid w:val="001A2068"/>
    <w:rsid w:val="001A2275"/>
    <w:rsid w:val="001A2921"/>
    <w:rsid w:val="001A2B51"/>
    <w:rsid w:val="001A2DCF"/>
    <w:rsid w:val="001A31CA"/>
    <w:rsid w:val="001A4D77"/>
    <w:rsid w:val="001A55C6"/>
    <w:rsid w:val="001A55EB"/>
    <w:rsid w:val="001A58BE"/>
    <w:rsid w:val="001A5F27"/>
    <w:rsid w:val="001A68C0"/>
    <w:rsid w:val="001A6B5E"/>
    <w:rsid w:val="001A6E06"/>
    <w:rsid w:val="001A7995"/>
    <w:rsid w:val="001A7CE9"/>
    <w:rsid w:val="001B0303"/>
    <w:rsid w:val="001B08D8"/>
    <w:rsid w:val="001B1B02"/>
    <w:rsid w:val="001B2571"/>
    <w:rsid w:val="001B3EA3"/>
    <w:rsid w:val="001B40CD"/>
    <w:rsid w:val="001B47F2"/>
    <w:rsid w:val="001B4EDA"/>
    <w:rsid w:val="001B4F64"/>
    <w:rsid w:val="001B5212"/>
    <w:rsid w:val="001B578B"/>
    <w:rsid w:val="001B6192"/>
    <w:rsid w:val="001B63FF"/>
    <w:rsid w:val="001B682C"/>
    <w:rsid w:val="001B759A"/>
    <w:rsid w:val="001B7C2E"/>
    <w:rsid w:val="001B7FF6"/>
    <w:rsid w:val="001C03C2"/>
    <w:rsid w:val="001C04C5"/>
    <w:rsid w:val="001C0B89"/>
    <w:rsid w:val="001C114E"/>
    <w:rsid w:val="001C1F46"/>
    <w:rsid w:val="001C2144"/>
    <w:rsid w:val="001C230E"/>
    <w:rsid w:val="001C2AA0"/>
    <w:rsid w:val="001C2E45"/>
    <w:rsid w:val="001C3DED"/>
    <w:rsid w:val="001C3E63"/>
    <w:rsid w:val="001C611E"/>
    <w:rsid w:val="001C63ED"/>
    <w:rsid w:val="001C6745"/>
    <w:rsid w:val="001C699D"/>
    <w:rsid w:val="001C6FEE"/>
    <w:rsid w:val="001C7169"/>
    <w:rsid w:val="001C74A5"/>
    <w:rsid w:val="001C7943"/>
    <w:rsid w:val="001C7AA5"/>
    <w:rsid w:val="001C7BCB"/>
    <w:rsid w:val="001C7ECE"/>
    <w:rsid w:val="001D035B"/>
    <w:rsid w:val="001D046B"/>
    <w:rsid w:val="001D049A"/>
    <w:rsid w:val="001D0C26"/>
    <w:rsid w:val="001D18CA"/>
    <w:rsid w:val="001D1D7B"/>
    <w:rsid w:val="001D1DA0"/>
    <w:rsid w:val="001D2FF3"/>
    <w:rsid w:val="001D31FE"/>
    <w:rsid w:val="001D33A9"/>
    <w:rsid w:val="001D34F1"/>
    <w:rsid w:val="001D4103"/>
    <w:rsid w:val="001D46CF"/>
    <w:rsid w:val="001D4C8B"/>
    <w:rsid w:val="001D4D54"/>
    <w:rsid w:val="001D4F7C"/>
    <w:rsid w:val="001D5377"/>
    <w:rsid w:val="001D59C6"/>
    <w:rsid w:val="001D5AC9"/>
    <w:rsid w:val="001D6474"/>
    <w:rsid w:val="001D7879"/>
    <w:rsid w:val="001D7B81"/>
    <w:rsid w:val="001D7B90"/>
    <w:rsid w:val="001D7E84"/>
    <w:rsid w:val="001D7FF6"/>
    <w:rsid w:val="001E12F5"/>
    <w:rsid w:val="001E13A7"/>
    <w:rsid w:val="001E14FE"/>
    <w:rsid w:val="001E1B7D"/>
    <w:rsid w:val="001E1BD8"/>
    <w:rsid w:val="001E2A1C"/>
    <w:rsid w:val="001E2A3C"/>
    <w:rsid w:val="001E2AAC"/>
    <w:rsid w:val="001E2D0A"/>
    <w:rsid w:val="001E2D34"/>
    <w:rsid w:val="001E314B"/>
    <w:rsid w:val="001E36A2"/>
    <w:rsid w:val="001E3E67"/>
    <w:rsid w:val="001E3F07"/>
    <w:rsid w:val="001E4172"/>
    <w:rsid w:val="001E43BA"/>
    <w:rsid w:val="001E442A"/>
    <w:rsid w:val="001E4AEC"/>
    <w:rsid w:val="001E4EE8"/>
    <w:rsid w:val="001E53D3"/>
    <w:rsid w:val="001E5B97"/>
    <w:rsid w:val="001E5C00"/>
    <w:rsid w:val="001E6272"/>
    <w:rsid w:val="001E65A1"/>
    <w:rsid w:val="001E69A8"/>
    <w:rsid w:val="001E6E93"/>
    <w:rsid w:val="001E6EAF"/>
    <w:rsid w:val="001E6F74"/>
    <w:rsid w:val="001F0A5F"/>
    <w:rsid w:val="001F0B52"/>
    <w:rsid w:val="001F0F01"/>
    <w:rsid w:val="001F0F4C"/>
    <w:rsid w:val="001F0FDE"/>
    <w:rsid w:val="001F116E"/>
    <w:rsid w:val="001F1A91"/>
    <w:rsid w:val="001F1F42"/>
    <w:rsid w:val="001F20AF"/>
    <w:rsid w:val="001F20F9"/>
    <w:rsid w:val="001F21D4"/>
    <w:rsid w:val="001F3356"/>
    <w:rsid w:val="001F36DA"/>
    <w:rsid w:val="001F3E2E"/>
    <w:rsid w:val="001F4084"/>
    <w:rsid w:val="001F4B22"/>
    <w:rsid w:val="001F4E1F"/>
    <w:rsid w:val="001F51F5"/>
    <w:rsid w:val="001F560E"/>
    <w:rsid w:val="001F58DA"/>
    <w:rsid w:val="001F63FC"/>
    <w:rsid w:val="001F6B9C"/>
    <w:rsid w:val="001F6CCD"/>
    <w:rsid w:val="001F74C1"/>
    <w:rsid w:val="00201182"/>
    <w:rsid w:val="00201368"/>
    <w:rsid w:val="00201745"/>
    <w:rsid w:val="002017A5"/>
    <w:rsid w:val="002019A9"/>
    <w:rsid w:val="002020C5"/>
    <w:rsid w:val="00202494"/>
    <w:rsid w:val="00202635"/>
    <w:rsid w:val="002032A5"/>
    <w:rsid w:val="00203696"/>
    <w:rsid w:val="0020376E"/>
    <w:rsid w:val="00203C2C"/>
    <w:rsid w:val="00203C83"/>
    <w:rsid w:val="00203D33"/>
    <w:rsid w:val="00204E68"/>
    <w:rsid w:val="00204FA5"/>
    <w:rsid w:val="00204FEA"/>
    <w:rsid w:val="002052BD"/>
    <w:rsid w:val="002062AA"/>
    <w:rsid w:val="00206598"/>
    <w:rsid w:val="002070D1"/>
    <w:rsid w:val="00207CF5"/>
    <w:rsid w:val="00207DEC"/>
    <w:rsid w:val="00210227"/>
    <w:rsid w:val="00211885"/>
    <w:rsid w:val="002122A6"/>
    <w:rsid w:val="00212AB8"/>
    <w:rsid w:val="00212AFF"/>
    <w:rsid w:val="00212B63"/>
    <w:rsid w:val="0021311C"/>
    <w:rsid w:val="00213545"/>
    <w:rsid w:val="00213A7E"/>
    <w:rsid w:val="00213C5E"/>
    <w:rsid w:val="002141BF"/>
    <w:rsid w:val="00215439"/>
    <w:rsid w:val="002155EC"/>
    <w:rsid w:val="00215DA9"/>
    <w:rsid w:val="00216354"/>
    <w:rsid w:val="00216DCF"/>
    <w:rsid w:val="00217823"/>
    <w:rsid w:val="002200AE"/>
    <w:rsid w:val="00220A9D"/>
    <w:rsid w:val="00221119"/>
    <w:rsid w:val="00221215"/>
    <w:rsid w:val="002212E7"/>
    <w:rsid w:val="00221A50"/>
    <w:rsid w:val="00221AE0"/>
    <w:rsid w:val="002227A9"/>
    <w:rsid w:val="0022280A"/>
    <w:rsid w:val="00222846"/>
    <w:rsid w:val="0022332B"/>
    <w:rsid w:val="00223B59"/>
    <w:rsid w:val="0022422D"/>
    <w:rsid w:val="002243BD"/>
    <w:rsid w:val="00225426"/>
    <w:rsid w:val="00225429"/>
    <w:rsid w:val="00225506"/>
    <w:rsid w:val="002255CB"/>
    <w:rsid w:val="0023084D"/>
    <w:rsid w:val="00231D77"/>
    <w:rsid w:val="00232974"/>
    <w:rsid w:val="00233368"/>
    <w:rsid w:val="002337BD"/>
    <w:rsid w:val="00233D15"/>
    <w:rsid w:val="0023424F"/>
    <w:rsid w:val="00234B31"/>
    <w:rsid w:val="002352C8"/>
    <w:rsid w:val="00235C39"/>
    <w:rsid w:val="00236161"/>
    <w:rsid w:val="00236228"/>
    <w:rsid w:val="00236432"/>
    <w:rsid w:val="00236638"/>
    <w:rsid w:val="002369AF"/>
    <w:rsid w:val="00236C93"/>
    <w:rsid w:val="00237EBE"/>
    <w:rsid w:val="00240185"/>
    <w:rsid w:val="00240219"/>
    <w:rsid w:val="00240362"/>
    <w:rsid w:val="002404D4"/>
    <w:rsid w:val="002405EB"/>
    <w:rsid w:val="00240847"/>
    <w:rsid w:val="002409D3"/>
    <w:rsid w:val="002409EB"/>
    <w:rsid w:val="00240C3D"/>
    <w:rsid w:val="00240CA5"/>
    <w:rsid w:val="00240DCA"/>
    <w:rsid w:val="0024145D"/>
    <w:rsid w:val="002419DD"/>
    <w:rsid w:val="00241ACC"/>
    <w:rsid w:val="00241C5C"/>
    <w:rsid w:val="00241D8E"/>
    <w:rsid w:val="00241E8F"/>
    <w:rsid w:val="002421A5"/>
    <w:rsid w:val="00243147"/>
    <w:rsid w:val="0024390A"/>
    <w:rsid w:val="00243B18"/>
    <w:rsid w:val="0024466F"/>
    <w:rsid w:val="002447E4"/>
    <w:rsid w:val="00244A27"/>
    <w:rsid w:val="002452F0"/>
    <w:rsid w:val="0024571A"/>
    <w:rsid w:val="00245823"/>
    <w:rsid w:val="00245DB6"/>
    <w:rsid w:val="00246A97"/>
    <w:rsid w:val="00246AA8"/>
    <w:rsid w:val="00247012"/>
    <w:rsid w:val="00247384"/>
    <w:rsid w:val="0024778A"/>
    <w:rsid w:val="00247F46"/>
    <w:rsid w:val="00250404"/>
    <w:rsid w:val="002504EA"/>
    <w:rsid w:val="00250514"/>
    <w:rsid w:val="00250ACF"/>
    <w:rsid w:val="00251449"/>
    <w:rsid w:val="00251541"/>
    <w:rsid w:val="00251ADA"/>
    <w:rsid w:val="00252B5F"/>
    <w:rsid w:val="00253249"/>
    <w:rsid w:val="00253560"/>
    <w:rsid w:val="00254040"/>
    <w:rsid w:val="00254A83"/>
    <w:rsid w:val="00254EF6"/>
    <w:rsid w:val="0025661D"/>
    <w:rsid w:val="00256B61"/>
    <w:rsid w:val="00256EB7"/>
    <w:rsid w:val="00257515"/>
    <w:rsid w:val="0026050C"/>
    <w:rsid w:val="0026183D"/>
    <w:rsid w:val="00261E8B"/>
    <w:rsid w:val="00261F3D"/>
    <w:rsid w:val="002629DD"/>
    <w:rsid w:val="00263288"/>
    <w:rsid w:val="00264026"/>
    <w:rsid w:val="002645A4"/>
    <w:rsid w:val="00264C8D"/>
    <w:rsid w:val="00264FA7"/>
    <w:rsid w:val="00265C63"/>
    <w:rsid w:val="00265D55"/>
    <w:rsid w:val="00265DD8"/>
    <w:rsid w:val="002661FC"/>
    <w:rsid w:val="0026622C"/>
    <w:rsid w:val="00266B9C"/>
    <w:rsid w:val="00266DC3"/>
    <w:rsid w:val="0026723F"/>
    <w:rsid w:val="00267719"/>
    <w:rsid w:val="00267BED"/>
    <w:rsid w:val="00267C22"/>
    <w:rsid w:val="00270020"/>
    <w:rsid w:val="002707AC"/>
    <w:rsid w:val="002712A7"/>
    <w:rsid w:val="002713AB"/>
    <w:rsid w:val="002718A8"/>
    <w:rsid w:val="0027212B"/>
    <w:rsid w:val="00272675"/>
    <w:rsid w:val="002730F6"/>
    <w:rsid w:val="002734E0"/>
    <w:rsid w:val="00273597"/>
    <w:rsid w:val="00273AA2"/>
    <w:rsid w:val="00274600"/>
    <w:rsid w:val="00275122"/>
    <w:rsid w:val="0027594E"/>
    <w:rsid w:val="00275F8A"/>
    <w:rsid w:val="00276794"/>
    <w:rsid w:val="00277115"/>
    <w:rsid w:val="00277362"/>
    <w:rsid w:val="0027785C"/>
    <w:rsid w:val="00277C20"/>
    <w:rsid w:val="00280558"/>
    <w:rsid w:val="002813D4"/>
    <w:rsid w:val="002819F4"/>
    <w:rsid w:val="00281C82"/>
    <w:rsid w:val="00282636"/>
    <w:rsid w:val="0028379A"/>
    <w:rsid w:val="00283B8F"/>
    <w:rsid w:val="00283DA1"/>
    <w:rsid w:val="00284033"/>
    <w:rsid w:val="0028459B"/>
    <w:rsid w:val="002848D2"/>
    <w:rsid w:val="00284A65"/>
    <w:rsid w:val="00285B36"/>
    <w:rsid w:val="00285F36"/>
    <w:rsid w:val="0028624A"/>
    <w:rsid w:val="002879FE"/>
    <w:rsid w:val="002904F0"/>
    <w:rsid w:val="00291547"/>
    <w:rsid w:val="00291D02"/>
    <w:rsid w:val="002925F7"/>
    <w:rsid w:val="00292692"/>
    <w:rsid w:val="00293099"/>
    <w:rsid w:val="00293197"/>
    <w:rsid w:val="002934CF"/>
    <w:rsid w:val="00293BD4"/>
    <w:rsid w:val="00294246"/>
    <w:rsid w:val="00294443"/>
    <w:rsid w:val="002949B7"/>
    <w:rsid w:val="00294B97"/>
    <w:rsid w:val="00294BFF"/>
    <w:rsid w:val="00295DD6"/>
    <w:rsid w:val="0029607B"/>
    <w:rsid w:val="002964C7"/>
    <w:rsid w:val="0029675A"/>
    <w:rsid w:val="002971DB"/>
    <w:rsid w:val="002979A5"/>
    <w:rsid w:val="002A0811"/>
    <w:rsid w:val="002A0D78"/>
    <w:rsid w:val="002A1C2C"/>
    <w:rsid w:val="002A27A8"/>
    <w:rsid w:val="002A283F"/>
    <w:rsid w:val="002A28CB"/>
    <w:rsid w:val="002A3354"/>
    <w:rsid w:val="002A36C9"/>
    <w:rsid w:val="002A41F6"/>
    <w:rsid w:val="002A5193"/>
    <w:rsid w:val="002A5650"/>
    <w:rsid w:val="002A601D"/>
    <w:rsid w:val="002A6B76"/>
    <w:rsid w:val="002A6C2A"/>
    <w:rsid w:val="002A7883"/>
    <w:rsid w:val="002A7A7A"/>
    <w:rsid w:val="002A7CA2"/>
    <w:rsid w:val="002B0697"/>
    <w:rsid w:val="002B0BB9"/>
    <w:rsid w:val="002B0CEB"/>
    <w:rsid w:val="002B0D92"/>
    <w:rsid w:val="002B1F37"/>
    <w:rsid w:val="002B20FB"/>
    <w:rsid w:val="002B2BBB"/>
    <w:rsid w:val="002B2DD0"/>
    <w:rsid w:val="002B347D"/>
    <w:rsid w:val="002B3654"/>
    <w:rsid w:val="002B37F1"/>
    <w:rsid w:val="002B3FE9"/>
    <w:rsid w:val="002B4A78"/>
    <w:rsid w:val="002B4C45"/>
    <w:rsid w:val="002B4EFC"/>
    <w:rsid w:val="002B5649"/>
    <w:rsid w:val="002B56FB"/>
    <w:rsid w:val="002B5940"/>
    <w:rsid w:val="002B5C93"/>
    <w:rsid w:val="002B5D7A"/>
    <w:rsid w:val="002B5FED"/>
    <w:rsid w:val="002B624D"/>
    <w:rsid w:val="002B6792"/>
    <w:rsid w:val="002C01C4"/>
    <w:rsid w:val="002C023F"/>
    <w:rsid w:val="002C2145"/>
    <w:rsid w:val="002C27B5"/>
    <w:rsid w:val="002C27E6"/>
    <w:rsid w:val="002C2971"/>
    <w:rsid w:val="002C2D2C"/>
    <w:rsid w:val="002C2DA9"/>
    <w:rsid w:val="002C3402"/>
    <w:rsid w:val="002C38FE"/>
    <w:rsid w:val="002C3A77"/>
    <w:rsid w:val="002C3FC3"/>
    <w:rsid w:val="002C40E5"/>
    <w:rsid w:val="002C4DBE"/>
    <w:rsid w:val="002C64FF"/>
    <w:rsid w:val="002C6624"/>
    <w:rsid w:val="002C663D"/>
    <w:rsid w:val="002C671F"/>
    <w:rsid w:val="002C6F65"/>
    <w:rsid w:val="002C72E6"/>
    <w:rsid w:val="002C7B6B"/>
    <w:rsid w:val="002D0217"/>
    <w:rsid w:val="002D0712"/>
    <w:rsid w:val="002D07E5"/>
    <w:rsid w:val="002D1290"/>
    <w:rsid w:val="002D12E3"/>
    <w:rsid w:val="002D1332"/>
    <w:rsid w:val="002D188A"/>
    <w:rsid w:val="002D1C43"/>
    <w:rsid w:val="002D215A"/>
    <w:rsid w:val="002D2511"/>
    <w:rsid w:val="002D265C"/>
    <w:rsid w:val="002D4774"/>
    <w:rsid w:val="002D4ECF"/>
    <w:rsid w:val="002D5D31"/>
    <w:rsid w:val="002D64BD"/>
    <w:rsid w:val="002D677D"/>
    <w:rsid w:val="002D6EB1"/>
    <w:rsid w:val="002E0040"/>
    <w:rsid w:val="002E04AF"/>
    <w:rsid w:val="002E0EBE"/>
    <w:rsid w:val="002E0ED8"/>
    <w:rsid w:val="002E1110"/>
    <w:rsid w:val="002E12CD"/>
    <w:rsid w:val="002E1793"/>
    <w:rsid w:val="002E18D5"/>
    <w:rsid w:val="002E1AC8"/>
    <w:rsid w:val="002E1C34"/>
    <w:rsid w:val="002E2673"/>
    <w:rsid w:val="002E27A2"/>
    <w:rsid w:val="002E298D"/>
    <w:rsid w:val="002E2A75"/>
    <w:rsid w:val="002E2C6B"/>
    <w:rsid w:val="002E39F2"/>
    <w:rsid w:val="002E56E5"/>
    <w:rsid w:val="002E5B95"/>
    <w:rsid w:val="002E5BC0"/>
    <w:rsid w:val="002E641B"/>
    <w:rsid w:val="002E694B"/>
    <w:rsid w:val="002E6BC7"/>
    <w:rsid w:val="002E7178"/>
    <w:rsid w:val="002E73A0"/>
    <w:rsid w:val="002E7430"/>
    <w:rsid w:val="002E74E4"/>
    <w:rsid w:val="002E7938"/>
    <w:rsid w:val="002F03D9"/>
    <w:rsid w:val="002F0E87"/>
    <w:rsid w:val="002F18A6"/>
    <w:rsid w:val="002F1C9C"/>
    <w:rsid w:val="002F2805"/>
    <w:rsid w:val="002F2F3E"/>
    <w:rsid w:val="002F3BBF"/>
    <w:rsid w:val="002F4BCF"/>
    <w:rsid w:val="002F4E0A"/>
    <w:rsid w:val="002F58C4"/>
    <w:rsid w:val="002F5E2E"/>
    <w:rsid w:val="002F620D"/>
    <w:rsid w:val="002F6E9B"/>
    <w:rsid w:val="002F77CF"/>
    <w:rsid w:val="002F7EFC"/>
    <w:rsid w:val="002F7FEF"/>
    <w:rsid w:val="003007EB"/>
    <w:rsid w:val="00300C49"/>
    <w:rsid w:val="003017C2"/>
    <w:rsid w:val="00301C24"/>
    <w:rsid w:val="00302B46"/>
    <w:rsid w:val="00302E15"/>
    <w:rsid w:val="003031E6"/>
    <w:rsid w:val="003046F7"/>
    <w:rsid w:val="00304800"/>
    <w:rsid w:val="00307072"/>
    <w:rsid w:val="00307B46"/>
    <w:rsid w:val="003109A9"/>
    <w:rsid w:val="00310E3C"/>
    <w:rsid w:val="003126F3"/>
    <w:rsid w:val="0031292D"/>
    <w:rsid w:val="00312A6B"/>
    <w:rsid w:val="00312AAA"/>
    <w:rsid w:val="00312C27"/>
    <w:rsid w:val="00312C71"/>
    <w:rsid w:val="00312CF5"/>
    <w:rsid w:val="00312F33"/>
    <w:rsid w:val="00313143"/>
    <w:rsid w:val="0031322A"/>
    <w:rsid w:val="00313D52"/>
    <w:rsid w:val="00313F0B"/>
    <w:rsid w:val="003157A6"/>
    <w:rsid w:val="003157DE"/>
    <w:rsid w:val="00315B24"/>
    <w:rsid w:val="00315EAD"/>
    <w:rsid w:val="003160CB"/>
    <w:rsid w:val="00316485"/>
    <w:rsid w:val="003166E4"/>
    <w:rsid w:val="003169A7"/>
    <w:rsid w:val="00316DC6"/>
    <w:rsid w:val="003174C2"/>
    <w:rsid w:val="00320362"/>
    <w:rsid w:val="00320410"/>
    <w:rsid w:val="003204FD"/>
    <w:rsid w:val="00320968"/>
    <w:rsid w:val="00320E49"/>
    <w:rsid w:val="003211F8"/>
    <w:rsid w:val="00321232"/>
    <w:rsid w:val="00321A7F"/>
    <w:rsid w:val="00321B75"/>
    <w:rsid w:val="00322EE1"/>
    <w:rsid w:val="00322F25"/>
    <w:rsid w:val="003233A6"/>
    <w:rsid w:val="00323B14"/>
    <w:rsid w:val="00323E61"/>
    <w:rsid w:val="0032430D"/>
    <w:rsid w:val="003248EE"/>
    <w:rsid w:val="003258C3"/>
    <w:rsid w:val="00326267"/>
    <w:rsid w:val="0032643A"/>
    <w:rsid w:val="00326F4E"/>
    <w:rsid w:val="00327051"/>
    <w:rsid w:val="00327C47"/>
    <w:rsid w:val="00327D91"/>
    <w:rsid w:val="00327E46"/>
    <w:rsid w:val="003305B0"/>
    <w:rsid w:val="00330958"/>
    <w:rsid w:val="00330A3D"/>
    <w:rsid w:val="0033132D"/>
    <w:rsid w:val="00331C2F"/>
    <w:rsid w:val="003321DD"/>
    <w:rsid w:val="00332859"/>
    <w:rsid w:val="003329C4"/>
    <w:rsid w:val="00333845"/>
    <w:rsid w:val="00333919"/>
    <w:rsid w:val="00333938"/>
    <w:rsid w:val="00333C36"/>
    <w:rsid w:val="00333F09"/>
    <w:rsid w:val="00334CA9"/>
    <w:rsid w:val="00334E15"/>
    <w:rsid w:val="003357E6"/>
    <w:rsid w:val="00335C56"/>
    <w:rsid w:val="00336021"/>
    <w:rsid w:val="003360CF"/>
    <w:rsid w:val="0033670B"/>
    <w:rsid w:val="00336B6D"/>
    <w:rsid w:val="00336EAA"/>
    <w:rsid w:val="00336F34"/>
    <w:rsid w:val="00337299"/>
    <w:rsid w:val="00337715"/>
    <w:rsid w:val="00340177"/>
    <w:rsid w:val="00340794"/>
    <w:rsid w:val="00340F81"/>
    <w:rsid w:val="003410FD"/>
    <w:rsid w:val="0034133D"/>
    <w:rsid w:val="00341370"/>
    <w:rsid w:val="003413B6"/>
    <w:rsid w:val="003414E3"/>
    <w:rsid w:val="003415EB"/>
    <w:rsid w:val="003418A9"/>
    <w:rsid w:val="003418B0"/>
    <w:rsid w:val="00341D7F"/>
    <w:rsid w:val="00342149"/>
    <w:rsid w:val="0034218F"/>
    <w:rsid w:val="003427C2"/>
    <w:rsid w:val="00342EC0"/>
    <w:rsid w:val="00343205"/>
    <w:rsid w:val="00344250"/>
    <w:rsid w:val="00344D63"/>
    <w:rsid w:val="003452DE"/>
    <w:rsid w:val="003457BC"/>
    <w:rsid w:val="0034584D"/>
    <w:rsid w:val="00345D34"/>
    <w:rsid w:val="0034643E"/>
    <w:rsid w:val="00346C0C"/>
    <w:rsid w:val="00346E46"/>
    <w:rsid w:val="00347492"/>
    <w:rsid w:val="0035007E"/>
    <w:rsid w:val="003501C4"/>
    <w:rsid w:val="003502C6"/>
    <w:rsid w:val="00350BC9"/>
    <w:rsid w:val="00350F07"/>
    <w:rsid w:val="00351F54"/>
    <w:rsid w:val="00352234"/>
    <w:rsid w:val="00352E1C"/>
    <w:rsid w:val="003537C7"/>
    <w:rsid w:val="00353858"/>
    <w:rsid w:val="00353986"/>
    <w:rsid w:val="00353B95"/>
    <w:rsid w:val="00353CAD"/>
    <w:rsid w:val="003544F0"/>
    <w:rsid w:val="00354B71"/>
    <w:rsid w:val="00354ED0"/>
    <w:rsid w:val="00355BCC"/>
    <w:rsid w:val="00355C19"/>
    <w:rsid w:val="00356084"/>
    <w:rsid w:val="003564DA"/>
    <w:rsid w:val="00356A61"/>
    <w:rsid w:val="00356C16"/>
    <w:rsid w:val="00357597"/>
    <w:rsid w:val="0035780A"/>
    <w:rsid w:val="00357A43"/>
    <w:rsid w:val="00357E49"/>
    <w:rsid w:val="0036080A"/>
    <w:rsid w:val="003614F5"/>
    <w:rsid w:val="00361674"/>
    <w:rsid w:val="00361CEA"/>
    <w:rsid w:val="003621B0"/>
    <w:rsid w:val="00362D57"/>
    <w:rsid w:val="0036347C"/>
    <w:rsid w:val="003634C0"/>
    <w:rsid w:val="003635E2"/>
    <w:rsid w:val="00363F74"/>
    <w:rsid w:val="00364415"/>
    <w:rsid w:val="00364B4C"/>
    <w:rsid w:val="00365825"/>
    <w:rsid w:val="00365E9C"/>
    <w:rsid w:val="00366BA4"/>
    <w:rsid w:val="00370595"/>
    <w:rsid w:val="00370D49"/>
    <w:rsid w:val="003711DE"/>
    <w:rsid w:val="003718AF"/>
    <w:rsid w:val="003719A4"/>
    <w:rsid w:val="00371E47"/>
    <w:rsid w:val="00371F18"/>
    <w:rsid w:val="00371FC8"/>
    <w:rsid w:val="0037298C"/>
    <w:rsid w:val="00373E25"/>
    <w:rsid w:val="0037476B"/>
    <w:rsid w:val="00374948"/>
    <w:rsid w:val="00375231"/>
    <w:rsid w:val="0037572C"/>
    <w:rsid w:val="00375A14"/>
    <w:rsid w:val="00375AA3"/>
    <w:rsid w:val="00375E95"/>
    <w:rsid w:val="003764D6"/>
    <w:rsid w:val="00376AAB"/>
    <w:rsid w:val="00377852"/>
    <w:rsid w:val="003779B9"/>
    <w:rsid w:val="00377B58"/>
    <w:rsid w:val="00377C43"/>
    <w:rsid w:val="00377D6D"/>
    <w:rsid w:val="00377DEF"/>
    <w:rsid w:val="00380352"/>
    <w:rsid w:val="00380A0B"/>
    <w:rsid w:val="00380AC7"/>
    <w:rsid w:val="00380F48"/>
    <w:rsid w:val="003814ED"/>
    <w:rsid w:val="00381F63"/>
    <w:rsid w:val="00382F66"/>
    <w:rsid w:val="003833E8"/>
    <w:rsid w:val="00383939"/>
    <w:rsid w:val="00384352"/>
    <w:rsid w:val="003843B3"/>
    <w:rsid w:val="0038459B"/>
    <w:rsid w:val="00385202"/>
    <w:rsid w:val="00385229"/>
    <w:rsid w:val="003855A6"/>
    <w:rsid w:val="0038659E"/>
    <w:rsid w:val="00386B3B"/>
    <w:rsid w:val="00386D8D"/>
    <w:rsid w:val="00387186"/>
    <w:rsid w:val="00387AB0"/>
    <w:rsid w:val="00387FF8"/>
    <w:rsid w:val="003900D4"/>
    <w:rsid w:val="00390A37"/>
    <w:rsid w:val="00391439"/>
    <w:rsid w:val="003927E6"/>
    <w:rsid w:val="00392989"/>
    <w:rsid w:val="00392B9C"/>
    <w:rsid w:val="003931C4"/>
    <w:rsid w:val="00393B65"/>
    <w:rsid w:val="00393E05"/>
    <w:rsid w:val="00393FF8"/>
    <w:rsid w:val="00394655"/>
    <w:rsid w:val="00394A77"/>
    <w:rsid w:val="00394E42"/>
    <w:rsid w:val="00394F22"/>
    <w:rsid w:val="003952C7"/>
    <w:rsid w:val="00395384"/>
    <w:rsid w:val="00395515"/>
    <w:rsid w:val="00396A8D"/>
    <w:rsid w:val="00396F5B"/>
    <w:rsid w:val="003A03DB"/>
    <w:rsid w:val="003A0463"/>
    <w:rsid w:val="003A07AF"/>
    <w:rsid w:val="003A1126"/>
    <w:rsid w:val="003A14F4"/>
    <w:rsid w:val="003A2EBD"/>
    <w:rsid w:val="003A332A"/>
    <w:rsid w:val="003A356A"/>
    <w:rsid w:val="003A3C73"/>
    <w:rsid w:val="003A3E13"/>
    <w:rsid w:val="003A3ED7"/>
    <w:rsid w:val="003A3FF2"/>
    <w:rsid w:val="003A44FC"/>
    <w:rsid w:val="003A50B1"/>
    <w:rsid w:val="003A60A9"/>
    <w:rsid w:val="003A701B"/>
    <w:rsid w:val="003A7881"/>
    <w:rsid w:val="003A7A5D"/>
    <w:rsid w:val="003A7D23"/>
    <w:rsid w:val="003B01F3"/>
    <w:rsid w:val="003B086B"/>
    <w:rsid w:val="003B0C47"/>
    <w:rsid w:val="003B17F1"/>
    <w:rsid w:val="003B2A5D"/>
    <w:rsid w:val="003B2D79"/>
    <w:rsid w:val="003B303B"/>
    <w:rsid w:val="003B352F"/>
    <w:rsid w:val="003B3E79"/>
    <w:rsid w:val="003B3FAE"/>
    <w:rsid w:val="003B406B"/>
    <w:rsid w:val="003B4848"/>
    <w:rsid w:val="003B52A9"/>
    <w:rsid w:val="003B53C2"/>
    <w:rsid w:val="003B5CB2"/>
    <w:rsid w:val="003B659D"/>
    <w:rsid w:val="003B6CC2"/>
    <w:rsid w:val="003B7016"/>
    <w:rsid w:val="003B701C"/>
    <w:rsid w:val="003B71ED"/>
    <w:rsid w:val="003B72C0"/>
    <w:rsid w:val="003B73D3"/>
    <w:rsid w:val="003B75DA"/>
    <w:rsid w:val="003B7B5F"/>
    <w:rsid w:val="003B7DDB"/>
    <w:rsid w:val="003C0326"/>
    <w:rsid w:val="003C0D8C"/>
    <w:rsid w:val="003C1014"/>
    <w:rsid w:val="003C1A2E"/>
    <w:rsid w:val="003C232E"/>
    <w:rsid w:val="003C2348"/>
    <w:rsid w:val="003C2AB9"/>
    <w:rsid w:val="003C2C6D"/>
    <w:rsid w:val="003C30F2"/>
    <w:rsid w:val="003C347B"/>
    <w:rsid w:val="003C3539"/>
    <w:rsid w:val="003C3616"/>
    <w:rsid w:val="003C4271"/>
    <w:rsid w:val="003C4611"/>
    <w:rsid w:val="003C4A43"/>
    <w:rsid w:val="003C4C61"/>
    <w:rsid w:val="003C5150"/>
    <w:rsid w:val="003C64A8"/>
    <w:rsid w:val="003D0777"/>
    <w:rsid w:val="003D09D5"/>
    <w:rsid w:val="003D15E7"/>
    <w:rsid w:val="003D3166"/>
    <w:rsid w:val="003D3232"/>
    <w:rsid w:val="003D49AC"/>
    <w:rsid w:val="003D655A"/>
    <w:rsid w:val="003D6787"/>
    <w:rsid w:val="003D75A6"/>
    <w:rsid w:val="003D77B1"/>
    <w:rsid w:val="003D7FFC"/>
    <w:rsid w:val="003E1317"/>
    <w:rsid w:val="003E143D"/>
    <w:rsid w:val="003E1EB2"/>
    <w:rsid w:val="003E20DF"/>
    <w:rsid w:val="003E2D2D"/>
    <w:rsid w:val="003E3714"/>
    <w:rsid w:val="003E3763"/>
    <w:rsid w:val="003E5D9C"/>
    <w:rsid w:val="003E62E6"/>
    <w:rsid w:val="003E6AF3"/>
    <w:rsid w:val="003E6E10"/>
    <w:rsid w:val="003E6EDF"/>
    <w:rsid w:val="003F082D"/>
    <w:rsid w:val="003F0976"/>
    <w:rsid w:val="003F1367"/>
    <w:rsid w:val="003F181F"/>
    <w:rsid w:val="003F1935"/>
    <w:rsid w:val="003F20FC"/>
    <w:rsid w:val="003F24AF"/>
    <w:rsid w:val="003F258B"/>
    <w:rsid w:val="003F3597"/>
    <w:rsid w:val="003F3B85"/>
    <w:rsid w:val="003F3E49"/>
    <w:rsid w:val="003F3FED"/>
    <w:rsid w:val="003F4024"/>
    <w:rsid w:val="003F403D"/>
    <w:rsid w:val="003F414F"/>
    <w:rsid w:val="003F5C61"/>
    <w:rsid w:val="003F6497"/>
    <w:rsid w:val="003F6543"/>
    <w:rsid w:val="003F684D"/>
    <w:rsid w:val="003F6CBD"/>
    <w:rsid w:val="003F6F85"/>
    <w:rsid w:val="003F7254"/>
    <w:rsid w:val="003F784E"/>
    <w:rsid w:val="0040000B"/>
    <w:rsid w:val="00400641"/>
    <w:rsid w:val="004006A5"/>
    <w:rsid w:val="00400CC7"/>
    <w:rsid w:val="00401170"/>
    <w:rsid w:val="004012A6"/>
    <w:rsid w:val="00401511"/>
    <w:rsid w:val="0040172D"/>
    <w:rsid w:val="00401BAE"/>
    <w:rsid w:val="00401E01"/>
    <w:rsid w:val="00402037"/>
    <w:rsid w:val="00402639"/>
    <w:rsid w:val="004037C5"/>
    <w:rsid w:val="004045E3"/>
    <w:rsid w:val="004055D7"/>
    <w:rsid w:val="00405A20"/>
    <w:rsid w:val="0040661E"/>
    <w:rsid w:val="004068CC"/>
    <w:rsid w:val="00407418"/>
    <w:rsid w:val="00407CD8"/>
    <w:rsid w:val="00407F21"/>
    <w:rsid w:val="00407F43"/>
    <w:rsid w:val="00410D53"/>
    <w:rsid w:val="00410F5D"/>
    <w:rsid w:val="00411ADD"/>
    <w:rsid w:val="00411F5C"/>
    <w:rsid w:val="004122A6"/>
    <w:rsid w:val="004123A0"/>
    <w:rsid w:val="0041254F"/>
    <w:rsid w:val="004136CD"/>
    <w:rsid w:val="00413A20"/>
    <w:rsid w:val="004146FB"/>
    <w:rsid w:val="00414988"/>
    <w:rsid w:val="00414FF0"/>
    <w:rsid w:val="0041517C"/>
    <w:rsid w:val="00415BDB"/>
    <w:rsid w:val="00415F7F"/>
    <w:rsid w:val="00415FD2"/>
    <w:rsid w:val="00415FF3"/>
    <w:rsid w:val="004169C2"/>
    <w:rsid w:val="00417267"/>
    <w:rsid w:val="004173F5"/>
    <w:rsid w:val="00417403"/>
    <w:rsid w:val="004176DC"/>
    <w:rsid w:val="0041778B"/>
    <w:rsid w:val="00417F8B"/>
    <w:rsid w:val="004203DB"/>
    <w:rsid w:val="004203FE"/>
    <w:rsid w:val="00421165"/>
    <w:rsid w:val="004213F4"/>
    <w:rsid w:val="00421750"/>
    <w:rsid w:val="00423021"/>
    <w:rsid w:val="00423B6A"/>
    <w:rsid w:val="00424251"/>
    <w:rsid w:val="00425518"/>
    <w:rsid w:val="004260C4"/>
    <w:rsid w:val="004264EA"/>
    <w:rsid w:val="0042664F"/>
    <w:rsid w:val="00426867"/>
    <w:rsid w:val="00426925"/>
    <w:rsid w:val="004269D5"/>
    <w:rsid w:val="00426D1C"/>
    <w:rsid w:val="00430704"/>
    <w:rsid w:val="0043092E"/>
    <w:rsid w:val="00430A03"/>
    <w:rsid w:val="00430C5C"/>
    <w:rsid w:val="0043113D"/>
    <w:rsid w:val="004319DD"/>
    <w:rsid w:val="00431A05"/>
    <w:rsid w:val="00431DBF"/>
    <w:rsid w:val="00431F5B"/>
    <w:rsid w:val="00432866"/>
    <w:rsid w:val="0043292F"/>
    <w:rsid w:val="00432AA9"/>
    <w:rsid w:val="00432D09"/>
    <w:rsid w:val="00433674"/>
    <w:rsid w:val="004345F1"/>
    <w:rsid w:val="004354F4"/>
    <w:rsid w:val="00435694"/>
    <w:rsid w:val="00435697"/>
    <w:rsid w:val="00435BA1"/>
    <w:rsid w:val="00435D8D"/>
    <w:rsid w:val="00436154"/>
    <w:rsid w:val="00437BE1"/>
    <w:rsid w:val="004405C8"/>
    <w:rsid w:val="004407B2"/>
    <w:rsid w:val="0044155E"/>
    <w:rsid w:val="004416BC"/>
    <w:rsid w:val="00441E07"/>
    <w:rsid w:val="00442ACE"/>
    <w:rsid w:val="00442B07"/>
    <w:rsid w:val="00442F1F"/>
    <w:rsid w:val="00444A0C"/>
    <w:rsid w:val="004453D9"/>
    <w:rsid w:val="00445B1C"/>
    <w:rsid w:val="00446340"/>
    <w:rsid w:val="00446D40"/>
    <w:rsid w:val="00447DB8"/>
    <w:rsid w:val="004500D1"/>
    <w:rsid w:val="00450518"/>
    <w:rsid w:val="004518B9"/>
    <w:rsid w:val="0045194F"/>
    <w:rsid w:val="00452861"/>
    <w:rsid w:val="00452913"/>
    <w:rsid w:val="00452DCC"/>
    <w:rsid w:val="00452F96"/>
    <w:rsid w:val="00453154"/>
    <w:rsid w:val="0045342B"/>
    <w:rsid w:val="00453B98"/>
    <w:rsid w:val="00453D1F"/>
    <w:rsid w:val="00453F5F"/>
    <w:rsid w:val="0045420D"/>
    <w:rsid w:val="0045435D"/>
    <w:rsid w:val="00454982"/>
    <w:rsid w:val="004551D0"/>
    <w:rsid w:val="00455465"/>
    <w:rsid w:val="00456495"/>
    <w:rsid w:val="00456BA8"/>
    <w:rsid w:val="00457742"/>
    <w:rsid w:val="00457822"/>
    <w:rsid w:val="00457A09"/>
    <w:rsid w:val="004603A6"/>
    <w:rsid w:val="00460C2A"/>
    <w:rsid w:val="004614F8"/>
    <w:rsid w:val="00461F60"/>
    <w:rsid w:val="00461FE1"/>
    <w:rsid w:val="00462266"/>
    <w:rsid w:val="00462EED"/>
    <w:rsid w:val="004634E9"/>
    <w:rsid w:val="004635CC"/>
    <w:rsid w:val="004639BE"/>
    <w:rsid w:val="00463A23"/>
    <w:rsid w:val="00463CAF"/>
    <w:rsid w:val="00463D4B"/>
    <w:rsid w:val="00464202"/>
    <w:rsid w:val="0046428D"/>
    <w:rsid w:val="004648A8"/>
    <w:rsid w:val="00464E4E"/>
    <w:rsid w:val="00465420"/>
    <w:rsid w:val="0046554A"/>
    <w:rsid w:val="0046598D"/>
    <w:rsid w:val="00465AD3"/>
    <w:rsid w:val="00465B40"/>
    <w:rsid w:val="00466038"/>
    <w:rsid w:val="00466108"/>
    <w:rsid w:val="004663EA"/>
    <w:rsid w:val="00466923"/>
    <w:rsid w:val="00466B20"/>
    <w:rsid w:val="00466EE8"/>
    <w:rsid w:val="00467056"/>
    <w:rsid w:val="00467132"/>
    <w:rsid w:val="00467759"/>
    <w:rsid w:val="004677DE"/>
    <w:rsid w:val="00467B12"/>
    <w:rsid w:val="00467BF5"/>
    <w:rsid w:val="00467E70"/>
    <w:rsid w:val="0047030F"/>
    <w:rsid w:val="0047033B"/>
    <w:rsid w:val="0047096D"/>
    <w:rsid w:val="00471A0D"/>
    <w:rsid w:val="00471AA4"/>
    <w:rsid w:val="00471E46"/>
    <w:rsid w:val="00472200"/>
    <w:rsid w:val="004724D3"/>
    <w:rsid w:val="00472B05"/>
    <w:rsid w:val="004731ED"/>
    <w:rsid w:val="004732FB"/>
    <w:rsid w:val="00474051"/>
    <w:rsid w:val="0047422F"/>
    <w:rsid w:val="0047445F"/>
    <w:rsid w:val="00474AD0"/>
    <w:rsid w:val="004753E0"/>
    <w:rsid w:val="0047550F"/>
    <w:rsid w:val="0047591A"/>
    <w:rsid w:val="00475EDD"/>
    <w:rsid w:val="0047611B"/>
    <w:rsid w:val="004761A6"/>
    <w:rsid w:val="0047644D"/>
    <w:rsid w:val="00476501"/>
    <w:rsid w:val="00476C88"/>
    <w:rsid w:val="00476F3F"/>
    <w:rsid w:val="004773FC"/>
    <w:rsid w:val="00480360"/>
    <w:rsid w:val="00480D22"/>
    <w:rsid w:val="00480DC9"/>
    <w:rsid w:val="0048125A"/>
    <w:rsid w:val="00481B00"/>
    <w:rsid w:val="00482D91"/>
    <w:rsid w:val="0048327B"/>
    <w:rsid w:val="00483C50"/>
    <w:rsid w:val="00483D00"/>
    <w:rsid w:val="0048491F"/>
    <w:rsid w:val="00484AEF"/>
    <w:rsid w:val="00484C1F"/>
    <w:rsid w:val="00485052"/>
    <w:rsid w:val="0048516A"/>
    <w:rsid w:val="00485BE8"/>
    <w:rsid w:val="004860E9"/>
    <w:rsid w:val="0048751C"/>
    <w:rsid w:val="00487946"/>
    <w:rsid w:val="00487EA3"/>
    <w:rsid w:val="00487F71"/>
    <w:rsid w:val="004908E3"/>
    <w:rsid w:val="00490D40"/>
    <w:rsid w:val="00490F8C"/>
    <w:rsid w:val="004910D4"/>
    <w:rsid w:val="004912B0"/>
    <w:rsid w:val="0049148B"/>
    <w:rsid w:val="00492D61"/>
    <w:rsid w:val="00492FE5"/>
    <w:rsid w:val="00493D24"/>
    <w:rsid w:val="00494381"/>
    <w:rsid w:val="0049663E"/>
    <w:rsid w:val="00496F54"/>
    <w:rsid w:val="00497643"/>
    <w:rsid w:val="00497E15"/>
    <w:rsid w:val="00497E90"/>
    <w:rsid w:val="004A03EE"/>
    <w:rsid w:val="004A040D"/>
    <w:rsid w:val="004A07C9"/>
    <w:rsid w:val="004A0B88"/>
    <w:rsid w:val="004A0D90"/>
    <w:rsid w:val="004A0F92"/>
    <w:rsid w:val="004A2032"/>
    <w:rsid w:val="004A27D5"/>
    <w:rsid w:val="004A2AC5"/>
    <w:rsid w:val="004A31A7"/>
    <w:rsid w:val="004A352C"/>
    <w:rsid w:val="004A3EC3"/>
    <w:rsid w:val="004A400F"/>
    <w:rsid w:val="004A43F2"/>
    <w:rsid w:val="004A4D18"/>
    <w:rsid w:val="004A4D60"/>
    <w:rsid w:val="004A4FC1"/>
    <w:rsid w:val="004A5C35"/>
    <w:rsid w:val="004A5D11"/>
    <w:rsid w:val="004A5D4C"/>
    <w:rsid w:val="004A6780"/>
    <w:rsid w:val="004A67E8"/>
    <w:rsid w:val="004A7150"/>
    <w:rsid w:val="004A7212"/>
    <w:rsid w:val="004B01C2"/>
    <w:rsid w:val="004B0351"/>
    <w:rsid w:val="004B0492"/>
    <w:rsid w:val="004B1640"/>
    <w:rsid w:val="004B1857"/>
    <w:rsid w:val="004B1C1F"/>
    <w:rsid w:val="004B23D0"/>
    <w:rsid w:val="004B2778"/>
    <w:rsid w:val="004B2F91"/>
    <w:rsid w:val="004B32A3"/>
    <w:rsid w:val="004B3503"/>
    <w:rsid w:val="004B3618"/>
    <w:rsid w:val="004B384E"/>
    <w:rsid w:val="004B3A8D"/>
    <w:rsid w:val="004B3EBC"/>
    <w:rsid w:val="004B410B"/>
    <w:rsid w:val="004B45A7"/>
    <w:rsid w:val="004B466E"/>
    <w:rsid w:val="004B4BE5"/>
    <w:rsid w:val="004B5252"/>
    <w:rsid w:val="004B57D6"/>
    <w:rsid w:val="004B602A"/>
    <w:rsid w:val="004B68AB"/>
    <w:rsid w:val="004B72AF"/>
    <w:rsid w:val="004B7469"/>
    <w:rsid w:val="004B7592"/>
    <w:rsid w:val="004B7E30"/>
    <w:rsid w:val="004C0AD7"/>
    <w:rsid w:val="004C0CD6"/>
    <w:rsid w:val="004C0D16"/>
    <w:rsid w:val="004C1499"/>
    <w:rsid w:val="004C15DC"/>
    <w:rsid w:val="004C2096"/>
    <w:rsid w:val="004C27DF"/>
    <w:rsid w:val="004C2D45"/>
    <w:rsid w:val="004C304C"/>
    <w:rsid w:val="004C388E"/>
    <w:rsid w:val="004C5451"/>
    <w:rsid w:val="004C575D"/>
    <w:rsid w:val="004C57E7"/>
    <w:rsid w:val="004C5EA1"/>
    <w:rsid w:val="004C5EFD"/>
    <w:rsid w:val="004C6187"/>
    <w:rsid w:val="004C63CE"/>
    <w:rsid w:val="004C64E1"/>
    <w:rsid w:val="004C6708"/>
    <w:rsid w:val="004C6776"/>
    <w:rsid w:val="004C783A"/>
    <w:rsid w:val="004D03B1"/>
    <w:rsid w:val="004D0895"/>
    <w:rsid w:val="004D19FC"/>
    <w:rsid w:val="004D375A"/>
    <w:rsid w:val="004D44C6"/>
    <w:rsid w:val="004D4600"/>
    <w:rsid w:val="004D5DCE"/>
    <w:rsid w:val="004D5E6C"/>
    <w:rsid w:val="004D6A83"/>
    <w:rsid w:val="004D6BE2"/>
    <w:rsid w:val="004D734B"/>
    <w:rsid w:val="004D73E7"/>
    <w:rsid w:val="004D74E8"/>
    <w:rsid w:val="004D7C5D"/>
    <w:rsid w:val="004D7DC7"/>
    <w:rsid w:val="004E0175"/>
    <w:rsid w:val="004E02A0"/>
    <w:rsid w:val="004E2115"/>
    <w:rsid w:val="004E25C0"/>
    <w:rsid w:val="004E28D1"/>
    <w:rsid w:val="004E33DB"/>
    <w:rsid w:val="004E3747"/>
    <w:rsid w:val="004E4479"/>
    <w:rsid w:val="004E4F0F"/>
    <w:rsid w:val="004E511E"/>
    <w:rsid w:val="004E575A"/>
    <w:rsid w:val="004E5DC4"/>
    <w:rsid w:val="004E5EB3"/>
    <w:rsid w:val="004E6829"/>
    <w:rsid w:val="004E6C35"/>
    <w:rsid w:val="004E7BF5"/>
    <w:rsid w:val="004F0DC6"/>
    <w:rsid w:val="004F1099"/>
    <w:rsid w:val="004F11BC"/>
    <w:rsid w:val="004F1770"/>
    <w:rsid w:val="004F178B"/>
    <w:rsid w:val="004F2407"/>
    <w:rsid w:val="004F280A"/>
    <w:rsid w:val="004F2A76"/>
    <w:rsid w:val="004F2D52"/>
    <w:rsid w:val="004F2E12"/>
    <w:rsid w:val="004F2EB1"/>
    <w:rsid w:val="004F3130"/>
    <w:rsid w:val="004F49EB"/>
    <w:rsid w:val="004F4D2B"/>
    <w:rsid w:val="004F5AE2"/>
    <w:rsid w:val="004F5CE3"/>
    <w:rsid w:val="004F5F4D"/>
    <w:rsid w:val="004F6331"/>
    <w:rsid w:val="004F6841"/>
    <w:rsid w:val="004F6A41"/>
    <w:rsid w:val="004F6ADF"/>
    <w:rsid w:val="004F71F4"/>
    <w:rsid w:val="004F741D"/>
    <w:rsid w:val="004F7495"/>
    <w:rsid w:val="004F78D6"/>
    <w:rsid w:val="004F7A7D"/>
    <w:rsid w:val="004F7A9A"/>
    <w:rsid w:val="00500A14"/>
    <w:rsid w:val="005019CB"/>
    <w:rsid w:val="00501B96"/>
    <w:rsid w:val="00501BC5"/>
    <w:rsid w:val="00501DDE"/>
    <w:rsid w:val="0050276F"/>
    <w:rsid w:val="00503B99"/>
    <w:rsid w:val="0050422B"/>
    <w:rsid w:val="00504F22"/>
    <w:rsid w:val="00505B57"/>
    <w:rsid w:val="00505C13"/>
    <w:rsid w:val="00505CB8"/>
    <w:rsid w:val="00506774"/>
    <w:rsid w:val="00506AFB"/>
    <w:rsid w:val="00506B7E"/>
    <w:rsid w:val="00507460"/>
    <w:rsid w:val="0050787C"/>
    <w:rsid w:val="005079DA"/>
    <w:rsid w:val="00507C02"/>
    <w:rsid w:val="00510072"/>
    <w:rsid w:val="00510F7C"/>
    <w:rsid w:val="0051108E"/>
    <w:rsid w:val="00511D94"/>
    <w:rsid w:val="005122E9"/>
    <w:rsid w:val="00512509"/>
    <w:rsid w:val="00512F73"/>
    <w:rsid w:val="005131B4"/>
    <w:rsid w:val="005145D3"/>
    <w:rsid w:val="00514667"/>
    <w:rsid w:val="005146D4"/>
    <w:rsid w:val="00514FFC"/>
    <w:rsid w:val="0051613E"/>
    <w:rsid w:val="00516579"/>
    <w:rsid w:val="005168BE"/>
    <w:rsid w:val="00517B35"/>
    <w:rsid w:val="00517F11"/>
    <w:rsid w:val="00520413"/>
    <w:rsid w:val="005206BD"/>
    <w:rsid w:val="005212BD"/>
    <w:rsid w:val="005214ED"/>
    <w:rsid w:val="005217E1"/>
    <w:rsid w:val="005222EB"/>
    <w:rsid w:val="00522A8F"/>
    <w:rsid w:val="005235A5"/>
    <w:rsid w:val="00523EF5"/>
    <w:rsid w:val="00524420"/>
    <w:rsid w:val="00524610"/>
    <w:rsid w:val="0052576F"/>
    <w:rsid w:val="005266C6"/>
    <w:rsid w:val="0052676B"/>
    <w:rsid w:val="005272EA"/>
    <w:rsid w:val="0052796C"/>
    <w:rsid w:val="0053033F"/>
    <w:rsid w:val="0053102F"/>
    <w:rsid w:val="00531600"/>
    <w:rsid w:val="00531BE2"/>
    <w:rsid w:val="0053215B"/>
    <w:rsid w:val="0053255C"/>
    <w:rsid w:val="00533172"/>
    <w:rsid w:val="00533E97"/>
    <w:rsid w:val="00534C25"/>
    <w:rsid w:val="00534FE5"/>
    <w:rsid w:val="0053511D"/>
    <w:rsid w:val="005359C2"/>
    <w:rsid w:val="00536150"/>
    <w:rsid w:val="005367BE"/>
    <w:rsid w:val="00537563"/>
    <w:rsid w:val="00540435"/>
    <w:rsid w:val="0054089C"/>
    <w:rsid w:val="00540B3A"/>
    <w:rsid w:val="00540C2F"/>
    <w:rsid w:val="00541430"/>
    <w:rsid w:val="00541CE7"/>
    <w:rsid w:val="00541DD9"/>
    <w:rsid w:val="00541EB2"/>
    <w:rsid w:val="00541EBF"/>
    <w:rsid w:val="0054254A"/>
    <w:rsid w:val="00542739"/>
    <w:rsid w:val="00543531"/>
    <w:rsid w:val="00543821"/>
    <w:rsid w:val="00543D1D"/>
    <w:rsid w:val="005441DD"/>
    <w:rsid w:val="00544376"/>
    <w:rsid w:val="00544419"/>
    <w:rsid w:val="00544759"/>
    <w:rsid w:val="00544C83"/>
    <w:rsid w:val="00544FDA"/>
    <w:rsid w:val="005454FA"/>
    <w:rsid w:val="00545877"/>
    <w:rsid w:val="00545EEA"/>
    <w:rsid w:val="00546E24"/>
    <w:rsid w:val="00547793"/>
    <w:rsid w:val="00547DEA"/>
    <w:rsid w:val="00547FBE"/>
    <w:rsid w:val="005505FD"/>
    <w:rsid w:val="00551BAD"/>
    <w:rsid w:val="005524A2"/>
    <w:rsid w:val="00552E80"/>
    <w:rsid w:val="00552EA2"/>
    <w:rsid w:val="005537F2"/>
    <w:rsid w:val="00553A23"/>
    <w:rsid w:val="00553BC6"/>
    <w:rsid w:val="00553D07"/>
    <w:rsid w:val="005541C9"/>
    <w:rsid w:val="00554E4B"/>
    <w:rsid w:val="0055513A"/>
    <w:rsid w:val="005559DA"/>
    <w:rsid w:val="00555B6F"/>
    <w:rsid w:val="00555CFC"/>
    <w:rsid w:val="005564CD"/>
    <w:rsid w:val="00556970"/>
    <w:rsid w:val="00557110"/>
    <w:rsid w:val="005571CC"/>
    <w:rsid w:val="00557CA4"/>
    <w:rsid w:val="00557DD2"/>
    <w:rsid w:val="0056007D"/>
    <w:rsid w:val="00560165"/>
    <w:rsid w:val="00560AF3"/>
    <w:rsid w:val="00560E08"/>
    <w:rsid w:val="00561184"/>
    <w:rsid w:val="00561499"/>
    <w:rsid w:val="005618F5"/>
    <w:rsid w:val="00561A0A"/>
    <w:rsid w:val="00562086"/>
    <w:rsid w:val="00563516"/>
    <w:rsid w:val="005635E9"/>
    <w:rsid w:val="00563FAB"/>
    <w:rsid w:val="00565455"/>
    <w:rsid w:val="0056577E"/>
    <w:rsid w:val="0056700E"/>
    <w:rsid w:val="00567B31"/>
    <w:rsid w:val="0057010F"/>
    <w:rsid w:val="00571276"/>
    <w:rsid w:val="00571AF1"/>
    <w:rsid w:val="00571DD2"/>
    <w:rsid w:val="005727FA"/>
    <w:rsid w:val="00572D4E"/>
    <w:rsid w:val="005742B6"/>
    <w:rsid w:val="005744F8"/>
    <w:rsid w:val="00576D13"/>
    <w:rsid w:val="0057714C"/>
    <w:rsid w:val="005777ED"/>
    <w:rsid w:val="00577EBA"/>
    <w:rsid w:val="005800A2"/>
    <w:rsid w:val="00580F16"/>
    <w:rsid w:val="00581A3A"/>
    <w:rsid w:val="00581C44"/>
    <w:rsid w:val="005822F2"/>
    <w:rsid w:val="00582ABB"/>
    <w:rsid w:val="00582DE3"/>
    <w:rsid w:val="00583229"/>
    <w:rsid w:val="0058345D"/>
    <w:rsid w:val="005836BD"/>
    <w:rsid w:val="00584263"/>
    <w:rsid w:val="005843B3"/>
    <w:rsid w:val="005850A7"/>
    <w:rsid w:val="005852A4"/>
    <w:rsid w:val="00585769"/>
    <w:rsid w:val="00585ADD"/>
    <w:rsid w:val="00586ED9"/>
    <w:rsid w:val="0058714A"/>
    <w:rsid w:val="00590015"/>
    <w:rsid w:val="0059022A"/>
    <w:rsid w:val="00590747"/>
    <w:rsid w:val="00591408"/>
    <w:rsid w:val="00591594"/>
    <w:rsid w:val="00591F6B"/>
    <w:rsid w:val="005923F6"/>
    <w:rsid w:val="00592475"/>
    <w:rsid w:val="005926C2"/>
    <w:rsid w:val="00592DF4"/>
    <w:rsid w:val="0059363C"/>
    <w:rsid w:val="00594038"/>
    <w:rsid w:val="00594D4E"/>
    <w:rsid w:val="0059538D"/>
    <w:rsid w:val="005957ED"/>
    <w:rsid w:val="00595E4B"/>
    <w:rsid w:val="00596437"/>
    <w:rsid w:val="005965E8"/>
    <w:rsid w:val="00596B6A"/>
    <w:rsid w:val="00597455"/>
    <w:rsid w:val="00597E71"/>
    <w:rsid w:val="005A0169"/>
    <w:rsid w:val="005A05F7"/>
    <w:rsid w:val="005A184D"/>
    <w:rsid w:val="005A1901"/>
    <w:rsid w:val="005A1F6E"/>
    <w:rsid w:val="005A214A"/>
    <w:rsid w:val="005A21EB"/>
    <w:rsid w:val="005A2B32"/>
    <w:rsid w:val="005A3D36"/>
    <w:rsid w:val="005A402E"/>
    <w:rsid w:val="005A4620"/>
    <w:rsid w:val="005A4BF3"/>
    <w:rsid w:val="005A4C56"/>
    <w:rsid w:val="005A5117"/>
    <w:rsid w:val="005A53A4"/>
    <w:rsid w:val="005A5A82"/>
    <w:rsid w:val="005A5B06"/>
    <w:rsid w:val="005A60C2"/>
    <w:rsid w:val="005A6244"/>
    <w:rsid w:val="005A654C"/>
    <w:rsid w:val="005A6D6D"/>
    <w:rsid w:val="005A71C7"/>
    <w:rsid w:val="005A77D4"/>
    <w:rsid w:val="005A7AA0"/>
    <w:rsid w:val="005B006D"/>
    <w:rsid w:val="005B051A"/>
    <w:rsid w:val="005B0CD7"/>
    <w:rsid w:val="005B0F7C"/>
    <w:rsid w:val="005B10DF"/>
    <w:rsid w:val="005B1127"/>
    <w:rsid w:val="005B1F92"/>
    <w:rsid w:val="005B3524"/>
    <w:rsid w:val="005B3E66"/>
    <w:rsid w:val="005B3F51"/>
    <w:rsid w:val="005B454B"/>
    <w:rsid w:val="005B4E20"/>
    <w:rsid w:val="005B5042"/>
    <w:rsid w:val="005B5553"/>
    <w:rsid w:val="005B5DF7"/>
    <w:rsid w:val="005B5DFD"/>
    <w:rsid w:val="005B67A7"/>
    <w:rsid w:val="005B6D40"/>
    <w:rsid w:val="005B6FA7"/>
    <w:rsid w:val="005B7643"/>
    <w:rsid w:val="005B7B08"/>
    <w:rsid w:val="005B7D7B"/>
    <w:rsid w:val="005C0082"/>
    <w:rsid w:val="005C0750"/>
    <w:rsid w:val="005C0D39"/>
    <w:rsid w:val="005C1128"/>
    <w:rsid w:val="005C1460"/>
    <w:rsid w:val="005C1CAB"/>
    <w:rsid w:val="005C1D0C"/>
    <w:rsid w:val="005C5682"/>
    <w:rsid w:val="005C63FE"/>
    <w:rsid w:val="005C67F2"/>
    <w:rsid w:val="005C75AD"/>
    <w:rsid w:val="005D0075"/>
    <w:rsid w:val="005D0445"/>
    <w:rsid w:val="005D0C6D"/>
    <w:rsid w:val="005D1327"/>
    <w:rsid w:val="005D1388"/>
    <w:rsid w:val="005D160B"/>
    <w:rsid w:val="005D16D7"/>
    <w:rsid w:val="005D221E"/>
    <w:rsid w:val="005D2D1B"/>
    <w:rsid w:val="005D40BF"/>
    <w:rsid w:val="005D4210"/>
    <w:rsid w:val="005D4A3C"/>
    <w:rsid w:val="005D5005"/>
    <w:rsid w:val="005D5135"/>
    <w:rsid w:val="005D52F9"/>
    <w:rsid w:val="005D57B7"/>
    <w:rsid w:val="005D58A9"/>
    <w:rsid w:val="005D6691"/>
    <w:rsid w:val="005D66E0"/>
    <w:rsid w:val="005D6C28"/>
    <w:rsid w:val="005D7061"/>
    <w:rsid w:val="005D78FF"/>
    <w:rsid w:val="005D7C9E"/>
    <w:rsid w:val="005D7DAE"/>
    <w:rsid w:val="005E1510"/>
    <w:rsid w:val="005E1741"/>
    <w:rsid w:val="005E198C"/>
    <w:rsid w:val="005E1F6E"/>
    <w:rsid w:val="005E2911"/>
    <w:rsid w:val="005E2B3A"/>
    <w:rsid w:val="005E343E"/>
    <w:rsid w:val="005E3A6E"/>
    <w:rsid w:val="005E3D87"/>
    <w:rsid w:val="005E468D"/>
    <w:rsid w:val="005E4857"/>
    <w:rsid w:val="005E528F"/>
    <w:rsid w:val="005E558D"/>
    <w:rsid w:val="005E5697"/>
    <w:rsid w:val="005E5B9F"/>
    <w:rsid w:val="005E5CE5"/>
    <w:rsid w:val="005E5DB3"/>
    <w:rsid w:val="005E5F71"/>
    <w:rsid w:val="005E64D0"/>
    <w:rsid w:val="005E684F"/>
    <w:rsid w:val="005E6E4D"/>
    <w:rsid w:val="005E788F"/>
    <w:rsid w:val="005E7FE9"/>
    <w:rsid w:val="005F0568"/>
    <w:rsid w:val="005F080B"/>
    <w:rsid w:val="005F0CE4"/>
    <w:rsid w:val="005F178E"/>
    <w:rsid w:val="005F17F6"/>
    <w:rsid w:val="005F191F"/>
    <w:rsid w:val="005F1F2B"/>
    <w:rsid w:val="005F24D8"/>
    <w:rsid w:val="005F2544"/>
    <w:rsid w:val="005F3DE1"/>
    <w:rsid w:val="005F482A"/>
    <w:rsid w:val="005F4E8C"/>
    <w:rsid w:val="005F5A2B"/>
    <w:rsid w:val="005F75D0"/>
    <w:rsid w:val="0060073F"/>
    <w:rsid w:val="00600D34"/>
    <w:rsid w:val="00600D40"/>
    <w:rsid w:val="00600E77"/>
    <w:rsid w:val="00600F3F"/>
    <w:rsid w:val="00601932"/>
    <w:rsid w:val="00601ECF"/>
    <w:rsid w:val="00601F1B"/>
    <w:rsid w:val="0060250E"/>
    <w:rsid w:val="00602895"/>
    <w:rsid w:val="00602D53"/>
    <w:rsid w:val="00603078"/>
    <w:rsid w:val="00603513"/>
    <w:rsid w:val="006036D3"/>
    <w:rsid w:val="00603CA5"/>
    <w:rsid w:val="00603E40"/>
    <w:rsid w:val="0060422E"/>
    <w:rsid w:val="00604678"/>
    <w:rsid w:val="0060491E"/>
    <w:rsid w:val="006058CB"/>
    <w:rsid w:val="00605B6A"/>
    <w:rsid w:val="0060646B"/>
    <w:rsid w:val="00606BDE"/>
    <w:rsid w:val="00606DFE"/>
    <w:rsid w:val="00607D33"/>
    <w:rsid w:val="006119D4"/>
    <w:rsid w:val="006125C5"/>
    <w:rsid w:val="006129CA"/>
    <w:rsid w:val="00612DB3"/>
    <w:rsid w:val="00613199"/>
    <w:rsid w:val="00613BD8"/>
    <w:rsid w:val="00614EF4"/>
    <w:rsid w:val="00616696"/>
    <w:rsid w:val="00617515"/>
    <w:rsid w:val="0061756A"/>
    <w:rsid w:val="006177C6"/>
    <w:rsid w:val="00617EA9"/>
    <w:rsid w:val="0062054A"/>
    <w:rsid w:val="00620714"/>
    <w:rsid w:val="006209F4"/>
    <w:rsid w:val="00620BBE"/>
    <w:rsid w:val="0062167A"/>
    <w:rsid w:val="006226CF"/>
    <w:rsid w:val="0062274B"/>
    <w:rsid w:val="00622F71"/>
    <w:rsid w:val="0062316D"/>
    <w:rsid w:val="0062348F"/>
    <w:rsid w:val="0062389F"/>
    <w:rsid w:val="00623E27"/>
    <w:rsid w:val="006243BD"/>
    <w:rsid w:val="00624528"/>
    <w:rsid w:val="006247AA"/>
    <w:rsid w:val="00624A8F"/>
    <w:rsid w:val="00624A94"/>
    <w:rsid w:val="00624AB3"/>
    <w:rsid w:val="00625FF9"/>
    <w:rsid w:val="00626A9F"/>
    <w:rsid w:val="006270E9"/>
    <w:rsid w:val="006271D4"/>
    <w:rsid w:val="0063028A"/>
    <w:rsid w:val="00630772"/>
    <w:rsid w:val="00630C65"/>
    <w:rsid w:val="006311DD"/>
    <w:rsid w:val="00631BCE"/>
    <w:rsid w:val="00631CBC"/>
    <w:rsid w:val="00631E78"/>
    <w:rsid w:val="006321E3"/>
    <w:rsid w:val="006330B9"/>
    <w:rsid w:val="0063324A"/>
    <w:rsid w:val="00633BBF"/>
    <w:rsid w:val="00633CB9"/>
    <w:rsid w:val="00635119"/>
    <w:rsid w:val="006365A5"/>
    <w:rsid w:val="00636D1C"/>
    <w:rsid w:val="006405F5"/>
    <w:rsid w:val="00640643"/>
    <w:rsid w:val="00640D6C"/>
    <w:rsid w:val="00640F65"/>
    <w:rsid w:val="00641C5E"/>
    <w:rsid w:val="006424FF"/>
    <w:rsid w:val="0064378E"/>
    <w:rsid w:val="00644AAB"/>
    <w:rsid w:val="00644B8E"/>
    <w:rsid w:val="00644BB9"/>
    <w:rsid w:val="00644EAB"/>
    <w:rsid w:val="0064570C"/>
    <w:rsid w:val="00646738"/>
    <w:rsid w:val="00646B95"/>
    <w:rsid w:val="00646BE0"/>
    <w:rsid w:val="006475B8"/>
    <w:rsid w:val="00650729"/>
    <w:rsid w:val="00650741"/>
    <w:rsid w:val="006510C1"/>
    <w:rsid w:val="006513D9"/>
    <w:rsid w:val="0065178C"/>
    <w:rsid w:val="006519A6"/>
    <w:rsid w:val="006523A0"/>
    <w:rsid w:val="006525AA"/>
    <w:rsid w:val="00652780"/>
    <w:rsid w:val="00652982"/>
    <w:rsid w:val="0065325F"/>
    <w:rsid w:val="0065339D"/>
    <w:rsid w:val="006539ED"/>
    <w:rsid w:val="00654EBC"/>
    <w:rsid w:val="006552D1"/>
    <w:rsid w:val="00655AC0"/>
    <w:rsid w:val="00655C2C"/>
    <w:rsid w:val="00655E51"/>
    <w:rsid w:val="006569D5"/>
    <w:rsid w:val="00656F1C"/>
    <w:rsid w:val="006579C8"/>
    <w:rsid w:val="00660DC0"/>
    <w:rsid w:val="00661B0D"/>
    <w:rsid w:val="0066208F"/>
    <w:rsid w:val="0066280F"/>
    <w:rsid w:val="00662961"/>
    <w:rsid w:val="006629F3"/>
    <w:rsid w:val="006631A3"/>
    <w:rsid w:val="00663286"/>
    <w:rsid w:val="00663942"/>
    <w:rsid w:val="00663B71"/>
    <w:rsid w:val="00664809"/>
    <w:rsid w:val="00664BEC"/>
    <w:rsid w:val="006653AD"/>
    <w:rsid w:val="00665516"/>
    <w:rsid w:val="00665651"/>
    <w:rsid w:val="00665751"/>
    <w:rsid w:val="00665EDC"/>
    <w:rsid w:val="0066709D"/>
    <w:rsid w:val="00667AAD"/>
    <w:rsid w:val="00667CDA"/>
    <w:rsid w:val="00670126"/>
    <w:rsid w:val="00670393"/>
    <w:rsid w:val="006708F3"/>
    <w:rsid w:val="00671207"/>
    <w:rsid w:val="00671579"/>
    <w:rsid w:val="00671AB1"/>
    <w:rsid w:val="00672BA1"/>
    <w:rsid w:val="00673107"/>
    <w:rsid w:val="00673544"/>
    <w:rsid w:val="00675B13"/>
    <w:rsid w:val="00675EBA"/>
    <w:rsid w:val="00676C0A"/>
    <w:rsid w:val="00676E1A"/>
    <w:rsid w:val="00677100"/>
    <w:rsid w:val="006777B7"/>
    <w:rsid w:val="006777D4"/>
    <w:rsid w:val="006777D9"/>
    <w:rsid w:val="00677B9E"/>
    <w:rsid w:val="00677DB7"/>
    <w:rsid w:val="00677EDC"/>
    <w:rsid w:val="00680627"/>
    <w:rsid w:val="006806C5"/>
    <w:rsid w:val="00681405"/>
    <w:rsid w:val="006814B0"/>
    <w:rsid w:val="00682B64"/>
    <w:rsid w:val="006837DF"/>
    <w:rsid w:val="0068384D"/>
    <w:rsid w:val="00684439"/>
    <w:rsid w:val="00684658"/>
    <w:rsid w:val="006854B6"/>
    <w:rsid w:val="00685947"/>
    <w:rsid w:val="00686041"/>
    <w:rsid w:val="00686FE7"/>
    <w:rsid w:val="00687002"/>
    <w:rsid w:val="0068723F"/>
    <w:rsid w:val="00687EB7"/>
    <w:rsid w:val="00690B68"/>
    <w:rsid w:val="00691142"/>
    <w:rsid w:val="00691E2A"/>
    <w:rsid w:val="00692231"/>
    <w:rsid w:val="006922A1"/>
    <w:rsid w:val="0069364C"/>
    <w:rsid w:val="0069373A"/>
    <w:rsid w:val="00693891"/>
    <w:rsid w:val="0069390F"/>
    <w:rsid w:val="00693C61"/>
    <w:rsid w:val="00693D24"/>
    <w:rsid w:val="00694AB9"/>
    <w:rsid w:val="00695BA7"/>
    <w:rsid w:val="00695C6E"/>
    <w:rsid w:val="00695DCF"/>
    <w:rsid w:val="00695E21"/>
    <w:rsid w:val="0069604A"/>
    <w:rsid w:val="0069633F"/>
    <w:rsid w:val="006966D8"/>
    <w:rsid w:val="006968AE"/>
    <w:rsid w:val="0069744A"/>
    <w:rsid w:val="00697AC7"/>
    <w:rsid w:val="006A00EE"/>
    <w:rsid w:val="006A0177"/>
    <w:rsid w:val="006A0724"/>
    <w:rsid w:val="006A07FD"/>
    <w:rsid w:val="006A1309"/>
    <w:rsid w:val="006A14CD"/>
    <w:rsid w:val="006A1747"/>
    <w:rsid w:val="006A189A"/>
    <w:rsid w:val="006A199E"/>
    <w:rsid w:val="006A1A8D"/>
    <w:rsid w:val="006A1BBA"/>
    <w:rsid w:val="006A1D07"/>
    <w:rsid w:val="006A1DC2"/>
    <w:rsid w:val="006A1DF1"/>
    <w:rsid w:val="006A2120"/>
    <w:rsid w:val="006A2C04"/>
    <w:rsid w:val="006A344E"/>
    <w:rsid w:val="006A38D2"/>
    <w:rsid w:val="006A3D95"/>
    <w:rsid w:val="006A4462"/>
    <w:rsid w:val="006A45BB"/>
    <w:rsid w:val="006A4DA4"/>
    <w:rsid w:val="006A501E"/>
    <w:rsid w:val="006A5620"/>
    <w:rsid w:val="006A5DDE"/>
    <w:rsid w:val="006A604C"/>
    <w:rsid w:val="006A6CC8"/>
    <w:rsid w:val="006A7022"/>
    <w:rsid w:val="006A7246"/>
    <w:rsid w:val="006A7B2C"/>
    <w:rsid w:val="006B039D"/>
    <w:rsid w:val="006B04D9"/>
    <w:rsid w:val="006B0695"/>
    <w:rsid w:val="006B0817"/>
    <w:rsid w:val="006B0B72"/>
    <w:rsid w:val="006B0BD2"/>
    <w:rsid w:val="006B0CA2"/>
    <w:rsid w:val="006B149B"/>
    <w:rsid w:val="006B16A1"/>
    <w:rsid w:val="006B17E0"/>
    <w:rsid w:val="006B24CB"/>
    <w:rsid w:val="006B2BA3"/>
    <w:rsid w:val="006B30D2"/>
    <w:rsid w:val="006B3401"/>
    <w:rsid w:val="006B43F3"/>
    <w:rsid w:val="006B448A"/>
    <w:rsid w:val="006B469D"/>
    <w:rsid w:val="006B4772"/>
    <w:rsid w:val="006B5293"/>
    <w:rsid w:val="006B5852"/>
    <w:rsid w:val="006B6384"/>
    <w:rsid w:val="006B6C47"/>
    <w:rsid w:val="006B6CF1"/>
    <w:rsid w:val="006B7209"/>
    <w:rsid w:val="006B76D0"/>
    <w:rsid w:val="006B778B"/>
    <w:rsid w:val="006B7DC1"/>
    <w:rsid w:val="006C0384"/>
    <w:rsid w:val="006C0E31"/>
    <w:rsid w:val="006C1D7C"/>
    <w:rsid w:val="006C1F61"/>
    <w:rsid w:val="006C2021"/>
    <w:rsid w:val="006C2076"/>
    <w:rsid w:val="006C2128"/>
    <w:rsid w:val="006C2799"/>
    <w:rsid w:val="006C3447"/>
    <w:rsid w:val="006C3A66"/>
    <w:rsid w:val="006C55D7"/>
    <w:rsid w:val="006C588D"/>
    <w:rsid w:val="006C59AF"/>
    <w:rsid w:val="006C5B54"/>
    <w:rsid w:val="006C62AB"/>
    <w:rsid w:val="006C62FB"/>
    <w:rsid w:val="006C650A"/>
    <w:rsid w:val="006C73CB"/>
    <w:rsid w:val="006C761D"/>
    <w:rsid w:val="006D11A2"/>
    <w:rsid w:val="006D11D0"/>
    <w:rsid w:val="006D14E1"/>
    <w:rsid w:val="006D2330"/>
    <w:rsid w:val="006D3BF8"/>
    <w:rsid w:val="006D4710"/>
    <w:rsid w:val="006D4AF9"/>
    <w:rsid w:val="006D5549"/>
    <w:rsid w:val="006D5D97"/>
    <w:rsid w:val="006D7363"/>
    <w:rsid w:val="006D7CAC"/>
    <w:rsid w:val="006E0554"/>
    <w:rsid w:val="006E1BB8"/>
    <w:rsid w:val="006E1D42"/>
    <w:rsid w:val="006E1EFE"/>
    <w:rsid w:val="006E20FB"/>
    <w:rsid w:val="006E26F5"/>
    <w:rsid w:val="006E3E60"/>
    <w:rsid w:val="006E5BF9"/>
    <w:rsid w:val="006E6A7C"/>
    <w:rsid w:val="006E7085"/>
    <w:rsid w:val="006F07F9"/>
    <w:rsid w:val="006F0EDC"/>
    <w:rsid w:val="006F0F89"/>
    <w:rsid w:val="006F1A1D"/>
    <w:rsid w:val="006F1B3D"/>
    <w:rsid w:val="006F2F27"/>
    <w:rsid w:val="006F3445"/>
    <w:rsid w:val="006F3456"/>
    <w:rsid w:val="006F417B"/>
    <w:rsid w:val="006F459E"/>
    <w:rsid w:val="006F48F3"/>
    <w:rsid w:val="006F4A23"/>
    <w:rsid w:val="006F65BF"/>
    <w:rsid w:val="006F665C"/>
    <w:rsid w:val="006F66F3"/>
    <w:rsid w:val="006F676E"/>
    <w:rsid w:val="006F7232"/>
    <w:rsid w:val="006F7489"/>
    <w:rsid w:val="006F7637"/>
    <w:rsid w:val="006F76B3"/>
    <w:rsid w:val="006F7922"/>
    <w:rsid w:val="006F7927"/>
    <w:rsid w:val="006F7DBA"/>
    <w:rsid w:val="006F7E2A"/>
    <w:rsid w:val="006F7F6D"/>
    <w:rsid w:val="00700394"/>
    <w:rsid w:val="007016E0"/>
    <w:rsid w:val="007021C6"/>
    <w:rsid w:val="0070258A"/>
    <w:rsid w:val="00702C69"/>
    <w:rsid w:val="0070338F"/>
    <w:rsid w:val="007038D7"/>
    <w:rsid w:val="007043B6"/>
    <w:rsid w:val="00704974"/>
    <w:rsid w:val="00704A65"/>
    <w:rsid w:val="00704BEC"/>
    <w:rsid w:val="007053A5"/>
    <w:rsid w:val="00705782"/>
    <w:rsid w:val="00705956"/>
    <w:rsid w:val="007060B5"/>
    <w:rsid w:val="007069DB"/>
    <w:rsid w:val="00706AB6"/>
    <w:rsid w:val="00706B93"/>
    <w:rsid w:val="00707579"/>
    <w:rsid w:val="00707746"/>
    <w:rsid w:val="00707DC1"/>
    <w:rsid w:val="0071024D"/>
    <w:rsid w:val="00710288"/>
    <w:rsid w:val="0071077C"/>
    <w:rsid w:val="0071080E"/>
    <w:rsid w:val="00710C42"/>
    <w:rsid w:val="00711025"/>
    <w:rsid w:val="00711D5F"/>
    <w:rsid w:val="00712607"/>
    <w:rsid w:val="00712739"/>
    <w:rsid w:val="00712C0B"/>
    <w:rsid w:val="00712D53"/>
    <w:rsid w:val="0071346A"/>
    <w:rsid w:val="00713ADD"/>
    <w:rsid w:val="00714B03"/>
    <w:rsid w:val="007157DF"/>
    <w:rsid w:val="0071596C"/>
    <w:rsid w:val="00715B88"/>
    <w:rsid w:val="007167DA"/>
    <w:rsid w:val="00716872"/>
    <w:rsid w:val="0071693B"/>
    <w:rsid w:val="00716FF9"/>
    <w:rsid w:val="0071732E"/>
    <w:rsid w:val="00717422"/>
    <w:rsid w:val="007176A1"/>
    <w:rsid w:val="00720119"/>
    <w:rsid w:val="007201F1"/>
    <w:rsid w:val="007203BB"/>
    <w:rsid w:val="007209AE"/>
    <w:rsid w:val="00721263"/>
    <w:rsid w:val="00721C4E"/>
    <w:rsid w:val="0072203E"/>
    <w:rsid w:val="0072289A"/>
    <w:rsid w:val="00722939"/>
    <w:rsid w:val="00722BE9"/>
    <w:rsid w:val="00722DC0"/>
    <w:rsid w:val="00722EEA"/>
    <w:rsid w:val="00723108"/>
    <w:rsid w:val="007236F4"/>
    <w:rsid w:val="0072372C"/>
    <w:rsid w:val="00723DEB"/>
    <w:rsid w:val="007240B8"/>
    <w:rsid w:val="00725350"/>
    <w:rsid w:val="0072574B"/>
    <w:rsid w:val="00725781"/>
    <w:rsid w:val="007258A1"/>
    <w:rsid w:val="00726305"/>
    <w:rsid w:val="007263DC"/>
    <w:rsid w:val="00726DE7"/>
    <w:rsid w:val="00727058"/>
    <w:rsid w:val="0072743E"/>
    <w:rsid w:val="007278D4"/>
    <w:rsid w:val="00727B41"/>
    <w:rsid w:val="00727B49"/>
    <w:rsid w:val="00730D15"/>
    <w:rsid w:val="007314BA"/>
    <w:rsid w:val="00731721"/>
    <w:rsid w:val="007319D5"/>
    <w:rsid w:val="0073277B"/>
    <w:rsid w:val="00732F9A"/>
    <w:rsid w:val="007342E2"/>
    <w:rsid w:val="00734B1E"/>
    <w:rsid w:val="00734F3E"/>
    <w:rsid w:val="00734F95"/>
    <w:rsid w:val="0073524D"/>
    <w:rsid w:val="00735600"/>
    <w:rsid w:val="00735698"/>
    <w:rsid w:val="007361DA"/>
    <w:rsid w:val="0073698D"/>
    <w:rsid w:val="00736D03"/>
    <w:rsid w:val="0073763A"/>
    <w:rsid w:val="00737B51"/>
    <w:rsid w:val="00737FAA"/>
    <w:rsid w:val="0074002C"/>
    <w:rsid w:val="0074046E"/>
    <w:rsid w:val="007404C1"/>
    <w:rsid w:val="007412C1"/>
    <w:rsid w:val="00741580"/>
    <w:rsid w:val="00741703"/>
    <w:rsid w:val="00741C1B"/>
    <w:rsid w:val="00742365"/>
    <w:rsid w:val="00742BFC"/>
    <w:rsid w:val="0074308C"/>
    <w:rsid w:val="00743E8A"/>
    <w:rsid w:val="0074486B"/>
    <w:rsid w:val="00744BA0"/>
    <w:rsid w:val="00744C3A"/>
    <w:rsid w:val="00745C80"/>
    <w:rsid w:val="007460A0"/>
    <w:rsid w:val="0074660C"/>
    <w:rsid w:val="00746792"/>
    <w:rsid w:val="00747A90"/>
    <w:rsid w:val="00747FC2"/>
    <w:rsid w:val="0075123F"/>
    <w:rsid w:val="00753572"/>
    <w:rsid w:val="0075375C"/>
    <w:rsid w:val="00753DB0"/>
    <w:rsid w:val="007548AD"/>
    <w:rsid w:val="00754B22"/>
    <w:rsid w:val="00754D7D"/>
    <w:rsid w:val="007554B7"/>
    <w:rsid w:val="00755D5D"/>
    <w:rsid w:val="00755F35"/>
    <w:rsid w:val="007562DE"/>
    <w:rsid w:val="00756C3A"/>
    <w:rsid w:val="00756C42"/>
    <w:rsid w:val="00756D0B"/>
    <w:rsid w:val="0075702D"/>
    <w:rsid w:val="007571FC"/>
    <w:rsid w:val="007572E5"/>
    <w:rsid w:val="0075753C"/>
    <w:rsid w:val="007575E8"/>
    <w:rsid w:val="007576FC"/>
    <w:rsid w:val="00757A7E"/>
    <w:rsid w:val="00760058"/>
    <w:rsid w:val="00760228"/>
    <w:rsid w:val="00760B12"/>
    <w:rsid w:val="00761B53"/>
    <w:rsid w:val="007625B9"/>
    <w:rsid w:val="0076391D"/>
    <w:rsid w:val="00763FEE"/>
    <w:rsid w:val="0076456A"/>
    <w:rsid w:val="007647C6"/>
    <w:rsid w:val="00764893"/>
    <w:rsid w:val="00765F81"/>
    <w:rsid w:val="00766D47"/>
    <w:rsid w:val="0076747B"/>
    <w:rsid w:val="0076763A"/>
    <w:rsid w:val="0076766C"/>
    <w:rsid w:val="00767CC0"/>
    <w:rsid w:val="00767F6A"/>
    <w:rsid w:val="00770B6D"/>
    <w:rsid w:val="007721FA"/>
    <w:rsid w:val="0077236B"/>
    <w:rsid w:val="007726E7"/>
    <w:rsid w:val="00772885"/>
    <w:rsid w:val="00773190"/>
    <w:rsid w:val="007743A8"/>
    <w:rsid w:val="007747CA"/>
    <w:rsid w:val="007759CD"/>
    <w:rsid w:val="00775BE9"/>
    <w:rsid w:val="00776A6A"/>
    <w:rsid w:val="00776DB3"/>
    <w:rsid w:val="0077700C"/>
    <w:rsid w:val="00777AEB"/>
    <w:rsid w:val="00781185"/>
    <w:rsid w:val="007813B5"/>
    <w:rsid w:val="00781617"/>
    <w:rsid w:val="00781A1D"/>
    <w:rsid w:val="00781E38"/>
    <w:rsid w:val="007820F3"/>
    <w:rsid w:val="007826C8"/>
    <w:rsid w:val="00782D2E"/>
    <w:rsid w:val="00782DF8"/>
    <w:rsid w:val="00782E05"/>
    <w:rsid w:val="00782F4D"/>
    <w:rsid w:val="00783903"/>
    <w:rsid w:val="00783A40"/>
    <w:rsid w:val="0078418B"/>
    <w:rsid w:val="0078420F"/>
    <w:rsid w:val="0078477F"/>
    <w:rsid w:val="007848A4"/>
    <w:rsid w:val="007848B2"/>
    <w:rsid w:val="00784E4D"/>
    <w:rsid w:val="00785055"/>
    <w:rsid w:val="00785B59"/>
    <w:rsid w:val="007861D5"/>
    <w:rsid w:val="0078695C"/>
    <w:rsid w:val="00786E19"/>
    <w:rsid w:val="00787A7F"/>
    <w:rsid w:val="00790212"/>
    <w:rsid w:val="00790377"/>
    <w:rsid w:val="007907E8"/>
    <w:rsid w:val="00790E0F"/>
    <w:rsid w:val="007911CF"/>
    <w:rsid w:val="007912A9"/>
    <w:rsid w:val="007915A2"/>
    <w:rsid w:val="0079180A"/>
    <w:rsid w:val="00791E42"/>
    <w:rsid w:val="0079319D"/>
    <w:rsid w:val="00793551"/>
    <w:rsid w:val="00793644"/>
    <w:rsid w:val="00793998"/>
    <w:rsid w:val="00793B28"/>
    <w:rsid w:val="00794C92"/>
    <w:rsid w:val="00794D61"/>
    <w:rsid w:val="00794F98"/>
    <w:rsid w:val="0079567D"/>
    <w:rsid w:val="007958DC"/>
    <w:rsid w:val="007961D0"/>
    <w:rsid w:val="007966C5"/>
    <w:rsid w:val="00796F70"/>
    <w:rsid w:val="00797CA5"/>
    <w:rsid w:val="00797E89"/>
    <w:rsid w:val="007A092B"/>
    <w:rsid w:val="007A0F39"/>
    <w:rsid w:val="007A176C"/>
    <w:rsid w:val="007A1801"/>
    <w:rsid w:val="007A1B5B"/>
    <w:rsid w:val="007A2336"/>
    <w:rsid w:val="007A2C22"/>
    <w:rsid w:val="007A321E"/>
    <w:rsid w:val="007A33D1"/>
    <w:rsid w:val="007A4034"/>
    <w:rsid w:val="007A4A4C"/>
    <w:rsid w:val="007A5AD5"/>
    <w:rsid w:val="007A5E73"/>
    <w:rsid w:val="007A5FB8"/>
    <w:rsid w:val="007A60B8"/>
    <w:rsid w:val="007A610B"/>
    <w:rsid w:val="007A6570"/>
    <w:rsid w:val="007A6A78"/>
    <w:rsid w:val="007A6B7C"/>
    <w:rsid w:val="007A7114"/>
    <w:rsid w:val="007A7B16"/>
    <w:rsid w:val="007A7B83"/>
    <w:rsid w:val="007A7BF2"/>
    <w:rsid w:val="007A7D1E"/>
    <w:rsid w:val="007B0B45"/>
    <w:rsid w:val="007B175C"/>
    <w:rsid w:val="007B1FC4"/>
    <w:rsid w:val="007B204B"/>
    <w:rsid w:val="007B2398"/>
    <w:rsid w:val="007B2AB0"/>
    <w:rsid w:val="007B322A"/>
    <w:rsid w:val="007B3FFE"/>
    <w:rsid w:val="007B44B4"/>
    <w:rsid w:val="007B4B9E"/>
    <w:rsid w:val="007B56F4"/>
    <w:rsid w:val="007B66D1"/>
    <w:rsid w:val="007B7059"/>
    <w:rsid w:val="007B779A"/>
    <w:rsid w:val="007B799F"/>
    <w:rsid w:val="007C005E"/>
    <w:rsid w:val="007C04D2"/>
    <w:rsid w:val="007C0765"/>
    <w:rsid w:val="007C0C91"/>
    <w:rsid w:val="007C0E89"/>
    <w:rsid w:val="007C124E"/>
    <w:rsid w:val="007C13A6"/>
    <w:rsid w:val="007C2218"/>
    <w:rsid w:val="007C26A3"/>
    <w:rsid w:val="007C2A56"/>
    <w:rsid w:val="007C2B6F"/>
    <w:rsid w:val="007C2CC7"/>
    <w:rsid w:val="007C327B"/>
    <w:rsid w:val="007C36BA"/>
    <w:rsid w:val="007C3778"/>
    <w:rsid w:val="007C44CB"/>
    <w:rsid w:val="007C4B4D"/>
    <w:rsid w:val="007C4BAA"/>
    <w:rsid w:val="007C5333"/>
    <w:rsid w:val="007C5D5E"/>
    <w:rsid w:val="007C5F71"/>
    <w:rsid w:val="007C6043"/>
    <w:rsid w:val="007C6089"/>
    <w:rsid w:val="007C6BF9"/>
    <w:rsid w:val="007C78FC"/>
    <w:rsid w:val="007D0048"/>
    <w:rsid w:val="007D02D6"/>
    <w:rsid w:val="007D0326"/>
    <w:rsid w:val="007D0443"/>
    <w:rsid w:val="007D05C3"/>
    <w:rsid w:val="007D0D3A"/>
    <w:rsid w:val="007D0E52"/>
    <w:rsid w:val="007D266A"/>
    <w:rsid w:val="007D2DEF"/>
    <w:rsid w:val="007D36A2"/>
    <w:rsid w:val="007D3EBC"/>
    <w:rsid w:val="007D3FEB"/>
    <w:rsid w:val="007D4557"/>
    <w:rsid w:val="007D4964"/>
    <w:rsid w:val="007D4ACC"/>
    <w:rsid w:val="007D4D59"/>
    <w:rsid w:val="007D5ABF"/>
    <w:rsid w:val="007D6019"/>
    <w:rsid w:val="007D7000"/>
    <w:rsid w:val="007D7022"/>
    <w:rsid w:val="007D7C0A"/>
    <w:rsid w:val="007E0531"/>
    <w:rsid w:val="007E1E99"/>
    <w:rsid w:val="007E1EFA"/>
    <w:rsid w:val="007E25FE"/>
    <w:rsid w:val="007E28DC"/>
    <w:rsid w:val="007E2A18"/>
    <w:rsid w:val="007E2F46"/>
    <w:rsid w:val="007E32B2"/>
    <w:rsid w:val="007E3C1E"/>
    <w:rsid w:val="007E51F9"/>
    <w:rsid w:val="007E5F75"/>
    <w:rsid w:val="007E718B"/>
    <w:rsid w:val="007F033E"/>
    <w:rsid w:val="007F0ADF"/>
    <w:rsid w:val="007F131C"/>
    <w:rsid w:val="007F2804"/>
    <w:rsid w:val="007F35B9"/>
    <w:rsid w:val="007F3909"/>
    <w:rsid w:val="007F3BEE"/>
    <w:rsid w:val="007F3C90"/>
    <w:rsid w:val="007F4419"/>
    <w:rsid w:val="007F4B80"/>
    <w:rsid w:val="007F5134"/>
    <w:rsid w:val="007F5913"/>
    <w:rsid w:val="007F62F8"/>
    <w:rsid w:val="007F658D"/>
    <w:rsid w:val="007F6B62"/>
    <w:rsid w:val="007F6C5D"/>
    <w:rsid w:val="007F6D4D"/>
    <w:rsid w:val="007F720F"/>
    <w:rsid w:val="007F7562"/>
    <w:rsid w:val="007F762D"/>
    <w:rsid w:val="00801CD5"/>
    <w:rsid w:val="00801DD9"/>
    <w:rsid w:val="00801FCB"/>
    <w:rsid w:val="008020E4"/>
    <w:rsid w:val="0080242E"/>
    <w:rsid w:val="00802775"/>
    <w:rsid w:val="00802BC6"/>
    <w:rsid w:val="00803548"/>
    <w:rsid w:val="00803736"/>
    <w:rsid w:val="008037AC"/>
    <w:rsid w:val="00803B0F"/>
    <w:rsid w:val="00804589"/>
    <w:rsid w:val="00805F03"/>
    <w:rsid w:val="0080652A"/>
    <w:rsid w:val="00806699"/>
    <w:rsid w:val="008067D3"/>
    <w:rsid w:val="00806E41"/>
    <w:rsid w:val="00807F76"/>
    <w:rsid w:val="0081062F"/>
    <w:rsid w:val="008106B5"/>
    <w:rsid w:val="00811110"/>
    <w:rsid w:val="00811252"/>
    <w:rsid w:val="008119DF"/>
    <w:rsid w:val="00812664"/>
    <w:rsid w:val="00813085"/>
    <w:rsid w:val="00813863"/>
    <w:rsid w:val="008153BA"/>
    <w:rsid w:val="0081547A"/>
    <w:rsid w:val="008154B4"/>
    <w:rsid w:val="00815A56"/>
    <w:rsid w:val="00816555"/>
    <w:rsid w:val="0081684D"/>
    <w:rsid w:val="00816914"/>
    <w:rsid w:val="00817219"/>
    <w:rsid w:val="008179F1"/>
    <w:rsid w:val="00817BA3"/>
    <w:rsid w:val="00817E28"/>
    <w:rsid w:val="008216FF"/>
    <w:rsid w:val="00821945"/>
    <w:rsid w:val="00821C31"/>
    <w:rsid w:val="008224F6"/>
    <w:rsid w:val="008226E2"/>
    <w:rsid w:val="008228A2"/>
    <w:rsid w:val="00822B26"/>
    <w:rsid w:val="0082393C"/>
    <w:rsid w:val="008240EB"/>
    <w:rsid w:val="00824101"/>
    <w:rsid w:val="00824D80"/>
    <w:rsid w:val="008254BC"/>
    <w:rsid w:val="00825840"/>
    <w:rsid w:val="008260BE"/>
    <w:rsid w:val="008261DB"/>
    <w:rsid w:val="008262A8"/>
    <w:rsid w:val="0082652D"/>
    <w:rsid w:val="008269E8"/>
    <w:rsid w:val="00826E64"/>
    <w:rsid w:val="008270D9"/>
    <w:rsid w:val="00827C26"/>
    <w:rsid w:val="00827C85"/>
    <w:rsid w:val="008301E3"/>
    <w:rsid w:val="008304F9"/>
    <w:rsid w:val="008308C5"/>
    <w:rsid w:val="00830A2C"/>
    <w:rsid w:val="00830D3F"/>
    <w:rsid w:val="00830E1A"/>
    <w:rsid w:val="0083139D"/>
    <w:rsid w:val="008314EF"/>
    <w:rsid w:val="008315BB"/>
    <w:rsid w:val="00831834"/>
    <w:rsid w:val="008321CB"/>
    <w:rsid w:val="00833BD5"/>
    <w:rsid w:val="00834082"/>
    <w:rsid w:val="008343E9"/>
    <w:rsid w:val="008343EE"/>
    <w:rsid w:val="00834767"/>
    <w:rsid w:val="00834E7A"/>
    <w:rsid w:val="00835456"/>
    <w:rsid w:val="008354AF"/>
    <w:rsid w:val="0083593F"/>
    <w:rsid w:val="00835CAF"/>
    <w:rsid w:val="00836A99"/>
    <w:rsid w:val="00836ABA"/>
    <w:rsid w:val="00836BBF"/>
    <w:rsid w:val="00837477"/>
    <w:rsid w:val="00837C1D"/>
    <w:rsid w:val="00837C5B"/>
    <w:rsid w:val="0084038E"/>
    <w:rsid w:val="008403A7"/>
    <w:rsid w:val="00840BCF"/>
    <w:rsid w:val="0084234A"/>
    <w:rsid w:val="00842390"/>
    <w:rsid w:val="008429DF"/>
    <w:rsid w:val="0084313D"/>
    <w:rsid w:val="0084354D"/>
    <w:rsid w:val="00843550"/>
    <w:rsid w:val="00843E17"/>
    <w:rsid w:val="008441B7"/>
    <w:rsid w:val="008447FF"/>
    <w:rsid w:val="0084515D"/>
    <w:rsid w:val="008457CF"/>
    <w:rsid w:val="00845EC8"/>
    <w:rsid w:val="00846A36"/>
    <w:rsid w:val="00846D6B"/>
    <w:rsid w:val="00846E29"/>
    <w:rsid w:val="00846F37"/>
    <w:rsid w:val="00847792"/>
    <w:rsid w:val="00847A30"/>
    <w:rsid w:val="00847C97"/>
    <w:rsid w:val="00850C77"/>
    <w:rsid w:val="008510F7"/>
    <w:rsid w:val="00852D7C"/>
    <w:rsid w:val="0085343C"/>
    <w:rsid w:val="0085360C"/>
    <w:rsid w:val="00853FE2"/>
    <w:rsid w:val="00854481"/>
    <w:rsid w:val="008545A1"/>
    <w:rsid w:val="00854927"/>
    <w:rsid w:val="00854C24"/>
    <w:rsid w:val="00855ECA"/>
    <w:rsid w:val="0085601A"/>
    <w:rsid w:val="00857102"/>
    <w:rsid w:val="00857643"/>
    <w:rsid w:val="00857699"/>
    <w:rsid w:val="00857AA5"/>
    <w:rsid w:val="00860127"/>
    <w:rsid w:val="0086035A"/>
    <w:rsid w:val="00860478"/>
    <w:rsid w:val="0086189D"/>
    <w:rsid w:val="00861E80"/>
    <w:rsid w:val="008622E6"/>
    <w:rsid w:val="00862474"/>
    <w:rsid w:val="008627C4"/>
    <w:rsid w:val="00862989"/>
    <w:rsid w:val="008634C5"/>
    <w:rsid w:val="008637A1"/>
    <w:rsid w:val="00863CBE"/>
    <w:rsid w:val="00863EE5"/>
    <w:rsid w:val="00863FD7"/>
    <w:rsid w:val="008642DD"/>
    <w:rsid w:val="00865C20"/>
    <w:rsid w:val="00865CBA"/>
    <w:rsid w:val="00866B84"/>
    <w:rsid w:val="00866E85"/>
    <w:rsid w:val="00867CD5"/>
    <w:rsid w:val="008702B9"/>
    <w:rsid w:val="0087207D"/>
    <w:rsid w:val="00872104"/>
    <w:rsid w:val="0087211A"/>
    <w:rsid w:val="00872B9C"/>
    <w:rsid w:val="0087386A"/>
    <w:rsid w:val="00874578"/>
    <w:rsid w:val="00874AE8"/>
    <w:rsid w:val="00874F12"/>
    <w:rsid w:val="0087534C"/>
    <w:rsid w:val="00875460"/>
    <w:rsid w:val="0087594E"/>
    <w:rsid w:val="008761F3"/>
    <w:rsid w:val="00876B17"/>
    <w:rsid w:val="008771E3"/>
    <w:rsid w:val="008773FB"/>
    <w:rsid w:val="0087788C"/>
    <w:rsid w:val="008779E3"/>
    <w:rsid w:val="00877E7B"/>
    <w:rsid w:val="00877E9F"/>
    <w:rsid w:val="0088007A"/>
    <w:rsid w:val="00880900"/>
    <w:rsid w:val="008817AC"/>
    <w:rsid w:val="00881C85"/>
    <w:rsid w:val="00881D50"/>
    <w:rsid w:val="00881EC6"/>
    <w:rsid w:val="00882EDD"/>
    <w:rsid w:val="00882F61"/>
    <w:rsid w:val="00882F74"/>
    <w:rsid w:val="00883070"/>
    <w:rsid w:val="00883085"/>
    <w:rsid w:val="008843AB"/>
    <w:rsid w:val="008848D6"/>
    <w:rsid w:val="008850DB"/>
    <w:rsid w:val="00885281"/>
    <w:rsid w:val="00885398"/>
    <w:rsid w:val="008855F0"/>
    <w:rsid w:val="008856FC"/>
    <w:rsid w:val="00885F11"/>
    <w:rsid w:val="00886739"/>
    <w:rsid w:val="00886D4C"/>
    <w:rsid w:val="00886E73"/>
    <w:rsid w:val="00887AB0"/>
    <w:rsid w:val="00887E36"/>
    <w:rsid w:val="00891039"/>
    <w:rsid w:val="00891CEA"/>
    <w:rsid w:val="00892384"/>
    <w:rsid w:val="00893214"/>
    <w:rsid w:val="00893446"/>
    <w:rsid w:val="008935B4"/>
    <w:rsid w:val="00893796"/>
    <w:rsid w:val="00893B5E"/>
    <w:rsid w:val="0089410D"/>
    <w:rsid w:val="0089420C"/>
    <w:rsid w:val="00894429"/>
    <w:rsid w:val="0089450F"/>
    <w:rsid w:val="00894E42"/>
    <w:rsid w:val="00895147"/>
    <w:rsid w:val="008957FA"/>
    <w:rsid w:val="00896120"/>
    <w:rsid w:val="00896136"/>
    <w:rsid w:val="008963B1"/>
    <w:rsid w:val="00896560"/>
    <w:rsid w:val="0089733F"/>
    <w:rsid w:val="0089743C"/>
    <w:rsid w:val="008974FA"/>
    <w:rsid w:val="00897DCF"/>
    <w:rsid w:val="008A042D"/>
    <w:rsid w:val="008A0CB2"/>
    <w:rsid w:val="008A0E63"/>
    <w:rsid w:val="008A176F"/>
    <w:rsid w:val="008A212D"/>
    <w:rsid w:val="008A255C"/>
    <w:rsid w:val="008A26C2"/>
    <w:rsid w:val="008A275E"/>
    <w:rsid w:val="008A2BA6"/>
    <w:rsid w:val="008A32BB"/>
    <w:rsid w:val="008A3AB6"/>
    <w:rsid w:val="008A3B37"/>
    <w:rsid w:val="008A4E23"/>
    <w:rsid w:val="008A4F09"/>
    <w:rsid w:val="008A556D"/>
    <w:rsid w:val="008A5618"/>
    <w:rsid w:val="008A58CF"/>
    <w:rsid w:val="008A670D"/>
    <w:rsid w:val="008A678F"/>
    <w:rsid w:val="008A6BF0"/>
    <w:rsid w:val="008A6C1B"/>
    <w:rsid w:val="008A7963"/>
    <w:rsid w:val="008A7CC1"/>
    <w:rsid w:val="008B08B4"/>
    <w:rsid w:val="008B15B9"/>
    <w:rsid w:val="008B16F8"/>
    <w:rsid w:val="008B2CFC"/>
    <w:rsid w:val="008B3059"/>
    <w:rsid w:val="008B37D4"/>
    <w:rsid w:val="008B3C90"/>
    <w:rsid w:val="008B4461"/>
    <w:rsid w:val="008B525B"/>
    <w:rsid w:val="008B5560"/>
    <w:rsid w:val="008B5B75"/>
    <w:rsid w:val="008B6006"/>
    <w:rsid w:val="008B6F3A"/>
    <w:rsid w:val="008B7DF2"/>
    <w:rsid w:val="008B7FF4"/>
    <w:rsid w:val="008C01F7"/>
    <w:rsid w:val="008C04C7"/>
    <w:rsid w:val="008C0587"/>
    <w:rsid w:val="008C05E6"/>
    <w:rsid w:val="008C1090"/>
    <w:rsid w:val="008C10FB"/>
    <w:rsid w:val="008C1FD0"/>
    <w:rsid w:val="008C262C"/>
    <w:rsid w:val="008C2C03"/>
    <w:rsid w:val="008C347E"/>
    <w:rsid w:val="008C3A27"/>
    <w:rsid w:val="008C3D92"/>
    <w:rsid w:val="008C425E"/>
    <w:rsid w:val="008C470B"/>
    <w:rsid w:val="008C4A5D"/>
    <w:rsid w:val="008C554C"/>
    <w:rsid w:val="008C571C"/>
    <w:rsid w:val="008C6FD3"/>
    <w:rsid w:val="008C7AB4"/>
    <w:rsid w:val="008D01AB"/>
    <w:rsid w:val="008D0990"/>
    <w:rsid w:val="008D0ED7"/>
    <w:rsid w:val="008D15F5"/>
    <w:rsid w:val="008D19A7"/>
    <w:rsid w:val="008D1E32"/>
    <w:rsid w:val="008D224E"/>
    <w:rsid w:val="008D2A3A"/>
    <w:rsid w:val="008D2D71"/>
    <w:rsid w:val="008D3D93"/>
    <w:rsid w:val="008D448C"/>
    <w:rsid w:val="008D4528"/>
    <w:rsid w:val="008D47DC"/>
    <w:rsid w:val="008D4CEA"/>
    <w:rsid w:val="008D55BF"/>
    <w:rsid w:val="008D56F8"/>
    <w:rsid w:val="008D6706"/>
    <w:rsid w:val="008D6AEA"/>
    <w:rsid w:val="008E0264"/>
    <w:rsid w:val="008E088D"/>
    <w:rsid w:val="008E0E3C"/>
    <w:rsid w:val="008E0E4D"/>
    <w:rsid w:val="008E1192"/>
    <w:rsid w:val="008E12D5"/>
    <w:rsid w:val="008E15D2"/>
    <w:rsid w:val="008E161A"/>
    <w:rsid w:val="008E176E"/>
    <w:rsid w:val="008E228D"/>
    <w:rsid w:val="008E260E"/>
    <w:rsid w:val="008E2762"/>
    <w:rsid w:val="008E2B84"/>
    <w:rsid w:val="008E2CF4"/>
    <w:rsid w:val="008E2F82"/>
    <w:rsid w:val="008E31F5"/>
    <w:rsid w:val="008E32EC"/>
    <w:rsid w:val="008E35FD"/>
    <w:rsid w:val="008E381C"/>
    <w:rsid w:val="008E674E"/>
    <w:rsid w:val="008E6AB7"/>
    <w:rsid w:val="008E6DEA"/>
    <w:rsid w:val="008E6F72"/>
    <w:rsid w:val="008F06FE"/>
    <w:rsid w:val="008F07E4"/>
    <w:rsid w:val="008F154C"/>
    <w:rsid w:val="008F15FF"/>
    <w:rsid w:val="008F1654"/>
    <w:rsid w:val="008F18B1"/>
    <w:rsid w:val="008F26FF"/>
    <w:rsid w:val="008F29A9"/>
    <w:rsid w:val="008F2D54"/>
    <w:rsid w:val="008F30E4"/>
    <w:rsid w:val="008F35E0"/>
    <w:rsid w:val="008F3BDE"/>
    <w:rsid w:val="008F47BF"/>
    <w:rsid w:val="008F4E8B"/>
    <w:rsid w:val="008F500B"/>
    <w:rsid w:val="008F5162"/>
    <w:rsid w:val="008F582A"/>
    <w:rsid w:val="008F6C22"/>
    <w:rsid w:val="008F717F"/>
    <w:rsid w:val="008F76C8"/>
    <w:rsid w:val="008F76E4"/>
    <w:rsid w:val="008F7BE5"/>
    <w:rsid w:val="00900037"/>
    <w:rsid w:val="009006BD"/>
    <w:rsid w:val="009018A6"/>
    <w:rsid w:val="0090207C"/>
    <w:rsid w:val="009027E8"/>
    <w:rsid w:val="00902985"/>
    <w:rsid w:val="009044F0"/>
    <w:rsid w:val="00904B06"/>
    <w:rsid w:val="00904C11"/>
    <w:rsid w:val="00905A66"/>
    <w:rsid w:val="009067AB"/>
    <w:rsid w:val="00906FE1"/>
    <w:rsid w:val="00907219"/>
    <w:rsid w:val="00907393"/>
    <w:rsid w:val="00907846"/>
    <w:rsid w:val="00907A57"/>
    <w:rsid w:val="0091020D"/>
    <w:rsid w:val="009102BB"/>
    <w:rsid w:val="00911138"/>
    <w:rsid w:val="009113E2"/>
    <w:rsid w:val="009119C3"/>
    <w:rsid w:val="009119F3"/>
    <w:rsid w:val="009124C3"/>
    <w:rsid w:val="009125F3"/>
    <w:rsid w:val="00912839"/>
    <w:rsid w:val="00912F1A"/>
    <w:rsid w:val="00913854"/>
    <w:rsid w:val="00913B70"/>
    <w:rsid w:val="00913F09"/>
    <w:rsid w:val="009140EC"/>
    <w:rsid w:val="009143AE"/>
    <w:rsid w:val="0091444B"/>
    <w:rsid w:val="00914984"/>
    <w:rsid w:val="00915127"/>
    <w:rsid w:val="00915D90"/>
    <w:rsid w:val="009162B6"/>
    <w:rsid w:val="0091671D"/>
    <w:rsid w:val="00916912"/>
    <w:rsid w:val="00916C57"/>
    <w:rsid w:val="00916C64"/>
    <w:rsid w:val="00916C89"/>
    <w:rsid w:val="00916E8F"/>
    <w:rsid w:val="00917084"/>
    <w:rsid w:val="0091708D"/>
    <w:rsid w:val="009170BA"/>
    <w:rsid w:val="0091724D"/>
    <w:rsid w:val="0091737A"/>
    <w:rsid w:val="009175DA"/>
    <w:rsid w:val="0091776B"/>
    <w:rsid w:val="00917AD5"/>
    <w:rsid w:val="009200EB"/>
    <w:rsid w:val="00920160"/>
    <w:rsid w:val="00920390"/>
    <w:rsid w:val="00920400"/>
    <w:rsid w:val="0092192F"/>
    <w:rsid w:val="0092280C"/>
    <w:rsid w:val="009233EC"/>
    <w:rsid w:val="009237F0"/>
    <w:rsid w:val="0092393C"/>
    <w:rsid w:val="00924C7E"/>
    <w:rsid w:val="00924CC0"/>
    <w:rsid w:val="009254C7"/>
    <w:rsid w:val="00925C22"/>
    <w:rsid w:val="00925C77"/>
    <w:rsid w:val="00925D7F"/>
    <w:rsid w:val="009264CE"/>
    <w:rsid w:val="00926A6E"/>
    <w:rsid w:val="00927145"/>
    <w:rsid w:val="00927CBD"/>
    <w:rsid w:val="009304B6"/>
    <w:rsid w:val="00931335"/>
    <w:rsid w:val="009319B0"/>
    <w:rsid w:val="00931C57"/>
    <w:rsid w:val="00933159"/>
    <w:rsid w:val="00933439"/>
    <w:rsid w:val="00933DC2"/>
    <w:rsid w:val="00934091"/>
    <w:rsid w:val="00934315"/>
    <w:rsid w:val="00934F2F"/>
    <w:rsid w:val="00935479"/>
    <w:rsid w:val="00935748"/>
    <w:rsid w:val="00935E92"/>
    <w:rsid w:val="00937A6D"/>
    <w:rsid w:val="009404A7"/>
    <w:rsid w:val="009415D5"/>
    <w:rsid w:val="00941929"/>
    <w:rsid w:val="00941CAA"/>
    <w:rsid w:val="00941CBE"/>
    <w:rsid w:val="00941E80"/>
    <w:rsid w:val="00941EBE"/>
    <w:rsid w:val="009420ED"/>
    <w:rsid w:val="009423DB"/>
    <w:rsid w:val="0094259E"/>
    <w:rsid w:val="009429B8"/>
    <w:rsid w:val="009431E5"/>
    <w:rsid w:val="0094356D"/>
    <w:rsid w:val="00943E06"/>
    <w:rsid w:val="009444A7"/>
    <w:rsid w:val="00945636"/>
    <w:rsid w:val="00945ADC"/>
    <w:rsid w:val="00946030"/>
    <w:rsid w:val="009461BF"/>
    <w:rsid w:val="00946A79"/>
    <w:rsid w:val="0094778A"/>
    <w:rsid w:val="00947CEF"/>
    <w:rsid w:val="00947D76"/>
    <w:rsid w:val="009505A5"/>
    <w:rsid w:val="009507AD"/>
    <w:rsid w:val="00950B06"/>
    <w:rsid w:val="009517D8"/>
    <w:rsid w:val="00951E2E"/>
    <w:rsid w:val="009524C0"/>
    <w:rsid w:val="00952AA8"/>
    <w:rsid w:val="009542D0"/>
    <w:rsid w:val="009543A3"/>
    <w:rsid w:val="00954E30"/>
    <w:rsid w:val="0095512E"/>
    <w:rsid w:val="00955668"/>
    <w:rsid w:val="0095580D"/>
    <w:rsid w:val="00955A72"/>
    <w:rsid w:val="00955EE2"/>
    <w:rsid w:val="0095649B"/>
    <w:rsid w:val="009567D3"/>
    <w:rsid w:val="009569E6"/>
    <w:rsid w:val="00956AC9"/>
    <w:rsid w:val="00956D23"/>
    <w:rsid w:val="0095718B"/>
    <w:rsid w:val="009571E0"/>
    <w:rsid w:val="00957329"/>
    <w:rsid w:val="00957774"/>
    <w:rsid w:val="0096074B"/>
    <w:rsid w:val="00960FA0"/>
    <w:rsid w:val="00961021"/>
    <w:rsid w:val="00961680"/>
    <w:rsid w:val="00961AC6"/>
    <w:rsid w:val="00961C89"/>
    <w:rsid w:val="00962145"/>
    <w:rsid w:val="0096227D"/>
    <w:rsid w:val="00962400"/>
    <w:rsid w:val="0096270E"/>
    <w:rsid w:val="009627A2"/>
    <w:rsid w:val="00962B10"/>
    <w:rsid w:val="00962BF1"/>
    <w:rsid w:val="00962F58"/>
    <w:rsid w:val="00963BE5"/>
    <w:rsid w:val="009645BD"/>
    <w:rsid w:val="00965927"/>
    <w:rsid w:val="00965ADB"/>
    <w:rsid w:val="009663D1"/>
    <w:rsid w:val="009663E2"/>
    <w:rsid w:val="00966718"/>
    <w:rsid w:val="00966FF9"/>
    <w:rsid w:val="00967C1D"/>
    <w:rsid w:val="00970290"/>
    <w:rsid w:val="009704A3"/>
    <w:rsid w:val="00970B5C"/>
    <w:rsid w:val="00970E0A"/>
    <w:rsid w:val="00970F7D"/>
    <w:rsid w:val="00971596"/>
    <w:rsid w:val="0097176F"/>
    <w:rsid w:val="00971783"/>
    <w:rsid w:val="00972CB6"/>
    <w:rsid w:val="00972EA2"/>
    <w:rsid w:val="0097306E"/>
    <w:rsid w:val="009732BB"/>
    <w:rsid w:val="0097334A"/>
    <w:rsid w:val="00973F00"/>
    <w:rsid w:val="00973F4F"/>
    <w:rsid w:val="00974300"/>
    <w:rsid w:val="0097445C"/>
    <w:rsid w:val="00974748"/>
    <w:rsid w:val="009747ED"/>
    <w:rsid w:val="00974998"/>
    <w:rsid w:val="00974B85"/>
    <w:rsid w:val="00974C40"/>
    <w:rsid w:val="00974F7F"/>
    <w:rsid w:val="0097510E"/>
    <w:rsid w:val="009751D0"/>
    <w:rsid w:val="0097632F"/>
    <w:rsid w:val="0097673E"/>
    <w:rsid w:val="00977A31"/>
    <w:rsid w:val="009802DD"/>
    <w:rsid w:val="00980529"/>
    <w:rsid w:val="00981529"/>
    <w:rsid w:val="00981806"/>
    <w:rsid w:val="009821FB"/>
    <w:rsid w:val="009821FF"/>
    <w:rsid w:val="00982410"/>
    <w:rsid w:val="009824D2"/>
    <w:rsid w:val="00982A51"/>
    <w:rsid w:val="00982C87"/>
    <w:rsid w:val="0098323B"/>
    <w:rsid w:val="0098352E"/>
    <w:rsid w:val="00983939"/>
    <w:rsid w:val="00983A60"/>
    <w:rsid w:val="00983D71"/>
    <w:rsid w:val="009849A8"/>
    <w:rsid w:val="00984B95"/>
    <w:rsid w:val="009853E8"/>
    <w:rsid w:val="00985579"/>
    <w:rsid w:val="00985BA6"/>
    <w:rsid w:val="00986395"/>
    <w:rsid w:val="009868EA"/>
    <w:rsid w:val="0098693A"/>
    <w:rsid w:val="00987112"/>
    <w:rsid w:val="009874CA"/>
    <w:rsid w:val="00987796"/>
    <w:rsid w:val="009877CA"/>
    <w:rsid w:val="0098795E"/>
    <w:rsid w:val="00987C65"/>
    <w:rsid w:val="0099096C"/>
    <w:rsid w:val="009909FD"/>
    <w:rsid w:val="00990BC5"/>
    <w:rsid w:val="00990F81"/>
    <w:rsid w:val="00991258"/>
    <w:rsid w:val="00991C08"/>
    <w:rsid w:val="009931FF"/>
    <w:rsid w:val="009933F6"/>
    <w:rsid w:val="00993532"/>
    <w:rsid w:val="009936B9"/>
    <w:rsid w:val="00993FCA"/>
    <w:rsid w:val="009947A6"/>
    <w:rsid w:val="009955C1"/>
    <w:rsid w:val="009969EF"/>
    <w:rsid w:val="00996A3A"/>
    <w:rsid w:val="00997159"/>
    <w:rsid w:val="00997205"/>
    <w:rsid w:val="00997525"/>
    <w:rsid w:val="009977C0"/>
    <w:rsid w:val="0099783A"/>
    <w:rsid w:val="00997B7F"/>
    <w:rsid w:val="00997D83"/>
    <w:rsid w:val="009A0372"/>
    <w:rsid w:val="009A15FD"/>
    <w:rsid w:val="009A1707"/>
    <w:rsid w:val="009A1B69"/>
    <w:rsid w:val="009A1BB8"/>
    <w:rsid w:val="009A281C"/>
    <w:rsid w:val="009A2CA5"/>
    <w:rsid w:val="009A303A"/>
    <w:rsid w:val="009A32B5"/>
    <w:rsid w:val="009A32CE"/>
    <w:rsid w:val="009A4687"/>
    <w:rsid w:val="009A59FA"/>
    <w:rsid w:val="009A5B64"/>
    <w:rsid w:val="009B0CA0"/>
    <w:rsid w:val="009B1C7B"/>
    <w:rsid w:val="009B1CE8"/>
    <w:rsid w:val="009B28E3"/>
    <w:rsid w:val="009B2FEC"/>
    <w:rsid w:val="009B33B4"/>
    <w:rsid w:val="009B37A7"/>
    <w:rsid w:val="009B3C65"/>
    <w:rsid w:val="009B3F73"/>
    <w:rsid w:val="009B4C49"/>
    <w:rsid w:val="009B57C7"/>
    <w:rsid w:val="009B594B"/>
    <w:rsid w:val="009B5E98"/>
    <w:rsid w:val="009B6185"/>
    <w:rsid w:val="009B69EC"/>
    <w:rsid w:val="009B6A80"/>
    <w:rsid w:val="009B6E62"/>
    <w:rsid w:val="009B737C"/>
    <w:rsid w:val="009C0684"/>
    <w:rsid w:val="009C0C38"/>
    <w:rsid w:val="009C0C7C"/>
    <w:rsid w:val="009C0D1A"/>
    <w:rsid w:val="009C0F4F"/>
    <w:rsid w:val="009C139D"/>
    <w:rsid w:val="009C142B"/>
    <w:rsid w:val="009C1459"/>
    <w:rsid w:val="009C20B4"/>
    <w:rsid w:val="009C22BE"/>
    <w:rsid w:val="009C2677"/>
    <w:rsid w:val="009C2BF0"/>
    <w:rsid w:val="009C2D1A"/>
    <w:rsid w:val="009C4608"/>
    <w:rsid w:val="009C4C5E"/>
    <w:rsid w:val="009C52CC"/>
    <w:rsid w:val="009C5434"/>
    <w:rsid w:val="009C5586"/>
    <w:rsid w:val="009C55BA"/>
    <w:rsid w:val="009C5D9D"/>
    <w:rsid w:val="009C6279"/>
    <w:rsid w:val="009C62BC"/>
    <w:rsid w:val="009C63CA"/>
    <w:rsid w:val="009C709D"/>
    <w:rsid w:val="009C7161"/>
    <w:rsid w:val="009C78D0"/>
    <w:rsid w:val="009D0644"/>
    <w:rsid w:val="009D0C3B"/>
    <w:rsid w:val="009D112B"/>
    <w:rsid w:val="009D16F0"/>
    <w:rsid w:val="009D24C0"/>
    <w:rsid w:val="009D331F"/>
    <w:rsid w:val="009D3821"/>
    <w:rsid w:val="009D3BA5"/>
    <w:rsid w:val="009D3C93"/>
    <w:rsid w:val="009D4177"/>
    <w:rsid w:val="009D4839"/>
    <w:rsid w:val="009D4A19"/>
    <w:rsid w:val="009D5111"/>
    <w:rsid w:val="009D69C0"/>
    <w:rsid w:val="009D762D"/>
    <w:rsid w:val="009E0003"/>
    <w:rsid w:val="009E02EE"/>
    <w:rsid w:val="009E03F9"/>
    <w:rsid w:val="009E0A11"/>
    <w:rsid w:val="009E0C94"/>
    <w:rsid w:val="009E0F33"/>
    <w:rsid w:val="009E1147"/>
    <w:rsid w:val="009E1341"/>
    <w:rsid w:val="009E18A1"/>
    <w:rsid w:val="009E1AEC"/>
    <w:rsid w:val="009E1CF6"/>
    <w:rsid w:val="009E2724"/>
    <w:rsid w:val="009E32EB"/>
    <w:rsid w:val="009E3769"/>
    <w:rsid w:val="009E38B6"/>
    <w:rsid w:val="009E39BC"/>
    <w:rsid w:val="009E3BDC"/>
    <w:rsid w:val="009E3E56"/>
    <w:rsid w:val="009E4050"/>
    <w:rsid w:val="009E423C"/>
    <w:rsid w:val="009E482D"/>
    <w:rsid w:val="009E5EF4"/>
    <w:rsid w:val="009E63FC"/>
    <w:rsid w:val="009E6CD1"/>
    <w:rsid w:val="009E70C3"/>
    <w:rsid w:val="009E7D7A"/>
    <w:rsid w:val="009E7FBA"/>
    <w:rsid w:val="009F038E"/>
    <w:rsid w:val="009F039D"/>
    <w:rsid w:val="009F08BB"/>
    <w:rsid w:val="009F1B88"/>
    <w:rsid w:val="009F1D2A"/>
    <w:rsid w:val="009F1F02"/>
    <w:rsid w:val="009F1F15"/>
    <w:rsid w:val="009F2B54"/>
    <w:rsid w:val="009F2E60"/>
    <w:rsid w:val="009F2EFC"/>
    <w:rsid w:val="009F3E43"/>
    <w:rsid w:val="009F44B0"/>
    <w:rsid w:val="009F479B"/>
    <w:rsid w:val="009F49B2"/>
    <w:rsid w:val="009F5D90"/>
    <w:rsid w:val="009F6716"/>
    <w:rsid w:val="009F6ECC"/>
    <w:rsid w:val="009F7C0C"/>
    <w:rsid w:val="00A0001D"/>
    <w:rsid w:val="00A00CA0"/>
    <w:rsid w:val="00A00FFE"/>
    <w:rsid w:val="00A01310"/>
    <w:rsid w:val="00A015DF"/>
    <w:rsid w:val="00A016D2"/>
    <w:rsid w:val="00A019F7"/>
    <w:rsid w:val="00A021DC"/>
    <w:rsid w:val="00A0276B"/>
    <w:rsid w:val="00A02B63"/>
    <w:rsid w:val="00A02EC7"/>
    <w:rsid w:val="00A03C88"/>
    <w:rsid w:val="00A0511D"/>
    <w:rsid w:val="00A05BEC"/>
    <w:rsid w:val="00A05ED9"/>
    <w:rsid w:val="00A0619A"/>
    <w:rsid w:val="00A0684D"/>
    <w:rsid w:val="00A068E2"/>
    <w:rsid w:val="00A06A96"/>
    <w:rsid w:val="00A06FDB"/>
    <w:rsid w:val="00A075AD"/>
    <w:rsid w:val="00A07CBA"/>
    <w:rsid w:val="00A07D98"/>
    <w:rsid w:val="00A1045E"/>
    <w:rsid w:val="00A1069D"/>
    <w:rsid w:val="00A111BC"/>
    <w:rsid w:val="00A115C6"/>
    <w:rsid w:val="00A11990"/>
    <w:rsid w:val="00A119E2"/>
    <w:rsid w:val="00A13860"/>
    <w:rsid w:val="00A139DB"/>
    <w:rsid w:val="00A13E1C"/>
    <w:rsid w:val="00A1423C"/>
    <w:rsid w:val="00A14587"/>
    <w:rsid w:val="00A1471E"/>
    <w:rsid w:val="00A1496B"/>
    <w:rsid w:val="00A14E30"/>
    <w:rsid w:val="00A151C1"/>
    <w:rsid w:val="00A151CE"/>
    <w:rsid w:val="00A15615"/>
    <w:rsid w:val="00A157B3"/>
    <w:rsid w:val="00A15F56"/>
    <w:rsid w:val="00A16567"/>
    <w:rsid w:val="00A1680A"/>
    <w:rsid w:val="00A16EC0"/>
    <w:rsid w:val="00A1759D"/>
    <w:rsid w:val="00A207D9"/>
    <w:rsid w:val="00A222AC"/>
    <w:rsid w:val="00A22778"/>
    <w:rsid w:val="00A22DF9"/>
    <w:rsid w:val="00A241E1"/>
    <w:rsid w:val="00A24760"/>
    <w:rsid w:val="00A24F26"/>
    <w:rsid w:val="00A2501C"/>
    <w:rsid w:val="00A25B29"/>
    <w:rsid w:val="00A2611E"/>
    <w:rsid w:val="00A26994"/>
    <w:rsid w:val="00A26BB8"/>
    <w:rsid w:val="00A26D6D"/>
    <w:rsid w:val="00A26D77"/>
    <w:rsid w:val="00A273BB"/>
    <w:rsid w:val="00A2755A"/>
    <w:rsid w:val="00A27B9E"/>
    <w:rsid w:val="00A303A5"/>
    <w:rsid w:val="00A30DFF"/>
    <w:rsid w:val="00A31AF8"/>
    <w:rsid w:val="00A31CFE"/>
    <w:rsid w:val="00A3271A"/>
    <w:rsid w:val="00A327EE"/>
    <w:rsid w:val="00A32F00"/>
    <w:rsid w:val="00A33425"/>
    <w:rsid w:val="00A33C19"/>
    <w:rsid w:val="00A33DE1"/>
    <w:rsid w:val="00A34F0F"/>
    <w:rsid w:val="00A355FD"/>
    <w:rsid w:val="00A35656"/>
    <w:rsid w:val="00A35A04"/>
    <w:rsid w:val="00A36D49"/>
    <w:rsid w:val="00A40243"/>
    <w:rsid w:val="00A40BD4"/>
    <w:rsid w:val="00A40F1C"/>
    <w:rsid w:val="00A4103B"/>
    <w:rsid w:val="00A41138"/>
    <w:rsid w:val="00A41692"/>
    <w:rsid w:val="00A41C76"/>
    <w:rsid w:val="00A41DFE"/>
    <w:rsid w:val="00A41E90"/>
    <w:rsid w:val="00A425F4"/>
    <w:rsid w:val="00A42CE7"/>
    <w:rsid w:val="00A42CEF"/>
    <w:rsid w:val="00A42E99"/>
    <w:rsid w:val="00A42F24"/>
    <w:rsid w:val="00A430C7"/>
    <w:rsid w:val="00A43206"/>
    <w:rsid w:val="00A43667"/>
    <w:rsid w:val="00A43804"/>
    <w:rsid w:val="00A43A4D"/>
    <w:rsid w:val="00A43A52"/>
    <w:rsid w:val="00A43A65"/>
    <w:rsid w:val="00A43C75"/>
    <w:rsid w:val="00A43E5C"/>
    <w:rsid w:val="00A43ED5"/>
    <w:rsid w:val="00A44232"/>
    <w:rsid w:val="00A448A3"/>
    <w:rsid w:val="00A44CFB"/>
    <w:rsid w:val="00A45837"/>
    <w:rsid w:val="00A459B1"/>
    <w:rsid w:val="00A45B37"/>
    <w:rsid w:val="00A50503"/>
    <w:rsid w:val="00A50ADC"/>
    <w:rsid w:val="00A50F47"/>
    <w:rsid w:val="00A511CF"/>
    <w:rsid w:val="00A515EB"/>
    <w:rsid w:val="00A51F8C"/>
    <w:rsid w:val="00A52362"/>
    <w:rsid w:val="00A527A9"/>
    <w:rsid w:val="00A52AEC"/>
    <w:rsid w:val="00A5300C"/>
    <w:rsid w:val="00A53F5A"/>
    <w:rsid w:val="00A54429"/>
    <w:rsid w:val="00A544CD"/>
    <w:rsid w:val="00A55C6D"/>
    <w:rsid w:val="00A563C4"/>
    <w:rsid w:val="00A567F9"/>
    <w:rsid w:val="00A568AB"/>
    <w:rsid w:val="00A568C8"/>
    <w:rsid w:val="00A56B6E"/>
    <w:rsid w:val="00A5777F"/>
    <w:rsid w:val="00A57ADF"/>
    <w:rsid w:val="00A57DD1"/>
    <w:rsid w:val="00A60A7D"/>
    <w:rsid w:val="00A61616"/>
    <w:rsid w:val="00A61A48"/>
    <w:rsid w:val="00A61E39"/>
    <w:rsid w:val="00A62DA7"/>
    <w:rsid w:val="00A63823"/>
    <w:rsid w:val="00A63DCF"/>
    <w:rsid w:val="00A63E46"/>
    <w:rsid w:val="00A63F41"/>
    <w:rsid w:val="00A645D5"/>
    <w:rsid w:val="00A647C7"/>
    <w:rsid w:val="00A64F95"/>
    <w:rsid w:val="00A65019"/>
    <w:rsid w:val="00A6517C"/>
    <w:rsid w:val="00A654EE"/>
    <w:rsid w:val="00A6562F"/>
    <w:rsid w:val="00A65C76"/>
    <w:rsid w:val="00A65F72"/>
    <w:rsid w:val="00A6661A"/>
    <w:rsid w:val="00A66914"/>
    <w:rsid w:val="00A66B32"/>
    <w:rsid w:val="00A66BAD"/>
    <w:rsid w:val="00A671EF"/>
    <w:rsid w:val="00A672FB"/>
    <w:rsid w:val="00A67521"/>
    <w:rsid w:val="00A67771"/>
    <w:rsid w:val="00A67ECA"/>
    <w:rsid w:val="00A70140"/>
    <w:rsid w:val="00A70F7D"/>
    <w:rsid w:val="00A7106E"/>
    <w:rsid w:val="00A71B97"/>
    <w:rsid w:val="00A73F95"/>
    <w:rsid w:val="00A74222"/>
    <w:rsid w:val="00A74241"/>
    <w:rsid w:val="00A74795"/>
    <w:rsid w:val="00A74945"/>
    <w:rsid w:val="00A74F6D"/>
    <w:rsid w:val="00A7552D"/>
    <w:rsid w:val="00A756EC"/>
    <w:rsid w:val="00A75C0B"/>
    <w:rsid w:val="00A75C5A"/>
    <w:rsid w:val="00A7672F"/>
    <w:rsid w:val="00A777E9"/>
    <w:rsid w:val="00A778D7"/>
    <w:rsid w:val="00A77A50"/>
    <w:rsid w:val="00A80213"/>
    <w:rsid w:val="00A80460"/>
    <w:rsid w:val="00A80AAF"/>
    <w:rsid w:val="00A80EB4"/>
    <w:rsid w:val="00A81258"/>
    <w:rsid w:val="00A812B5"/>
    <w:rsid w:val="00A81463"/>
    <w:rsid w:val="00A8150D"/>
    <w:rsid w:val="00A81AE6"/>
    <w:rsid w:val="00A8209D"/>
    <w:rsid w:val="00A82BBF"/>
    <w:rsid w:val="00A83EAD"/>
    <w:rsid w:val="00A83FE2"/>
    <w:rsid w:val="00A84043"/>
    <w:rsid w:val="00A841E0"/>
    <w:rsid w:val="00A851FF"/>
    <w:rsid w:val="00A85286"/>
    <w:rsid w:val="00A85F10"/>
    <w:rsid w:val="00A85F51"/>
    <w:rsid w:val="00A8603E"/>
    <w:rsid w:val="00A86B9E"/>
    <w:rsid w:val="00A87ABF"/>
    <w:rsid w:val="00A87BB7"/>
    <w:rsid w:val="00A87CF3"/>
    <w:rsid w:val="00A91165"/>
    <w:rsid w:val="00A918D6"/>
    <w:rsid w:val="00A91E11"/>
    <w:rsid w:val="00A91FAE"/>
    <w:rsid w:val="00A92C9F"/>
    <w:rsid w:val="00A9324A"/>
    <w:rsid w:val="00A93775"/>
    <w:rsid w:val="00A93D35"/>
    <w:rsid w:val="00A93D86"/>
    <w:rsid w:val="00A94946"/>
    <w:rsid w:val="00A9498C"/>
    <w:rsid w:val="00A95352"/>
    <w:rsid w:val="00A957F3"/>
    <w:rsid w:val="00A95CE9"/>
    <w:rsid w:val="00A95DBB"/>
    <w:rsid w:val="00A95E9E"/>
    <w:rsid w:val="00A963F0"/>
    <w:rsid w:val="00A96C32"/>
    <w:rsid w:val="00A97029"/>
    <w:rsid w:val="00A972E9"/>
    <w:rsid w:val="00A97600"/>
    <w:rsid w:val="00AA00EC"/>
    <w:rsid w:val="00AA054E"/>
    <w:rsid w:val="00AA05D7"/>
    <w:rsid w:val="00AA1191"/>
    <w:rsid w:val="00AA16FB"/>
    <w:rsid w:val="00AA2B82"/>
    <w:rsid w:val="00AA2F18"/>
    <w:rsid w:val="00AA33A7"/>
    <w:rsid w:val="00AA3766"/>
    <w:rsid w:val="00AA3907"/>
    <w:rsid w:val="00AA5100"/>
    <w:rsid w:val="00AA5397"/>
    <w:rsid w:val="00AA5444"/>
    <w:rsid w:val="00AA55BC"/>
    <w:rsid w:val="00AA5642"/>
    <w:rsid w:val="00AA5AC7"/>
    <w:rsid w:val="00AA5B47"/>
    <w:rsid w:val="00AA5D69"/>
    <w:rsid w:val="00AA6482"/>
    <w:rsid w:val="00AA64E6"/>
    <w:rsid w:val="00AA66A6"/>
    <w:rsid w:val="00AA6F20"/>
    <w:rsid w:val="00AB0901"/>
    <w:rsid w:val="00AB0AD4"/>
    <w:rsid w:val="00AB2475"/>
    <w:rsid w:val="00AB369F"/>
    <w:rsid w:val="00AB376D"/>
    <w:rsid w:val="00AB3795"/>
    <w:rsid w:val="00AB3BB2"/>
    <w:rsid w:val="00AB49DE"/>
    <w:rsid w:val="00AB4D07"/>
    <w:rsid w:val="00AB5C80"/>
    <w:rsid w:val="00AB67E1"/>
    <w:rsid w:val="00AB71E9"/>
    <w:rsid w:val="00AB7892"/>
    <w:rsid w:val="00AC03C0"/>
    <w:rsid w:val="00AC05AA"/>
    <w:rsid w:val="00AC089E"/>
    <w:rsid w:val="00AC0D7B"/>
    <w:rsid w:val="00AC107E"/>
    <w:rsid w:val="00AC13E5"/>
    <w:rsid w:val="00AC1431"/>
    <w:rsid w:val="00AC1841"/>
    <w:rsid w:val="00AC1886"/>
    <w:rsid w:val="00AC2794"/>
    <w:rsid w:val="00AC2EC2"/>
    <w:rsid w:val="00AC357A"/>
    <w:rsid w:val="00AC37D4"/>
    <w:rsid w:val="00AC383A"/>
    <w:rsid w:val="00AC3A52"/>
    <w:rsid w:val="00AC4D2A"/>
    <w:rsid w:val="00AC4F35"/>
    <w:rsid w:val="00AC4FBF"/>
    <w:rsid w:val="00AC6A60"/>
    <w:rsid w:val="00AC6C35"/>
    <w:rsid w:val="00AC73F0"/>
    <w:rsid w:val="00AC74BD"/>
    <w:rsid w:val="00AC7879"/>
    <w:rsid w:val="00AC79B7"/>
    <w:rsid w:val="00AC7F7A"/>
    <w:rsid w:val="00AD03B8"/>
    <w:rsid w:val="00AD28EA"/>
    <w:rsid w:val="00AD2DFF"/>
    <w:rsid w:val="00AD30E2"/>
    <w:rsid w:val="00AD3C4A"/>
    <w:rsid w:val="00AD4181"/>
    <w:rsid w:val="00AD4533"/>
    <w:rsid w:val="00AD4722"/>
    <w:rsid w:val="00AD47E2"/>
    <w:rsid w:val="00AD60B3"/>
    <w:rsid w:val="00AD7333"/>
    <w:rsid w:val="00AD7970"/>
    <w:rsid w:val="00AD7C0D"/>
    <w:rsid w:val="00AE0425"/>
    <w:rsid w:val="00AE098D"/>
    <w:rsid w:val="00AE0F23"/>
    <w:rsid w:val="00AE1326"/>
    <w:rsid w:val="00AE13E0"/>
    <w:rsid w:val="00AE2B4B"/>
    <w:rsid w:val="00AE365A"/>
    <w:rsid w:val="00AE6060"/>
    <w:rsid w:val="00AE62C3"/>
    <w:rsid w:val="00AE6910"/>
    <w:rsid w:val="00AE7A3C"/>
    <w:rsid w:val="00AE7F95"/>
    <w:rsid w:val="00AF00F1"/>
    <w:rsid w:val="00AF0AFF"/>
    <w:rsid w:val="00AF15DE"/>
    <w:rsid w:val="00AF2022"/>
    <w:rsid w:val="00AF304C"/>
    <w:rsid w:val="00AF30A1"/>
    <w:rsid w:val="00AF3895"/>
    <w:rsid w:val="00AF4214"/>
    <w:rsid w:val="00AF43CC"/>
    <w:rsid w:val="00AF4518"/>
    <w:rsid w:val="00AF4CDD"/>
    <w:rsid w:val="00AF516F"/>
    <w:rsid w:val="00AF5B43"/>
    <w:rsid w:val="00AF5B48"/>
    <w:rsid w:val="00AF5E1A"/>
    <w:rsid w:val="00AF60D8"/>
    <w:rsid w:val="00AF6367"/>
    <w:rsid w:val="00AF652D"/>
    <w:rsid w:val="00AF664A"/>
    <w:rsid w:val="00AF6A8A"/>
    <w:rsid w:val="00AF6B9E"/>
    <w:rsid w:val="00AF6E1C"/>
    <w:rsid w:val="00AF7448"/>
    <w:rsid w:val="00AF74E1"/>
    <w:rsid w:val="00AF7804"/>
    <w:rsid w:val="00AF7D93"/>
    <w:rsid w:val="00AF7DDE"/>
    <w:rsid w:val="00B00845"/>
    <w:rsid w:val="00B00F08"/>
    <w:rsid w:val="00B012C2"/>
    <w:rsid w:val="00B01E4E"/>
    <w:rsid w:val="00B020B7"/>
    <w:rsid w:val="00B02E6B"/>
    <w:rsid w:val="00B030D2"/>
    <w:rsid w:val="00B0316A"/>
    <w:rsid w:val="00B037D0"/>
    <w:rsid w:val="00B03884"/>
    <w:rsid w:val="00B03C70"/>
    <w:rsid w:val="00B03DBA"/>
    <w:rsid w:val="00B03ECB"/>
    <w:rsid w:val="00B04CD9"/>
    <w:rsid w:val="00B050FA"/>
    <w:rsid w:val="00B053F0"/>
    <w:rsid w:val="00B05F5D"/>
    <w:rsid w:val="00B06229"/>
    <w:rsid w:val="00B06A31"/>
    <w:rsid w:val="00B07292"/>
    <w:rsid w:val="00B075C2"/>
    <w:rsid w:val="00B07A1A"/>
    <w:rsid w:val="00B102BB"/>
    <w:rsid w:val="00B103D8"/>
    <w:rsid w:val="00B10508"/>
    <w:rsid w:val="00B106F0"/>
    <w:rsid w:val="00B10728"/>
    <w:rsid w:val="00B1180B"/>
    <w:rsid w:val="00B11F67"/>
    <w:rsid w:val="00B12353"/>
    <w:rsid w:val="00B1321C"/>
    <w:rsid w:val="00B13503"/>
    <w:rsid w:val="00B1366C"/>
    <w:rsid w:val="00B13AAA"/>
    <w:rsid w:val="00B13B1A"/>
    <w:rsid w:val="00B13CD7"/>
    <w:rsid w:val="00B14418"/>
    <w:rsid w:val="00B14587"/>
    <w:rsid w:val="00B145D5"/>
    <w:rsid w:val="00B14B2F"/>
    <w:rsid w:val="00B14F99"/>
    <w:rsid w:val="00B153EA"/>
    <w:rsid w:val="00B1560D"/>
    <w:rsid w:val="00B15672"/>
    <w:rsid w:val="00B15BCA"/>
    <w:rsid w:val="00B15C64"/>
    <w:rsid w:val="00B16C99"/>
    <w:rsid w:val="00B16D1D"/>
    <w:rsid w:val="00B16F9D"/>
    <w:rsid w:val="00B17858"/>
    <w:rsid w:val="00B17CCB"/>
    <w:rsid w:val="00B20B10"/>
    <w:rsid w:val="00B20DAF"/>
    <w:rsid w:val="00B2171A"/>
    <w:rsid w:val="00B2253F"/>
    <w:rsid w:val="00B233CF"/>
    <w:rsid w:val="00B24068"/>
    <w:rsid w:val="00B2547C"/>
    <w:rsid w:val="00B25FEA"/>
    <w:rsid w:val="00B2647D"/>
    <w:rsid w:val="00B27E5D"/>
    <w:rsid w:val="00B30598"/>
    <w:rsid w:val="00B30D28"/>
    <w:rsid w:val="00B31277"/>
    <w:rsid w:val="00B31540"/>
    <w:rsid w:val="00B31D4A"/>
    <w:rsid w:val="00B321AF"/>
    <w:rsid w:val="00B3289E"/>
    <w:rsid w:val="00B32A26"/>
    <w:rsid w:val="00B330A9"/>
    <w:rsid w:val="00B33BD3"/>
    <w:rsid w:val="00B33DD8"/>
    <w:rsid w:val="00B3488A"/>
    <w:rsid w:val="00B35112"/>
    <w:rsid w:val="00B35301"/>
    <w:rsid w:val="00B35658"/>
    <w:rsid w:val="00B36599"/>
    <w:rsid w:val="00B36753"/>
    <w:rsid w:val="00B36A65"/>
    <w:rsid w:val="00B36A8C"/>
    <w:rsid w:val="00B375D8"/>
    <w:rsid w:val="00B3768E"/>
    <w:rsid w:val="00B40054"/>
    <w:rsid w:val="00B400DE"/>
    <w:rsid w:val="00B4093A"/>
    <w:rsid w:val="00B40B25"/>
    <w:rsid w:val="00B4190F"/>
    <w:rsid w:val="00B41B27"/>
    <w:rsid w:val="00B42A98"/>
    <w:rsid w:val="00B42B05"/>
    <w:rsid w:val="00B436AF"/>
    <w:rsid w:val="00B437AD"/>
    <w:rsid w:val="00B44CF4"/>
    <w:rsid w:val="00B44F95"/>
    <w:rsid w:val="00B45023"/>
    <w:rsid w:val="00B45039"/>
    <w:rsid w:val="00B45061"/>
    <w:rsid w:val="00B46795"/>
    <w:rsid w:val="00B46796"/>
    <w:rsid w:val="00B46851"/>
    <w:rsid w:val="00B517B2"/>
    <w:rsid w:val="00B526DE"/>
    <w:rsid w:val="00B52789"/>
    <w:rsid w:val="00B527A6"/>
    <w:rsid w:val="00B527CD"/>
    <w:rsid w:val="00B532BA"/>
    <w:rsid w:val="00B5359E"/>
    <w:rsid w:val="00B53FCC"/>
    <w:rsid w:val="00B54829"/>
    <w:rsid w:val="00B54D49"/>
    <w:rsid w:val="00B55548"/>
    <w:rsid w:val="00B55853"/>
    <w:rsid w:val="00B55B7D"/>
    <w:rsid w:val="00B55F35"/>
    <w:rsid w:val="00B562EE"/>
    <w:rsid w:val="00B56F0B"/>
    <w:rsid w:val="00B577FD"/>
    <w:rsid w:val="00B57C11"/>
    <w:rsid w:val="00B60172"/>
    <w:rsid w:val="00B604FE"/>
    <w:rsid w:val="00B6086E"/>
    <w:rsid w:val="00B61DEB"/>
    <w:rsid w:val="00B62099"/>
    <w:rsid w:val="00B629F5"/>
    <w:rsid w:val="00B62C79"/>
    <w:rsid w:val="00B631A2"/>
    <w:rsid w:val="00B63216"/>
    <w:rsid w:val="00B63352"/>
    <w:rsid w:val="00B6363D"/>
    <w:rsid w:val="00B63C80"/>
    <w:rsid w:val="00B646E9"/>
    <w:rsid w:val="00B64749"/>
    <w:rsid w:val="00B64F8D"/>
    <w:rsid w:val="00B65A94"/>
    <w:rsid w:val="00B6600D"/>
    <w:rsid w:val="00B66FF2"/>
    <w:rsid w:val="00B672D2"/>
    <w:rsid w:val="00B676AE"/>
    <w:rsid w:val="00B70001"/>
    <w:rsid w:val="00B70EDD"/>
    <w:rsid w:val="00B71E2A"/>
    <w:rsid w:val="00B72986"/>
    <w:rsid w:val="00B729FA"/>
    <w:rsid w:val="00B72B48"/>
    <w:rsid w:val="00B72E78"/>
    <w:rsid w:val="00B7349C"/>
    <w:rsid w:val="00B7412D"/>
    <w:rsid w:val="00B7458E"/>
    <w:rsid w:val="00B759A9"/>
    <w:rsid w:val="00B75FDC"/>
    <w:rsid w:val="00B76734"/>
    <w:rsid w:val="00B76D9F"/>
    <w:rsid w:val="00B7703B"/>
    <w:rsid w:val="00B772A9"/>
    <w:rsid w:val="00B77BCF"/>
    <w:rsid w:val="00B803D8"/>
    <w:rsid w:val="00B80CE8"/>
    <w:rsid w:val="00B80EF0"/>
    <w:rsid w:val="00B8117F"/>
    <w:rsid w:val="00B81A2F"/>
    <w:rsid w:val="00B82CCB"/>
    <w:rsid w:val="00B82FC3"/>
    <w:rsid w:val="00B83521"/>
    <w:rsid w:val="00B84678"/>
    <w:rsid w:val="00B84F53"/>
    <w:rsid w:val="00B858E2"/>
    <w:rsid w:val="00B864B7"/>
    <w:rsid w:val="00B86CDB"/>
    <w:rsid w:val="00B86EDD"/>
    <w:rsid w:val="00B87297"/>
    <w:rsid w:val="00B87D3B"/>
    <w:rsid w:val="00B87D8A"/>
    <w:rsid w:val="00B901AA"/>
    <w:rsid w:val="00B903E7"/>
    <w:rsid w:val="00B909C7"/>
    <w:rsid w:val="00B90F81"/>
    <w:rsid w:val="00B91310"/>
    <w:rsid w:val="00B91656"/>
    <w:rsid w:val="00B91890"/>
    <w:rsid w:val="00B91BC8"/>
    <w:rsid w:val="00B91F9D"/>
    <w:rsid w:val="00B91FD0"/>
    <w:rsid w:val="00B92E6F"/>
    <w:rsid w:val="00B93005"/>
    <w:rsid w:val="00B93172"/>
    <w:rsid w:val="00B933A7"/>
    <w:rsid w:val="00B93D69"/>
    <w:rsid w:val="00B9440F"/>
    <w:rsid w:val="00B94D50"/>
    <w:rsid w:val="00B95447"/>
    <w:rsid w:val="00B95576"/>
    <w:rsid w:val="00B95F93"/>
    <w:rsid w:val="00B96FCE"/>
    <w:rsid w:val="00B97DD3"/>
    <w:rsid w:val="00B97E71"/>
    <w:rsid w:val="00B97F2B"/>
    <w:rsid w:val="00BA0708"/>
    <w:rsid w:val="00BA09E1"/>
    <w:rsid w:val="00BA0A0D"/>
    <w:rsid w:val="00BA1143"/>
    <w:rsid w:val="00BA1E41"/>
    <w:rsid w:val="00BA23D7"/>
    <w:rsid w:val="00BA2685"/>
    <w:rsid w:val="00BA2C69"/>
    <w:rsid w:val="00BA2FB6"/>
    <w:rsid w:val="00BA35FB"/>
    <w:rsid w:val="00BA450D"/>
    <w:rsid w:val="00BA4678"/>
    <w:rsid w:val="00BA46A2"/>
    <w:rsid w:val="00BA556C"/>
    <w:rsid w:val="00BA6174"/>
    <w:rsid w:val="00BA6BB9"/>
    <w:rsid w:val="00BA7487"/>
    <w:rsid w:val="00BA7796"/>
    <w:rsid w:val="00BB096E"/>
    <w:rsid w:val="00BB1145"/>
    <w:rsid w:val="00BB1827"/>
    <w:rsid w:val="00BB25C1"/>
    <w:rsid w:val="00BB2672"/>
    <w:rsid w:val="00BB4215"/>
    <w:rsid w:val="00BB477A"/>
    <w:rsid w:val="00BB574E"/>
    <w:rsid w:val="00BB61FA"/>
    <w:rsid w:val="00BB6ADC"/>
    <w:rsid w:val="00BB6F9C"/>
    <w:rsid w:val="00BB7347"/>
    <w:rsid w:val="00BB7C41"/>
    <w:rsid w:val="00BC00B0"/>
    <w:rsid w:val="00BC03F7"/>
    <w:rsid w:val="00BC07D4"/>
    <w:rsid w:val="00BC0D1C"/>
    <w:rsid w:val="00BC12EE"/>
    <w:rsid w:val="00BC25B1"/>
    <w:rsid w:val="00BC2622"/>
    <w:rsid w:val="00BC28B4"/>
    <w:rsid w:val="00BC35D5"/>
    <w:rsid w:val="00BC3BFF"/>
    <w:rsid w:val="00BC3DC5"/>
    <w:rsid w:val="00BC4026"/>
    <w:rsid w:val="00BC4496"/>
    <w:rsid w:val="00BC5EFA"/>
    <w:rsid w:val="00BC5FCF"/>
    <w:rsid w:val="00BC62D0"/>
    <w:rsid w:val="00BC63DB"/>
    <w:rsid w:val="00BC69F9"/>
    <w:rsid w:val="00BC7708"/>
    <w:rsid w:val="00BD1050"/>
    <w:rsid w:val="00BD168B"/>
    <w:rsid w:val="00BD1724"/>
    <w:rsid w:val="00BD2272"/>
    <w:rsid w:val="00BD2296"/>
    <w:rsid w:val="00BD276E"/>
    <w:rsid w:val="00BD2A22"/>
    <w:rsid w:val="00BD2B57"/>
    <w:rsid w:val="00BD37E7"/>
    <w:rsid w:val="00BD4DAE"/>
    <w:rsid w:val="00BD51AC"/>
    <w:rsid w:val="00BD5E55"/>
    <w:rsid w:val="00BD621A"/>
    <w:rsid w:val="00BD6A77"/>
    <w:rsid w:val="00BD6A9C"/>
    <w:rsid w:val="00BD6D9B"/>
    <w:rsid w:val="00BD6FA8"/>
    <w:rsid w:val="00BD6FDF"/>
    <w:rsid w:val="00BD752C"/>
    <w:rsid w:val="00BE0462"/>
    <w:rsid w:val="00BE09B9"/>
    <w:rsid w:val="00BE0B3E"/>
    <w:rsid w:val="00BE0D8B"/>
    <w:rsid w:val="00BE0DAF"/>
    <w:rsid w:val="00BE1449"/>
    <w:rsid w:val="00BE14D9"/>
    <w:rsid w:val="00BE181B"/>
    <w:rsid w:val="00BE1868"/>
    <w:rsid w:val="00BE2075"/>
    <w:rsid w:val="00BE24CF"/>
    <w:rsid w:val="00BE26D1"/>
    <w:rsid w:val="00BE26D5"/>
    <w:rsid w:val="00BE28AA"/>
    <w:rsid w:val="00BE2C16"/>
    <w:rsid w:val="00BE2D8A"/>
    <w:rsid w:val="00BE304B"/>
    <w:rsid w:val="00BE325D"/>
    <w:rsid w:val="00BE376D"/>
    <w:rsid w:val="00BE39D7"/>
    <w:rsid w:val="00BE3F57"/>
    <w:rsid w:val="00BE420C"/>
    <w:rsid w:val="00BE47EC"/>
    <w:rsid w:val="00BE498C"/>
    <w:rsid w:val="00BE552D"/>
    <w:rsid w:val="00BE5B11"/>
    <w:rsid w:val="00BE5E07"/>
    <w:rsid w:val="00BE5E5F"/>
    <w:rsid w:val="00BE6A1C"/>
    <w:rsid w:val="00BE6CDF"/>
    <w:rsid w:val="00BF0282"/>
    <w:rsid w:val="00BF10A2"/>
    <w:rsid w:val="00BF141C"/>
    <w:rsid w:val="00BF1481"/>
    <w:rsid w:val="00BF156A"/>
    <w:rsid w:val="00BF16A0"/>
    <w:rsid w:val="00BF1A40"/>
    <w:rsid w:val="00BF1F81"/>
    <w:rsid w:val="00BF236E"/>
    <w:rsid w:val="00BF2F5D"/>
    <w:rsid w:val="00BF4728"/>
    <w:rsid w:val="00BF4C73"/>
    <w:rsid w:val="00BF5316"/>
    <w:rsid w:val="00BF5AFD"/>
    <w:rsid w:val="00BF5BF3"/>
    <w:rsid w:val="00BF63A2"/>
    <w:rsid w:val="00BF765B"/>
    <w:rsid w:val="00BF776D"/>
    <w:rsid w:val="00BF779F"/>
    <w:rsid w:val="00BF7ACA"/>
    <w:rsid w:val="00C004B3"/>
    <w:rsid w:val="00C005A8"/>
    <w:rsid w:val="00C00E0A"/>
    <w:rsid w:val="00C00E75"/>
    <w:rsid w:val="00C01B41"/>
    <w:rsid w:val="00C0205A"/>
    <w:rsid w:val="00C02345"/>
    <w:rsid w:val="00C023AC"/>
    <w:rsid w:val="00C03CB2"/>
    <w:rsid w:val="00C03E80"/>
    <w:rsid w:val="00C03FC5"/>
    <w:rsid w:val="00C0480F"/>
    <w:rsid w:val="00C04B4B"/>
    <w:rsid w:val="00C04E40"/>
    <w:rsid w:val="00C05816"/>
    <w:rsid w:val="00C05B22"/>
    <w:rsid w:val="00C05BA3"/>
    <w:rsid w:val="00C068B8"/>
    <w:rsid w:val="00C06E26"/>
    <w:rsid w:val="00C072E2"/>
    <w:rsid w:val="00C07481"/>
    <w:rsid w:val="00C07AA8"/>
    <w:rsid w:val="00C07D6E"/>
    <w:rsid w:val="00C101A0"/>
    <w:rsid w:val="00C1026E"/>
    <w:rsid w:val="00C10326"/>
    <w:rsid w:val="00C1069D"/>
    <w:rsid w:val="00C10EC9"/>
    <w:rsid w:val="00C1128B"/>
    <w:rsid w:val="00C112F8"/>
    <w:rsid w:val="00C11E75"/>
    <w:rsid w:val="00C128C6"/>
    <w:rsid w:val="00C12AC4"/>
    <w:rsid w:val="00C12C9F"/>
    <w:rsid w:val="00C12CF4"/>
    <w:rsid w:val="00C1458E"/>
    <w:rsid w:val="00C14E5A"/>
    <w:rsid w:val="00C156E1"/>
    <w:rsid w:val="00C15933"/>
    <w:rsid w:val="00C164EC"/>
    <w:rsid w:val="00C168C0"/>
    <w:rsid w:val="00C16A6E"/>
    <w:rsid w:val="00C20048"/>
    <w:rsid w:val="00C2069D"/>
    <w:rsid w:val="00C20BA1"/>
    <w:rsid w:val="00C214EF"/>
    <w:rsid w:val="00C21AE7"/>
    <w:rsid w:val="00C22228"/>
    <w:rsid w:val="00C23082"/>
    <w:rsid w:val="00C2394B"/>
    <w:rsid w:val="00C23FF5"/>
    <w:rsid w:val="00C2506D"/>
    <w:rsid w:val="00C25501"/>
    <w:rsid w:val="00C263CF"/>
    <w:rsid w:val="00C26D11"/>
    <w:rsid w:val="00C30134"/>
    <w:rsid w:val="00C3114A"/>
    <w:rsid w:val="00C316F5"/>
    <w:rsid w:val="00C31A0A"/>
    <w:rsid w:val="00C31B31"/>
    <w:rsid w:val="00C3254A"/>
    <w:rsid w:val="00C32E6E"/>
    <w:rsid w:val="00C33B16"/>
    <w:rsid w:val="00C33C52"/>
    <w:rsid w:val="00C33CFD"/>
    <w:rsid w:val="00C33E1F"/>
    <w:rsid w:val="00C34FD4"/>
    <w:rsid w:val="00C35050"/>
    <w:rsid w:val="00C354F2"/>
    <w:rsid w:val="00C35EDC"/>
    <w:rsid w:val="00C370CD"/>
    <w:rsid w:val="00C374CE"/>
    <w:rsid w:val="00C405D9"/>
    <w:rsid w:val="00C4170E"/>
    <w:rsid w:val="00C41F17"/>
    <w:rsid w:val="00C42E7B"/>
    <w:rsid w:val="00C431A5"/>
    <w:rsid w:val="00C435E0"/>
    <w:rsid w:val="00C43825"/>
    <w:rsid w:val="00C43D77"/>
    <w:rsid w:val="00C44204"/>
    <w:rsid w:val="00C442E6"/>
    <w:rsid w:val="00C446EF"/>
    <w:rsid w:val="00C45476"/>
    <w:rsid w:val="00C4628F"/>
    <w:rsid w:val="00C46D74"/>
    <w:rsid w:val="00C46E52"/>
    <w:rsid w:val="00C46F41"/>
    <w:rsid w:val="00C47C01"/>
    <w:rsid w:val="00C47E22"/>
    <w:rsid w:val="00C50D67"/>
    <w:rsid w:val="00C516C8"/>
    <w:rsid w:val="00C51E4C"/>
    <w:rsid w:val="00C52616"/>
    <w:rsid w:val="00C52FED"/>
    <w:rsid w:val="00C543FA"/>
    <w:rsid w:val="00C5535B"/>
    <w:rsid w:val="00C55545"/>
    <w:rsid w:val="00C5637F"/>
    <w:rsid w:val="00C5705B"/>
    <w:rsid w:val="00C57923"/>
    <w:rsid w:val="00C57B80"/>
    <w:rsid w:val="00C60397"/>
    <w:rsid w:val="00C6050F"/>
    <w:rsid w:val="00C60585"/>
    <w:rsid w:val="00C61215"/>
    <w:rsid w:val="00C61EB0"/>
    <w:rsid w:val="00C626C0"/>
    <w:rsid w:val="00C627EC"/>
    <w:rsid w:val="00C62D8F"/>
    <w:rsid w:val="00C63E11"/>
    <w:rsid w:val="00C64768"/>
    <w:rsid w:val="00C64C02"/>
    <w:rsid w:val="00C64FE1"/>
    <w:rsid w:val="00C6514E"/>
    <w:rsid w:val="00C65417"/>
    <w:rsid w:val="00C656ED"/>
    <w:rsid w:val="00C65785"/>
    <w:rsid w:val="00C65C56"/>
    <w:rsid w:val="00C66350"/>
    <w:rsid w:val="00C66A19"/>
    <w:rsid w:val="00C67097"/>
    <w:rsid w:val="00C67457"/>
    <w:rsid w:val="00C67502"/>
    <w:rsid w:val="00C704A5"/>
    <w:rsid w:val="00C70559"/>
    <w:rsid w:val="00C717F7"/>
    <w:rsid w:val="00C71850"/>
    <w:rsid w:val="00C7192D"/>
    <w:rsid w:val="00C71966"/>
    <w:rsid w:val="00C71FD8"/>
    <w:rsid w:val="00C72443"/>
    <w:rsid w:val="00C7347E"/>
    <w:rsid w:val="00C7389D"/>
    <w:rsid w:val="00C73AAD"/>
    <w:rsid w:val="00C73BD0"/>
    <w:rsid w:val="00C74850"/>
    <w:rsid w:val="00C74C47"/>
    <w:rsid w:val="00C75BB5"/>
    <w:rsid w:val="00C75BB6"/>
    <w:rsid w:val="00C7693F"/>
    <w:rsid w:val="00C77742"/>
    <w:rsid w:val="00C77A5B"/>
    <w:rsid w:val="00C77CC2"/>
    <w:rsid w:val="00C77EE9"/>
    <w:rsid w:val="00C80341"/>
    <w:rsid w:val="00C808E0"/>
    <w:rsid w:val="00C80D2D"/>
    <w:rsid w:val="00C8129C"/>
    <w:rsid w:val="00C81D35"/>
    <w:rsid w:val="00C8269C"/>
    <w:rsid w:val="00C82B49"/>
    <w:rsid w:val="00C82C2B"/>
    <w:rsid w:val="00C82F41"/>
    <w:rsid w:val="00C8308B"/>
    <w:rsid w:val="00C833FE"/>
    <w:rsid w:val="00C83C6C"/>
    <w:rsid w:val="00C8416A"/>
    <w:rsid w:val="00C84E93"/>
    <w:rsid w:val="00C84EFE"/>
    <w:rsid w:val="00C84FB4"/>
    <w:rsid w:val="00C85648"/>
    <w:rsid w:val="00C85715"/>
    <w:rsid w:val="00C85AB7"/>
    <w:rsid w:val="00C85CE2"/>
    <w:rsid w:val="00C86668"/>
    <w:rsid w:val="00C86B2F"/>
    <w:rsid w:val="00C9086D"/>
    <w:rsid w:val="00C90F60"/>
    <w:rsid w:val="00C9108A"/>
    <w:rsid w:val="00C916BD"/>
    <w:rsid w:val="00C917D8"/>
    <w:rsid w:val="00C91F45"/>
    <w:rsid w:val="00C92432"/>
    <w:rsid w:val="00C9264C"/>
    <w:rsid w:val="00C92871"/>
    <w:rsid w:val="00C92D23"/>
    <w:rsid w:val="00C933D9"/>
    <w:rsid w:val="00C93600"/>
    <w:rsid w:val="00C94642"/>
    <w:rsid w:val="00C95DDA"/>
    <w:rsid w:val="00C96130"/>
    <w:rsid w:val="00C96492"/>
    <w:rsid w:val="00C970DA"/>
    <w:rsid w:val="00C97381"/>
    <w:rsid w:val="00C97A9C"/>
    <w:rsid w:val="00CA03A7"/>
    <w:rsid w:val="00CA0488"/>
    <w:rsid w:val="00CA0839"/>
    <w:rsid w:val="00CA09FA"/>
    <w:rsid w:val="00CA1B0F"/>
    <w:rsid w:val="00CA262F"/>
    <w:rsid w:val="00CA2833"/>
    <w:rsid w:val="00CA3255"/>
    <w:rsid w:val="00CA47DB"/>
    <w:rsid w:val="00CA523A"/>
    <w:rsid w:val="00CA524E"/>
    <w:rsid w:val="00CA56DB"/>
    <w:rsid w:val="00CA62DB"/>
    <w:rsid w:val="00CA6F50"/>
    <w:rsid w:val="00CA6FC9"/>
    <w:rsid w:val="00CA7059"/>
    <w:rsid w:val="00CA7123"/>
    <w:rsid w:val="00CB01BD"/>
    <w:rsid w:val="00CB04BD"/>
    <w:rsid w:val="00CB0BC8"/>
    <w:rsid w:val="00CB0EED"/>
    <w:rsid w:val="00CB1661"/>
    <w:rsid w:val="00CB1836"/>
    <w:rsid w:val="00CB2246"/>
    <w:rsid w:val="00CB226B"/>
    <w:rsid w:val="00CB2661"/>
    <w:rsid w:val="00CB29EE"/>
    <w:rsid w:val="00CB2ACA"/>
    <w:rsid w:val="00CB2C45"/>
    <w:rsid w:val="00CB3144"/>
    <w:rsid w:val="00CB342B"/>
    <w:rsid w:val="00CB3CA1"/>
    <w:rsid w:val="00CB3D0A"/>
    <w:rsid w:val="00CB3ED0"/>
    <w:rsid w:val="00CB422E"/>
    <w:rsid w:val="00CB4630"/>
    <w:rsid w:val="00CB51AF"/>
    <w:rsid w:val="00CB52A9"/>
    <w:rsid w:val="00CB6E78"/>
    <w:rsid w:val="00CB6EDF"/>
    <w:rsid w:val="00CB7922"/>
    <w:rsid w:val="00CB7BC8"/>
    <w:rsid w:val="00CB7C94"/>
    <w:rsid w:val="00CC09C7"/>
    <w:rsid w:val="00CC123E"/>
    <w:rsid w:val="00CC24E4"/>
    <w:rsid w:val="00CC2896"/>
    <w:rsid w:val="00CC2EE2"/>
    <w:rsid w:val="00CC332E"/>
    <w:rsid w:val="00CC3F1F"/>
    <w:rsid w:val="00CC4167"/>
    <w:rsid w:val="00CC48DF"/>
    <w:rsid w:val="00CC4D4B"/>
    <w:rsid w:val="00CC4F85"/>
    <w:rsid w:val="00CC5749"/>
    <w:rsid w:val="00CC61B9"/>
    <w:rsid w:val="00CC6523"/>
    <w:rsid w:val="00CC6A54"/>
    <w:rsid w:val="00CC75FB"/>
    <w:rsid w:val="00CC762B"/>
    <w:rsid w:val="00CD0622"/>
    <w:rsid w:val="00CD12DD"/>
    <w:rsid w:val="00CD12E9"/>
    <w:rsid w:val="00CD13A1"/>
    <w:rsid w:val="00CD13BD"/>
    <w:rsid w:val="00CD2AA8"/>
    <w:rsid w:val="00CD2D31"/>
    <w:rsid w:val="00CD31E1"/>
    <w:rsid w:val="00CD36B4"/>
    <w:rsid w:val="00CD4E85"/>
    <w:rsid w:val="00CD5119"/>
    <w:rsid w:val="00CD51BD"/>
    <w:rsid w:val="00CD5B51"/>
    <w:rsid w:val="00CD6065"/>
    <w:rsid w:val="00CD6369"/>
    <w:rsid w:val="00CE0530"/>
    <w:rsid w:val="00CE05DC"/>
    <w:rsid w:val="00CE0CD2"/>
    <w:rsid w:val="00CE132E"/>
    <w:rsid w:val="00CE14A9"/>
    <w:rsid w:val="00CE1731"/>
    <w:rsid w:val="00CE181E"/>
    <w:rsid w:val="00CE19CE"/>
    <w:rsid w:val="00CE1E05"/>
    <w:rsid w:val="00CE2817"/>
    <w:rsid w:val="00CE2961"/>
    <w:rsid w:val="00CE2D0E"/>
    <w:rsid w:val="00CE3CE7"/>
    <w:rsid w:val="00CE3D65"/>
    <w:rsid w:val="00CE3EC7"/>
    <w:rsid w:val="00CE4B34"/>
    <w:rsid w:val="00CE4E81"/>
    <w:rsid w:val="00CE548B"/>
    <w:rsid w:val="00CE5B3B"/>
    <w:rsid w:val="00CE5C91"/>
    <w:rsid w:val="00CE5D55"/>
    <w:rsid w:val="00CE64F0"/>
    <w:rsid w:val="00CE69D9"/>
    <w:rsid w:val="00CE6FB8"/>
    <w:rsid w:val="00CE710F"/>
    <w:rsid w:val="00CE74C7"/>
    <w:rsid w:val="00CE7C30"/>
    <w:rsid w:val="00CF04C7"/>
    <w:rsid w:val="00CF1152"/>
    <w:rsid w:val="00CF17A7"/>
    <w:rsid w:val="00CF3054"/>
    <w:rsid w:val="00CF348C"/>
    <w:rsid w:val="00CF3769"/>
    <w:rsid w:val="00CF41D0"/>
    <w:rsid w:val="00CF4524"/>
    <w:rsid w:val="00CF4BB4"/>
    <w:rsid w:val="00CF525D"/>
    <w:rsid w:val="00CF5EF6"/>
    <w:rsid w:val="00CF6300"/>
    <w:rsid w:val="00CF659D"/>
    <w:rsid w:val="00CF66FD"/>
    <w:rsid w:val="00CF676C"/>
    <w:rsid w:val="00CF6FC2"/>
    <w:rsid w:val="00CF7758"/>
    <w:rsid w:val="00CF7F0A"/>
    <w:rsid w:val="00D00971"/>
    <w:rsid w:val="00D00C6D"/>
    <w:rsid w:val="00D0145C"/>
    <w:rsid w:val="00D018B2"/>
    <w:rsid w:val="00D018C3"/>
    <w:rsid w:val="00D019AC"/>
    <w:rsid w:val="00D01B87"/>
    <w:rsid w:val="00D02634"/>
    <w:rsid w:val="00D02978"/>
    <w:rsid w:val="00D02B59"/>
    <w:rsid w:val="00D03091"/>
    <w:rsid w:val="00D030D3"/>
    <w:rsid w:val="00D030E6"/>
    <w:rsid w:val="00D032FB"/>
    <w:rsid w:val="00D03805"/>
    <w:rsid w:val="00D03E38"/>
    <w:rsid w:val="00D044DC"/>
    <w:rsid w:val="00D04A8C"/>
    <w:rsid w:val="00D04B72"/>
    <w:rsid w:val="00D04F53"/>
    <w:rsid w:val="00D0509C"/>
    <w:rsid w:val="00D05175"/>
    <w:rsid w:val="00D05598"/>
    <w:rsid w:val="00D059D9"/>
    <w:rsid w:val="00D05C92"/>
    <w:rsid w:val="00D05EBF"/>
    <w:rsid w:val="00D06729"/>
    <w:rsid w:val="00D1008F"/>
    <w:rsid w:val="00D10349"/>
    <w:rsid w:val="00D10595"/>
    <w:rsid w:val="00D10A61"/>
    <w:rsid w:val="00D128B6"/>
    <w:rsid w:val="00D12B30"/>
    <w:rsid w:val="00D12D60"/>
    <w:rsid w:val="00D13318"/>
    <w:rsid w:val="00D13A0D"/>
    <w:rsid w:val="00D13DFD"/>
    <w:rsid w:val="00D13F6C"/>
    <w:rsid w:val="00D14331"/>
    <w:rsid w:val="00D149CF"/>
    <w:rsid w:val="00D14CB0"/>
    <w:rsid w:val="00D1540D"/>
    <w:rsid w:val="00D15545"/>
    <w:rsid w:val="00D15EA7"/>
    <w:rsid w:val="00D16815"/>
    <w:rsid w:val="00D16D92"/>
    <w:rsid w:val="00D17033"/>
    <w:rsid w:val="00D17114"/>
    <w:rsid w:val="00D1742D"/>
    <w:rsid w:val="00D17647"/>
    <w:rsid w:val="00D20A71"/>
    <w:rsid w:val="00D215A5"/>
    <w:rsid w:val="00D21C6D"/>
    <w:rsid w:val="00D220AD"/>
    <w:rsid w:val="00D22537"/>
    <w:rsid w:val="00D22692"/>
    <w:rsid w:val="00D22D0B"/>
    <w:rsid w:val="00D22D32"/>
    <w:rsid w:val="00D237AC"/>
    <w:rsid w:val="00D23D6F"/>
    <w:rsid w:val="00D249A7"/>
    <w:rsid w:val="00D24A50"/>
    <w:rsid w:val="00D24D86"/>
    <w:rsid w:val="00D24ECA"/>
    <w:rsid w:val="00D25033"/>
    <w:rsid w:val="00D25C67"/>
    <w:rsid w:val="00D260CF"/>
    <w:rsid w:val="00D26124"/>
    <w:rsid w:val="00D26699"/>
    <w:rsid w:val="00D27089"/>
    <w:rsid w:val="00D272DF"/>
    <w:rsid w:val="00D274E5"/>
    <w:rsid w:val="00D27B62"/>
    <w:rsid w:val="00D3084A"/>
    <w:rsid w:val="00D30B00"/>
    <w:rsid w:val="00D31023"/>
    <w:rsid w:val="00D31055"/>
    <w:rsid w:val="00D3171A"/>
    <w:rsid w:val="00D31D0D"/>
    <w:rsid w:val="00D3260D"/>
    <w:rsid w:val="00D32853"/>
    <w:rsid w:val="00D32941"/>
    <w:rsid w:val="00D32E61"/>
    <w:rsid w:val="00D34B30"/>
    <w:rsid w:val="00D34FCE"/>
    <w:rsid w:val="00D350E3"/>
    <w:rsid w:val="00D354D1"/>
    <w:rsid w:val="00D360CE"/>
    <w:rsid w:val="00D37617"/>
    <w:rsid w:val="00D37E5A"/>
    <w:rsid w:val="00D40464"/>
    <w:rsid w:val="00D4059B"/>
    <w:rsid w:val="00D4084F"/>
    <w:rsid w:val="00D40E9C"/>
    <w:rsid w:val="00D41707"/>
    <w:rsid w:val="00D41872"/>
    <w:rsid w:val="00D41F9C"/>
    <w:rsid w:val="00D42B01"/>
    <w:rsid w:val="00D43908"/>
    <w:rsid w:val="00D43FC2"/>
    <w:rsid w:val="00D444E5"/>
    <w:rsid w:val="00D44B15"/>
    <w:rsid w:val="00D44C5E"/>
    <w:rsid w:val="00D45E1C"/>
    <w:rsid w:val="00D461C8"/>
    <w:rsid w:val="00D46774"/>
    <w:rsid w:val="00D473BD"/>
    <w:rsid w:val="00D4771E"/>
    <w:rsid w:val="00D47F45"/>
    <w:rsid w:val="00D503B3"/>
    <w:rsid w:val="00D50AF2"/>
    <w:rsid w:val="00D5127C"/>
    <w:rsid w:val="00D516C0"/>
    <w:rsid w:val="00D5176D"/>
    <w:rsid w:val="00D51AF9"/>
    <w:rsid w:val="00D525C8"/>
    <w:rsid w:val="00D52855"/>
    <w:rsid w:val="00D528B7"/>
    <w:rsid w:val="00D52E01"/>
    <w:rsid w:val="00D532FE"/>
    <w:rsid w:val="00D533F3"/>
    <w:rsid w:val="00D53C26"/>
    <w:rsid w:val="00D53CC1"/>
    <w:rsid w:val="00D541C0"/>
    <w:rsid w:val="00D55739"/>
    <w:rsid w:val="00D55AF2"/>
    <w:rsid w:val="00D56679"/>
    <w:rsid w:val="00D56AC0"/>
    <w:rsid w:val="00D56CA2"/>
    <w:rsid w:val="00D56FD5"/>
    <w:rsid w:val="00D56FDF"/>
    <w:rsid w:val="00D57598"/>
    <w:rsid w:val="00D57C59"/>
    <w:rsid w:val="00D60CA1"/>
    <w:rsid w:val="00D6177C"/>
    <w:rsid w:val="00D61C3F"/>
    <w:rsid w:val="00D62CA4"/>
    <w:rsid w:val="00D62FA1"/>
    <w:rsid w:val="00D63F1D"/>
    <w:rsid w:val="00D64557"/>
    <w:rsid w:val="00D6459F"/>
    <w:rsid w:val="00D6461C"/>
    <w:rsid w:val="00D646B7"/>
    <w:rsid w:val="00D64729"/>
    <w:rsid w:val="00D64BE4"/>
    <w:rsid w:val="00D65657"/>
    <w:rsid w:val="00D65768"/>
    <w:rsid w:val="00D65E05"/>
    <w:rsid w:val="00D65E6E"/>
    <w:rsid w:val="00D668C8"/>
    <w:rsid w:val="00D66A61"/>
    <w:rsid w:val="00D66B0E"/>
    <w:rsid w:val="00D67382"/>
    <w:rsid w:val="00D7068E"/>
    <w:rsid w:val="00D70B7C"/>
    <w:rsid w:val="00D70DF0"/>
    <w:rsid w:val="00D70E44"/>
    <w:rsid w:val="00D710F0"/>
    <w:rsid w:val="00D71478"/>
    <w:rsid w:val="00D71580"/>
    <w:rsid w:val="00D7166E"/>
    <w:rsid w:val="00D71F13"/>
    <w:rsid w:val="00D736FC"/>
    <w:rsid w:val="00D73EFF"/>
    <w:rsid w:val="00D75136"/>
    <w:rsid w:val="00D759FA"/>
    <w:rsid w:val="00D75D92"/>
    <w:rsid w:val="00D75E27"/>
    <w:rsid w:val="00D75E4D"/>
    <w:rsid w:val="00D7657B"/>
    <w:rsid w:val="00D765AF"/>
    <w:rsid w:val="00D76814"/>
    <w:rsid w:val="00D76B6C"/>
    <w:rsid w:val="00D7723F"/>
    <w:rsid w:val="00D77B18"/>
    <w:rsid w:val="00D80FAB"/>
    <w:rsid w:val="00D8105D"/>
    <w:rsid w:val="00D81F4F"/>
    <w:rsid w:val="00D823DF"/>
    <w:rsid w:val="00D82427"/>
    <w:rsid w:val="00D831FE"/>
    <w:rsid w:val="00D83860"/>
    <w:rsid w:val="00D83FAF"/>
    <w:rsid w:val="00D84259"/>
    <w:rsid w:val="00D8441C"/>
    <w:rsid w:val="00D85255"/>
    <w:rsid w:val="00D85664"/>
    <w:rsid w:val="00D85DC1"/>
    <w:rsid w:val="00D860B4"/>
    <w:rsid w:val="00D862EB"/>
    <w:rsid w:val="00D86905"/>
    <w:rsid w:val="00D87913"/>
    <w:rsid w:val="00D87E59"/>
    <w:rsid w:val="00D908C7"/>
    <w:rsid w:val="00D90951"/>
    <w:rsid w:val="00D90972"/>
    <w:rsid w:val="00D90AD7"/>
    <w:rsid w:val="00D9118A"/>
    <w:rsid w:val="00D919B4"/>
    <w:rsid w:val="00D92346"/>
    <w:rsid w:val="00D93C71"/>
    <w:rsid w:val="00D94E32"/>
    <w:rsid w:val="00D94EFC"/>
    <w:rsid w:val="00D951AF"/>
    <w:rsid w:val="00D9535F"/>
    <w:rsid w:val="00D954E0"/>
    <w:rsid w:val="00D95CF5"/>
    <w:rsid w:val="00D9619C"/>
    <w:rsid w:val="00D9678F"/>
    <w:rsid w:val="00D967EA"/>
    <w:rsid w:val="00D96907"/>
    <w:rsid w:val="00D97E3F"/>
    <w:rsid w:val="00D97E69"/>
    <w:rsid w:val="00DA0E19"/>
    <w:rsid w:val="00DA10F7"/>
    <w:rsid w:val="00DA1418"/>
    <w:rsid w:val="00DA146B"/>
    <w:rsid w:val="00DA1819"/>
    <w:rsid w:val="00DA281D"/>
    <w:rsid w:val="00DA317F"/>
    <w:rsid w:val="00DA37FC"/>
    <w:rsid w:val="00DA42E7"/>
    <w:rsid w:val="00DA439F"/>
    <w:rsid w:val="00DA468E"/>
    <w:rsid w:val="00DA57B9"/>
    <w:rsid w:val="00DA6507"/>
    <w:rsid w:val="00DA7377"/>
    <w:rsid w:val="00DA77E7"/>
    <w:rsid w:val="00DA78F3"/>
    <w:rsid w:val="00DA7C09"/>
    <w:rsid w:val="00DA7FCC"/>
    <w:rsid w:val="00DB017A"/>
    <w:rsid w:val="00DB06BC"/>
    <w:rsid w:val="00DB0F15"/>
    <w:rsid w:val="00DB12C1"/>
    <w:rsid w:val="00DB144E"/>
    <w:rsid w:val="00DB15BC"/>
    <w:rsid w:val="00DB174A"/>
    <w:rsid w:val="00DB179C"/>
    <w:rsid w:val="00DB2232"/>
    <w:rsid w:val="00DB2900"/>
    <w:rsid w:val="00DB33E2"/>
    <w:rsid w:val="00DB3655"/>
    <w:rsid w:val="00DB3815"/>
    <w:rsid w:val="00DB395B"/>
    <w:rsid w:val="00DB3AD5"/>
    <w:rsid w:val="00DB456D"/>
    <w:rsid w:val="00DB473E"/>
    <w:rsid w:val="00DB50F6"/>
    <w:rsid w:val="00DB52AD"/>
    <w:rsid w:val="00DB6587"/>
    <w:rsid w:val="00DB6FDC"/>
    <w:rsid w:val="00DB7EE9"/>
    <w:rsid w:val="00DC0240"/>
    <w:rsid w:val="00DC02F0"/>
    <w:rsid w:val="00DC050D"/>
    <w:rsid w:val="00DC0DED"/>
    <w:rsid w:val="00DC0E69"/>
    <w:rsid w:val="00DC144E"/>
    <w:rsid w:val="00DC21A3"/>
    <w:rsid w:val="00DC30BC"/>
    <w:rsid w:val="00DC31AA"/>
    <w:rsid w:val="00DC3570"/>
    <w:rsid w:val="00DC3730"/>
    <w:rsid w:val="00DC3A71"/>
    <w:rsid w:val="00DC3B5E"/>
    <w:rsid w:val="00DC3E38"/>
    <w:rsid w:val="00DC3EB3"/>
    <w:rsid w:val="00DC40FC"/>
    <w:rsid w:val="00DC4374"/>
    <w:rsid w:val="00DC4C1C"/>
    <w:rsid w:val="00DC6B26"/>
    <w:rsid w:val="00DC7057"/>
    <w:rsid w:val="00DC727F"/>
    <w:rsid w:val="00DC7D27"/>
    <w:rsid w:val="00DC7F9B"/>
    <w:rsid w:val="00DD0026"/>
    <w:rsid w:val="00DD04E9"/>
    <w:rsid w:val="00DD09E2"/>
    <w:rsid w:val="00DD0B13"/>
    <w:rsid w:val="00DD0D5E"/>
    <w:rsid w:val="00DD222F"/>
    <w:rsid w:val="00DD2632"/>
    <w:rsid w:val="00DD3686"/>
    <w:rsid w:val="00DD3ECA"/>
    <w:rsid w:val="00DD4094"/>
    <w:rsid w:val="00DD43CC"/>
    <w:rsid w:val="00DD52EF"/>
    <w:rsid w:val="00DD5480"/>
    <w:rsid w:val="00DD59B3"/>
    <w:rsid w:val="00DD5E98"/>
    <w:rsid w:val="00DD63CE"/>
    <w:rsid w:val="00DD6735"/>
    <w:rsid w:val="00DD70D1"/>
    <w:rsid w:val="00DD7D4B"/>
    <w:rsid w:val="00DD7F65"/>
    <w:rsid w:val="00DD7FEF"/>
    <w:rsid w:val="00DE014E"/>
    <w:rsid w:val="00DE0D1A"/>
    <w:rsid w:val="00DE13AE"/>
    <w:rsid w:val="00DE1DCF"/>
    <w:rsid w:val="00DE2836"/>
    <w:rsid w:val="00DE2F74"/>
    <w:rsid w:val="00DE2FB0"/>
    <w:rsid w:val="00DE31CD"/>
    <w:rsid w:val="00DE3A6F"/>
    <w:rsid w:val="00DE431A"/>
    <w:rsid w:val="00DE44C9"/>
    <w:rsid w:val="00DE4682"/>
    <w:rsid w:val="00DE5FB3"/>
    <w:rsid w:val="00DE643A"/>
    <w:rsid w:val="00DE699C"/>
    <w:rsid w:val="00DE707C"/>
    <w:rsid w:val="00DE71E4"/>
    <w:rsid w:val="00DE7D85"/>
    <w:rsid w:val="00DE7EBF"/>
    <w:rsid w:val="00DE7FD6"/>
    <w:rsid w:val="00DF0206"/>
    <w:rsid w:val="00DF1CA4"/>
    <w:rsid w:val="00DF2ACE"/>
    <w:rsid w:val="00DF2BD1"/>
    <w:rsid w:val="00DF3389"/>
    <w:rsid w:val="00DF3470"/>
    <w:rsid w:val="00DF3569"/>
    <w:rsid w:val="00DF3D70"/>
    <w:rsid w:val="00DF46F7"/>
    <w:rsid w:val="00DF4B60"/>
    <w:rsid w:val="00DF55B5"/>
    <w:rsid w:val="00DF56CB"/>
    <w:rsid w:val="00DF5AB2"/>
    <w:rsid w:val="00DF6BD4"/>
    <w:rsid w:val="00DF70D3"/>
    <w:rsid w:val="00DF79AB"/>
    <w:rsid w:val="00DF7F7E"/>
    <w:rsid w:val="00E00231"/>
    <w:rsid w:val="00E00605"/>
    <w:rsid w:val="00E00A90"/>
    <w:rsid w:val="00E013EE"/>
    <w:rsid w:val="00E02EC6"/>
    <w:rsid w:val="00E03937"/>
    <w:rsid w:val="00E03AA8"/>
    <w:rsid w:val="00E03CC8"/>
    <w:rsid w:val="00E04223"/>
    <w:rsid w:val="00E046E1"/>
    <w:rsid w:val="00E04FD1"/>
    <w:rsid w:val="00E054D1"/>
    <w:rsid w:val="00E06534"/>
    <w:rsid w:val="00E0657A"/>
    <w:rsid w:val="00E06B49"/>
    <w:rsid w:val="00E07C62"/>
    <w:rsid w:val="00E10360"/>
    <w:rsid w:val="00E10604"/>
    <w:rsid w:val="00E10A94"/>
    <w:rsid w:val="00E10AA4"/>
    <w:rsid w:val="00E11507"/>
    <w:rsid w:val="00E134C3"/>
    <w:rsid w:val="00E1355D"/>
    <w:rsid w:val="00E13E00"/>
    <w:rsid w:val="00E140EC"/>
    <w:rsid w:val="00E14E88"/>
    <w:rsid w:val="00E15771"/>
    <w:rsid w:val="00E15B68"/>
    <w:rsid w:val="00E15D61"/>
    <w:rsid w:val="00E16263"/>
    <w:rsid w:val="00E16436"/>
    <w:rsid w:val="00E1679D"/>
    <w:rsid w:val="00E16F2F"/>
    <w:rsid w:val="00E17092"/>
    <w:rsid w:val="00E17509"/>
    <w:rsid w:val="00E205B9"/>
    <w:rsid w:val="00E20633"/>
    <w:rsid w:val="00E21B50"/>
    <w:rsid w:val="00E22631"/>
    <w:rsid w:val="00E22E65"/>
    <w:rsid w:val="00E22E88"/>
    <w:rsid w:val="00E23597"/>
    <w:rsid w:val="00E249E4"/>
    <w:rsid w:val="00E24BC5"/>
    <w:rsid w:val="00E2576A"/>
    <w:rsid w:val="00E25CCD"/>
    <w:rsid w:val="00E261E6"/>
    <w:rsid w:val="00E2682D"/>
    <w:rsid w:val="00E268E3"/>
    <w:rsid w:val="00E2720A"/>
    <w:rsid w:val="00E27636"/>
    <w:rsid w:val="00E279C8"/>
    <w:rsid w:val="00E27BD4"/>
    <w:rsid w:val="00E27D28"/>
    <w:rsid w:val="00E27F72"/>
    <w:rsid w:val="00E3013D"/>
    <w:rsid w:val="00E3114A"/>
    <w:rsid w:val="00E312C2"/>
    <w:rsid w:val="00E31AA2"/>
    <w:rsid w:val="00E31CAE"/>
    <w:rsid w:val="00E31E4B"/>
    <w:rsid w:val="00E32297"/>
    <w:rsid w:val="00E32BED"/>
    <w:rsid w:val="00E32E14"/>
    <w:rsid w:val="00E34BF7"/>
    <w:rsid w:val="00E35132"/>
    <w:rsid w:val="00E35415"/>
    <w:rsid w:val="00E356E3"/>
    <w:rsid w:val="00E35DCD"/>
    <w:rsid w:val="00E360A2"/>
    <w:rsid w:val="00E400BD"/>
    <w:rsid w:val="00E402E3"/>
    <w:rsid w:val="00E4034B"/>
    <w:rsid w:val="00E404ED"/>
    <w:rsid w:val="00E40812"/>
    <w:rsid w:val="00E413DD"/>
    <w:rsid w:val="00E4185E"/>
    <w:rsid w:val="00E41C65"/>
    <w:rsid w:val="00E41D4E"/>
    <w:rsid w:val="00E41DA1"/>
    <w:rsid w:val="00E41E4F"/>
    <w:rsid w:val="00E422EF"/>
    <w:rsid w:val="00E42AE4"/>
    <w:rsid w:val="00E42DFD"/>
    <w:rsid w:val="00E437EC"/>
    <w:rsid w:val="00E438A9"/>
    <w:rsid w:val="00E4396F"/>
    <w:rsid w:val="00E43FE8"/>
    <w:rsid w:val="00E45561"/>
    <w:rsid w:val="00E45E40"/>
    <w:rsid w:val="00E46B9C"/>
    <w:rsid w:val="00E46E19"/>
    <w:rsid w:val="00E46E9C"/>
    <w:rsid w:val="00E46EE0"/>
    <w:rsid w:val="00E47B64"/>
    <w:rsid w:val="00E50C5B"/>
    <w:rsid w:val="00E51CEC"/>
    <w:rsid w:val="00E52599"/>
    <w:rsid w:val="00E52B89"/>
    <w:rsid w:val="00E52FD8"/>
    <w:rsid w:val="00E53968"/>
    <w:rsid w:val="00E53ECF"/>
    <w:rsid w:val="00E54A24"/>
    <w:rsid w:val="00E55139"/>
    <w:rsid w:val="00E558A0"/>
    <w:rsid w:val="00E558E1"/>
    <w:rsid w:val="00E56048"/>
    <w:rsid w:val="00E56898"/>
    <w:rsid w:val="00E57B39"/>
    <w:rsid w:val="00E60160"/>
    <w:rsid w:val="00E60A7B"/>
    <w:rsid w:val="00E618A6"/>
    <w:rsid w:val="00E618E2"/>
    <w:rsid w:val="00E62701"/>
    <w:rsid w:val="00E6298B"/>
    <w:rsid w:val="00E629DD"/>
    <w:rsid w:val="00E62E6B"/>
    <w:rsid w:val="00E640DA"/>
    <w:rsid w:val="00E64B59"/>
    <w:rsid w:val="00E65C6D"/>
    <w:rsid w:val="00E65DFD"/>
    <w:rsid w:val="00E669C4"/>
    <w:rsid w:val="00E67411"/>
    <w:rsid w:val="00E67903"/>
    <w:rsid w:val="00E67C27"/>
    <w:rsid w:val="00E67FB8"/>
    <w:rsid w:val="00E7134A"/>
    <w:rsid w:val="00E713FB"/>
    <w:rsid w:val="00E718B7"/>
    <w:rsid w:val="00E72FD5"/>
    <w:rsid w:val="00E735B0"/>
    <w:rsid w:val="00E73B2A"/>
    <w:rsid w:val="00E73CC4"/>
    <w:rsid w:val="00E74350"/>
    <w:rsid w:val="00E74AE3"/>
    <w:rsid w:val="00E74D7B"/>
    <w:rsid w:val="00E75694"/>
    <w:rsid w:val="00E75DD2"/>
    <w:rsid w:val="00E764E4"/>
    <w:rsid w:val="00E765A9"/>
    <w:rsid w:val="00E766D0"/>
    <w:rsid w:val="00E7674A"/>
    <w:rsid w:val="00E768D7"/>
    <w:rsid w:val="00E772C2"/>
    <w:rsid w:val="00E7779B"/>
    <w:rsid w:val="00E777B7"/>
    <w:rsid w:val="00E778C5"/>
    <w:rsid w:val="00E77B19"/>
    <w:rsid w:val="00E77E1A"/>
    <w:rsid w:val="00E800EF"/>
    <w:rsid w:val="00E80956"/>
    <w:rsid w:val="00E81DBA"/>
    <w:rsid w:val="00E81F11"/>
    <w:rsid w:val="00E82327"/>
    <w:rsid w:val="00E82813"/>
    <w:rsid w:val="00E831D5"/>
    <w:rsid w:val="00E836A0"/>
    <w:rsid w:val="00E838C2"/>
    <w:rsid w:val="00E83E58"/>
    <w:rsid w:val="00E84E6F"/>
    <w:rsid w:val="00E859E9"/>
    <w:rsid w:val="00E85F69"/>
    <w:rsid w:val="00E86635"/>
    <w:rsid w:val="00E86FED"/>
    <w:rsid w:val="00E87BD9"/>
    <w:rsid w:val="00E90379"/>
    <w:rsid w:val="00E907A8"/>
    <w:rsid w:val="00E90CD2"/>
    <w:rsid w:val="00E9157C"/>
    <w:rsid w:val="00E922AA"/>
    <w:rsid w:val="00E92749"/>
    <w:rsid w:val="00E929F3"/>
    <w:rsid w:val="00E92A2F"/>
    <w:rsid w:val="00E92B59"/>
    <w:rsid w:val="00E92D2E"/>
    <w:rsid w:val="00E93040"/>
    <w:rsid w:val="00E930DE"/>
    <w:rsid w:val="00E934F2"/>
    <w:rsid w:val="00E94606"/>
    <w:rsid w:val="00E94E37"/>
    <w:rsid w:val="00E95F0A"/>
    <w:rsid w:val="00E963C4"/>
    <w:rsid w:val="00E96D1A"/>
    <w:rsid w:val="00E96DD6"/>
    <w:rsid w:val="00E96F63"/>
    <w:rsid w:val="00E97E16"/>
    <w:rsid w:val="00EA0D41"/>
    <w:rsid w:val="00EA1065"/>
    <w:rsid w:val="00EA25C8"/>
    <w:rsid w:val="00EA36BA"/>
    <w:rsid w:val="00EA392B"/>
    <w:rsid w:val="00EA4444"/>
    <w:rsid w:val="00EA53E6"/>
    <w:rsid w:val="00EA5802"/>
    <w:rsid w:val="00EA6202"/>
    <w:rsid w:val="00EA65F4"/>
    <w:rsid w:val="00EA6DE7"/>
    <w:rsid w:val="00EA6E07"/>
    <w:rsid w:val="00EA7000"/>
    <w:rsid w:val="00EA7022"/>
    <w:rsid w:val="00EA766A"/>
    <w:rsid w:val="00EA7B18"/>
    <w:rsid w:val="00EB02B9"/>
    <w:rsid w:val="00EB0853"/>
    <w:rsid w:val="00EB0967"/>
    <w:rsid w:val="00EB0C3B"/>
    <w:rsid w:val="00EB0D29"/>
    <w:rsid w:val="00EB0D3D"/>
    <w:rsid w:val="00EB14B4"/>
    <w:rsid w:val="00EB227C"/>
    <w:rsid w:val="00EB2370"/>
    <w:rsid w:val="00EB247D"/>
    <w:rsid w:val="00EB2620"/>
    <w:rsid w:val="00EB2BFD"/>
    <w:rsid w:val="00EB32B3"/>
    <w:rsid w:val="00EB3584"/>
    <w:rsid w:val="00EB455B"/>
    <w:rsid w:val="00EB474D"/>
    <w:rsid w:val="00EB4F49"/>
    <w:rsid w:val="00EB53D5"/>
    <w:rsid w:val="00EB57A3"/>
    <w:rsid w:val="00EB5F18"/>
    <w:rsid w:val="00EB6A65"/>
    <w:rsid w:val="00EB6B92"/>
    <w:rsid w:val="00EB7154"/>
    <w:rsid w:val="00EB730F"/>
    <w:rsid w:val="00EC105F"/>
    <w:rsid w:val="00EC12DD"/>
    <w:rsid w:val="00EC13DD"/>
    <w:rsid w:val="00EC174A"/>
    <w:rsid w:val="00EC179A"/>
    <w:rsid w:val="00EC1E57"/>
    <w:rsid w:val="00EC3169"/>
    <w:rsid w:val="00EC33FC"/>
    <w:rsid w:val="00EC3582"/>
    <w:rsid w:val="00EC3597"/>
    <w:rsid w:val="00EC5648"/>
    <w:rsid w:val="00EC5D28"/>
    <w:rsid w:val="00EC67ED"/>
    <w:rsid w:val="00EC69F3"/>
    <w:rsid w:val="00EC6BF6"/>
    <w:rsid w:val="00EC7652"/>
    <w:rsid w:val="00ED040B"/>
    <w:rsid w:val="00ED0F65"/>
    <w:rsid w:val="00ED2F8F"/>
    <w:rsid w:val="00ED2FC7"/>
    <w:rsid w:val="00ED3362"/>
    <w:rsid w:val="00ED361C"/>
    <w:rsid w:val="00ED40A6"/>
    <w:rsid w:val="00ED4360"/>
    <w:rsid w:val="00ED45DE"/>
    <w:rsid w:val="00ED474E"/>
    <w:rsid w:val="00ED4A38"/>
    <w:rsid w:val="00ED4F77"/>
    <w:rsid w:val="00ED53AD"/>
    <w:rsid w:val="00ED5A67"/>
    <w:rsid w:val="00ED6452"/>
    <w:rsid w:val="00ED6466"/>
    <w:rsid w:val="00ED6F00"/>
    <w:rsid w:val="00ED7881"/>
    <w:rsid w:val="00ED7C65"/>
    <w:rsid w:val="00ED7DE3"/>
    <w:rsid w:val="00EE004F"/>
    <w:rsid w:val="00EE0175"/>
    <w:rsid w:val="00EE05DF"/>
    <w:rsid w:val="00EE07F7"/>
    <w:rsid w:val="00EE0AE2"/>
    <w:rsid w:val="00EE14A8"/>
    <w:rsid w:val="00EE1922"/>
    <w:rsid w:val="00EE19B2"/>
    <w:rsid w:val="00EE21EF"/>
    <w:rsid w:val="00EE2974"/>
    <w:rsid w:val="00EE3082"/>
    <w:rsid w:val="00EE3755"/>
    <w:rsid w:val="00EE3940"/>
    <w:rsid w:val="00EE419E"/>
    <w:rsid w:val="00EE4D4E"/>
    <w:rsid w:val="00EE552F"/>
    <w:rsid w:val="00EE5E83"/>
    <w:rsid w:val="00EE6370"/>
    <w:rsid w:val="00EE6473"/>
    <w:rsid w:val="00EE7880"/>
    <w:rsid w:val="00EE7916"/>
    <w:rsid w:val="00EF05CF"/>
    <w:rsid w:val="00EF08ED"/>
    <w:rsid w:val="00EF1156"/>
    <w:rsid w:val="00EF19FE"/>
    <w:rsid w:val="00EF209C"/>
    <w:rsid w:val="00EF215C"/>
    <w:rsid w:val="00EF2184"/>
    <w:rsid w:val="00EF2833"/>
    <w:rsid w:val="00EF3501"/>
    <w:rsid w:val="00EF3766"/>
    <w:rsid w:val="00EF3949"/>
    <w:rsid w:val="00EF3A08"/>
    <w:rsid w:val="00EF3C5C"/>
    <w:rsid w:val="00EF4010"/>
    <w:rsid w:val="00EF444E"/>
    <w:rsid w:val="00EF5098"/>
    <w:rsid w:val="00EF50F0"/>
    <w:rsid w:val="00EF5276"/>
    <w:rsid w:val="00EF5468"/>
    <w:rsid w:val="00EF55D3"/>
    <w:rsid w:val="00EF5D8E"/>
    <w:rsid w:val="00EF67B8"/>
    <w:rsid w:val="00EF7A55"/>
    <w:rsid w:val="00EF7AC2"/>
    <w:rsid w:val="00F00386"/>
    <w:rsid w:val="00F005A4"/>
    <w:rsid w:val="00F0115E"/>
    <w:rsid w:val="00F012E3"/>
    <w:rsid w:val="00F02106"/>
    <w:rsid w:val="00F02372"/>
    <w:rsid w:val="00F025AC"/>
    <w:rsid w:val="00F029CC"/>
    <w:rsid w:val="00F02EB4"/>
    <w:rsid w:val="00F03E87"/>
    <w:rsid w:val="00F03F34"/>
    <w:rsid w:val="00F04280"/>
    <w:rsid w:val="00F0459D"/>
    <w:rsid w:val="00F04706"/>
    <w:rsid w:val="00F04806"/>
    <w:rsid w:val="00F0502B"/>
    <w:rsid w:val="00F0515A"/>
    <w:rsid w:val="00F05358"/>
    <w:rsid w:val="00F055F5"/>
    <w:rsid w:val="00F05D00"/>
    <w:rsid w:val="00F06031"/>
    <w:rsid w:val="00F0665A"/>
    <w:rsid w:val="00F072D8"/>
    <w:rsid w:val="00F07842"/>
    <w:rsid w:val="00F10074"/>
    <w:rsid w:val="00F100EC"/>
    <w:rsid w:val="00F10786"/>
    <w:rsid w:val="00F1142B"/>
    <w:rsid w:val="00F116B7"/>
    <w:rsid w:val="00F118E9"/>
    <w:rsid w:val="00F12F6D"/>
    <w:rsid w:val="00F13682"/>
    <w:rsid w:val="00F138A1"/>
    <w:rsid w:val="00F155F1"/>
    <w:rsid w:val="00F15810"/>
    <w:rsid w:val="00F15AFF"/>
    <w:rsid w:val="00F15C4D"/>
    <w:rsid w:val="00F15DF4"/>
    <w:rsid w:val="00F16154"/>
    <w:rsid w:val="00F168BC"/>
    <w:rsid w:val="00F16DA3"/>
    <w:rsid w:val="00F20118"/>
    <w:rsid w:val="00F2059C"/>
    <w:rsid w:val="00F21AEE"/>
    <w:rsid w:val="00F21F4C"/>
    <w:rsid w:val="00F2260B"/>
    <w:rsid w:val="00F22C3C"/>
    <w:rsid w:val="00F23276"/>
    <w:rsid w:val="00F23592"/>
    <w:rsid w:val="00F23785"/>
    <w:rsid w:val="00F23BCD"/>
    <w:rsid w:val="00F24152"/>
    <w:rsid w:val="00F25085"/>
    <w:rsid w:val="00F2573D"/>
    <w:rsid w:val="00F25849"/>
    <w:rsid w:val="00F25BB8"/>
    <w:rsid w:val="00F25FAB"/>
    <w:rsid w:val="00F2641C"/>
    <w:rsid w:val="00F264A2"/>
    <w:rsid w:val="00F271BF"/>
    <w:rsid w:val="00F27326"/>
    <w:rsid w:val="00F27634"/>
    <w:rsid w:val="00F27CEB"/>
    <w:rsid w:val="00F27F5D"/>
    <w:rsid w:val="00F3009A"/>
    <w:rsid w:val="00F30170"/>
    <w:rsid w:val="00F307F3"/>
    <w:rsid w:val="00F320BB"/>
    <w:rsid w:val="00F3219C"/>
    <w:rsid w:val="00F32218"/>
    <w:rsid w:val="00F3263C"/>
    <w:rsid w:val="00F32735"/>
    <w:rsid w:val="00F32ADA"/>
    <w:rsid w:val="00F32AF6"/>
    <w:rsid w:val="00F32FD9"/>
    <w:rsid w:val="00F339E9"/>
    <w:rsid w:val="00F3434A"/>
    <w:rsid w:val="00F34979"/>
    <w:rsid w:val="00F34F99"/>
    <w:rsid w:val="00F3532E"/>
    <w:rsid w:val="00F35C9F"/>
    <w:rsid w:val="00F36505"/>
    <w:rsid w:val="00F36B18"/>
    <w:rsid w:val="00F37FF8"/>
    <w:rsid w:val="00F401F7"/>
    <w:rsid w:val="00F4093C"/>
    <w:rsid w:val="00F40ACF"/>
    <w:rsid w:val="00F41227"/>
    <w:rsid w:val="00F414DA"/>
    <w:rsid w:val="00F4168D"/>
    <w:rsid w:val="00F416D9"/>
    <w:rsid w:val="00F4183B"/>
    <w:rsid w:val="00F418DE"/>
    <w:rsid w:val="00F41C34"/>
    <w:rsid w:val="00F41E09"/>
    <w:rsid w:val="00F4217E"/>
    <w:rsid w:val="00F42465"/>
    <w:rsid w:val="00F43113"/>
    <w:rsid w:val="00F43F85"/>
    <w:rsid w:val="00F444A4"/>
    <w:rsid w:val="00F44E69"/>
    <w:rsid w:val="00F450BA"/>
    <w:rsid w:val="00F45358"/>
    <w:rsid w:val="00F453AC"/>
    <w:rsid w:val="00F469ED"/>
    <w:rsid w:val="00F47432"/>
    <w:rsid w:val="00F474C1"/>
    <w:rsid w:val="00F50476"/>
    <w:rsid w:val="00F50592"/>
    <w:rsid w:val="00F50E9D"/>
    <w:rsid w:val="00F518C3"/>
    <w:rsid w:val="00F52302"/>
    <w:rsid w:val="00F52635"/>
    <w:rsid w:val="00F52986"/>
    <w:rsid w:val="00F52BB2"/>
    <w:rsid w:val="00F53719"/>
    <w:rsid w:val="00F539DB"/>
    <w:rsid w:val="00F53B94"/>
    <w:rsid w:val="00F547EC"/>
    <w:rsid w:val="00F54BE3"/>
    <w:rsid w:val="00F54C1E"/>
    <w:rsid w:val="00F55265"/>
    <w:rsid w:val="00F55419"/>
    <w:rsid w:val="00F55D77"/>
    <w:rsid w:val="00F55EEB"/>
    <w:rsid w:val="00F5612C"/>
    <w:rsid w:val="00F568A3"/>
    <w:rsid w:val="00F56937"/>
    <w:rsid w:val="00F56C8A"/>
    <w:rsid w:val="00F5765C"/>
    <w:rsid w:val="00F57FF4"/>
    <w:rsid w:val="00F6116A"/>
    <w:rsid w:val="00F61D23"/>
    <w:rsid w:val="00F62E64"/>
    <w:rsid w:val="00F64953"/>
    <w:rsid w:val="00F6519A"/>
    <w:rsid w:val="00F65489"/>
    <w:rsid w:val="00F65C31"/>
    <w:rsid w:val="00F66372"/>
    <w:rsid w:val="00F664CA"/>
    <w:rsid w:val="00F67AA6"/>
    <w:rsid w:val="00F67CBD"/>
    <w:rsid w:val="00F7001F"/>
    <w:rsid w:val="00F700FC"/>
    <w:rsid w:val="00F70B77"/>
    <w:rsid w:val="00F71124"/>
    <w:rsid w:val="00F71149"/>
    <w:rsid w:val="00F7136F"/>
    <w:rsid w:val="00F7137B"/>
    <w:rsid w:val="00F7137E"/>
    <w:rsid w:val="00F71C15"/>
    <w:rsid w:val="00F71C45"/>
    <w:rsid w:val="00F722CD"/>
    <w:rsid w:val="00F733F1"/>
    <w:rsid w:val="00F73F04"/>
    <w:rsid w:val="00F75621"/>
    <w:rsid w:val="00F757B1"/>
    <w:rsid w:val="00F75D7A"/>
    <w:rsid w:val="00F76E61"/>
    <w:rsid w:val="00F77ED7"/>
    <w:rsid w:val="00F805F5"/>
    <w:rsid w:val="00F80904"/>
    <w:rsid w:val="00F80C6E"/>
    <w:rsid w:val="00F80E9A"/>
    <w:rsid w:val="00F80F06"/>
    <w:rsid w:val="00F80F88"/>
    <w:rsid w:val="00F81A88"/>
    <w:rsid w:val="00F83097"/>
    <w:rsid w:val="00F83ED4"/>
    <w:rsid w:val="00F84B83"/>
    <w:rsid w:val="00F85812"/>
    <w:rsid w:val="00F85C23"/>
    <w:rsid w:val="00F8715C"/>
    <w:rsid w:val="00F872D9"/>
    <w:rsid w:val="00F8795C"/>
    <w:rsid w:val="00F87AF8"/>
    <w:rsid w:val="00F90177"/>
    <w:rsid w:val="00F90413"/>
    <w:rsid w:val="00F905E6"/>
    <w:rsid w:val="00F9091D"/>
    <w:rsid w:val="00F90EAD"/>
    <w:rsid w:val="00F912C8"/>
    <w:rsid w:val="00F921BE"/>
    <w:rsid w:val="00F9231E"/>
    <w:rsid w:val="00F93E24"/>
    <w:rsid w:val="00F95172"/>
    <w:rsid w:val="00F95832"/>
    <w:rsid w:val="00F95CB9"/>
    <w:rsid w:val="00F96E05"/>
    <w:rsid w:val="00F96EF1"/>
    <w:rsid w:val="00F97368"/>
    <w:rsid w:val="00F9768F"/>
    <w:rsid w:val="00FA026A"/>
    <w:rsid w:val="00FA0633"/>
    <w:rsid w:val="00FA1007"/>
    <w:rsid w:val="00FA1409"/>
    <w:rsid w:val="00FA226D"/>
    <w:rsid w:val="00FA2552"/>
    <w:rsid w:val="00FA27C9"/>
    <w:rsid w:val="00FA2910"/>
    <w:rsid w:val="00FA2BBA"/>
    <w:rsid w:val="00FA2BFE"/>
    <w:rsid w:val="00FA3447"/>
    <w:rsid w:val="00FA347D"/>
    <w:rsid w:val="00FA3993"/>
    <w:rsid w:val="00FA44BB"/>
    <w:rsid w:val="00FA44C2"/>
    <w:rsid w:val="00FA4A22"/>
    <w:rsid w:val="00FA531E"/>
    <w:rsid w:val="00FA58F5"/>
    <w:rsid w:val="00FA59F0"/>
    <w:rsid w:val="00FA5EEF"/>
    <w:rsid w:val="00FA6567"/>
    <w:rsid w:val="00FA72C1"/>
    <w:rsid w:val="00FA7B70"/>
    <w:rsid w:val="00FB0ABF"/>
    <w:rsid w:val="00FB0AF2"/>
    <w:rsid w:val="00FB1152"/>
    <w:rsid w:val="00FB17B5"/>
    <w:rsid w:val="00FB19C7"/>
    <w:rsid w:val="00FB1A2E"/>
    <w:rsid w:val="00FB1EFD"/>
    <w:rsid w:val="00FB2D57"/>
    <w:rsid w:val="00FB3B2F"/>
    <w:rsid w:val="00FB3D70"/>
    <w:rsid w:val="00FB3FC8"/>
    <w:rsid w:val="00FB509C"/>
    <w:rsid w:val="00FB5989"/>
    <w:rsid w:val="00FB5A9A"/>
    <w:rsid w:val="00FB695B"/>
    <w:rsid w:val="00FB7EFB"/>
    <w:rsid w:val="00FC0448"/>
    <w:rsid w:val="00FC082F"/>
    <w:rsid w:val="00FC088B"/>
    <w:rsid w:val="00FC0B3C"/>
    <w:rsid w:val="00FC11C1"/>
    <w:rsid w:val="00FC14B0"/>
    <w:rsid w:val="00FC170D"/>
    <w:rsid w:val="00FC18D8"/>
    <w:rsid w:val="00FC1C5A"/>
    <w:rsid w:val="00FC2356"/>
    <w:rsid w:val="00FC2BED"/>
    <w:rsid w:val="00FC2D22"/>
    <w:rsid w:val="00FC2F02"/>
    <w:rsid w:val="00FC3134"/>
    <w:rsid w:val="00FC33B8"/>
    <w:rsid w:val="00FC3755"/>
    <w:rsid w:val="00FC4C35"/>
    <w:rsid w:val="00FC4C6B"/>
    <w:rsid w:val="00FC4CB5"/>
    <w:rsid w:val="00FC6BD9"/>
    <w:rsid w:val="00FC6D2C"/>
    <w:rsid w:val="00FC7822"/>
    <w:rsid w:val="00FC7863"/>
    <w:rsid w:val="00FC7E73"/>
    <w:rsid w:val="00FC7EC8"/>
    <w:rsid w:val="00FD0778"/>
    <w:rsid w:val="00FD1A3C"/>
    <w:rsid w:val="00FD1C1A"/>
    <w:rsid w:val="00FD26A6"/>
    <w:rsid w:val="00FD2A3A"/>
    <w:rsid w:val="00FD2AA1"/>
    <w:rsid w:val="00FD2AA7"/>
    <w:rsid w:val="00FD398E"/>
    <w:rsid w:val="00FD3A27"/>
    <w:rsid w:val="00FD4CC5"/>
    <w:rsid w:val="00FD5A7F"/>
    <w:rsid w:val="00FD5DA8"/>
    <w:rsid w:val="00FD6373"/>
    <w:rsid w:val="00FD6F36"/>
    <w:rsid w:val="00FD7253"/>
    <w:rsid w:val="00FD7947"/>
    <w:rsid w:val="00FE0274"/>
    <w:rsid w:val="00FE08EA"/>
    <w:rsid w:val="00FE0983"/>
    <w:rsid w:val="00FE0BB2"/>
    <w:rsid w:val="00FE14BC"/>
    <w:rsid w:val="00FE1650"/>
    <w:rsid w:val="00FE1C77"/>
    <w:rsid w:val="00FE277C"/>
    <w:rsid w:val="00FE3610"/>
    <w:rsid w:val="00FE3A0C"/>
    <w:rsid w:val="00FE3DE2"/>
    <w:rsid w:val="00FE4500"/>
    <w:rsid w:val="00FE46BC"/>
    <w:rsid w:val="00FE47C0"/>
    <w:rsid w:val="00FE5337"/>
    <w:rsid w:val="00FE5CBB"/>
    <w:rsid w:val="00FE5E46"/>
    <w:rsid w:val="00FE6A4C"/>
    <w:rsid w:val="00FE6C19"/>
    <w:rsid w:val="00FE70E1"/>
    <w:rsid w:val="00FE79FF"/>
    <w:rsid w:val="00FF0175"/>
    <w:rsid w:val="00FF068D"/>
    <w:rsid w:val="00FF0701"/>
    <w:rsid w:val="00FF0D06"/>
    <w:rsid w:val="00FF0DC2"/>
    <w:rsid w:val="00FF11CE"/>
    <w:rsid w:val="00FF149E"/>
    <w:rsid w:val="00FF172F"/>
    <w:rsid w:val="00FF1CBC"/>
    <w:rsid w:val="00FF268F"/>
    <w:rsid w:val="00FF2A4B"/>
    <w:rsid w:val="00FF32BD"/>
    <w:rsid w:val="00FF34A2"/>
    <w:rsid w:val="00FF38AE"/>
    <w:rsid w:val="00FF3C3B"/>
    <w:rsid w:val="00FF3E34"/>
    <w:rsid w:val="00FF46B3"/>
    <w:rsid w:val="00FF4743"/>
    <w:rsid w:val="00FF4DB9"/>
    <w:rsid w:val="00FF4ED2"/>
    <w:rsid w:val="00FF5A3B"/>
    <w:rsid w:val="00FF5A42"/>
    <w:rsid w:val="00FF5F34"/>
    <w:rsid w:val="00FF6EEF"/>
    <w:rsid w:val="00FF6F62"/>
    <w:rsid w:val="00FF75B5"/>
    <w:rsid w:val="00FF7BFA"/>
    <w:rsid w:val="012874B6"/>
    <w:rsid w:val="0140183D"/>
    <w:rsid w:val="01456CA3"/>
    <w:rsid w:val="014E22D1"/>
    <w:rsid w:val="01597088"/>
    <w:rsid w:val="01852F04"/>
    <w:rsid w:val="0190619C"/>
    <w:rsid w:val="01EA3BF7"/>
    <w:rsid w:val="01FD6A90"/>
    <w:rsid w:val="0216712A"/>
    <w:rsid w:val="02334BD9"/>
    <w:rsid w:val="02335231"/>
    <w:rsid w:val="02400F88"/>
    <w:rsid w:val="02591DF1"/>
    <w:rsid w:val="026955A5"/>
    <w:rsid w:val="0274574C"/>
    <w:rsid w:val="029C73D9"/>
    <w:rsid w:val="02A70B2F"/>
    <w:rsid w:val="02C546AF"/>
    <w:rsid w:val="0316001C"/>
    <w:rsid w:val="03364A6A"/>
    <w:rsid w:val="033E421C"/>
    <w:rsid w:val="03504833"/>
    <w:rsid w:val="03697789"/>
    <w:rsid w:val="036C093D"/>
    <w:rsid w:val="03706492"/>
    <w:rsid w:val="0385663E"/>
    <w:rsid w:val="03974CE3"/>
    <w:rsid w:val="03B24AEE"/>
    <w:rsid w:val="03DE3CE0"/>
    <w:rsid w:val="041B561C"/>
    <w:rsid w:val="043D5637"/>
    <w:rsid w:val="04453DB2"/>
    <w:rsid w:val="045B212E"/>
    <w:rsid w:val="045C33B1"/>
    <w:rsid w:val="047C0559"/>
    <w:rsid w:val="047D5749"/>
    <w:rsid w:val="047F55C3"/>
    <w:rsid w:val="0499777B"/>
    <w:rsid w:val="04FD199F"/>
    <w:rsid w:val="051C61C5"/>
    <w:rsid w:val="052607D8"/>
    <w:rsid w:val="05280959"/>
    <w:rsid w:val="053D009B"/>
    <w:rsid w:val="05902EBE"/>
    <w:rsid w:val="059C3B91"/>
    <w:rsid w:val="05A26B58"/>
    <w:rsid w:val="05F573CF"/>
    <w:rsid w:val="060B1784"/>
    <w:rsid w:val="062926C4"/>
    <w:rsid w:val="062D6773"/>
    <w:rsid w:val="065E39FD"/>
    <w:rsid w:val="06627908"/>
    <w:rsid w:val="066B69F0"/>
    <w:rsid w:val="06734E0A"/>
    <w:rsid w:val="06C1483F"/>
    <w:rsid w:val="06D65C8C"/>
    <w:rsid w:val="06F052CC"/>
    <w:rsid w:val="07445E0C"/>
    <w:rsid w:val="075157CD"/>
    <w:rsid w:val="076C0D82"/>
    <w:rsid w:val="077F2763"/>
    <w:rsid w:val="078F3D61"/>
    <w:rsid w:val="07923422"/>
    <w:rsid w:val="07AA1950"/>
    <w:rsid w:val="07C05C6A"/>
    <w:rsid w:val="07CD7F4D"/>
    <w:rsid w:val="07F27424"/>
    <w:rsid w:val="08501B80"/>
    <w:rsid w:val="085773B7"/>
    <w:rsid w:val="086B5F62"/>
    <w:rsid w:val="08762F5E"/>
    <w:rsid w:val="089B318B"/>
    <w:rsid w:val="089F31F5"/>
    <w:rsid w:val="08A55153"/>
    <w:rsid w:val="08AC03A5"/>
    <w:rsid w:val="08B735D9"/>
    <w:rsid w:val="08EA59C3"/>
    <w:rsid w:val="08F910E4"/>
    <w:rsid w:val="092A46FC"/>
    <w:rsid w:val="09381B10"/>
    <w:rsid w:val="09522015"/>
    <w:rsid w:val="09625E8E"/>
    <w:rsid w:val="0965423C"/>
    <w:rsid w:val="098955ED"/>
    <w:rsid w:val="098E1133"/>
    <w:rsid w:val="099F713A"/>
    <w:rsid w:val="09B30183"/>
    <w:rsid w:val="09BC611B"/>
    <w:rsid w:val="09D42236"/>
    <w:rsid w:val="09DF1B09"/>
    <w:rsid w:val="09F57DAF"/>
    <w:rsid w:val="0A1961C6"/>
    <w:rsid w:val="0A37395B"/>
    <w:rsid w:val="0A547BA2"/>
    <w:rsid w:val="0A782A87"/>
    <w:rsid w:val="0A864E29"/>
    <w:rsid w:val="0A8969A1"/>
    <w:rsid w:val="0A907134"/>
    <w:rsid w:val="0AA468AF"/>
    <w:rsid w:val="0AA60758"/>
    <w:rsid w:val="0AB660A8"/>
    <w:rsid w:val="0ACA2E50"/>
    <w:rsid w:val="0ADC01AA"/>
    <w:rsid w:val="0B055C3F"/>
    <w:rsid w:val="0B500805"/>
    <w:rsid w:val="0B6E4748"/>
    <w:rsid w:val="0B7F799C"/>
    <w:rsid w:val="0B8216CF"/>
    <w:rsid w:val="0B9F3DC4"/>
    <w:rsid w:val="0BBD1860"/>
    <w:rsid w:val="0BDC4363"/>
    <w:rsid w:val="0BE64075"/>
    <w:rsid w:val="0C0014A4"/>
    <w:rsid w:val="0C3B7675"/>
    <w:rsid w:val="0C405F97"/>
    <w:rsid w:val="0C6B23F8"/>
    <w:rsid w:val="0C6D7A3A"/>
    <w:rsid w:val="0CCF6874"/>
    <w:rsid w:val="0CDA1EE9"/>
    <w:rsid w:val="0CDD76F1"/>
    <w:rsid w:val="0CF44B1C"/>
    <w:rsid w:val="0CF715AE"/>
    <w:rsid w:val="0D0567EB"/>
    <w:rsid w:val="0D155D5E"/>
    <w:rsid w:val="0D466EC1"/>
    <w:rsid w:val="0D544F0A"/>
    <w:rsid w:val="0D664E54"/>
    <w:rsid w:val="0D762EC0"/>
    <w:rsid w:val="0D7C55B6"/>
    <w:rsid w:val="0D9F0DE5"/>
    <w:rsid w:val="0DA70E08"/>
    <w:rsid w:val="0DED67BD"/>
    <w:rsid w:val="0E2B71E4"/>
    <w:rsid w:val="0E753297"/>
    <w:rsid w:val="0E7C25E4"/>
    <w:rsid w:val="0E910553"/>
    <w:rsid w:val="0ED2618A"/>
    <w:rsid w:val="0EF26F33"/>
    <w:rsid w:val="0F116AE5"/>
    <w:rsid w:val="0F1A015B"/>
    <w:rsid w:val="0F490F43"/>
    <w:rsid w:val="0F6E1053"/>
    <w:rsid w:val="0F880680"/>
    <w:rsid w:val="0FBD546B"/>
    <w:rsid w:val="0FF65CAC"/>
    <w:rsid w:val="1003410E"/>
    <w:rsid w:val="10125638"/>
    <w:rsid w:val="101C4299"/>
    <w:rsid w:val="1020207E"/>
    <w:rsid w:val="104F06AA"/>
    <w:rsid w:val="1062014F"/>
    <w:rsid w:val="106C7D14"/>
    <w:rsid w:val="106D24F4"/>
    <w:rsid w:val="10AB1C8B"/>
    <w:rsid w:val="10C007ED"/>
    <w:rsid w:val="10CF7847"/>
    <w:rsid w:val="11206CFE"/>
    <w:rsid w:val="114A09EB"/>
    <w:rsid w:val="114C7B8E"/>
    <w:rsid w:val="114D02C3"/>
    <w:rsid w:val="116D02C0"/>
    <w:rsid w:val="116D6B93"/>
    <w:rsid w:val="11985B7E"/>
    <w:rsid w:val="11A8786E"/>
    <w:rsid w:val="11AF57AB"/>
    <w:rsid w:val="11C42051"/>
    <w:rsid w:val="11CD4F8E"/>
    <w:rsid w:val="123500C0"/>
    <w:rsid w:val="123D272E"/>
    <w:rsid w:val="12790AE7"/>
    <w:rsid w:val="128D4FB3"/>
    <w:rsid w:val="12AC1B00"/>
    <w:rsid w:val="12C9635C"/>
    <w:rsid w:val="12F65658"/>
    <w:rsid w:val="1309619E"/>
    <w:rsid w:val="1313438B"/>
    <w:rsid w:val="134A5C76"/>
    <w:rsid w:val="136C5F80"/>
    <w:rsid w:val="13850931"/>
    <w:rsid w:val="138A4B30"/>
    <w:rsid w:val="13B22CDB"/>
    <w:rsid w:val="13B34EBC"/>
    <w:rsid w:val="13B51151"/>
    <w:rsid w:val="13D20E5E"/>
    <w:rsid w:val="13EA71B6"/>
    <w:rsid w:val="13EB06CA"/>
    <w:rsid w:val="14047ADA"/>
    <w:rsid w:val="14151603"/>
    <w:rsid w:val="14702BA8"/>
    <w:rsid w:val="149177DD"/>
    <w:rsid w:val="14DE0076"/>
    <w:rsid w:val="14F12F25"/>
    <w:rsid w:val="15483BC7"/>
    <w:rsid w:val="154A5786"/>
    <w:rsid w:val="157A3F83"/>
    <w:rsid w:val="15AB01DB"/>
    <w:rsid w:val="15BB0C08"/>
    <w:rsid w:val="15D1690A"/>
    <w:rsid w:val="15D77EBE"/>
    <w:rsid w:val="164214A1"/>
    <w:rsid w:val="165427CA"/>
    <w:rsid w:val="1663616F"/>
    <w:rsid w:val="166C2904"/>
    <w:rsid w:val="169B5F81"/>
    <w:rsid w:val="16A71554"/>
    <w:rsid w:val="16BD1793"/>
    <w:rsid w:val="16BD6D89"/>
    <w:rsid w:val="16D91D30"/>
    <w:rsid w:val="16F00ED4"/>
    <w:rsid w:val="171A3CEB"/>
    <w:rsid w:val="172B0185"/>
    <w:rsid w:val="17385A1F"/>
    <w:rsid w:val="177F7B35"/>
    <w:rsid w:val="17946320"/>
    <w:rsid w:val="17986020"/>
    <w:rsid w:val="17A12353"/>
    <w:rsid w:val="17A439C3"/>
    <w:rsid w:val="17B63A0B"/>
    <w:rsid w:val="17BA546E"/>
    <w:rsid w:val="17CD3F68"/>
    <w:rsid w:val="17CF0F21"/>
    <w:rsid w:val="17EC70BC"/>
    <w:rsid w:val="180876F2"/>
    <w:rsid w:val="182269B5"/>
    <w:rsid w:val="182B67CC"/>
    <w:rsid w:val="184A2B33"/>
    <w:rsid w:val="186454BA"/>
    <w:rsid w:val="1871071A"/>
    <w:rsid w:val="18794D21"/>
    <w:rsid w:val="18D14B27"/>
    <w:rsid w:val="192B6872"/>
    <w:rsid w:val="194E7F9A"/>
    <w:rsid w:val="19BF444B"/>
    <w:rsid w:val="19F8279A"/>
    <w:rsid w:val="1A04463B"/>
    <w:rsid w:val="1A0C795A"/>
    <w:rsid w:val="1A262FD6"/>
    <w:rsid w:val="1A28470C"/>
    <w:rsid w:val="1A2D540B"/>
    <w:rsid w:val="1A715946"/>
    <w:rsid w:val="1A837D45"/>
    <w:rsid w:val="1AB6668A"/>
    <w:rsid w:val="1B420226"/>
    <w:rsid w:val="1BF602D9"/>
    <w:rsid w:val="1C8648B7"/>
    <w:rsid w:val="1C906488"/>
    <w:rsid w:val="1CC47A8F"/>
    <w:rsid w:val="1CC52956"/>
    <w:rsid w:val="1CF70DA0"/>
    <w:rsid w:val="1D113B78"/>
    <w:rsid w:val="1D174CA4"/>
    <w:rsid w:val="1D23556F"/>
    <w:rsid w:val="1D2368B2"/>
    <w:rsid w:val="1D39314D"/>
    <w:rsid w:val="1D5360D3"/>
    <w:rsid w:val="1D631472"/>
    <w:rsid w:val="1D635DBB"/>
    <w:rsid w:val="1D6B18B8"/>
    <w:rsid w:val="1D6F748E"/>
    <w:rsid w:val="1D705781"/>
    <w:rsid w:val="1D7D4159"/>
    <w:rsid w:val="1D8354BB"/>
    <w:rsid w:val="1D8421EB"/>
    <w:rsid w:val="1D9230BE"/>
    <w:rsid w:val="1D966060"/>
    <w:rsid w:val="1DAE6E7D"/>
    <w:rsid w:val="1DD36E3B"/>
    <w:rsid w:val="1DF52BFC"/>
    <w:rsid w:val="1E5F44C7"/>
    <w:rsid w:val="1EDE12F7"/>
    <w:rsid w:val="1F3D6161"/>
    <w:rsid w:val="1F56462E"/>
    <w:rsid w:val="1F6F4176"/>
    <w:rsid w:val="1F9060F9"/>
    <w:rsid w:val="1FA0026C"/>
    <w:rsid w:val="1FA23D02"/>
    <w:rsid w:val="1FC14A3C"/>
    <w:rsid w:val="1FF953DA"/>
    <w:rsid w:val="20030EB2"/>
    <w:rsid w:val="202D4F41"/>
    <w:rsid w:val="2037489C"/>
    <w:rsid w:val="205C7A3B"/>
    <w:rsid w:val="206247AB"/>
    <w:rsid w:val="20635CBE"/>
    <w:rsid w:val="2084751B"/>
    <w:rsid w:val="20BE692D"/>
    <w:rsid w:val="20DA568F"/>
    <w:rsid w:val="20E226B9"/>
    <w:rsid w:val="20F64BF4"/>
    <w:rsid w:val="212C43BE"/>
    <w:rsid w:val="214465F7"/>
    <w:rsid w:val="217628FE"/>
    <w:rsid w:val="218B360E"/>
    <w:rsid w:val="21B75FC9"/>
    <w:rsid w:val="221B6C6C"/>
    <w:rsid w:val="2253615F"/>
    <w:rsid w:val="225D4F92"/>
    <w:rsid w:val="2294338F"/>
    <w:rsid w:val="22A250AB"/>
    <w:rsid w:val="22C73452"/>
    <w:rsid w:val="232559C9"/>
    <w:rsid w:val="23370BEB"/>
    <w:rsid w:val="235436DD"/>
    <w:rsid w:val="23682AD9"/>
    <w:rsid w:val="236E7E31"/>
    <w:rsid w:val="23960F25"/>
    <w:rsid w:val="23AA2CF3"/>
    <w:rsid w:val="23C950C6"/>
    <w:rsid w:val="23F75355"/>
    <w:rsid w:val="23FB40BF"/>
    <w:rsid w:val="24D5521C"/>
    <w:rsid w:val="25132275"/>
    <w:rsid w:val="25167BF1"/>
    <w:rsid w:val="25292386"/>
    <w:rsid w:val="25300833"/>
    <w:rsid w:val="25C26E97"/>
    <w:rsid w:val="25F12C4F"/>
    <w:rsid w:val="25F37514"/>
    <w:rsid w:val="260453E1"/>
    <w:rsid w:val="26056840"/>
    <w:rsid w:val="261A6302"/>
    <w:rsid w:val="264B6519"/>
    <w:rsid w:val="2657362F"/>
    <w:rsid w:val="265D762C"/>
    <w:rsid w:val="267B3E62"/>
    <w:rsid w:val="26D523F8"/>
    <w:rsid w:val="26EB2730"/>
    <w:rsid w:val="26FD6E03"/>
    <w:rsid w:val="27066E66"/>
    <w:rsid w:val="271E57F7"/>
    <w:rsid w:val="276D181F"/>
    <w:rsid w:val="27764878"/>
    <w:rsid w:val="27774B26"/>
    <w:rsid w:val="277A5834"/>
    <w:rsid w:val="278F2DE8"/>
    <w:rsid w:val="27B93DC8"/>
    <w:rsid w:val="27EF6D58"/>
    <w:rsid w:val="27F917D9"/>
    <w:rsid w:val="28001415"/>
    <w:rsid w:val="2810616C"/>
    <w:rsid w:val="2816688A"/>
    <w:rsid w:val="2867751B"/>
    <w:rsid w:val="28AA5FB7"/>
    <w:rsid w:val="28AF7590"/>
    <w:rsid w:val="291D69D4"/>
    <w:rsid w:val="292F4D78"/>
    <w:rsid w:val="293473A6"/>
    <w:rsid w:val="29990D4E"/>
    <w:rsid w:val="29D10387"/>
    <w:rsid w:val="29D92150"/>
    <w:rsid w:val="29E93694"/>
    <w:rsid w:val="29EB741B"/>
    <w:rsid w:val="29FA2462"/>
    <w:rsid w:val="2A412EA4"/>
    <w:rsid w:val="2A5574A7"/>
    <w:rsid w:val="2A7A6E14"/>
    <w:rsid w:val="2A8862C6"/>
    <w:rsid w:val="2AB26489"/>
    <w:rsid w:val="2ABC095E"/>
    <w:rsid w:val="2AF109DC"/>
    <w:rsid w:val="2AF2647F"/>
    <w:rsid w:val="2AF969F8"/>
    <w:rsid w:val="2B0A5A74"/>
    <w:rsid w:val="2B205733"/>
    <w:rsid w:val="2B282B3E"/>
    <w:rsid w:val="2B3445E9"/>
    <w:rsid w:val="2B3C72FC"/>
    <w:rsid w:val="2B4B3F61"/>
    <w:rsid w:val="2B5314F8"/>
    <w:rsid w:val="2B617849"/>
    <w:rsid w:val="2B7056A3"/>
    <w:rsid w:val="2B8F468D"/>
    <w:rsid w:val="2B9D67EE"/>
    <w:rsid w:val="2C076023"/>
    <w:rsid w:val="2C187DCA"/>
    <w:rsid w:val="2C2468C4"/>
    <w:rsid w:val="2C252BA5"/>
    <w:rsid w:val="2C4442F7"/>
    <w:rsid w:val="2C5C1570"/>
    <w:rsid w:val="2C8A3565"/>
    <w:rsid w:val="2C8E495A"/>
    <w:rsid w:val="2C936737"/>
    <w:rsid w:val="2CA723FD"/>
    <w:rsid w:val="2CCC2DC0"/>
    <w:rsid w:val="2CEE03E8"/>
    <w:rsid w:val="2D612E69"/>
    <w:rsid w:val="2DB10B09"/>
    <w:rsid w:val="2DB61E24"/>
    <w:rsid w:val="2DBE76BB"/>
    <w:rsid w:val="2DFD2C1E"/>
    <w:rsid w:val="2E0463AA"/>
    <w:rsid w:val="2E1D6D8D"/>
    <w:rsid w:val="2E2141E4"/>
    <w:rsid w:val="2E4416B1"/>
    <w:rsid w:val="2E631F02"/>
    <w:rsid w:val="2E732A78"/>
    <w:rsid w:val="2E893643"/>
    <w:rsid w:val="2E940741"/>
    <w:rsid w:val="2E9767D1"/>
    <w:rsid w:val="2EBC28F4"/>
    <w:rsid w:val="2ED47246"/>
    <w:rsid w:val="2EED0C76"/>
    <w:rsid w:val="2F577643"/>
    <w:rsid w:val="2F885971"/>
    <w:rsid w:val="2FA30126"/>
    <w:rsid w:val="2FA31A5F"/>
    <w:rsid w:val="30172032"/>
    <w:rsid w:val="302673F6"/>
    <w:rsid w:val="30642CE1"/>
    <w:rsid w:val="307A319B"/>
    <w:rsid w:val="30987097"/>
    <w:rsid w:val="30A30B94"/>
    <w:rsid w:val="30CD3683"/>
    <w:rsid w:val="30E52111"/>
    <w:rsid w:val="313C6A3B"/>
    <w:rsid w:val="313F7AA8"/>
    <w:rsid w:val="31824E3E"/>
    <w:rsid w:val="31AA175B"/>
    <w:rsid w:val="31B063D3"/>
    <w:rsid w:val="31B52DB3"/>
    <w:rsid w:val="31FD7CCB"/>
    <w:rsid w:val="321D5585"/>
    <w:rsid w:val="3222680D"/>
    <w:rsid w:val="326211D7"/>
    <w:rsid w:val="326F6D3A"/>
    <w:rsid w:val="3291152A"/>
    <w:rsid w:val="3295232B"/>
    <w:rsid w:val="32D5011B"/>
    <w:rsid w:val="330E3FC0"/>
    <w:rsid w:val="33486F08"/>
    <w:rsid w:val="33694C41"/>
    <w:rsid w:val="33713745"/>
    <w:rsid w:val="33720777"/>
    <w:rsid w:val="337A2A87"/>
    <w:rsid w:val="33AF46C9"/>
    <w:rsid w:val="33B97F81"/>
    <w:rsid w:val="33BA48DE"/>
    <w:rsid w:val="33F4010D"/>
    <w:rsid w:val="34052358"/>
    <w:rsid w:val="34114CAE"/>
    <w:rsid w:val="34AE3C53"/>
    <w:rsid w:val="34B0252D"/>
    <w:rsid w:val="34C7511C"/>
    <w:rsid w:val="34CF2A32"/>
    <w:rsid w:val="34E70DEF"/>
    <w:rsid w:val="34EC154C"/>
    <w:rsid w:val="3523298E"/>
    <w:rsid w:val="3536678C"/>
    <w:rsid w:val="35C134CC"/>
    <w:rsid w:val="35C768FC"/>
    <w:rsid w:val="35E82D8B"/>
    <w:rsid w:val="35FC29E6"/>
    <w:rsid w:val="364A3F4D"/>
    <w:rsid w:val="368C4C5E"/>
    <w:rsid w:val="36926A48"/>
    <w:rsid w:val="369962AB"/>
    <w:rsid w:val="36B06A13"/>
    <w:rsid w:val="36B11A86"/>
    <w:rsid w:val="36B84DD5"/>
    <w:rsid w:val="36BE529C"/>
    <w:rsid w:val="36C3690D"/>
    <w:rsid w:val="36CE7F21"/>
    <w:rsid w:val="36F2246D"/>
    <w:rsid w:val="36FA74B6"/>
    <w:rsid w:val="370137E2"/>
    <w:rsid w:val="372F639B"/>
    <w:rsid w:val="37481DCF"/>
    <w:rsid w:val="374C0CE0"/>
    <w:rsid w:val="37844EA6"/>
    <w:rsid w:val="37AD4655"/>
    <w:rsid w:val="38232044"/>
    <w:rsid w:val="382666B7"/>
    <w:rsid w:val="38793E2F"/>
    <w:rsid w:val="38843C68"/>
    <w:rsid w:val="38B62EC3"/>
    <w:rsid w:val="38D0111B"/>
    <w:rsid w:val="38D26DBE"/>
    <w:rsid w:val="38D43A69"/>
    <w:rsid w:val="38DA407C"/>
    <w:rsid w:val="38E35080"/>
    <w:rsid w:val="390768DF"/>
    <w:rsid w:val="393257D6"/>
    <w:rsid w:val="39385D34"/>
    <w:rsid w:val="393C71EF"/>
    <w:rsid w:val="393C764C"/>
    <w:rsid w:val="39557E6F"/>
    <w:rsid w:val="395A59C0"/>
    <w:rsid w:val="395F20ED"/>
    <w:rsid w:val="39605955"/>
    <w:rsid w:val="39770013"/>
    <w:rsid w:val="3996381D"/>
    <w:rsid w:val="39A04A25"/>
    <w:rsid w:val="39A81475"/>
    <w:rsid w:val="39AB1706"/>
    <w:rsid w:val="39B73EBD"/>
    <w:rsid w:val="39BD3DEC"/>
    <w:rsid w:val="39C05FF4"/>
    <w:rsid w:val="39F95461"/>
    <w:rsid w:val="3A06531D"/>
    <w:rsid w:val="3A0D2BFC"/>
    <w:rsid w:val="3A27151F"/>
    <w:rsid w:val="3A351E6B"/>
    <w:rsid w:val="3A3C4F3F"/>
    <w:rsid w:val="3A6400DF"/>
    <w:rsid w:val="3A6C3C99"/>
    <w:rsid w:val="3A6E714D"/>
    <w:rsid w:val="3AA47413"/>
    <w:rsid w:val="3ABD00D4"/>
    <w:rsid w:val="3ADF7D50"/>
    <w:rsid w:val="3AE4248E"/>
    <w:rsid w:val="3B222F95"/>
    <w:rsid w:val="3B456E4D"/>
    <w:rsid w:val="3B5806D4"/>
    <w:rsid w:val="3B7542D3"/>
    <w:rsid w:val="3B803DDB"/>
    <w:rsid w:val="3BA52706"/>
    <w:rsid w:val="3BAA083E"/>
    <w:rsid w:val="3BB43D88"/>
    <w:rsid w:val="3BD53FC1"/>
    <w:rsid w:val="3BE62492"/>
    <w:rsid w:val="3C200F5F"/>
    <w:rsid w:val="3C294BEE"/>
    <w:rsid w:val="3C301A7D"/>
    <w:rsid w:val="3CBC3355"/>
    <w:rsid w:val="3CF23C7D"/>
    <w:rsid w:val="3D2B43A3"/>
    <w:rsid w:val="3D406DDD"/>
    <w:rsid w:val="3D7D2FD7"/>
    <w:rsid w:val="3DCB5C64"/>
    <w:rsid w:val="3DFC3E8D"/>
    <w:rsid w:val="3E2D2613"/>
    <w:rsid w:val="3E3E31DD"/>
    <w:rsid w:val="3E6F6CDB"/>
    <w:rsid w:val="3E754C34"/>
    <w:rsid w:val="3E9827D1"/>
    <w:rsid w:val="3EA2133D"/>
    <w:rsid w:val="3EF70141"/>
    <w:rsid w:val="3F1230F1"/>
    <w:rsid w:val="3F1E2366"/>
    <w:rsid w:val="3F5F7ABF"/>
    <w:rsid w:val="3F644D2D"/>
    <w:rsid w:val="3FD50691"/>
    <w:rsid w:val="3FD64116"/>
    <w:rsid w:val="3FE31696"/>
    <w:rsid w:val="4017733F"/>
    <w:rsid w:val="406A1A4D"/>
    <w:rsid w:val="406C3A50"/>
    <w:rsid w:val="40D535F1"/>
    <w:rsid w:val="40E16731"/>
    <w:rsid w:val="40FC5CA0"/>
    <w:rsid w:val="40FC70EE"/>
    <w:rsid w:val="40FE4836"/>
    <w:rsid w:val="411E4166"/>
    <w:rsid w:val="41C619C5"/>
    <w:rsid w:val="41F46594"/>
    <w:rsid w:val="42046E32"/>
    <w:rsid w:val="422A389C"/>
    <w:rsid w:val="42603380"/>
    <w:rsid w:val="426E101E"/>
    <w:rsid w:val="42A61CCA"/>
    <w:rsid w:val="42E335BF"/>
    <w:rsid w:val="42E92049"/>
    <w:rsid w:val="43050A9D"/>
    <w:rsid w:val="43051EDD"/>
    <w:rsid w:val="43291AA7"/>
    <w:rsid w:val="432F1D46"/>
    <w:rsid w:val="43685BAE"/>
    <w:rsid w:val="436C3400"/>
    <w:rsid w:val="4372620C"/>
    <w:rsid w:val="4393291E"/>
    <w:rsid w:val="43CD47EA"/>
    <w:rsid w:val="43FA4CE7"/>
    <w:rsid w:val="44112ED8"/>
    <w:rsid w:val="44170017"/>
    <w:rsid w:val="441F7EFA"/>
    <w:rsid w:val="44694138"/>
    <w:rsid w:val="44803CAD"/>
    <w:rsid w:val="4490701B"/>
    <w:rsid w:val="449234C5"/>
    <w:rsid w:val="44A2730A"/>
    <w:rsid w:val="44F25829"/>
    <w:rsid w:val="4500556F"/>
    <w:rsid w:val="45284F18"/>
    <w:rsid w:val="45385AAD"/>
    <w:rsid w:val="45632A61"/>
    <w:rsid w:val="457B3A0F"/>
    <w:rsid w:val="45917749"/>
    <w:rsid w:val="459326C8"/>
    <w:rsid w:val="45A061D2"/>
    <w:rsid w:val="45AF2D57"/>
    <w:rsid w:val="45CC6556"/>
    <w:rsid w:val="45D23252"/>
    <w:rsid w:val="45D57FF2"/>
    <w:rsid w:val="45E436A7"/>
    <w:rsid w:val="460924E5"/>
    <w:rsid w:val="460B1582"/>
    <w:rsid w:val="463C0601"/>
    <w:rsid w:val="46CA057F"/>
    <w:rsid w:val="47064137"/>
    <w:rsid w:val="47274639"/>
    <w:rsid w:val="475B7220"/>
    <w:rsid w:val="477D19AB"/>
    <w:rsid w:val="47881C8B"/>
    <w:rsid w:val="478D1B65"/>
    <w:rsid w:val="47AB2E45"/>
    <w:rsid w:val="47AE222D"/>
    <w:rsid w:val="47B63167"/>
    <w:rsid w:val="47C6093B"/>
    <w:rsid w:val="47ED317D"/>
    <w:rsid w:val="480574B3"/>
    <w:rsid w:val="481954AB"/>
    <w:rsid w:val="481C6F44"/>
    <w:rsid w:val="483461AB"/>
    <w:rsid w:val="48861C78"/>
    <w:rsid w:val="48A127C8"/>
    <w:rsid w:val="48BB7390"/>
    <w:rsid w:val="48C04E5F"/>
    <w:rsid w:val="48CB0F68"/>
    <w:rsid w:val="48CB355F"/>
    <w:rsid w:val="494B0515"/>
    <w:rsid w:val="495B461A"/>
    <w:rsid w:val="496A2B43"/>
    <w:rsid w:val="498B24A6"/>
    <w:rsid w:val="49A309A3"/>
    <w:rsid w:val="49BC2F93"/>
    <w:rsid w:val="49C1216D"/>
    <w:rsid w:val="49C35630"/>
    <w:rsid w:val="49C359E5"/>
    <w:rsid w:val="49F43ADD"/>
    <w:rsid w:val="4A0E2C14"/>
    <w:rsid w:val="4A0F4DF5"/>
    <w:rsid w:val="4A4F1353"/>
    <w:rsid w:val="4A633356"/>
    <w:rsid w:val="4A6A13EA"/>
    <w:rsid w:val="4ADC7991"/>
    <w:rsid w:val="4AF37431"/>
    <w:rsid w:val="4AFC4ECA"/>
    <w:rsid w:val="4B0D3447"/>
    <w:rsid w:val="4B3D51DA"/>
    <w:rsid w:val="4B4E706F"/>
    <w:rsid w:val="4B5F0E37"/>
    <w:rsid w:val="4B735021"/>
    <w:rsid w:val="4B9828E3"/>
    <w:rsid w:val="4BBB1DDB"/>
    <w:rsid w:val="4BE52621"/>
    <w:rsid w:val="4BEB753E"/>
    <w:rsid w:val="4BEC6B16"/>
    <w:rsid w:val="4C4F24EC"/>
    <w:rsid w:val="4C711F79"/>
    <w:rsid w:val="4CA60D28"/>
    <w:rsid w:val="4CB625C8"/>
    <w:rsid w:val="4CB85EBE"/>
    <w:rsid w:val="4CCF0E33"/>
    <w:rsid w:val="4CE078EA"/>
    <w:rsid w:val="4D011588"/>
    <w:rsid w:val="4D6D33A1"/>
    <w:rsid w:val="4D985788"/>
    <w:rsid w:val="4DBD6B07"/>
    <w:rsid w:val="4DF35E40"/>
    <w:rsid w:val="4DF36471"/>
    <w:rsid w:val="4DFA40D4"/>
    <w:rsid w:val="4DFF36B1"/>
    <w:rsid w:val="4E172FC2"/>
    <w:rsid w:val="4E3042CA"/>
    <w:rsid w:val="4E47553D"/>
    <w:rsid w:val="4E4C28EC"/>
    <w:rsid w:val="4E854B3C"/>
    <w:rsid w:val="4EB820DC"/>
    <w:rsid w:val="4ED02A00"/>
    <w:rsid w:val="4ED740CD"/>
    <w:rsid w:val="4EF55B8D"/>
    <w:rsid w:val="4F1251CD"/>
    <w:rsid w:val="4F51183B"/>
    <w:rsid w:val="4F8770B4"/>
    <w:rsid w:val="4F9F4578"/>
    <w:rsid w:val="4FA249F2"/>
    <w:rsid w:val="4FA64B1D"/>
    <w:rsid w:val="4FDB1D39"/>
    <w:rsid w:val="500C344D"/>
    <w:rsid w:val="50110EDF"/>
    <w:rsid w:val="503A38EF"/>
    <w:rsid w:val="50502AFC"/>
    <w:rsid w:val="508C66B5"/>
    <w:rsid w:val="50922135"/>
    <w:rsid w:val="50963E57"/>
    <w:rsid w:val="50A94373"/>
    <w:rsid w:val="50B845FE"/>
    <w:rsid w:val="50B91AEC"/>
    <w:rsid w:val="50F62F30"/>
    <w:rsid w:val="5107322A"/>
    <w:rsid w:val="510C773A"/>
    <w:rsid w:val="512542E2"/>
    <w:rsid w:val="513C199D"/>
    <w:rsid w:val="515C7A84"/>
    <w:rsid w:val="518C0C7A"/>
    <w:rsid w:val="51BA2437"/>
    <w:rsid w:val="51DF7976"/>
    <w:rsid w:val="51F37045"/>
    <w:rsid w:val="52130C6B"/>
    <w:rsid w:val="525D2796"/>
    <w:rsid w:val="52642B3F"/>
    <w:rsid w:val="529D57DC"/>
    <w:rsid w:val="52C10BE1"/>
    <w:rsid w:val="52D95770"/>
    <w:rsid w:val="52E87E50"/>
    <w:rsid w:val="52F63688"/>
    <w:rsid w:val="530C1CF9"/>
    <w:rsid w:val="533E2C91"/>
    <w:rsid w:val="534736C5"/>
    <w:rsid w:val="534D63F2"/>
    <w:rsid w:val="53C13F9B"/>
    <w:rsid w:val="53D53D56"/>
    <w:rsid w:val="53DB6DBB"/>
    <w:rsid w:val="53F96A7A"/>
    <w:rsid w:val="540A336D"/>
    <w:rsid w:val="5422683D"/>
    <w:rsid w:val="542D59C6"/>
    <w:rsid w:val="542D5DFF"/>
    <w:rsid w:val="544C2F1A"/>
    <w:rsid w:val="547E703D"/>
    <w:rsid w:val="54A44F87"/>
    <w:rsid w:val="54C728A8"/>
    <w:rsid w:val="54CF4689"/>
    <w:rsid w:val="54DB6DC5"/>
    <w:rsid w:val="550508FD"/>
    <w:rsid w:val="551E1B22"/>
    <w:rsid w:val="556721A0"/>
    <w:rsid w:val="557D7B44"/>
    <w:rsid w:val="559002FF"/>
    <w:rsid w:val="55CF06FB"/>
    <w:rsid w:val="55E1030E"/>
    <w:rsid w:val="560C61C8"/>
    <w:rsid w:val="5654066D"/>
    <w:rsid w:val="56964A63"/>
    <w:rsid w:val="56965A0F"/>
    <w:rsid w:val="56DB424B"/>
    <w:rsid w:val="56DF0575"/>
    <w:rsid w:val="56ED1731"/>
    <w:rsid w:val="570460BF"/>
    <w:rsid w:val="57174AF1"/>
    <w:rsid w:val="573250EB"/>
    <w:rsid w:val="573C79E3"/>
    <w:rsid w:val="574E43D5"/>
    <w:rsid w:val="579D3EC4"/>
    <w:rsid w:val="57A02C6F"/>
    <w:rsid w:val="57DD4B42"/>
    <w:rsid w:val="58062C04"/>
    <w:rsid w:val="581D32F0"/>
    <w:rsid w:val="58385C3F"/>
    <w:rsid w:val="58427266"/>
    <w:rsid w:val="586673F4"/>
    <w:rsid w:val="587F21BE"/>
    <w:rsid w:val="58903092"/>
    <w:rsid w:val="5899411E"/>
    <w:rsid w:val="58C47EF4"/>
    <w:rsid w:val="58FC2231"/>
    <w:rsid w:val="592F2300"/>
    <w:rsid w:val="59524127"/>
    <w:rsid w:val="59601583"/>
    <w:rsid w:val="59601B68"/>
    <w:rsid w:val="599169FB"/>
    <w:rsid w:val="59A91CFE"/>
    <w:rsid w:val="59C46AE6"/>
    <w:rsid w:val="59EA2A3D"/>
    <w:rsid w:val="5A42544F"/>
    <w:rsid w:val="5A5D265B"/>
    <w:rsid w:val="5AB333B0"/>
    <w:rsid w:val="5ADE72D6"/>
    <w:rsid w:val="5AE834B2"/>
    <w:rsid w:val="5AF83B5A"/>
    <w:rsid w:val="5B291450"/>
    <w:rsid w:val="5B31121E"/>
    <w:rsid w:val="5B4A6AF1"/>
    <w:rsid w:val="5B5C5A1F"/>
    <w:rsid w:val="5B7A479D"/>
    <w:rsid w:val="5B9834A8"/>
    <w:rsid w:val="5BA312B0"/>
    <w:rsid w:val="5BA731C5"/>
    <w:rsid w:val="5BB223D3"/>
    <w:rsid w:val="5BB903FE"/>
    <w:rsid w:val="5BC83B42"/>
    <w:rsid w:val="5BDD007B"/>
    <w:rsid w:val="5BE07863"/>
    <w:rsid w:val="5CDF56C7"/>
    <w:rsid w:val="5D603AF1"/>
    <w:rsid w:val="5D9F0F6D"/>
    <w:rsid w:val="5DA46DE9"/>
    <w:rsid w:val="5DD718DA"/>
    <w:rsid w:val="5DE633EA"/>
    <w:rsid w:val="5DE7254C"/>
    <w:rsid w:val="5DEB59C4"/>
    <w:rsid w:val="5E2D6347"/>
    <w:rsid w:val="5E39077F"/>
    <w:rsid w:val="5E3B66BC"/>
    <w:rsid w:val="5E432897"/>
    <w:rsid w:val="5E471EFF"/>
    <w:rsid w:val="5E4E3091"/>
    <w:rsid w:val="5EA815C1"/>
    <w:rsid w:val="5EAC254A"/>
    <w:rsid w:val="5ED375E5"/>
    <w:rsid w:val="5EDC1950"/>
    <w:rsid w:val="5F01752C"/>
    <w:rsid w:val="5F21789C"/>
    <w:rsid w:val="5F2F0162"/>
    <w:rsid w:val="5F3775F5"/>
    <w:rsid w:val="5F3D5FAE"/>
    <w:rsid w:val="5F4400F1"/>
    <w:rsid w:val="5F691C1D"/>
    <w:rsid w:val="5F70635E"/>
    <w:rsid w:val="5F8A1938"/>
    <w:rsid w:val="5FAE03B7"/>
    <w:rsid w:val="5FBA54D5"/>
    <w:rsid w:val="5FC64D7E"/>
    <w:rsid w:val="5FD43AFF"/>
    <w:rsid w:val="603A2392"/>
    <w:rsid w:val="60453815"/>
    <w:rsid w:val="60544A3E"/>
    <w:rsid w:val="60761C91"/>
    <w:rsid w:val="608A5583"/>
    <w:rsid w:val="60913FE8"/>
    <w:rsid w:val="60A5231C"/>
    <w:rsid w:val="61801377"/>
    <w:rsid w:val="61836EE1"/>
    <w:rsid w:val="61B878CE"/>
    <w:rsid w:val="620C66D3"/>
    <w:rsid w:val="6236735B"/>
    <w:rsid w:val="627664A8"/>
    <w:rsid w:val="62771778"/>
    <w:rsid w:val="629276F6"/>
    <w:rsid w:val="62A669A6"/>
    <w:rsid w:val="62C35F3C"/>
    <w:rsid w:val="630F1EB1"/>
    <w:rsid w:val="63432D96"/>
    <w:rsid w:val="636A1027"/>
    <w:rsid w:val="63702FFC"/>
    <w:rsid w:val="63760774"/>
    <w:rsid w:val="638E1852"/>
    <w:rsid w:val="63C00055"/>
    <w:rsid w:val="63CF576F"/>
    <w:rsid w:val="63DF0947"/>
    <w:rsid w:val="64182C7C"/>
    <w:rsid w:val="6419552F"/>
    <w:rsid w:val="641B0620"/>
    <w:rsid w:val="642A337E"/>
    <w:rsid w:val="643A649D"/>
    <w:rsid w:val="643C6766"/>
    <w:rsid w:val="64495003"/>
    <w:rsid w:val="64593B4C"/>
    <w:rsid w:val="645E7061"/>
    <w:rsid w:val="646E47E4"/>
    <w:rsid w:val="64B24DB9"/>
    <w:rsid w:val="64E30A16"/>
    <w:rsid w:val="650413A6"/>
    <w:rsid w:val="65055568"/>
    <w:rsid w:val="651379A5"/>
    <w:rsid w:val="652E37A3"/>
    <w:rsid w:val="652F3DA6"/>
    <w:rsid w:val="65303304"/>
    <w:rsid w:val="6597261F"/>
    <w:rsid w:val="65B62E76"/>
    <w:rsid w:val="65C308DE"/>
    <w:rsid w:val="65D665E6"/>
    <w:rsid w:val="65D71F65"/>
    <w:rsid w:val="65EB263A"/>
    <w:rsid w:val="65F8661B"/>
    <w:rsid w:val="66284768"/>
    <w:rsid w:val="66435372"/>
    <w:rsid w:val="66526E18"/>
    <w:rsid w:val="665404C3"/>
    <w:rsid w:val="666019D9"/>
    <w:rsid w:val="666F5F26"/>
    <w:rsid w:val="668462A8"/>
    <w:rsid w:val="66934A46"/>
    <w:rsid w:val="669A1CF7"/>
    <w:rsid w:val="66B353DA"/>
    <w:rsid w:val="66B51265"/>
    <w:rsid w:val="66EB7977"/>
    <w:rsid w:val="66ED24ED"/>
    <w:rsid w:val="67085E88"/>
    <w:rsid w:val="67094683"/>
    <w:rsid w:val="672E20E8"/>
    <w:rsid w:val="67712A04"/>
    <w:rsid w:val="679A556E"/>
    <w:rsid w:val="67A46C4F"/>
    <w:rsid w:val="67BE2C50"/>
    <w:rsid w:val="67E15E9B"/>
    <w:rsid w:val="683750E3"/>
    <w:rsid w:val="68533318"/>
    <w:rsid w:val="68B41950"/>
    <w:rsid w:val="68D42C5F"/>
    <w:rsid w:val="68E51EA0"/>
    <w:rsid w:val="68F624E2"/>
    <w:rsid w:val="690766AB"/>
    <w:rsid w:val="692B498C"/>
    <w:rsid w:val="695B5D96"/>
    <w:rsid w:val="695E16B6"/>
    <w:rsid w:val="699A38EA"/>
    <w:rsid w:val="69C74E16"/>
    <w:rsid w:val="69DB76B9"/>
    <w:rsid w:val="6A011847"/>
    <w:rsid w:val="6A295DD6"/>
    <w:rsid w:val="6A785544"/>
    <w:rsid w:val="6A8160E8"/>
    <w:rsid w:val="6A872777"/>
    <w:rsid w:val="6AB214FB"/>
    <w:rsid w:val="6AB5703E"/>
    <w:rsid w:val="6AC54528"/>
    <w:rsid w:val="6AC7561B"/>
    <w:rsid w:val="6ACE48F1"/>
    <w:rsid w:val="6ADA05B8"/>
    <w:rsid w:val="6AF33F16"/>
    <w:rsid w:val="6B2D759C"/>
    <w:rsid w:val="6B3076D5"/>
    <w:rsid w:val="6B3E0F62"/>
    <w:rsid w:val="6B4049E2"/>
    <w:rsid w:val="6B537758"/>
    <w:rsid w:val="6B556FB5"/>
    <w:rsid w:val="6B772E09"/>
    <w:rsid w:val="6B817786"/>
    <w:rsid w:val="6BDD2FCF"/>
    <w:rsid w:val="6BF604E6"/>
    <w:rsid w:val="6C231828"/>
    <w:rsid w:val="6C241A53"/>
    <w:rsid w:val="6C4A3DEE"/>
    <w:rsid w:val="6C4F1DE4"/>
    <w:rsid w:val="6C5F56E6"/>
    <w:rsid w:val="6CD319FA"/>
    <w:rsid w:val="6CD5552E"/>
    <w:rsid w:val="6D1D5AE1"/>
    <w:rsid w:val="6D2C7ED6"/>
    <w:rsid w:val="6D5047ED"/>
    <w:rsid w:val="6D5449DA"/>
    <w:rsid w:val="6D6F7108"/>
    <w:rsid w:val="6D857C1E"/>
    <w:rsid w:val="6D9F63ED"/>
    <w:rsid w:val="6DE62A4D"/>
    <w:rsid w:val="6DFD440F"/>
    <w:rsid w:val="6E0D2C2B"/>
    <w:rsid w:val="6E5278B0"/>
    <w:rsid w:val="6E5606AD"/>
    <w:rsid w:val="6E8367C8"/>
    <w:rsid w:val="6E9B4215"/>
    <w:rsid w:val="6ECB0AD3"/>
    <w:rsid w:val="6F053B69"/>
    <w:rsid w:val="6F3266ED"/>
    <w:rsid w:val="6F532C6E"/>
    <w:rsid w:val="6F622F08"/>
    <w:rsid w:val="6F9B3F75"/>
    <w:rsid w:val="6FC06C91"/>
    <w:rsid w:val="7070499B"/>
    <w:rsid w:val="707D5457"/>
    <w:rsid w:val="70A92E7C"/>
    <w:rsid w:val="70B45FF6"/>
    <w:rsid w:val="70E07DCB"/>
    <w:rsid w:val="70F15DCF"/>
    <w:rsid w:val="70FB6E21"/>
    <w:rsid w:val="71175C2F"/>
    <w:rsid w:val="712441E6"/>
    <w:rsid w:val="71457C74"/>
    <w:rsid w:val="714E35F0"/>
    <w:rsid w:val="71527365"/>
    <w:rsid w:val="716D490C"/>
    <w:rsid w:val="717D04A4"/>
    <w:rsid w:val="7185221E"/>
    <w:rsid w:val="718C049F"/>
    <w:rsid w:val="71CA7935"/>
    <w:rsid w:val="71E47977"/>
    <w:rsid w:val="71E63C5E"/>
    <w:rsid w:val="72042EFF"/>
    <w:rsid w:val="72BB7374"/>
    <w:rsid w:val="72D078B7"/>
    <w:rsid w:val="72F6109A"/>
    <w:rsid w:val="734B2ECF"/>
    <w:rsid w:val="738B0119"/>
    <w:rsid w:val="73A66A49"/>
    <w:rsid w:val="73DC0534"/>
    <w:rsid w:val="741C04E2"/>
    <w:rsid w:val="743A0A2F"/>
    <w:rsid w:val="743A1FA6"/>
    <w:rsid w:val="743B6004"/>
    <w:rsid w:val="743E2FDE"/>
    <w:rsid w:val="743E5574"/>
    <w:rsid w:val="74644541"/>
    <w:rsid w:val="749B67AD"/>
    <w:rsid w:val="74B80200"/>
    <w:rsid w:val="74C964A7"/>
    <w:rsid w:val="74E334A2"/>
    <w:rsid w:val="74FF2DF0"/>
    <w:rsid w:val="75863171"/>
    <w:rsid w:val="759C2EA3"/>
    <w:rsid w:val="75BE77A7"/>
    <w:rsid w:val="75D61B84"/>
    <w:rsid w:val="75E629B1"/>
    <w:rsid w:val="762569CB"/>
    <w:rsid w:val="763A1351"/>
    <w:rsid w:val="76572695"/>
    <w:rsid w:val="76AF07FE"/>
    <w:rsid w:val="770D0557"/>
    <w:rsid w:val="770D49D1"/>
    <w:rsid w:val="772737F6"/>
    <w:rsid w:val="772B4CE5"/>
    <w:rsid w:val="772B7353"/>
    <w:rsid w:val="775D62BC"/>
    <w:rsid w:val="7765086A"/>
    <w:rsid w:val="776922B6"/>
    <w:rsid w:val="77A51FFC"/>
    <w:rsid w:val="77A80080"/>
    <w:rsid w:val="78151BEC"/>
    <w:rsid w:val="78180726"/>
    <w:rsid w:val="7826020C"/>
    <w:rsid w:val="782C507F"/>
    <w:rsid w:val="783303B5"/>
    <w:rsid w:val="786D25BA"/>
    <w:rsid w:val="78BF09A6"/>
    <w:rsid w:val="78D474FE"/>
    <w:rsid w:val="78D55648"/>
    <w:rsid w:val="7918059F"/>
    <w:rsid w:val="791938CF"/>
    <w:rsid w:val="794A3BE0"/>
    <w:rsid w:val="795A51E8"/>
    <w:rsid w:val="795F42B9"/>
    <w:rsid w:val="79831048"/>
    <w:rsid w:val="79C80AB7"/>
    <w:rsid w:val="79CB052D"/>
    <w:rsid w:val="79CE4F6D"/>
    <w:rsid w:val="79F85CFE"/>
    <w:rsid w:val="7A017D24"/>
    <w:rsid w:val="7A1956DC"/>
    <w:rsid w:val="7A2D02E4"/>
    <w:rsid w:val="7A934C30"/>
    <w:rsid w:val="7AAE4B25"/>
    <w:rsid w:val="7AB438EB"/>
    <w:rsid w:val="7ADB0F34"/>
    <w:rsid w:val="7AE01020"/>
    <w:rsid w:val="7AF41CB3"/>
    <w:rsid w:val="7B2B709D"/>
    <w:rsid w:val="7B425DAC"/>
    <w:rsid w:val="7B452232"/>
    <w:rsid w:val="7B785B6C"/>
    <w:rsid w:val="7BB5270B"/>
    <w:rsid w:val="7BB65E38"/>
    <w:rsid w:val="7BC0795C"/>
    <w:rsid w:val="7BE46206"/>
    <w:rsid w:val="7BE52E78"/>
    <w:rsid w:val="7BE865EB"/>
    <w:rsid w:val="7BEB6116"/>
    <w:rsid w:val="7BF84AFC"/>
    <w:rsid w:val="7C2A4A3A"/>
    <w:rsid w:val="7C8203A7"/>
    <w:rsid w:val="7CA23074"/>
    <w:rsid w:val="7CAD2DCE"/>
    <w:rsid w:val="7CB761FE"/>
    <w:rsid w:val="7CF34788"/>
    <w:rsid w:val="7D082658"/>
    <w:rsid w:val="7D211080"/>
    <w:rsid w:val="7D256AF7"/>
    <w:rsid w:val="7D37747A"/>
    <w:rsid w:val="7D6F1D53"/>
    <w:rsid w:val="7D9067B3"/>
    <w:rsid w:val="7D913234"/>
    <w:rsid w:val="7DB83C4A"/>
    <w:rsid w:val="7DFA7778"/>
    <w:rsid w:val="7E2C7361"/>
    <w:rsid w:val="7E35519D"/>
    <w:rsid w:val="7E806D26"/>
    <w:rsid w:val="7ECB744F"/>
    <w:rsid w:val="7ECC5657"/>
    <w:rsid w:val="7EF50A32"/>
    <w:rsid w:val="7EF8126B"/>
    <w:rsid w:val="7F095D9E"/>
    <w:rsid w:val="7F0D49A7"/>
    <w:rsid w:val="7F7D520A"/>
    <w:rsid w:val="7FAD2DD7"/>
    <w:rsid w:val="7FCF5BF9"/>
    <w:rsid w:val="7FD61CC1"/>
    <w:rsid w:val="7FD634BE"/>
    <w:rsid w:val="7FF346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name="table of authorities"/>
    <w:lsdException w:qFormat="1" w:unhideWhenUsed="0" w:uiPriority="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iPriority="0" w:semiHidden="0" w:name="Message Header"/>
    <w:lsdException w:qFormat="1" w:unhideWhenUsed="0" w:uiPriority="0" w:semiHidden="0" w:name="Subtitle"/>
    <w:lsdException w:qFormat="1" w:unhideWhenUsed="0" w:uiPriority="0" w:semiHidden="0" w:name="Salutation"/>
    <w:lsdException w:qFormat="1" w:uiPriority="0" w:semiHidden="0" w:name="Date"/>
    <w:lsdException w:qFormat="1" w:unhideWhenUsed="0" w:uiPriority="0" w:semiHidden="0" w:name="Body Text First Indent"/>
    <w:lsdException w:qFormat="1" w:uiPriority="0" w:semiHidden="0" w:name="Body Text First Indent 2"/>
    <w:lsdException w:qFormat="1" w:unhideWhenUsed="0" w:uiPriority="0" w:semiHidden="0" w:name="Note Heading"/>
    <w:lsdException w:qFormat="1" w:unhideWhenUsed="0"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qFormat="1" w:unhideWhenUsed="0" w:uiPriority="0" w:name="Table Simple 1"/>
    <w:lsdException w:qFormat="1" w:unhideWhenUsed="0" w:uiPriority="0" w:name="Table Simple 2"/>
    <w:lsdException w:qFormat="1" w:unhideWhenUsed="0" w:uiPriority="0" w:name="Table Simple 3"/>
    <w:lsdException w:qFormat="1" w:unhideWhenUsed="0" w:uiPriority="0" w:semiHidden="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qFormat="1" w:unhideWhenUsed="0" w:uiPriority="0" w:name="Table Columns 3"/>
    <w:lsdException w:qFormat="1" w:unhideWhenUsed="0" w:uiPriority="0" w:name="Table Columns 4"/>
    <w:lsdException w:qFormat="1" w:unhideWhenUsed="0" w:uiPriority="0" w:name="Table Columns 5"/>
    <w:lsdException w:qFormat="1" w:unhideWhenUsed="0" w:uiPriority="0" w:name="Table Grid 1"/>
    <w:lsdException w:qFormat="1" w:unhideWhenUsed="0" w:uiPriority="0" w:name="Table Grid 2"/>
    <w:lsdException w:qFormat="1" w:unhideWhenUsed="0" w:uiPriority="0" w:name="Table Grid 3"/>
    <w:lsdException w:qFormat="1" w:unhideWhenUsed="0" w:uiPriority="0" w:name="Table Grid 4"/>
    <w:lsdException w:qFormat="1" w:unhideWhenUsed="0" w:uiPriority="0" w:semiHidden="0" w:name="Table Grid 5"/>
    <w:lsdException w:qFormat="1" w:unhideWhenUsed="0" w:uiPriority="0" w:name="Table Grid 6"/>
    <w:lsdException w:qFormat="1" w:unhideWhenUsed="0" w:uiPriority="0" w:name="Table Grid 7"/>
    <w:lsdException w:qFormat="1" w:unhideWhenUsed="0" w:uiPriority="0" w:name="Table Grid 8"/>
    <w:lsdException w:qFormat="1" w:unhideWhenUsed="0" w:uiPriority="0" w:name="Table List 1"/>
    <w:lsdException w:qFormat="1" w:unhideWhenUsed="0" w:uiPriority="0" w:name="Table List 2"/>
    <w:lsdException w:qFormat="1" w:unhideWhenUsed="0" w:uiPriority="0" w:name="Table List 3"/>
    <w:lsdException w:qFormat="1" w:unhideWhenUsed="0" w:uiPriority="0" w:name="Table List 4"/>
    <w:lsdException w:qFormat="1" w:unhideWhenUsed="0" w:uiPriority="0" w:name="Table List 5"/>
    <w:lsdException w:qFormat="1" w:unhideWhenUsed="0" w:uiPriority="0" w:name="Table List 6"/>
    <w:lsdException w:qFormat="1" w:unhideWhenUsed="0" w:uiPriority="0" w:name="Table List 7"/>
    <w:lsdException w:qFormat="1" w:unhideWhenUsed="0" w:uiPriority="0" w:name="Table List 8"/>
    <w:lsdException w:qFormat="1" w:unhideWhenUsed="0" w:uiPriority="0" w:name="Table 3D effects 1"/>
    <w:lsdException w:qFormat="1" w:unhideWhenUsed="0" w:uiPriority="0" w:name="Table 3D effects 2"/>
    <w:lsdException w:qFormat="1" w:unhideWhenUsed="0" w:uiPriority="0" w:name="Table 3D effects 3"/>
    <w:lsdException w:qFormat="1" w:unhideWhenUsed="0" w:uiPriority="0" w:name="Table Contemporary"/>
    <w:lsdException w:qFormat="1" w:unhideWhenUsed="0" w:uiPriority="0" w:name="Table Elegant"/>
    <w:lsdException w:qFormat="1" w:unhideWhenUsed="0" w:uiPriority="0" w:name="Table Professional"/>
    <w:lsdException w:qFormat="1" w:unhideWhenUsed="0" w:uiPriority="0" w:name="Table Subtle 1"/>
    <w:lsdException w:qFormat="1" w:unhideWhenUsed="0" w:uiPriority="0" w:name="Table Subtle 2"/>
    <w:lsdException w:qFormat="1" w:unhideWhenUsed="0" w:uiPriority="0" w:name="Table Web 1"/>
    <w:lsdException w:qFormat="1" w:unhideWhenUsed="0" w:uiPriority="0" w:name="Table Web 2"/>
    <w:lsdException w:qFormat="1" w:unhideWhenUsed="0" w:uiPriority="0" w:name="Table Web 3"/>
    <w:lsdException w:qFormat="1" w:uiPriority="0" w:semiHidden="0" w:name="Balloon Text"/>
    <w:lsdException w:qFormat="1" w:unhideWhenUsed="0" w:uiPriority="0" w:semiHidden="0" w:name="Table Grid"/>
    <w:lsdException w:qFormat="1" w:unhideWhenUsed="0" w:uiPriority="0" w:semiHidden="0"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520" w:lineRule="exact"/>
      <w:ind w:firstLine="200" w:firstLineChars="200"/>
      <w:jc w:val="both"/>
    </w:pPr>
    <w:rPr>
      <w:rFonts w:ascii="Times New Roman" w:hAnsi="Times New Roman" w:eastAsia="仿宋_GB2312" w:cs="Times New Roman"/>
      <w:kern w:val="2"/>
      <w:sz w:val="28"/>
      <w:szCs w:val="24"/>
      <w:lang w:val="en-US" w:eastAsia="zh-CN" w:bidi="ar-SA"/>
    </w:rPr>
  </w:style>
  <w:style w:type="paragraph" w:styleId="5">
    <w:name w:val="heading 1"/>
    <w:basedOn w:val="1"/>
    <w:next w:val="1"/>
    <w:link w:val="853"/>
    <w:qFormat/>
    <w:uiPriority w:val="0"/>
    <w:pPr>
      <w:keepNext/>
      <w:keepLines/>
      <w:tabs>
        <w:tab w:val="left" w:pos="425"/>
      </w:tabs>
      <w:spacing w:before="340" w:after="330" w:line="578" w:lineRule="auto"/>
      <w:ind w:left="425" w:hanging="425"/>
      <w:outlineLvl w:val="0"/>
    </w:pPr>
    <w:rPr>
      <w:b/>
      <w:bCs/>
      <w:kern w:val="44"/>
      <w:sz w:val="44"/>
      <w:szCs w:val="44"/>
    </w:rPr>
  </w:style>
  <w:style w:type="paragraph" w:styleId="6">
    <w:name w:val="heading 2"/>
    <w:basedOn w:val="1"/>
    <w:next w:val="7"/>
    <w:link w:val="854"/>
    <w:qFormat/>
    <w:uiPriority w:val="0"/>
    <w:pPr>
      <w:keepNext/>
      <w:keepLines/>
      <w:tabs>
        <w:tab w:val="left" w:pos="567"/>
        <w:tab w:val="left" w:pos="1080"/>
      </w:tabs>
      <w:spacing w:before="240" w:after="240"/>
      <w:ind w:left="567" w:hanging="567"/>
      <w:outlineLvl w:val="1"/>
    </w:pPr>
    <w:rPr>
      <w:rFonts w:eastAsia="黑体"/>
      <w:b/>
      <w:kern w:val="0"/>
      <w:sz w:val="32"/>
      <w:szCs w:val="20"/>
    </w:rPr>
  </w:style>
  <w:style w:type="paragraph" w:styleId="7">
    <w:name w:val="heading 3"/>
    <w:basedOn w:val="8"/>
    <w:next w:val="8"/>
    <w:link w:val="855"/>
    <w:qFormat/>
    <w:uiPriority w:val="0"/>
    <w:pPr>
      <w:keepNext/>
      <w:keepLines/>
      <w:tabs>
        <w:tab w:val="left" w:pos="709"/>
        <w:tab w:val="left" w:pos="1440"/>
      </w:tabs>
      <w:spacing w:before="120" w:after="240"/>
      <w:ind w:left="709" w:hanging="709"/>
      <w:outlineLvl w:val="2"/>
    </w:pPr>
    <w:rPr>
      <w:rFonts w:eastAsia="黑体"/>
      <w:b/>
      <w:kern w:val="0"/>
      <w:szCs w:val="20"/>
    </w:rPr>
  </w:style>
  <w:style w:type="paragraph" w:styleId="10">
    <w:name w:val="heading 4"/>
    <w:basedOn w:val="1"/>
    <w:next w:val="1"/>
    <w:link w:val="857"/>
    <w:qFormat/>
    <w:uiPriority w:val="0"/>
    <w:pPr>
      <w:keepNext/>
      <w:keepLines/>
      <w:tabs>
        <w:tab w:val="left" w:pos="851"/>
      </w:tabs>
      <w:spacing w:before="280" w:after="290" w:line="376" w:lineRule="atLeast"/>
      <w:ind w:left="851" w:hanging="851"/>
      <w:outlineLvl w:val="3"/>
    </w:pPr>
    <w:rPr>
      <w:rFonts w:ascii="Cambria" w:hAnsi="Cambria" w:eastAsia="宋体"/>
      <w:b/>
      <w:bCs/>
      <w:szCs w:val="28"/>
    </w:rPr>
  </w:style>
  <w:style w:type="paragraph" w:styleId="11">
    <w:name w:val="heading 5"/>
    <w:basedOn w:val="1"/>
    <w:next w:val="1"/>
    <w:link w:val="861"/>
    <w:qFormat/>
    <w:uiPriority w:val="0"/>
    <w:pPr>
      <w:keepNext/>
      <w:keepLines/>
      <w:tabs>
        <w:tab w:val="left" w:pos="992"/>
      </w:tabs>
      <w:spacing w:before="280" w:after="290" w:line="376" w:lineRule="atLeast"/>
      <w:ind w:left="992" w:hanging="992"/>
      <w:outlineLvl w:val="4"/>
    </w:pPr>
    <w:rPr>
      <w:b/>
      <w:bCs/>
      <w:szCs w:val="28"/>
    </w:rPr>
  </w:style>
  <w:style w:type="paragraph" w:styleId="12">
    <w:name w:val="heading 6"/>
    <w:basedOn w:val="1"/>
    <w:next w:val="1"/>
    <w:link w:val="862"/>
    <w:qFormat/>
    <w:uiPriority w:val="0"/>
    <w:pPr>
      <w:keepNext/>
      <w:keepLines/>
      <w:tabs>
        <w:tab w:val="left" w:pos="1134"/>
      </w:tabs>
      <w:spacing w:before="240" w:after="64" w:line="320" w:lineRule="atLeast"/>
      <w:ind w:left="1134" w:hanging="1134"/>
      <w:outlineLvl w:val="5"/>
    </w:pPr>
    <w:rPr>
      <w:rFonts w:ascii="Cambria" w:hAnsi="Cambria" w:eastAsia="宋体"/>
      <w:b/>
      <w:bCs/>
      <w:sz w:val="24"/>
    </w:rPr>
  </w:style>
  <w:style w:type="paragraph" w:styleId="13">
    <w:name w:val="heading 7"/>
    <w:basedOn w:val="1"/>
    <w:next w:val="1"/>
    <w:link w:val="864"/>
    <w:qFormat/>
    <w:uiPriority w:val="0"/>
    <w:pPr>
      <w:keepNext/>
      <w:keepLines/>
      <w:tabs>
        <w:tab w:val="left" w:pos="1276"/>
        <w:tab w:val="left" w:pos="3540"/>
      </w:tabs>
      <w:autoSpaceDE w:val="0"/>
      <w:autoSpaceDN w:val="0"/>
      <w:spacing w:before="240" w:after="64" w:line="320" w:lineRule="auto"/>
      <w:ind w:left="1276" w:hanging="1276"/>
      <w:textAlignment w:val="baseline"/>
      <w:outlineLvl w:val="6"/>
    </w:pPr>
    <w:rPr>
      <w:b/>
      <w:color w:val="000000"/>
      <w:kern w:val="28"/>
      <w:sz w:val="24"/>
      <w:szCs w:val="20"/>
    </w:rPr>
  </w:style>
  <w:style w:type="paragraph" w:styleId="14">
    <w:name w:val="heading 8"/>
    <w:basedOn w:val="1"/>
    <w:next w:val="1"/>
    <w:link w:val="866"/>
    <w:qFormat/>
    <w:uiPriority w:val="0"/>
    <w:pPr>
      <w:keepNext/>
      <w:keepLines/>
      <w:tabs>
        <w:tab w:val="left" w:pos="1418"/>
        <w:tab w:val="left" w:pos="3960"/>
      </w:tabs>
      <w:autoSpaceDE w:val="0"/>
      <w:autoSpaceDN w:val="0"/>
      <w:spacing w:before="240" w:after="64" w:line="320" w:lineRule="auto"/>
      <w:ind w:left="1418" w:hanging="1418"/>
      <w:textAlignment w:val="baseline"/>
      <w:outlineLvl w:val="7"/>
    </w:pPr>
    <w:rPr>
      <w:rFonts w:ascii="Arial" w:hAnsi="Arial" w:eastAsia="黑体"/>
      <w:color w:val="000000"/>
      <w:kern w:val="28"/>
      <w:sz w:val="24"/>
      <w:szCs w:val="20"/>
    </w:rPr>
  </w:style>
  <w:style w:type="paragraph" w:styleId="15">
    <w:name w:val="heading 9"/>
    <w:basedOn w:val="1"/>
    <w:next w:val="1"/>
    <w:link w:val="868"/>
    <w:qFormat/>
    <w:uiPriority w:val="0"/>
    <w:pPr>
      <w:keepNext/>
      <w:keepLines/>
      <w:tabs>
        <w:tab w:val="left" w:pos="1559"/>
      </w:tabs>
      <w:spacing w:before="240" w:after="64" w:line="320" w:lineRule="atLeast"/>
      <w:ind w:left="1559" w:hanging="1559"/>
      <w:outlineLvl w:val="8"/>
    </w:pPr>
    <w:rPr>
      <w:rFonts w:ascii="Cambria" w:hAnsi="Cambria" w:eastAsia="宋体"/>
      <w:sz w:val="21"/>
      <w:szCs w:val="21"/>
    </w:rPr>
  </w:style>
  <w:style w:type="character" w:default="1" w:styleId="136">
    <w:name w:val="Default Paragraph Font"/>
    <w:semiHidden/>
    <w:unhideWhenUsed/>
    <w:qFormat/>
    <w:uiPriority w:val="1"/>
  </w:style>
  <w:style w:type="table" w:default="1" w:styleId="91">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next w:val="1"/>
    <w:link w:val="1224"/>
    <w:qFormat/>
    <w:uiPriority w:val="0"/>
    <w:pPr>
      <w:widowControl w:val="0"/>
      <w:tabs>
        <w:tab w:val="left" w:pos="4440"/>
      </w:tabs>
      <w:autoSpaceDE w:val="0"/>
      <w:autoSpaceDN w:val="0"/>
      <w:adjustRightInd w:val="0"/>
      <w:spacing w:line="320" w:lineRule="exact"/>
      <w:jc w:val="center"/>
    </w:pPr>
    <w:rPr>
      <w:rFonts w:ascii="宋体 ..." w:hAnsi="Calibri" w:eastAsia="宋体 ..." w:cs="宋体 ..."/>
      <w:color w:val="000000"/>
      <w:sz w:val="24"/>
      <w:szCs w:val="24"/>
      <w:lang w:val="en-US" w:eastAsia="zh-CN" w:bidi="ar-SA"/>
    </w:rPr>
  </w:style>
  <w:style w:type="paragraph" w:customStyle="1" w:styleId="3">
    <w:name w:val="表头"/>
    <w:basedOn w:val="1"/>
    <w:next w:val="1"/>
    <w:link w:val="1087"/>
    <w:qFormat/>
    <w:uiPriority w:val="0"/>
    <w:pPr>
      <w:tabs>
        <w:tab w:val="left" w:pos="4440"/>
      </w:tabs>
      <w:autoSpaceDE w:val="0"/>
      <w:autoSpaceDN w:val="0"/>
      <w:spacing w:beforeLines="25" w:afterLines="25"/>
      <w:jc w:val="center"/>
      <w:textAlignment w:val="bottom"/>
    </w:pPr>
    <w:rPr>
      <w:rFonts w:ascii="Times" w:hAnsi="Times" w:eastAsia="黑体"/>
      <w:b/>
      <w:snapToGrid w:val="0"/>
      <w:spacing w:val="16"/>
      <w:kern w:val="0"/>
      <w:sz w:val="24"/>
    </w:rPr>
  </w:style>
  <w:style w:type="paragraph" w:styleId="4">
    <w:name w:val="macro"/>
    <w:link w:val="850"/>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20" w:lineRule="exact"/>
      <w:jc w:val="center"/>
    </w:pPr>
    <w:rPr>
      <w:rFonts w:ascii="Courier New" w:hAnsi="Courier New" w:eastAsia="宋体" w:cs="Courier New"/>
      <w:kern w:val="2"/>
      <w:sz w:val="24"/>
      <w:szCs w:val="24"/>
      <w:lang w:val="en-US" w:eastAsia="zh-CN" w:bidi="ar-SA"/>
    </w:rPr>
  </w:style>
  <w:style w:type="paragraph" w:customStyle="1" w:styleId="8">
    <w:name w:val="【正文】"/>
    <w:basedOn w:val="1"/>
    <w:next w:val="9"/>
    <w:link w:val="1006"/>
    <w:qFormat/>
    <w:uiPriority w:val="0"/>
    <w:pPr>
      <w:spacing w:line="480" w:lineRule="exact"/>
    </w:pPr>
    <w:rPr>
      <w:rFonts w:cs="宋体"/>
      <w:spacing w:val="20"/>
      <w:sz w:val="24"/>
      <w:szCs w:val="20"/>
    </w:rPr>
  </w:style>
  <w:style w:type="paragraph" w:styleId="9">
    <w:name w:val="Message Header"/>
    <w:basedOn w:val="1"/>
    <w:link w:val="925"/>
    <w:unhideWhenUsed/>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bCs/>
      <w:kern w:val="0"/>
      <w:sz w:val="24"/>
    </w:rPr>
  </w:style>
  <w:style w:type="paragraph" w:styleId="16">
    <w:name w:val="List 3"/>
    <w:basedOn w:val="1"/>
    <w:qFormat/>
    <w:uiPriority w:val="0"/>
    <w:pPr>
      <w:ind w:left="100" w:leftChars="400" w:hanging="200" w:hangingChars="200"/>
    </w:pPr>
  </w:style>
  <w:style w:type="paragraph" w:styleId="17">
    <w:name w:val="toc 7"/>
    <w:basedOn w:val="1"/>
    <w:next w:val="1"/>
    <w:qFormat/>
    <w:uiPriority w:val="39"/>
    <w:pPr>
      <w:ind w:left="2520" w:leftChars="1200"/>
    </w:pPr>
  </w:style>
  <w:style w:type="paragraph" w:styleId="18">
    <w:name w:val="List Number 2"/>
    <w:basedOn w:val="1"/>
    <w:qFormat/>
    <w:uiPriority w:val="0"/>
    <w:pPr>
      <w:tabs>
        <w:tab w:val="left" w:pos="780"/>
      </w:tabs>
      <w:ind w:left="780" w:leftChars="200" w:hanging="360" w:hangingChars="200"/>
    </w:pPr>
  </w:style>
  <w:style w:type="paragraph" w:styleId="19">
    <w:name w:val="table of authorities"/>
    <w:basedOn w:val="1"/>
    <w:next w:val="1"/>
    <w:semiHidden/>
    <w:qFormat/>
    <w:uiPriority w:val="0"/>
    <w:pPr>
      <w:ind w:left="420" w:leftChars="200"/>
    </w:pPr>
  </w:style>
  <w:style w:type="paragraph" w:styleId="20">
    <w:name w:val="Note Heading"/>
    <w:basedOn w:val="1"/>
    <w:next w:val="1"/>
    <w:link w:val="870"/>
    <w:qFormat/>
    <w:uiPriority w:val="0"/>
    <w:pPr>
      <w:jc w:val="center"/>
    </w:pPr>
    <w:rPr>
      <w:kern w:val="0"/>
      <w:sz w:val="20"/>
      <w:szCs w:val="20"/>
    </w:rPr>
  </w:style>
  <w:style w:type="paragraph" w:styleId="21">
    <w:name w:val="List Bullet 4"/>
    <w:basedOn w:val="1"/>
    <w:qFormat/>
    <w:uiPriority w:val="0"/>
    <w:pPr>
      <w:tabs>
        <w:tab w:val="left" w:pos="1620"/>
      </w:tabs>
      <w:ind w:left="1620" w:leftChars="600" w:hanging="360" w:hangingChars="200"/>
    </w:pPr>
  </w:style>
  <w:style w:type="paragraph" w:styleId="22">
    <w:name w:val="index 8"/>
    <w:basedOn w:val="1"/>
    <w:next w:val="1"/>
    <w:qFormat/>
    <w:uiPriority w:val="0"/>
    <w:pPr>
      <w:spacing w:line="300" w:lineRule="auto"/>
      <w:ind w:left="1400" w:leftChars="1400"/>
    </w:pPr>
    <w:rPr>
      <w:rFonts w:ascii="宋体" w:hAnsi="宋体"/>
    </w:rPr>
  </w:style>
  <w:style w:type="paragraph" w:styleId="23">
    <w:name w:val="E-mail Signature"/>
    <w:basedOn w:val="1"/>
    <w:link w:val="873"/>
    <w:qFormat/>
    <w:uiPriority w:val="0"/>
  </w:style>
  <w:style w:type="paragraph" w:styleId="24">
    <w:name w:val="List Number"/>
    <w:basedOn w:val="1"/>
    <w:qFormat/>
    <w:uiPriority w:val="0"/>
    <w:pPr>
      <w:tabs>
        <w:tab w:val="left" w:pos="360"/>
      </w:tabs>
      <w:ind w:left="360" w:hanging="360" w:hangingChars="200"/>
    </w:pPr>
  </w:style>
  <w:style w:type="paragraph" w:styleId="25">
    <w:name w:val="Normal Indent"/>
    <w:basedOn w:val="1"/>
    <w:link w:val="876"/>
    <w:qFormat/>
    <w:uiPriority w:val="0"/>
    <w:pPr>
      <w:ind w:firstLine="420"/>
    </w:pPr>
    <w:rPr>
      <w:szCs w:val="21"/>
    </w:rPr>
  </w:style>
  <w:style w:type="paragraph" w:styleId="26">
    <w:name w:val="caption"/>
    <w:basedOn w:val="1"/>
    <w:next w:val="1"/>
    <w:link w:val="879"/>
    <w:qFormat/>
    <w:uiPriority w:val="0"/>
    <w:rPr>
      <w:rFonts w:ascii="Cambria" w:hAnsi="Cambria" w:eastAsia="黑体"/>
      <w:sz w:val="20"/>
      <w:szCs w:val="20"/>
    </w:rPr>
  </w:style>
  <w:style w:type="paragraph" w:styleId="27">
    <w:name w:val="index 5"/>
    <w:basedOn w:val="1"/>
    <w:next w:val="1"/>
    <w:qFormat/>
    <w:uiPriority w:val="0"/>
    <w:pPr>
      <w:ind w:left="800" w:leftChars="800"/>
    </w:pPr>
  </w:style>
  <w:style w:type="paragraph" w:styleId="28">
    <w:name w:val="List Bullet"/>
    <w:basedOn w:val="1"/>
    <w:qFormat/>
    <w:uiPriority w:val="0"/>
    <w:pPr>
      <w:tabs>
        <w:tab w:val="left" w:pos="360"/>
      </w:tabs>
      <w:ind w:left="360" w:hanging="360" w:hangingChars="200"/>
    </w:pPr>
    <w:rPr>
      <w:szCs w:val="21"/>
    </w:rPr>
  </w:style>
  <w:style w:type="paragraph" w:styleId="29">
    <w:name w:val="envelope address"/>
    <w:basedOn w:val="1"/>
    <w:qFormat/>
    <w:uiPriority w:val="0"/>
    <w:pPr>
      <w:framePr w:w="7920" w:h="1980" w:hRule="exact" w:hSpace="180" w:wrap="around" w:vAnchor="margin" w:hAnchor="page" w:xAlign="center" w:yAlign="bottom"/>
      <w:ind w:left="100" w:leftChars="1400"/>
    </w:pPr>
    <w:rPr>
      <w:rFonts w:ascii="Arial" w:hAnsi="Arial" w:cs="Arial"/>
      <w:sz w:val="24"/>
    </w:rPr>
  </w:style>
  <w:style w:type="paragraph" w:styleId="30">
    <w:name w:val="Document Map"/>
    <w:basedOn w:val="1"/>
    <w:link w:val="881"/>
    <w:unhideWhenUsed/>
    <w:qFormat/>
    <w:uiPriority w:val="0"/>
    <w:rPr>
      <w:rFonts w:ascii="宋体"/>
      <w:kern w:val="0"/>
      <w:sz w:val="18"/>
      <w:szCs w:val="18"/>
    </w:rPr>
  </w:style>
  <w:style w:type="paragraph" w:styleId="31">
    <w:name w:val="toa heading"/>
    <w:basedOn w:val="1"/>
    <w:next w:val="1"/>
    <w:qFormat/>
    <w:uiPriority w:val="0"/>
    <w:pPr>
      <w:spacing w:before="120"/>
    </w:pPr>
    <w:rPr>
      <w:rFonts w:ascii="Arial" w:hAnsi="Arial"/>
      <w:b/>
      <w:bCs/>
    </w:rPr>
  </w:style>
  <w:style w:type="paragraph" w:styleId="32">
    <w:name w:val="annotation text"/>
    <w:basedOn w:val="1"/>
    <w:link w:val="882"/>
    <w:qFormat/>
    <w:uiPriority w:val="99"/>
    <w:pPr>
      <w:spacing w:line="240" w:lineRule="auto"/>
      <w:ind w:firstLine="0" w:firstLineChars="0"/>
      <w:jc w:val="center"/>
    </w:pPr>
    <w:rPr>
      <w:szCs w:val="20"/>
    </w:rPr>
  </w:style>
  <w:style w:type="paragraph" w:styleId="33">
    <w:name w:val="index 6"/>
    <w:basedOn w:val="1"/>
    <w:next w:val="1"/>
    <w:qFormat/>
    <w:uiPriority w:val="0"/>
    <w:pPr>
      <w:ind w:left="1000" w:leftChars="1000"/>
    </w:pPr>
  </w:style>
  <w:style w:type="paragraph" w:styleId="34">
    <w:name w:val="Salutation"/>
    <w:basedOn w:val="1"/>
    <w:next w:val="1"/>
    <w:link w:val="884"/>
    <w:qFormat/>
    <w:uiPriority w:val="0"/>
  </w:style>
  <w:style w:type="paragraph" w:styleId="35">
    <w:name w:val="Body Text 3"/>
    <w:basedOn w:val="1"/>
    <w:link w:val="888"/>
    <w:unhideWhenUsed/>
    <w:qFormat/>
    <w:uiPriority w:val="0"/>
    <w:pPr>
      <w:spacing w:after="120"/>
    </w:pPr>
    <w:rPr>
      <w:sz w:val="16"/>
      <w:szCs w:val="16"/>
    </w:rPr>
  </w:style>
  <w:style w:type="paragraph" w:styleId="36">
    <w:name w:val="Closing"/>
    <w:basedOn w:val="1"/>
    <w:link w:val="890"/>
    <w:qFormat/>
    <w:uiPriority w:val="0"/>
    <w:pPr>
      <w:ind w:left="100" w:leftChars="2100"/>
    </w:pPr>
  </w:style>
  <w:style w:type="paragraph" w:styleId="37">
    <w:name w:val="List Bullet 3"/>
    <w:basedOn w:val="1"/>
    <w:qFormat/>
    <w:uiPriority w:val="0"/>
    <w:pPr>
      <w:tabs>
        <w:tab w:val="left" w:pos="1200"/>
        <w:tab w:val="left" w:pos="4840"/>
      </w:tabs>
      <w:spacing w:line="312" w:lineRule="atLeast"/>
      <w:ind w:left="1200" w:firstLine="0" w:firstLineChars="0"/>
      <w:textAlignment w:val="baseline"/>
    </w:pPr>
    <w:rPr>
      <w:kern w:val="0"/>
      <w:sz w:val="24"/>
      <w:szCs w:val="21"/>
    </w:rPr>
  </w:style>
  <w:style w:type="paragraph" w:styleId="38">
    <w:name w:val="Body Text"/>
    <w:basedOn w:val="1"/>
    <w:link w:val="892"/>
    <w:unhideWhenUsed/>
    <w:qFormat/>
    <w:uiPriority w:val="0"/>
    <w:pPr>
      <w:spacing w:after="120"/>
    </w:pPr>
  </w:style>
  <w:style w:type="paragraph" w:styleId="39">
    <w:name w:val="Body Text Indent"/>
    <w:basedOn w:val="1"/>
    <w:link w:val="894"/>
    <w:unhideWhenUsed/>
    <w:qFormat/>
    <w:uiPriority w:val="0"/>
    <w:pPr>
      <w:spacing w:after="120"/>
      <w:ind w:left="420" w:leftChars="200"/>
    </w:pPr>
  </w:style>
  <w:style w:type="paragraph" w:styleId="40">
    <w:name w:val="List Number 3"/>
    <w:basedOn w:val="1"/>
    <w:qFormat/>
    <w:uiPriority w:val="0"/>
    <w:pPr>
      <w:tabs>
        <w:tab w:val="left" w:pos="1200"/>
      </w:tabs>
      <w:ind w:left="1200" w:leftChars="400" w:hanging="360" w:hangingChars="200"/>
    </w:pPr>
  </w:style>
  <w:style w:type="paragraph" w:styleId="41">
    <w:name w:val="List 2"/>
    <w:basedOn w:val="1"/>
    <w:qFormat/>
    <w:uiPriority w:val="0"/>
    <w:pPr>
      <w:spacing w:line="360" w:lineRule="atLeast"/>
      <w:ind w:left="840" w:hanging="420"/>
      <w:jc w:val="left"/>
      <w:textAlignment w:val="baseline"/>
    </w:pPr>
    <w:rPr>
      <w:kern w:val="0"/>
      <w:sz w:val="24"/>
      <w:szCs w:val="20"/>
    </w:rPr>
  </w:style>
  <w:style w:type="paragraph" w:styleId="42">
    <w:name w:val="List Continue"/>
    <w:basedOn w:val="1"/>
    <w:qFormat/>
    <w:uiPriority w:val="0"/>
    <w:pPr>
      <w:spacing w:after="120"/>
      <w:ind w:left="420" w:leftChars="200"/>
    </w:pPr>
  </w:style>
  <w:style w:type="paragraph" w:styleId="43">
    <w:name w:val="Block Text"/>
    <w:basedOn w:val="1"/>
    <w:qFormat/>
    <w:uiPriority w:val="0"/>
    <w:pPr>
      <w:ind w:left="1890" w:right="1890"/>
      <w:jc w:val="distribute"/>
    </w:pPr>
    <w:rPr>
      <w:b/>
      <w:sz w:val="32"/>
      <w:szCs w:val="20"/>
    </w:rPr>
  </w:style>
  <w:style w:type="paragraph" w:styleId="44">
    <w:name w:val="List Bullet 2"/>
    <w:basedOn w:val="1"/>
    <w:qFormat/>
    <w:uiPriority w:val="0"/>
    <w:pPr>
      <w:tabs>
        <w:tab w:val="left" w:pos="780"/>
      </w:tabs>
      <w:ind w:left="780" w:hanging="360"/>
    </w:pPr>
    <w:rPr>
      <w:szCs w:val="20"/>
    </w:rPr>
  </w:style>
  <w:style w:type="paragraph" w:styleId="45">
    <w:name w:val="HTML Address"/>
    <w:basedOn w:val="1"/>
    <w:link w:val="896"/>
    <w:qFormat/>
    <w:uiPriority w:val="0"/>
    <w:rPr>
      <w:i/>
      <w:iCs/>
    </w:rPr>
  </w:style>
  <w:style w:type="paragraph" w:styleId="46">
    <w:name w:val="index 4"/>
    <w:basedOn w:val="1"/>
    <w:next w:val="1"/>
    <w:qFormat/>
    <w:uiPriority w:val="0"/>
    <w:pPr>
      <w:ind w:left="600" w:leftChars="600"/>
    </w:pPr>
  </w:style>
  <w:style w:type="paragraph" w:styleId="47">
    <w:name w:val="toc 5"/>
    <w:basedOn w:val="1"/>
    <w:next w:val="1"/>
    <w:qFormat/>
    <w:uiPriority w:val="39"/>
    <w:pPr>
      <w:ind w:left="1680" w:leftChars="800"/>
    </w:pPr>
  </w:style>
  <w:style w:type="paragraph" w:styleId="48">
    <w:name w:val="toc 3"/>
    <w:basedOn w:val="1"/>
    <w:next w:val="1"/>
    <w:qFormat/>
    <w:uiPriority w:val="39"/>
    <w:pPr>
      <w:ind w:left="840" w:leftChars="400"/>
    </w:pPr>
  </w:style>
  <w:style w:type="paragraph" w:styleId="49">
    <w:name w:val="Plain Text"/>
    <w:basedOn w:val="1"/>
    <w:link w:val="899"/>
    <w:qFormat/>
    <w:uiPriority w:val="0"/>
    <w:rPr>
      <w:rFonts w:ascii="宋体" w:hAnsi="Courier New"/>
      <w:kern w:val="0"/>
      <w:szCs w:val="20"/>
    </w:rPr>
  </w:style>
  <w:style w:type="paragraph" w:styleId="50">
    <w:name w:val="List Bullet 5"/>
    <w:basedOn w:val="1"/>
    <w:qFormat/>
    <w:uiPriority w:val="0"/>
    <w:pPr>
      <w:tabs>
        <w:tab w:val="left" w:pos="2040"/>
      </w:tabs>
      <w:ind w:left="2040" w:leftChars="800" w:hanging="360" w:hangingChars="200"/>
    </w:pPr>
  </w:style>
  <w:style w:type="paragraph" w:styleId="51">
    <w:name w:val="List Number 4"/>
    <w:basedOn w:val="1"/>
    <w:qFormat/>
    <w:uiPriority w:val="0"/>
    <w:pPr>
      <w:tabs>
        <w:tab w:val="left" w:pos="1620"/>
      </w:tabs>
      <w:ind w:left="1620" w:leftChars="600" w:hanging="360" w:hangingChars="200"/>
    </w:pPr>
  </w:style>
  <w:style w:type="paragraph" w:styleId="52">
    <w:name w:val="toc 8"/>
    <w:basedOn w:val="1"/>
    <w:next w:val="1"/>
    <w:qFormat/>
    <w:uiPriority w:val="39"/>
    <w:pPr>
      <w:ind w:left="2940" w:leftChars="1400"/>
    </w:pPr>
  </w:style>
  <w:style w:type="paragraph" w:styleId="53">
    <w:name w:val="index 3"/>
    <w:basedOn w:val="1"/>
    <w:next w:val="1"/>
    <w:qFormat/>
    <w:uiPriority w:val="0"/>
    <w:pPr>
      <w:spacing w:line="300" w:lineRule="auto"/>
      <w:ind w:right="-147" w:firstLine="420"/>
      <w:jc w:val="center"/>
    </w:pPr>
    <w:rPr>
      <w:rFonts w:ascii="宋体" w:hAnsi="宋体"/>
      <w:b/>
      <w:bCs/>
      <w:szCs w:val="20"/>
    </w:rPr>
  </w:style>
  <w:style w:type="paragraph" w:styleId="54">
    <w:name w:val="Date"/>
    <w:basedOn w:val="1"/>
    <w:next w:val="1"/>
    <w:link w:val="902"/>
    <w:unhideWhenUsed/>
    <w:qFormat/>
    <w:uiPriority w:val="0"/>
    <w:pPr>
      <w:ind w:left="100" w:leftChars="2500"/>
    </w:pPr>
  </w:style>
  <w:style w:type="paragraph" w:styleId="55">
    <w:name w:val="Body Text Indent 2"/>
    <w:basedOn w:val="1"/>
    <w:link w:val="904"/>
    <w:unhideWhenUsed/>
    <w:qFormat/>
    <w:uiPriority w:val="0"/>
    <w:pPr>
      <w:spacing w:after="120" w:line="480" w:lineRule="auto"/>
      <w:ind w:left="420" w:leftChars="200"/>
    </w:pPr>
  </w:style>
  <w:style w:type="paragraph" w:styleId="56">
    <w:name w:val="endnote text"/>
    <w:basedOn w:val="1"/>
    <w:link w:val="905"/>
    <w:qFormat/>
    <w:uiPriority w:val="0"/>
    <w:pPr>
      <w:spacing w:line="360" w:lineRule="atLeast"/>
      <w:jc w:val="left"/>
      <w:textAlignment w:val="baseline"/>
    </w:pPr>
    <w:rPr>
      <w:kern w:val="0"/>
      <w:sz w:val="24"/>
      <w:szCs w:val="20"/>
    </w:rPr>
  </w:style>
  <w:style w:type="paragraph" w:styleId="57">
    <w:name w:val="List Continue 5"/>
    <w:basedOn w:val="1"/>
    <w:qFormat/>
    <w:uiPriority w:val="0"/>
    <w:pPr>
      <w:spacing w:after="120"/>
      <w:ind w:left="2100" w:leftChars="1000"/>
    </w:pPr>
  </w:style>
  <w:style w:type="paragraph" w:styleId="58">
    <w:name w:val="Balloon Text"/>
    <w:basedOn w:val="1"/>
    <w:link w:val="906"/>
    <w:unhideWhenUsed/>
    <w:qFormat/>
    <w:uiPriority w:val="0"/>
    <w:rPr>
      <w:kern w:val="0"/>
      <w:sz w:val="18"/>
      <w:szCs w:val="18"/>
    </w:rPr>
  </w:style>
  <w:style w:type="paragraph" w:styleId="59">
    <w:name w:val="footer"/>
    <w:basedOn w:val="1"/>
    <w:link w:val="908"/>
    <w:unhideWhenUsed/>
    <w:qFormat/>
    <w:uiPriority w:val="99"/>
    <w:pPr>
      <w:tabs>
        <w:tab w:val="center" w:pos="4153"/>
        <w:tab w:val="right" w:pos="8306"/>
      </w:tabs>
      <w:spacing w:line="240" w:lineRule="atLeast"/>
      <w:ind w:firstLine="0" w:firstLineChars="0"/>
      <w:jc w:val="right"/>
    </w:pPr>
    <w:rPr>
      <w:rFonts w:eastAsia="隶书"/>
      <w:sz w:val="18"/>
      <w:szCs w:val="18"/>
    </w:rPr>
  </w:style>
  <w:style w:type="paragraph" w:styleId="60">
    <w:name w:val="envelope return"/>
    <w:basedOn w:val="1"/>
    <w:qFormat/>
    <w:uiPriority w:val="0"/>
    <w:rPr>
      <w:rFonts w:ascii="Arial" w:hAnsi="Arial" w:cs="Arial"/>
    </w:rPr>
  </w:style>
  <w:style w:type="paragraph" w:styleId="61">
    <w:name w:val="header"/>
    <w:basedOn w:val="1"/>
    <w:link w:val="911"/>
    <w:unhideWhenUsed/>
    <w:qFormat/>
    <w:uiPriority w:val="0"/>
    <w:pPr>
      <w:pBdr>
        <w:bottom w:val="single" w:color="auto" w:sz="6" w:space="1"/>
      </w:pBdr>
      <w:tabs>
        <w:tab w:val="center" w:pos="4153"/>
        <w:tab w:val="right" w:pos="8306"/>
      </w:tabs>
      <w:spacing w:line="240" w:lineRule="atLeast"/>
      <w:ind w:firstLine="0" w:firstLineChars="0"/>
      <w:jc w:val="center"/>
    </w:pPr>
    <w:rPr>
      <w:rFonts w:eastAsia="隶书"/>
      <w:sz w:val="21"/>
      <w:szCs w:val="18"/>
    </w:rPr>
  </w:style>
  <w:style w:type="paragraph" w:styleId="62">
    <w:name w:val="Signature"/>
    <w:basedOn w:val="1"/>
    <w:link w:val="913"/>
    <w:qFormat/>
    <w:uiPriority w:val="0"/>
    <w:pPr>
      <w:ind w:left="100" w:leftChars="2100"/>
    </w:pPr>
  </w:style>
  <w:style w:type="paragraph" w:styleId="63">
    <w:name w:val="toc 1"/>
    <w:basedOn w:val="1"/>
    <w:next w:val="1"/>
    <w:qFormat/>
    <w:uiPriority w:val="39"/>
    <w:pPr>
      <w:tabs>
        <w:tab w:val="right" w:leader="dot" w:pos="8460"/>
      </w:tabs>
      <w:spacing w:line="400" w:lineRule="atLeast"/>
      <w:ind w:firstLine="0" w:firstLineChars="0"/>
      <w:jc w:val="left"/>
    </w:pPr>
    <w:rPr>
      <w:rFonts w:eastAsia="黑体"/>
      <w:b/>
      <w:spacing w:val="4"/>
      <w:szCs w:val="21"/>
    </w:rPr>
  </w:style>
  <w:style w:type="paragraph" w:styleId="64">
    <w:name w:val="List Continue 4"/>
    <w:basedOn w:val="1"/>
    <w:qFormat/>
    <w:uiPriority w:val="0"/>
    <w:pPr>
      <w:spacing w:after="120"/>
      <w:ind w:left="1680" w:leftChars="800"/>
    </w:pPr>
  </w:style>
  <w:style w:type="paragraph" w:styleId="65">
    <w:name w:val="toc 4"/>
    <w:basedOn w:val="1"/>
    <w:next w:val="1"/>
    <w:qFormat/>
    <w:uiPriority w:val="39"/>
    <w:pPr>
      <w:ind w:left="1260" w:leftChars="600"/>
    </w:pPr>
  </w:style>
  <w:style w:type="paragraph" w:styleId="66">
    <w:name w:val="index heading"/>
    <w:basedOn w:val="1"/>
    <w:next w:val="67"/>
    <w:qFormat/>
    <w:uiPriority w:val="0"/>
  </w:style>
  <w:style w:type="paragraph" w:styleId="67">
    <w:name w:val="index 1"/>
    <w:basedOn w:val="1"/>
    <w:next w:val="1"/>
    <w:qFormat/>
    <w:uiPriority w:val="0"/>
  </w:style>
  <w:style w:type="paragraph" w:styleId="68">
    <w:name w:val="Subtitle"/>
    <w:basedOn w:val="1"/>
    <w:link w:val="914"/>
    <w:qFormat/>
    <w:uiPriority w:val="0"/>
    <w:pPr>
      <w:spacing w:before="240" w:after="60" w:line="312" w:lineRule="auto"/>
      <w:jc w:val="center"/>
      <w:outlineLvl w:val="1"/>
    </w:pPr>
    <w:rPr>
      <w:rFonts w:ascii="Arial" w:hAnsi="Arial" w:cs="Arial"/>
      <w:b/>
      <w:bCs/>
      <w:kern w:val="28"/>
      <w:sz w:val="32"/>
      <w:szCs w:val="32"/>
    </w:rPr>
  </w:style>
  <w:style w:type="paragraph" w:styleId="69">
    <w:name w:val="List Number 5"/>
    <w:basedOn w:val="1"/>
    <w:qFormat/>
    <w:uiPriority w:val="0"/>
    <w:pPr>
      <w:tabs>
        <w:tab w:val="left" w:pos="2040"/>
      </w:tabs>
      <w:ind w:left="2040" w:leftChars="800" w:hanging="360" w:hangingChars="200"/>
    </w:pPr>
  </w:style>
  <w:style w:type="paragraph" w:styleId="70">
    <w:name w:val="List"/>
    <w:basedOn w:val="1"/>
    <w:qFormat/>
    <w:uiPriority w:val="0"/>
    <w:pPr>
      <w:ind w:left="420" w:hanging="420"/>
    </w:pPr>
    <w:rPr>
      <w:rFonts w:ascii="黑体" w:eastAsia="黑体"/>
      <w:sz w:val="24"/>
      <w:szCs w:val="20"/>
    </w:rPr>
  </w:style>
  <w:style w:type="paragraph" w:styleId="71">
    <w:name w:val="footnote text"/>
    <w:basedOn w:val="1"/>
    <w:link w:val="915"/>
    <w:qFormat/>
    <w:uiPriority w:val="0"/>
    <w:pPr>
      <w:jc w:val="left"/>
    </w:pPr>
    <w:rPr>
      <w:sz w:val="18"/>
      <w:szCs w:val="18"/>
    </w:rPr>
  </w:style>
  <w:style w:type="paragraph" w:styleId="72">
    <w:name w:val="toc 6"/>
    <w:basedOn w:val="1"/>
    <w:next w:val="1"/>
    <w:qFormat/>
    <w:uiPriority w:val="39"/>
    <w:pPr>
      <w:ind w:left="2100" w:leftChars="1000"/>
    </w:pPr>
  </w:style>
  <w:style w:type="paragraph" w:styleId="73">
    <w:name w:val="List 5"/>
    <w:basedOn w:val="1"/>
    <w:qFormat/>
    <w:uiPriority w:val="0"/>
    <w:pPr>
      <w:ind w:left="100" w:leftChars="800" w:hanging="200" w:hangingChars="200"/>
    </w:pPr>
  </w:style>
  <w:style w:type="paragraph" w:styleId="74">
    <w:name w:val="Body Text Indent 3"/>
    <w:basedOn w:val="1"/>
    <w:link w:val="919"/>
    <w:unhideWhenUsed/>
    <w:qFormat/>
    <w:uiPriority w:val="0"/>
    <w:pPr>
      <w:spacing w:after="120"/>
      <w:ind w:left="420" w:leftChars="200"/>
    </w:pPr>
    <w:rPr>
      <w:sz w:val="16"/>
      <w:szCs w:val="16"/>
    </w:rPr>
  </w:style>
  <w:style w:type="paragraph" w:styleId="75">
    <w:name w:val="index 7"/>
    <w:basedOn w:val="1"/>
    <w:next w:val="1"/>
    <w:qFormat/>
    <w:uiPriority w:val="0"/>
    <w:pPr>
      <w:ind w:left="1200" w:leftChars="1200"/>
    </w:pPr>
  </w:style>
  <w:style w:type="paragraph" w:styleId="76">
    <w:name w:val="index 9"/>
    <w:basedOn w:val="1"/>
    <w:next w:val="1"/>
    <w:qFormat/>
    <w:uiPriority w:val="0"/>
    <w:pPr>
      <w:ind w:left="1600" w:leftChars="1600"/>
    </w:pPr>
  </w:style>
  <w:style w:type="paragraph" w:styleId="77">
    <w:name w:val="table of figures"/>
    <w:basedOn w:val="1"/>
    <w:next w:val="1"/>
    <w:qFormat/>
    <w:uiPriority w:val="0"/>
    <w:pPr>
      <w:ind w:left="840" w:leftChars="200" w:hanging="420" w:hangingChars="200"/>
    </w:pPr>
    <w:rPr>
      <w:szCs w:val="21"/>
    </w:rPr>
  </w:style>
  <w:style w:type="paragraph" w:styleId="78">
    <w:name w:val="toc 2"/>
    <w:basedOn w:val="1"/>
    <w:next w:val="1"/>
    <w:qFormat/>
    <w:uiPriority w:val="39"/>
    <w:pPr>
      <w:spacing w:line="360" w:lineRule="exact"/>
      <w:jc w:val="left"/>
    </w:pPr>
    <w:rPr>
      <w:sz w:val="24"/>
    </w:rPr>
  </w:style>
  <w:style w:type="paragraph" w:styleId="79">
    <w:name w:val="toc 9"/>
    <w:basedOn w:val="1"/>
    <w:next w:val="1"/>
    <w:qFormat/>
    <w:uiPriority w:val="39"/>
    <w:pPr>
      <w:ind w:left="3360" w:leftChars="1600"/>
    </w:pPr>
  </w:style>
  <w:style w:type="paragraph" w:styleId="80">
    <w:name w:val="Body Text 2"/>
    <w:basedOn w:val="1"/>
    <w:link w:val="922"/>
    <w:qFormat/>
    <w:uiPriority w:val="0"/>
    <w:pPr>
      <w:spacing w:after="120" w:line="480" w:lineRule="auto"/>
    </w:pPr>
  </w:style>
  <w:style w:type="paragraph" w:styleId="81">
    <w:name w:val="List 4"/>
    <w:basedOn w:val="1"/>
    <w:qFormat/>
    <w:uiPriority w:val="0"/>
    <w:pPr>
      <w:ind w:left="100" w:leftChars="600" w:hanging="200" w:hangingChars="200"/>
    </w:pPr>
  </w:style>
  <w:style w:type="paragraph" w:styleId="82">
    <w:name w:val="List Continue 2"/>
    <w:basedOn w:val="1"/>
    <w:qFormat/>
    <w:uiPriority w:val="0"/>
    <w:pPr>
      <w:spacing w:after="120"/>
      <w:ind w:left="840" w:leftChars="400"/>
    </w:pPr>
  </w:style>
  <w:style w:type="paragraph" w:styleId="83">
    <w:name w:val="HTML Preformatted"/>
    <w:basedOn w:val="1"/>
    <w:link w:val="926"/>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s="Arial Unicode MS"/>
      <w:kern w:val="0"/>
      <w:sz w:val="20"/>
      <w:szCs w:val="20"/>
    </w:rPr>
  </w:style>
  <w:style w:type="paragraph" w:styleId="84">
    <w:name w:val="Normal (Web)"/>
    <w:basedOn w:val="1"/>
    <w:link w:val="928"/>
    <w:qFormat/>
    <w:uiPriority w:val="99"/>
    <w:pPr>
      <w:spacing w:before="100" w:beforeAutospacing="1" w:after="100" w:afterAutospacing="1"/>
      <w:jc w:val="left"/>
    </w:pPr>
    <w:rPr>
      <w:rFonts w:ascii="Arial Unicode MS" w:hAnsi="Arial Unicode MS" w:eastAsia="Arial Unicode MS" w:cs="Arial Unicode MS"/>
      <w:kern w:val="0"/>
      <w:sz w:val="24"/>
    </w:rPr>
  </w:style>
  <w:style w:type="paragraph" w:styleId="85">
    <w:name w:val="List Continue 3"/>
    <w:basedOn w:val="1"/>
    <w:qFormat/>
    <w:uiPriority w:val="0"/>
    <w:pPr>
      <w:spacing w:after="120"/>
      <w:ind w:left="1260" w:leftChars="600"/>
    </w:pPr>
  </w:style>
  <w:style w:type="paragraph" w:styleId="86">
    <w:name w:val="index 2"/>
    <w:basedOn w:val="1"/>
    <w:next w:val="1"/>
    <w:qFormat/>
    <w:uiPriority w:val="0"/>
    <w:pPr>
      <w:spacing w:line="300" w:lineRule="auto"/>
      <w:ind w:left="200" w:leftChars="200"/>
    </w:pPr>
    <w:rPr>
      <w:u w:color="FFFFFF"/>
    </w:rPr>
  </w:style>
  <w:style w:type="paragraph" w:styleId="87">
    <w:name w:val="Title"/>
    <w:basedOn w:val="1"/>
    <w:next w:val="1"/>
    <w:link w:val="929"/>
    <w:qFormat/>
    <w:uiPriority w:val="0"/>
    <w:pPr>
      <w:keepLines/>
      <w:pageBreakBefore/>
      <w:widowControl w:val="0"/>
      <w:spacing w:before="240" w:after="120"/>
      <w:jc w:val="center"/>
      <w:outlineLvl w:val="0"/>
    </w:pPr>
    <w:rPr>
      <w:rFonts w:eastAsia="黑体"/>
      <w:b/>
      <w:sz w:val="36"/>
    </w:rPr>
  </w:style>
  <w:style w:type="paragraph" w:styleId="88">
    <w:name w:val="annotation subject"/>
    <w:basedOn w:val="32"/>
    <w:next w:val="32"/>
    <w:link w:val="931"/>
    <w:qFormat/>
    <w:uiPriority w:val="0"/>
    <w:rPr>
      <w:b/>
      <w:bCs/>
      <w:szCs w:val="22"/>
    </w:rPr>
  </w:style>
  <w:style w:type="paragraph" w:styleId="89">
    <w:name w:val="Body Text First Indent"/>
    <w:basedOn w:val="1"/>
    <w:link w:val="859"/>
    <w:qFormat/>
    <w:uiPriority w:val="0"/>
    <w:pPr>
      <w:ind w:firstLine="420" w:firstLineChars="100"/>
    </w:pPr>
  </w:style>
  <w:style w:type="paragraph" w:styleId="90">
    <w:name w:val="Body Text First Indent 2"/>
    <w:basedOn w:val="39"/>
    <w:unhideWhenUsed/>
    <w:qFormat/>
    <w:uiPriority w:val="0"/>
    <w:pPr>
      <w:ind w:firstLine="420"/>
    </w:pPr>
  </w:style>
  <w:style w:type="table" w:styleId="92">
    <w:name w:val="Table Grid"/>
    <w:basedOn w:val="91"/>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3">
    <w:name w:val="Table Theme"/>
    <w:basedOn w:val="9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4">
    <w:name w:val="Table Colorful 1"/>
    <w:basedOn w:val="91"/>
    <w:semiHidden/>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5">
    <w:name w:val="Table Colorful 2"/>
    <w:basedOn w:val="91"/>
    <w:semiHidden/>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6">
    <w:name w:val="Table Colorful 3"/>
    <w:basedOn w:val="91"/>
    <w:semiHidden/>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7">
    <w:name w:val="Table Elegant"/>
    <w:basedOn w:val="91"/>
    <w:semiHidden/>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8">
    <w:name w:val="Table Classic 1"/>
    <w:basedOn w:val="91"/>
    <w:qFormat/>
    <w:uiPriority w:val="0"/>
    <w:pPr>
      <w:widowControl w:val="0"/>
      <w:spacing w:line="320" w:lineRule="exact"/>
      <w:jc w:val="both"/>
    </w:pPr>
    <w:rPr>
      <w:sz w:val="21"/>
      <w:szCs w:val="21"/>
    </w:rPr>
    <w:tblPr>
      <w:jc w:val="center"/>
      <w:tblBorders>
        <w:top w:val="single" w:color="000000" w:sz="12" w:space="0"/>
        <w:bottom w:val="single" w:color="000000" w:sz="12" w:space="0"/>
        <w:insideH w:val="single" w:color="000000" w:sz="2" w:space="0"/>
        <w:insideV w:val="single" w:color="000000" w:sz="2" w:space="0"/>
      </w:tblBorders>
      <w:tblCellMar>
        <w:top w:w="0" w:type="dxa"/>
        <w:left w:w="108" w:type="dxa"/>
        <w:bottom w:w="0" w:type="dxa"/>
        <w:right w:w="108" w:type="dxa"/>
      </w:tblCellMar>
    </w:tblPr>
    <w:trPr>
      <w:jc w:val="center"/>
    </w:tr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9">
    <w:name w:val="Table Classic 2"/>
    <w:basedOn w:val="91"/>
    <w:semiHidden/>
    <w:qFormat/>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0">
    <w:name w:val="Table Classic 3"/>
    <w:basedOn w:val="91"/>
    <w:semiHidden/>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101">
    <w:name w:val="Table Classic 4"/>
    <w:basedOn w:val="91"/>
    <w:semiHidden/>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2">
    <w:name w:val="Table Simple 1"/>
    <w:basedOn w:val="91"/>
    <w:semiHidden/>
    <w:qFormat/>
    <w:uiPriority w:val="0"/>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03">
    <w:name w:val="Table Simple 2"/>
    <w:basedOn w:val="91"/>
    <w:semiHidden/>
    <w:qFormat/>
    <w:uiPriority w:val="0"/>
    <w:pPr>
      <w:widowControl w:val="0"/>
      <w:jc w:val="both"/>
    </w:pPr>
    <w:tblPr>
      <w:tblCellMar>
        <w:top w:w="0" w:type="dxa"/>
        <w:left w:w="108" w:type="dxa"/>
        <w:bottom w:w="0" w:type="dxa"/>
        <w:right w:w="108" w:type="dxa"/>
      </w:tblCellMa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4">
    <w:name w:val="Table Simple 3"/>
    <w:basedOn w:val="91"/>
    <w:semiHidden/>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5">
    <w:name w:val="Table Subtle 1"/>
    <w:basedOn w:val="91"/>
    <w:semiHidden/>
    <w:qFormat/>
    <w:uiPriority w:val="0"/>
    <w:pPr>
      <w:widowControl w:val="0"/>
      <w:jc w:val="both"/>
    </w:pPr>
    <w:tblPr>
      <w:tblCellMar>
        <w:top w:w="0" w:type="dxa"/>
        <w:left w:w="108" w:type="dxa"/>
        <w:bottom w:w="0" w:type="dxa"/>
        <w:right w:w="108" w:type="dxa"/>
      </w:tblCellMar>
    </w:tblPr>
    <w:tblStylePr w:type="firstRow">
      <w:tblPr/>
      <w:tcPr>
        <w:tcBorders>
          <w:top w:val="single" w:color="000000" w:sz="6" w:space="0"/>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single" w:color="000000" w:sz="12" w:space="0"/>
          <w:bottom w:val="nil"/>
          <w:right w:val="nil"/>
          <w:insideH w:val="nil"/>
          <w:insideV w:val="nil"/>
          <w:tl2br w:val="nil"/>
          <w:tr2bl w:val="nil"/>
        </w:tcBorders>
      </w:tcPr>
    </w:tblStylePr>
    <w:tblStylePr w:type="band1Horz">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6">
    <w:name w:val="Table Subtle 2"/>
    <w:basedOn w:val="91"/>
    <w:semiHidden/>
    <w:qFormat/>
    <w:uiPriority w:val="0"/>
    <w:pPr>
      <w:widowControl w:val="0"/>
      <w:jc w:val="both"/>
    </w:p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7">
    <w:name w:val="Table 3D effects 1"/>
    <w:basedOn w:val="91"/>
    <w:semiHidden/>
    <w:qFormat/>
    <w:uiPriority w:val="0"/>
    <w:pPr>
      <w:widowControl w:val="0"/>
      <w:jc w:val="both"/>
    </w:pPr>
    <w:tblPr>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color="808080" w:sz="6" w:space="0"/>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single" w:color="FFFFFF" w:sz="6" w:space="0"/>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8">
    <w:name w:val="Table 3D effects 2"/>
    <w:basedOn w:val="91"/>
    <w:semiHidden/>
    <w:qFormat/>
    <w:uiPriority w:val="0"/>
    <w:pPr>
      <w:widowControl w:val="0"/>
      <w:jc w:val="both"/>
    </w:pPr>
    <w:tblPr>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9">
    <w:name w:val="Table 3D effects 3"/>
    <w:basedOn w:val="91"/>
    <w:semiHidden/>
    <w:qFormat/>
    <w:uiPriority w:val="0"/>
    <w:pPr>
      <w:widowControl w:val="0"/>
      <w:jc w:val="both"/>
    </w:pPr>
    <w:tblPr>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0">
    <w:name w:val="Table List 1"/>
    <w:basedOn w:val="91"/>
    <w:semiHidden/>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1">
    <w:name w:val="Table List 2"/>
    <w:basedOn w:val="91"/>
    <w:semiHidden/>
    <w:qFormat/>
    <w:uiPriority w:val="0"/>
    <w:pPr>
      <w:widowControl w:val="0"/>
      <w:jc w:val="both"/>
    </w:p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2">
    <w:name w:val="Table List 3"/>
    <w:basedOn w:val="91"/>
    <w:semiHidden/>
    <w:qFormat/>
    <w:uiPriority w:val="0"/>
    <w:pPr>
      <w:widowControl w:val="0"/>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13">
    <w:name w:val="Table List 4"/>
    <w:basedOn w:val="91"/>
    <w:semiHidden/>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14">
    <w:name w:val="Table List 5"/>
    <w:basedOn w:val="91"/>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15">
    <w:name w:val="Table List 6"/>
    <w:basedOn w:val="91"/>
    <w:semiHidden/>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6">
    <w:name w:val="Table List 7"/>
    <w:basedOn w:val="91"/>
    <w:semiHidden/>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7">
    <w:name w:val="Table List 8"/>
    <w:basedOn w:val="91"/>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8">
    <w:name w:val="Table Contemporary"/>
    <w:basedOn w:val="91"/>
    <w:semiHidden/>
    <w:qFormat/>
    <w:uiPriority w:val="0"/>
    <w:pPr>
      <w:widowControl w:val="0"/>
      <w:jc w:val="both"/>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9">
    <w:name w:val="Table Columns 1"/>
    <w:basedOn w:val="91"/>
    <w:semiHidden/>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top w:val="nil"/>
          <w:left w:val="nil"/>
          <w:bottom w:val="double" w:color="000000" w:sz="6" w:space="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20">
    <w:name w:val="Table Columns 2"/>
    <w:basedOn w:val="91"/>
    <w:semiHidden/>
    <w:qFormat/>
    <w:uiPriority w:val="0"/>
    <w:pPr>
      <w:widowControl w:val="0"/>
      <w:jc w:val="both"/>
    </w:pPr>
    <w:rPr>
      <w:b/>
      <w:bCs/>
    </w:rPr>
    <w:tblPr>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21">
    <w:name w:val="Table Columns 3"/>
    <w:basedOn w:val="91"/>
    <w:semiHidden/>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22">
    <w:name w:val="Table Columns 4"/>
    <w:basedOn w:val="91"/>
    <w:semiHidden/>
    <w:qFormat/>
    <w:uiPriority w:val="0"/>
    <w:pPr>
      <w:widowControl w:val="0"/>
      <w:jc w:val="both"/>
    </w:pPr>
    <w:tblPr>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3">
    <w:name w:val="Table Columns 5"/>
    <w:basedOn w:val="91"/>
    <w:semiHidden/>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top w:val="nil"/>
          <w:left w:val="nil"/>
          <w:bottom w:val="single" w:color="808080" w:sz="6" w:space="0"/>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4">
    <w:name w:val="Table Grid 1"/>
    <w:basedOn w:val="91"/>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5">
    <w:name w:val="Table Grid 2"/>
    <w:basedOn w:val="91"/>
    <w:semiHidden/>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6">
    <w:name w:val="Table Grid 3"/>
    <w:basedOn w:val="91"/>
    <w:semiHidden/>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7">
    <w:name w:val="Table Grid 4"/>
    <w:basedOn w:val="91"/>
    <w:semiHidden/>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8">
    <w:name w:val="Table Grid 5"/>
    <w:basedOn w:val="91"/>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9">
    <w:name w:val="Table Grid 6"/>
    <w:basedOn w:val="91"/>
    <w:semiHidden/>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30">
    <w:name w:val="Table Grid 7"/>
    <w:basedOn w:val="91"/>
    <w:semiHidden/>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31">
    <w:name w:val="Table Grid 8"/>
    <w:basedOn w:val="91"/>
    <w:semiHidden/>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32">
    <w:name w:val="Table Web 1"/>
    <w:basedOn w:val="91"/>
    <w:semiHidden/>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3">
    <w:name w:val="Table Web 2"/>
    <w:basedOn w:val="91"/>
    <w:semiHidden/>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4">
    <w:name w:val="Table Web 3"/>
    <w:basedOn w:val="91"/>
    <w:semiHidden/>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5">
    <w:name w:val="Table Professional"/>
    <w:basedOn w:val="91"/>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37">
    <w:name w:val="Strong"/>
    <w:qFormat/>
    <w:uiPriority w:val="0"/>
    <w:rPr>
      <w:rFonts w:ascii="Times New Roman" w:hAnsi="Times New Roman" w:eastAsia="仿宋_GB2312"/>
      <w:bCs/>
      <w:sz w:val="21"/>
      <w:lang w:val="en-US" w:eastAsia="zh-CN" w:bidi="ar-SA"/>
    </w:rPr>
  </w:style>
  <w:style w:type="character" w:styleId="138">
    <w:name w:val="endnote reference"/>
    <w:qFormat/>
    <w:uiPriority w:val="0"/>
    <w:rPr>
      <w:vertAlign w:val="superscript"/>
    </w:rPr>
  </w:style>
  <w:style w:type="character" w:styleId="139">
    <w:name w:val="page number"/>
    <w:qFormat/>
    <w:uiPriority w:val="0"/>
  </w:style>
  <w:style w:type="character" w:styleId="140">
    <w:name w:val="FollowedHyperlink"/>
    <w:qFormat/>
    <w:uiPriority w:val="0"/>
    <w:rPr>
      <w:color w:val="800080"/>
      <w:u w:val="single"/>
    </w:rPr>
  </w:style>
  <w:style w:type="character" w:styleId="141">
    <w:name w:val="Emphasis"/>
    <w:qFormat/>
    <w:uiPriority w:val="0"/>
    <w:rPr>
      <w:i/>
      <w:iCs/>
    </w:rPr>
  </w:style>
  <w:style w:type="character" w:styleId="142">
    <w:name w:val="line number"/>
    <w:qFormat/>
    <w:uiPriority w:val="0"/>
  </w:style>
  <w:style w:type="character" w:styleId="143">
    <w:name w:val="HTML Definition"/>
    <w:qFormat/>
    <w:uiPriority w:val="0"/>
    <w:rPr>
      <w:i/>
      <w:iCs/>
    </w:rPr>
  </w:style>
  <w:style w:type="character" w:styleId="144">
    <w:name w:val="HTML Typewriter"/>
    <w:qFormat/>
    <w:uiPriority w:val="0"/>
    <w:rPr>
      <w:rFonts w:ascii="宋体" w:hAnsi="宋体" w:eastAsia="宋体" w:cs="宋体"/>
      <w:sz w:val="24"/>
      <w:szCs w:val="24"/>
    </w:rPr>
  </w:style>
  <w:style w:type="character" w:styleId="145">
    <w:name w:val="HTML Acronym"/>
    <w:qFormat/>
    <w:uiPriority w:val="0"/>
  </w:style>
  <w:style w:type="character" w:styleId="146">
    <w:name w:val="HTML Variable"/>
    <w:qFormat/>
    <w:uiPriority w:val="0"/>
    <w:rPr>
      <w:i/>
      <w:iCs/>
    </w:rPr>
  </w:style>
  <w:style w:type="character" w:styleId="147">
    <w:name w:val="Hyperlink"/>
    <w:unhideWhenUsed/>
    <w:qFormat/>
    <w:uiPriority w:val="99"/>
    <w:rPr>
      <w:color w:val="136EC2"/>
      <w:u w:val="single"/>
    </w:rPr>
  </w:style>
  <w:style w:type="character" w:styleId="148">
    <w:name w:val="HTML Code"/>
    <w:qFormat/>
    <w:uiPriority w:val="0"/>
    <w:rPr>
      <w:rFonts w:ascii="Courier New" w:hAnsi="Courier New" w:cs="Courier New"/>
      <w:sz w:val="20"/>
      <w:szCs w:val="20"/>
    </w:rPr>
  </w:style>
  <w:style w:type="character" w:styleId="149">
    <w:name w:val="annotation reference"/>
    <w:qFormat/>
    <w:uiPriority w:val="99"/>
    <w:rPr>
      <w:sz w:val="21"/>
      <w:szCs w:val="21"/>
    </w:rPr>
  </w:style>
  <w:style w:type="character" w:styleId="150">
    <w:name w:val="HTML Cite"/>
    <w:qFormat/>
    <w:uiPriority w:val="0"/>
    <w:rPr>
      <w:i/>
      <w:iCs/>
    </w:rPr>
  </w:style>
  <w:style w:type="character" w:styleId="151">
    <w:name w:val="footnote reference"/>
    <w:qFormat/>
    <w:uiPriority w:val="0"/>
    <w:rPr>
      <w:rFonts w:ascii="Verdana" w:hAnsi="Verdana" w:eastAsia="宋体"/>
      <w:vertAlign w:val="superscript"/>
      <w:lang w:val="en-US" w:eastAsia="en-US" w:bidi="ar-SA"/>
    </w:rPr>
  </w:style>
  <w:style w:type="character" w:styleId="152">
    <w:name w:val="HTML Keyboard"/>
    <w:qFormat/>
    <w:uiPriority w:val="0"/>
    <w:rPr>
      <w:rFonts w:ascii="Courier New" w:hAnsi="Courier New" w:cs="Courier New"/>
      <w:sz w:val="20"/>
      <w:szCs w:val="20"/>
    </w:rPr>
  </w:style>
  <w:style w:type="character" w:styleId="153">
    <w:name w:val="HTML Sample"/>
    <w:qFormat/>
    <w:uiPriority w:val="0"/>
    <w:rPr>
      <w:rFonts w:ascii="Courier New" w:hAnsi="Courier New" w:cs="Courier New"/>
    </w:rPr>
  </w:style>
  <w:style w:type="paragraph" w:customStyle="1" w:styleId="154">
    <w:name w:val="正文格式"/>
    <w:basedOn w:val="1"/>
    <w:link w:val="1275"/>
    <w:qFormat/>
    <w:uiPriority w:val="0"/>
    <w:pPr>
      <w:spacing w:line="460" w:lineRule="exact"/>
      <w:ind w:firstLine="480"/>
      <w:jc w:val="left"/>
    </w:pPr>
    <w:rPr>
      <w:rFonts w:cs="宋体"/>
      <w:kern w:val="0"/>
      <w:sz w:val="24"/>
      <w:szCs w:val="20"/>
    </w:rPr>
  </w:style>
  <w:style w:type="character" w:customStyle="1" w:styleId="155">
    <w:name w:val="Char Char19"/>
    <w:qFormat/>
    <w:uiPriority w:val="0"/>
    <w:rPr>
      <w:rFonts w:eastAsia="宋体"/>
      <w:kern w:val="2"/>
      <w:sz w:val="16"/>
      <w:szCs w:val="16"/>
      <w:lang w:val="en-US" w:eastAsia="zh-CN" w:bidi="ar-SA"/>
    </w:rPr>
  </w:style>
  <w:style w:type="character" w:customStyle="1" w:styleId="156">
    <w:name w:val="环评标题4 Char"/>
    <w:link w:val="157"/>
    <w:qFormat/>
    <w:uiPriority w:val="0"/>
    <w:rPr>
      <w:rFonts w:ascii="Cambria" w:hAnsi="Cambria"/>
      <w:b/>
      <w:bCs/>
      <w:kern w:val="2"/>
      <w:sz w:val="28"/>
      <w:szCs w:val="28"/>
    </w:rPr>
  </w:style>
  <w:style w:type="paragraph" w:customStyle="1" w:styleId="157">
    <w:name w:val="环评标题4"/>
    <w:basedOn w:val="10"/>
    <w:link w:val="156"/>
    <w:qFormat/>
    <w:uiPriority w:val="0"/>
  </w:style>
  <w:style w:type="character" w:customStyle="1" w:styleId="158">
    <w:name w:val="样式4 Char"/>
    <w:qFormat/>
    <w:uiPriority w:val="0"/>
    <w:rPr>
      <w:rFonts w:eastAsia="黑体"/>
      <w:kern w:val="2"/>
      <w:sz w:val="36"/>
      <w:szCs w:val="36"/>
      <w:lang w:val="en-US" w:eastAsia="zh-CN" w:bidi="ar-SA"/>
    </w:rPr>
  </w:style>
  <w:style w:type="character" w:customStyle="1" w:styleId="159">
    <w:name w:val="表格内容 Char Char"/>
    <w:qFormat/>
    <w:uiPriority w:val="0"/>
    <w:rPr>
      <w:rFonts w:ascii="宋体" w:hAnsi="Courier New" w:eastAsia="宋体" w:cs="Courier New"/>
      <w:kern w:val="2"/>
      <w:sz w:val="21"/>
      <w:szCs w:val="21"/>
      <w:lang w:val="en-US" w:eastAsia="zh-CN" w:bidi="ar-SA"/>
    </w:rPr>
  </w:style>
  <w:style w:type="character" w:customStyle="1" w:styleId="160">
    <w:name w:val="Char Char15"/>
    <w:semiHidden/>
    <w:qFormat/>
    <w:uiPriority w:val="0"/>
    <w:rPr>
      <w:rFonts w:eastAsia="宋体"/>
      <w:kern w:val="2"/>
      <w:sz w:val="18"/>
      <w:szCs w:val="18"/>
      <w:lang w:val="en-US" w:eastAsia="zh-CN" w:bidi="ar-SA"/>
    </w:rPr>
  </w:style>
  <w:style w:type="character" w:customStyle="1" w:styleId="161">
    <w:name w:val="gai Char"/>
    <w:link w:val="162"/>
    <w:qFormat/>
    <w:uiPriority w:val="0"/>
    <w:rPr>
      <w:rFonts w:ascii="Times New Roman" w:hAnsi="Times New Roman" w:eastAsia="黑体"/>
      <w:b/>
      <w:sz w:val="32"/>
    </w:rPr>
  </w:style>
  <w:style w:type="paragraph" w:customStyle="1" w:styleId="162">
    <w:name w:val="gai"/>
    <w:basedOn w:val="6"/>
    <w:link w:val="161"/>
    <w:qFormat/>
    <w:uiPriority w:val="0"/>
  </w:style>
  <w:style w:type="character" w:customStyle="1" w:styleId="163">
    <w:name w:val="章节标题 Char Char"/>
    <w:qFormat/>
    <w:uiPriority w:val="0"/>
    <w:rPr>
      <w:rFonts w:eastAsia="宋体"/>
      <w:b/>
      <w:bCs/>
      <w:kern w:val="44"/>
      <w:sz w:val="44"/>
      <w:szCs w:val="44"/>
      <w:lang w:val="en-US" w:eastAsia="zh-CN" w:bidi="ar-SA"/>
    </w:rPr>
  </w:style>
  <w:style w:type="character" w:customStyle="1" w:styleId="164">
    <w:name w:val="Char Char21"/>
    <w:qFormat/>
    <w:uiPriority w:val="0"/>
    <w:rPr>
      <w:rFonts w:eastAsia="宋体"/>
      <w:kern w:val="2"/>
      <w:sz w:val="21"/>
      <w:szCs w:val="24"/>
      <w:lang w:val="en-US" w:eastAsia="zh-CN" w:bidi="ar-SA"/>
    </w:rPr>
  </w:style>
  <w:style w:type="character" w:customStyle="1" w:styleId="165">
    <w:name w:val="TZ Char Char"/>
    <w:qFormat/>
    <w:uiPriority w:val="0"/>
    <w:rPr>
      <w:rFonts w:ascii="黑体" w:hAnsi="黑体" w:eastAsia="黑体" w:cs="黑体"/>
      <w:kern w:val="2"/>
      <w:sz w:val="24"/>
      <w:szCs w:val="24"/>
      <w:lang w:val="en-US" w:eastAsia="zh-CN" w:bidi="ar-SA"/>
    </w:rPr>
  </w:style>
  <w:style w:type="character" w:customStyle="1" w:styleId="166">
    <w:name w:val="样式 (符号) 宋体 黑色 Char"/>
    <w:link w:val="167"/>
    <w:qFormat/>
    <w:uiPriority w:val="0"/>
    <w:rPr>
      <w:rFonts w:ascii="宋体" w:hAnsi="Times New Roman" w:eastAsia="仿宋_GB2312"/>
      <w:b/>
      <w:bCs/>
      <w:sz w:val="30"/>
      <w:szCs w:val="24"/>
    </w:rPr>
  </w:style>
  <w:style w:type="paragraph" w:customStyle="1" w:styleId="167">
    <w:name w:val="样式 (符号) 宋体 黑色"/>
    <w:basedOn w:val="1"/>
    <w:link w:val="166"/>
    <w:qFormat/>
    <w:uiPriority w:val="0"/>
    <w:pPr>
      <w:spacing w:line="360" w:lineRule="auto"/>
      <w:jc w:val="center"/>
      <w:outlineLvl w:val="0"/>
    </w:pPr>
    <w:rPr>
      <w:rFonts w:ascii="宋体"/>
      <w:b/>
      <w:bCs/>
      <w:kern w:val="0"/>
      <w:sz w:val="30"/>
    </w:rPr>
  </w:style>
  <w:style w:type="character" w:customStyle="1" w:styleId="168">
    <w:name w:val="正文 小丹 Char1"/>
    <w:qFormat/>
    <w:uiPriority w:val="0"/>
    <w:rPr>
      <w:rFonts w:ascii="宋体" w:hAnsi="宋体" w:eastAsia="宋体"/>
      <w:color w:val="000000"/>
      <w:spacing w:val="6"/>
      <w:kern w:val="2"/>
      <w:sz w:val="24"/>
      <w:szCs w:val="24"/>
      <w:lang w:val="en-US" w:eastAsia="zh-CN" w:bidi="ar-SA"/>
    </w:rPr>
  </w:style>
  <w:style w:type="character" w:customStyle="1" w:styleId="169">
    <w:name w:val="样式 标题 1章标题 1h11st levelSection Headl1标题yjm1featureheadH1..."/>
    <w:qFormat/>
    <w:uiPriority w:val="0"/>
    <w:rPr>
      <w:rFonts w:ascii="Arial" w:hAnsi="Arial" w:cs="Arial"/>
      <w:sz w:val="28"/>
      <w:szCs w:val="28"/>
    </w:rPr>
  </w:style>
  <w:style w:type="character" w:customStyle="1" w:styleId="170">
    <w:name w:val="gov"/>
    <w:qFormat/>
    <w:uiPriority w:val="0"/>
  </w:style>
  <w:style w:type="character" w:customStyle="1" w:styleId="171">
    <w:name w:val="报告书正文 Char"/>
    <w:link w:val="172"/>
    <w:qFormat/>
    <w:uiPriority w:val="0"/>
    <w:rPr>
      <w:rFonts w:ascii="Times New Roman" w:hAnsi="Times New Roman"/>
      <w:kern w:val="2"/>
      <w:sz w:val="24"/>
      <w:szCs w:val="24"/>
    </w:rPr>
  </w:style>
  <w:style w:type="paragraph" w:customStyle="1" w:styleId="172">
    <w:name w:val="报告书正文"/>
    <w:basedOn w:val="1"/>
    <w:link w:val="171"/>
    <w:qFormat/>
    <w:uiPriority w:val="0"/>
    <w:pPr>
      <w:spacing w:line="360" w:lineRule="auto"/>
      <w:ind w:firstLine="480"/>
    </w:pPr>
    <w:rPr>
      <w:rFonts w:eastAsia="宋体"/>
      <w:sz w:val="24"/>
    </w:rPr>
  </w:style>
  <w:style w:type="character" w:customStyle="1" w:styleId="173">
    <w:name w:val="表头2 Char"/>
    <w:link w:val="174"/>
    <w:qFormat/>
    <w:uiPriority w:val="0"/>
    <w:rPr>
      <w:rFonts w:ascii="宋体" w:hAnsi="宋体" w:cs="宋体"/>
      <w:b/>
      <w:color w:val="000000"/>
      <w:sz w:val="24"/>
      <w:szCs w:val="24"/>
    </w:rPr>
  </w:style>
  <w:style w:type="paragraph" w:customStyle="1" w:styleId="174">
    <w:name w:val="表头2"/>
    <w:basedOn w:val="1"/>
    <w:link w:val="173"/>
    <w:qFormat/>
    <w:uiPriority w:val="0"/>
    <w:pPr>
      <w:jc w:val="center"/>
    </w:pPr>
    <w:rPr>
      <w:rFonts w:ascii="宋体" w:hAnsi="宋体" w:eastAsia="宋体" w:cs="宋体"/>
      <w:b/>
      <w:color w:val="000000"/>
      <w:kern w:val="0"/>
      <w:sz w:val="24"/>
    </w:rPr>
  </w:style>
  <w:style w:type="character" w:customStyle="1" w:styleId="175">
    <w:name w:val="样式 表格11 + 居中 Char Char1"/>
    <w:qFormat/>
    <w:uiPriority w:val="0"/>
    <w:rPr>
      <w:sz w:val="21"/>
      <w:szCs w:val="21"/>
    </w:rPr>
  </w:style>
  <w:style w:type="character" w:customStyle="1" w:styleId="176">
    <w:name w:val="Char4 Char Char1"/>
    <w:qFormat/>
    <w:uiPriority w:val="0"/>
    <w:rPr>
      <w:b/>
      <w:bCs/>
      <w:sz w:val="21"/>
    </w:rPr>
  </w:style>
  <w:style w:type="character" w:customStyle="1" w:styleId="177">
    <w:name w:val="表格内容 Char Char Char Char Char Char"/>
    <w:link w:val="178"/>
    <w:qFormat/>
    <w:uiPriority w:val="0"/>
    <w:rPr>
      <w:rFonts w:ascii="宋体" w:hAnsi="宋体"/>
      <w:kern w:val="2"/>
      <w:sz w:val="21"/>
      <w:szCs w:val="21"/>
    </w:rPr>
  </w:style>
  <w:style w:type="paragraph" w:customStyle="1" w:styleId="178">
    <w:name w:val="表格内容 Char Char Char Char Char"/>
    <w:basedOn w:val="1"/>
    <w:link w:val="177"/>
    <w:qFormat/>
    <w:uiPriority w:val="0"/>
    <w:pPr>
      <w:jc w:val="center"/>
    </w:pPr>
    <w:rPr>
      <w:rFonts w:ascii="宋体" w:hAnsi="宋体" w:eastAsia="宋体"/>
      <w:sz w:val="21"/>
      <w:szCs w:val="21"/>
    </w:rPr>
  </w:style>
  <w:style w:type="character" w:customStyle="1" w:styleId="179">
    <w:name w:val="样式 标题 4 + 宋体 Char Char Char Char Char Char"/>
    <w:qFormat/>
    <w:uiPriority w:val="0"/>
    <w:rPr>
      <w:b/>
      <w:bCs/>
    </w:rPr>
  </w:style>
  <w:style w:type="character" w:customStyle="1" w:styleId="180">
    <w:name w:val="样式 宋体 段前: 0.5 行 行距: 固定值 18 磅 Char"/>
    <w:link w:val="181"/>
    <w:qFormat/>
    <w:uiPriority w:val="0"/>
    <w:rPr>
      <w:rFonts w:ascii="宋体" w:hAnsi="宋体" w:cs="宋体"/>
      <w:kern w:val="2"/>
      <w:sz w:val="24"/>
      <w:szCs w:val="24"/>
    </w:rPr>
  </w:style>
  <w:style w:type="paragraph" w:customStyle="1" w:styleId="181">
    <w:name w:val="样式 宋体 段前: 0.5 行 行距: 固定值 18 磅"/>
    <w:basedOn w:val="1"/>
    <w:link w:val="180"/>
    <w:qFormat/>
    <w:uiPriority w:val="0"/>
    <w:pPr>
      <w:spacing w:line="360" w:lineRule="exact"/>
    </w:pPr>
    <w:rPr>
      <w:rFonts w:ascii="宋体" w:hAnsi="宋体" w:eastAsia="宋体" w:cs="宋体"/>
      <w:sz w:val="24"/>
    </w:rPr>
  </w:style>
  <w:style w:type="character" w:customStyle="1" w:styleId="182">
    <w:name w:val="Char7 Char Char3"/>
    <w:qFormat/>
    <w:uiPriority w:val="0"/>
    <w:rPr>
      <w:rFonts w:hAnsi="Times New Roman"/>
      <w:snapToGrid/>
      <w:kern w:val="24"/>
      <w:szCs w:val="21"/>
    </w:rPr>
  </w:style>
  <w:style w:type="character" w:customStyle="1" w:styleId="183">
    <w:name w:val="p1"/>
    <w:qFormat/>
    <w:uiPriority w:val="0"/>
  </w:style>
  <w:style w:type="character" w:customStyle="1" w:styleId="184">
    <w:name w:val="ca-2"/>
    <w:qFormat/>
    <w:uiPriority w:val="0"/>
  </w:style>
  <w:style w:type="character" w:customStyle="1" w:styleId="185">
    <w:name w:val="Char Char133"/>
    <w:qFormat/>
    <w:uiPriority w:val="0"/>
    <w:rPr>
      <w:rFonts w:eastAsia="华文细黑" w:cs="宋体"/>
      <w:b/>
      <w:bCs/>
      <w:kern w:val="44"/>
      <w:sz w:val="32"/>
      <w:szCs w:val="44"/>
      <w:lang w:val="en-US" w:eastAsia="zh-CN" w:bidi="ar-SA"/>
    </w:rPr>
  </w:style>
  <w:style w:type="character" w:customStyle="1" w:styleId="186">
    <w:name w:val="content11"/>
    <w:qFormat/>
    <w:uiPriority w:val="0"/>
    <w:rPr>
      <w:rFonts w:hint="default" w:ascii="ˎ̥" w:hAnsi="ˎ̥"/>
      <w:color w:val="000000"/>
      <w:sz w:val="18"/>
    </w:rPr>
  </w:style>
  <w:style w:type="character" w:customStyle="1" w:styleId="187">
    <w:name w:val="cja1"/>
    <w:qFormat/>
    <w:uiPriority w:val="0"/>
    <w:rPr>
      <w:sz w:val="20"/>
      <w:szCs w:val="20"/>
      <w:u w:val="none"/>
    </w:rPr>
  </w:style>
  <w:style w:type="character" w:customStyle="1" w:styleId="188">
    <w:name w:val="样式 标题 3标题 3 CharH3B Head + 宋体 小三 Char Char Char Char Char1"/>
    <w:qFormat/>
    <w:uiPriority w:val="0"/>
    <w:rPr>
      <w:rFonts w:eastAsia="黑体"/>
      <w:bCs/>
      <w:sz w:val="30"/>
      <w:szCs w:val="28"/>
    </w:rPr>
  </w:style>
  <w:style w:type="character" w:customStyle="1" w:styleId="189">
    <w:name w:val="标题3 Char Char1 Char"/>
    <w:qFormat/>
    <w:uiPriority w:val="0"/>
    <w:rPr>
      <w:rFonts w:ascii="黑体" w:eastAsia="黑体"/>
      <w:b/>
      <w:bCs/>
      <w:szCs w:val="32"/>
    </w:rPr>
  </w:style>
  <w:style w:type="character" w:customStyle="1" w:styleId="190">
    <w:name w:val="ta14"/>
    <w:qFormat/>
    <w:uiPriority w:val="0"/>
  </w:style>
  <w:style w:type="character" w:customStyle="1" w:styleId="191">
    <w:name w:val="自定义正文 Char Char Char Char Char Char Char Char Char Char Char Char Char Char Char"/>
    <w:link w:val="192"/>
    <w:qFormat/>
    <w:uiPriority w:val="0"/>
    <w:rPr>
      <w:kern w:val="2"/>
      <w:position w:val="-28"/>
      <w:sz w:val="28"/>
      <w:szCs w:val="28"/>
    </w:rPr>
  </w:style>
  <w:style w:type="paragraph" w:customStyle="1" w:styleId="192">
    <w:name w:val="自定义正文 Char Char Char Char Char Char Char Char Char Char Char Char Char Char"/>
    <w:link w:val="191"/>
    <w:qFormat/>
    <w:uiPriority w:val="0"/>
    <w:pPr>
      <w:widowControl w:val="0"/>
      <w:topLinePunct/>
      <w:adjustRightInd w:val="0"/>
      <w:snapToGrid w:val="0"/>
      <w:spacing w:line="360" w:lineRule="auto"/>
      <w:ind w:firstLine="510"/>
      <w:jc w:val="both"/>
    </w:pPr>
    <w:rPr>
      <w:rFonts w:ascii="Calibri" w:hAnsi="Calibri" w:eastAsia="宋体" w:cs="Times New Roman"/>
      <w:kern w:val="2"/>
      <w:position w:val="-28"/>
      <w:sz w:val="28"/>
      <w:szCs w:val="28"/>
      <w:lang w:val="en-US" w:eastAsia="zh-CN" w:bidi="ar-SA"/>
    </w:rPr>
  </w:style>
  <w:style w:type="character" w:customStyle="1" w:styleId="193">
    <w:name w:val="报告书正文 Char Char Char Char Char Char3"/>
    <w:qFormat/>
    <w:uiPriority w:val="0"/>
  </w:style>
  <w:style w:type="character" w:customStyle="1" w:styleId="194">
    <w:name w:val="报告书正文 Char Char Char Char Char Char Char Char Char Char Char Char2"/>
    <w:qFormat/>
    <w:uiPriority w:val="0"/>
    <w:rPr>
      <w:color w:val="000000"/>
    </w:rPr>
  </w:style>
  <w:style w:type="character" w:customStyle="1" w:styleId="195">
    <w:name w:val="Char Char41"/>
    <w:qFormat/>
    <w:uiPriority w:val="0"/>
    <w:rPr>
      <w:rFonts w:eastAsia="宋体"/>
      <w:kern w:val="2"/>
      <w:sz w:val="18"/>
      <w:szCs w:val="18"/>
      <w:lang w:val="en-US" w:eastAsia="zh-CN" w:bidi="ar-SA"/>
    </w:rPr>
  </w:style>
  <w:style w:type="character" w:customStyle="1" w:styleId="196">
    <w:name w:val="orange1"/>
    <w:qFormat/>
    <w:uiPriority w:val="0"/>
    <w:rPr>
      <w:b/>
      <w:bCs/>
      <w:color w:val="FF3300"/>
      <w:sz w:val="21"/>
      <w:szCs w:val="21"/>
      <w:u w:val="none"/>
    </w:rPr>
  </w:style>
  <w:style w:type="character" w:customStyle="1" w:styleId="197">
    <w:name w:val="正文文字缩进 2 Char3"/>
    <w:qFormat/>
    <w:uiPriority w:val="0"/>
    <w:rPr>
      <w:spacing w:val="4"/>
    </w:rPr>
  </w:style>
  <w:style w:type="character" w:customStyle="1" w:styleId="198">
    <w:name w:val="Char6 Char Char2"/>
    <w:qFormat/>
    <w:uiPriority w:val="0"/>
    <w:rPr>
      <w:sz w:val="21"/>
    </w:rPr>
  </w:style>
  <w:style w:type="character" w:customStyle="1" w:styleId="199">
    <w:name w:val="正文文字 2 Char Char Char Char"/>
    <w:qFormat/>
    <w:uiPriority w:val="0"/>
    <w:rPr>
      <w:sz w:val="21"/>
    </w:rPr>
  </w:style>
  <w:style w:type="character" w:customStyle="1" w:styleId="200">
    <w:name w:val="正文文字 3 Char1"/>
    <w:qFormat/>
    <w:uiPriority w:val="0"/>
    <w:rPr>
      <w:sz w:val="16"/>
      <w:szCs w:val="16"/>
    </w:rPr>
  </w:style>
  <w:style w:type="character" w:customStyle="1" w:styleId="201">
    <w:name w:val="报告 Char Char Char"/>
    <w:link w:val="202"/>
    <w:qFormat/>
    <w:uiPriority w:val="0"/>
    <w:rPr>
      <w:rFonts w:ascii="Times New Roman" w:hAnsi="Times New Roman"/>
      <w:kern w:val="2"/>
      <w:sz w:val="24"/>
      <w:szCs w:val="24"/>
    </w:rPr>
  </w:style>
  <w:style w:type="paragraph" w:customStyle="1" w:styleId="202">
    <w:name w:val="报告 Char Char"/>
    <w:basedOn w:val="1"/>
    <w:link w:val="201"/>
    <w:qFormat/>
    <w:uiPriority w:val="0"/>
    <w:pPr>
      <w:spacing w:line="300" w:lineRule="auto"/>
      <w:ind w:firstLine="539"/>
    </w:pPr>
    <w:rPr>
      <w:rFonts w:eastAsia="宋体"/>
      <w:sz w:val="24"/>
    </w:rPr>
  </w:style>
  <w:style w:type="character" w:customStyle="1" w:styleId="203">
    <w:name w:val="样式 标题 4 + 宋体 Char Char Char Char Char Char Char Char Char1"/>
    <w:qFormat/>
    <w:uiPriority w:val="0"/>
    <w:rPr>
      <w:bCs/>
    </w:rPr>
  </w:style>
  <w:style w:type="character" w:customStyle="1" w:styleId="204">
    <w:name w:val="textpt9"/>
    <w:qFormat/>
    <w:uiPriority w:val="0"/>
  </w:style>
  <w:style w:type="character" w:customStyle="1" w:styleId="205">
    <w:name w:val="样式 样式 表格 + (中文) 黑体 + (中文) 黑体 Char"/>
    <w:link w:val="206"/>
    <w:qFormat/>
    <w:uiPriority w:val="0"/>
    <w:rPr>
      <w:rFonts w:ascii="Times New Roman" w:hAnsi="Times New Roman" w:eastAsia="黑体"/>
      <w:color w:val="000000"/>
      <w:spacing w:val="-8"/>
      <w:kern w:val="2"/>
      <w:sz w:val="24"/>
      <w:szCs w:val="21"/>
    </w:rPr>
  </w:style>
  <w:style w:type="paragraph" w:customStyle="1" w:styleId="206">
    <w:name w:val="样式 样式 表格 + (中文) 黑体 + (中文) 黑体"/>
    <w:basedOn w:val="207"/>
    <w:link w:val="205"/>
    <w:qFormat/>
    <w:uiPriority w:val="0"/>
    <w:pPr>
      <w:tabs>
        <w:tab w:val="left" w:pos="1680"/>
        <w:tab w:val="left" w:pos="3465"/>
      </w:tabs>
    </w:pPr>
    <w:rPr>
      <w:rFonts w:eastAsia="黑体"/>
    </w:rPr>
  </w:style>
  <w:style w:type="paragraph" w:customStyle="1" w:styleId="207">
    <w:name w:val="样式 表格 + (中文) 黑体"/>
    <w:basedOn w:val="208"/>
    <w:link w:val="273"/>
    <w:qFormat/>
    <w:uiPriority w:val="0"/>
    <w:pPr>
      <w:tabs>
        <w:tab w:val="left" w:pos="1680"/>
        <w:tab w:val="left" w:pos="3465"/>
      </w:tabs>
      <w:snapToGrid/>
      <w:spacing w:before="0" w:after="0" w:line="340" w:lineRule="exact"/>
      <w:textAlignment w:val="baseline"/>
    </w:pPr>
    <w:rPr>
      <w:color w:val="000000"/>
      <w:spacing w:val="-8"/>
      <w:kern w:val="2"/>
      <w:sz w:val="24"/>
    </w:rPr>
  </w:style>
  <w:style w:type="paragraph" w:customStyle="1" w:styleId="208">
    <w:name w:val="表格"/>
    <w:basedOn w:val="1"/>
    <w:next w:val="1"/>
    <w:link w:val="1190"/>
    <w:qFormat/>
    <w:uiPriority w:val="0"/>
    <w:pPr>
      <w:spacing w:before="60" w:after="60"/>
      <w:jc w:val="center"/>
      <w:textAlignment w:val="bottom"/>
    </w:pPr>
    <w:rPr>
      <w:kern w:val="0"/>
      <w:sz w:val="20"/>
      <w:szCs w:val="21"/>
    </w:rPr>
  </w:style>
  <w:style w:type="character" w:customStyle="1" w:styleId="209">
    <w:name w:val="样式 样式 标题 1 + 黑体 三号 黑色 居中 段前: 0.5 行 段后: 0 磅 行距: 单倍行距 + 居中 Char"/>
    <w:link w:val="210"/>
    <w:qFormat/>
    <w:uiPriority w:val="0"/>
    <w:rPr>
      <w:rFonts w:ascii="Times New Roman" w:hAnsi="Times New Roman" w:eastAsia="黑体" w:cs="宋体"/>
      <w:color w:val="000000"/>
      <w:sz w:val="36"/>
      <w:szCs w:val="32"/>
    </w:rPr>
  </w:style>
  <w:style w:type="paragraph" w:customStyle="1" w:styleId="210">
    <w:name w:val="样式 样式 标题 1 + 黑体 三号 黑色 居中 段前: 0.5 行 段后: 0 磅 行距: 单倍行距 + 居中"/>
    <w:basedOn w:val="211"/>
    <w:link w:val="209"/>
    <w:qFormat/>
    <w:uiPriority w:val="0"/>
    <w:pPr>
      <w:tabs>
        <w:tab w:val="left" w:pos="425"/>
      </w:tabs>
      <w:spacing w:beforeLines="50"/>
    </w:pPr>
    <w:rPr>
      <w:bCs w:val="0"/>
    </w:rPr>
  </w:style>
  <w:style w:type="paragraph" w:customStyle="1" w:styleId="211">
    <w:name w:val="样式 标题 1 + 黑体 三号 黑色 居中 段前: 0.5 行 段后: 0 磅 行距: 单倍行距"/>
    <w:basedOn w:val="5"/>
    <w:link w:val="1480"/>
    <w:qFormat/>
    <w:uiPriority w:val="0"/>
    <w:pPr>
      <w:keepLines w:val="0"/>
      <w:pageBreakBefore/>
      <w:spacing w:before="0" w:after="0" w:line="360" w:lineRule="exact"/>
      <w:ind w:left="0" w:firstLine="200"/>
    </w:pPr>
    <w:rPr>
      <w:rFonts w:eastAsia="黑体" w:cs="宋体"/>
      <w:b w:val="0"/>
      <w:color w:val="000000"/>
      <w:kern w:val="0"/>
      <w:sz w:val="36"/>
      <w:szCs w:val="32"/>
    </w:rPr>
  </w:style>
  <w:style w:type="character" w:customStyle="1" w:styleId="212">
    <w:name w:val="普通文字 Char Char Char Char Char Char Char Char Char Char Char Char Char Char Char Char Char Char Char"/>
    <w:qFormat/>
    <w:uiPriority w:val="0"/>
    <w:rPr>
      <w:rFonts w:hAnsi="Courier New"/>
      <w:sz w:val="21"/>
    </w:rPr>
  </w:style>
  <w:style w:type="character" w:customStyle="1" w:styleId="213">
    <w:name w:val="bg Char Char Char1"/>
    <w:qFormat/>
    <w:uiPriority w:val="0"/>
    <w:rPr>
      <w:sz w:val="21"/>
      <w:szCs w:val="21"/>
    </w:rPr>
  </w:style>
  <w:style w:type="character" w:customStyle="1" w:styleId="214">
    <w:name w:val="style2471"/>
    <w:qFormat/>
    <w:uiPriority w:val="0"/>
    <w:rPr>
      <w:color w:val="666666"/>
      <w:sz w:val="18"/>
      <w:szCs w:val="18"/>
    </w:rPr>
  </w:style>
  <w:style w:type="character" w:customStyle="1" w:styleId="215">
    <w:name w:val="BG5 Char Char Char Char Char Char Char Char"/>
    <w:link w:val="216"/>
    <w:qFormat/>
    <w:uiPriority w:val="0"/>
    <w:rPr>
      <w:rFonts w:ascii="@宋体" w:hAnsi="Times New Roman"/>
      <w:kern w:val="2"/>
      <w:sz w:val="21"/>
      <w:szCs w:val="24"/>
    </w:rPr>
  </w:style>
  <w:style w:type="paragraph" w:customStyle="1" w:styleId="216">
    <w:name w:val="BG5 Char Char Char Char Char Char Char"/>
    <w:basedOn w:val="1"/>
    <w:link w:val="215"/>
    <w:qFormat/>
    <w:uiPriority w:val="0"/>
    <w:pPr>
      <w:autoSpaceDE w:val="0"/>
      <w:autoSpaceDN w:val="0"/>
      <w:spacing w:line="200" w:lineRule="atLeast"/>
      <w:jc w:val="center"/>
    </w:pPr>
    <w:rPr>
      <w:rFonts w:ascii="@宋体" w:eastAsia="宋体"/>
      <w:sz w:val="21"/>
    </w:rPr>
  </w:style>
  <w:style w:type="character" w:customStyle="1" w:styleId="217">
    <w:name w:val="Char10 Char Char3"/>
    <w:qFormat/>
    <w:uiPriority w:val="0"/>
    <w:rPr>
      <w:rFonts w:hAnsi="Times New Roman"/>
      <w:sz w:val="21"/>
      <w:szCs w:val="18"/>
    </w:rPr>
  </w:style>
  <w:style w:type="character" w:customStyle="1" w:styleId="218">
    <w:name w:val="样式 z + Times New Roman Char"/>
    <w:link w:val="219"/>
    <w:qFormat/>
    <w:uiPriority w:val="0"/>
    <w:rPr>
      <w:rFonts w:ascii="宋体" w:hAnsi="宋体"/>
      <w:position w:val="2"/>
      <w:sz w:val="24"/>
      <w:szCs w:val="24"/>
    </w:rPr>
  </w:style>
  <w:style w:type="paragraph" w:customStyle="1" w:styleId="219">
    <w:name w:val="样式 z + Times New Roman"/>
    <w:basedOn w:val="1"/>
    <w:link w:val="218"/>
    <w:qFormat/>
    <w:uiPriority w:val="0"/>
    <w:pPr>
      <w:spacing w:line="480" w:lineRule="exact"/>
      <w:ind w:firstLine="459"/>
    </w:pPr>
    <w:rPr>
      <w:rFonts w:ascii="宋体" w:hAnsi="宋体" w:eastAsia="宋体"/>
      <w:kern w:val="0"/>
      <w:position w:val="2"/>
      <w:sz w:val="24"/>
    </w:rPr>
  </w:style>
  <w:style w:type="character" w:customStyle="1" w:styleId="220">
    <w:name w:val="detail_style1"/>
    <w:qFormat/>
    <w:uiPriority w:val="0"/>
    <w:rPr>
      <w:sz w:val="21"/>
      <w:szCs w:val="21"/>
      <w:u w:val="none"/>
    </w:rPr>
  </w:style>
  <w:style w:type="character" w:customStyle="1" w:styleId="221">
    <w:name w:val="样式 小四3"/>
    <w:qFormat/>
    <w:uiPriority w:val="0"/>
  </w:style>
  <w:style w:type="character" w:customStyle="1" w:styleId="222">
    <w:name w:val="正文文字 2 Char2"/>
    <w:qFormat/>
    <w:uiPriority w:val="0"/>
  </w:style>
  <w:style w:type="character" w:customStyle="1" w:styleId="223">
    <w:name w:val="april表格标题 Char"/>
    <w:link w:val="224"/>
    <w:qFormat/>
    <w:uiPriority w:val="0"/>
    <w:rPr>
      <w:rFonts w:ascii="Times New Roman" w:hAnsi="华文中宋"/>
      <w:spacing w:val="6"/>
      <w:sz w:val="24"/>
      <w:szCs w:val="24"/>
    </w:rPr>
  </w:style>
  <w:style w:type="paragraph" w:customStyle="1" w:styleId="224">
    <w:name w:val="april表格标题"/>
    <w:basedOn w:val="225"/>
    <w:link w:val="223"/>
    <w:qFormat/>
    <w:uiPriority w:val="0"/>
    <w:pPr>
      <w:tabs>
        <w:tab w:val="left" w:pos="709"/>
      </w:tabs>
      <w:spacing w:after="0"/>
      <w:jc w:val="center"/>
    </w:pPr>
    <w:rPr>
      <w:bCs w:val="0"/>
    </w:rPr>
  </w:style>
  <w:style w:type="paragraph" w:customStyle="1" w:styleId="225">
    <w:name w:val="april标题3"/>
    <w:basedOn w:val="7"/>
    <w:link w:val="1484"/>
    <w:qFormat/>
    <w:uiPriority w:val="0"/>
    <w:pPr>
      <w:keepLines w:val="0"/>
      <w:tabs>
        <w:tab w:val="clear" w:pos="1440"/>
      </w:tabs>
      <w:spacing w:before="240" w:after="60"/>
      <w:ind w:left="0" w:firstLine="200"/>
    </w:pPr>
    <w:rPr>
      <w:rFonts w:hAnsi="华文中宋" w:eastAsia="宋体"/>
      <w:b w:val="0"/>
      <w:bCs/>
      <w:spacing w:val="6"/>
      <w:sz w:val="24"/>
      <w:szCs w:val="24"/>
    </w:rPr>
  </w:style>
  <w:style w:type="character" w:customStyle="1" w:styleId="226">
    <w:name w:val="level110"/>
    <w:qFormat/>
    <w:uiPriority w:val="0"/>
    <w:rPr>
      <w:rFonts w:hint="default" w:ascii="ˎ̥" w:hAnsi="ˎ̥"/>
      <w:color w:val="256E16"/>
      <w:spacing w:val="160"/>
    </w:rPr>
  </w:style>
  <w:style w:type="character" w:customStyle="1" w:styleId="227">
    <w:name w:val="正文文字 3 Char4"/>
    <w:qFormat/>
    <w:uiPriority w:val="0"/>
    <w:rPr>
      <w:rFonts w:ascii="Times New Roman" w:hAnsi="Times New Roman"/>
      <w:b/>
      <w:sz w:val="18"/>
      <w:szCs w:val="16"/>
    </w:rPr>
  </w:style>
  <w:style w:type="character" w:customStyle="1" w:styleId="228">
    <w:name w:val="自定义正文 Char Char Char Char Char Char"/>
    <w:qFormat/>
    <w:uiPriority w:val="0"/>
    <w:rPr>
      <w:position w:val="-28"/>
      <w:sz w:val="28"/>
      <w:szCs w:val="28"/>
    </w:rPr>
  </w:style>
  <w:style w:type="character" w:customStyle="1" w:styleId="229">
    <w:name w:val="unnamed31"/>
    <w:qFormat/>
    <w:uiPriority w:val="0"/>
    <w:rPr>
      <w:rFonts w:ascii="宋体" w:hAnsi="宋体" w:eastAsia="宋体" w:cs="宋体"/>
      <w:kern w:val="2"/>
      <w:sz w:val="18"/>
      <w:szCs w:val="18"/>
      <w:lang w:val="en-US" w:eastAsia="zh-CN" w:bidi="ar-SA"/>
    </w:rPr>
  </w:style>
  <w:style w:type="character" w:customStyle="1" w:styleId="230">
    <w:name w:val="dfgdfg Char2"/>
    <w:qFormat/>
    <w:uiPriority w:val="0"/>
    <w:rPr>
      <w:rFonts w:ascii="Arial" w:hAnsi="Arial" w:eastAsia="黑体"/>
      <w:spacing w:val="4"/>
    </w:rPr>
  </w:style>
  <w:style w:type="character" w:customStyle="1" w:styleId="231">
    <w:name w:val="标4 Char Char Char Char Char1"/>
    <w:qFormat/>
    <w:uiPriority w:val="0"/>
    <w:rPr>
      <w:szCs w:val="30"/>
    </w:rPr>
  </w:style>
  <w:style w:type="character" w:customStyle="1" w:styleId="232">
    <w:name w:val="text1"/>
    <w:qFormat/>
    <w:uiPriority w:val="0"/>
    <w:rPr>
      <w:color w:val="402C00"/>
      <w:sz w:val="21"/>
      <w:szCs w:val="21"/>
    </w:rPr>
  </w:style>
  <w:style w:type="character" w:customStyle="1" w:styleId="233">
    <w:name w:val="Char8 Char Char Char2"/>
    <w:qFormat/>
    <w:uiPriority w:val="0"/>
    <w:rPr>
      <w:sz w:val="21"/>
    </w:rPr>
  </w:style>
  <w:style w:type="character" w:customStyle="1" w:styleId="234">
    <w:name w:val="表格11 Char Char"/>
    <w:qFormat/>
    <w:uiPriority w:val="0"/>
    <w:rPr>
      <w:sz w:val="21"/>
      <w:szCs w:val="21"/>
    </w:rPr>
  </w:style>
  <w:style w:type="character" w:customStyle="1" w:styleId="235">
    <w:name w:val="明显强调1"/>
    <w:qFormat/>
    <w:uiPriority w:val="0"/>
    <w:rPr>
      <w:b/>
      <w:i/>
      <w:sz w:val="24"/>
      <w:szCs w:val="24"/>
      <w:u w:val="single"/>
    </w:rPr>
  </w:style>
  <w:style w:type="character" w:customStyle="1" w:styleId="236">
    <w:name w:val="样式 标题 6标题 6 Char Char Char Char Char Char Char Char Char + 加粗 Char Char Char Char Char Char Char Char Char Char Char Char Char Char Char Char Char Char Char Char Char Char Char Char Char Char Char Char Char Char Char Char Char Char Char Char Char  Char3"/>
    <w:link w:val="237"/>
    <w:qFormat/>
    <w:uiPriority w:val="0"/>
    <w:rPr>
      <w:rFonts w:ascii="宋体" w:hAnsi="宋体" w:eastAsia="仿宋_GB2312"/>
      <w:b/>
      <w:bCs/>
      <w:kern w:val="2"/>
      <w:sz w:val="24"/>
      <w:szCs w:val="24"/>
    </w:rPr>
  </w:style>
  <w:style w:type="paragraph" w:customStyle="1" w:styleId="237">
    <w:name w:val="样式 标题 6标题 6 Char Char Char Char Char Char Char Char Char + 加粗 Char Char Char Char Char Char Char Char Char Char Char Char Char Char Char Char Char Char Char Char Char Char Char Char Char Char Char Char Char Char Char Char Char Char Char Char Char  Char1"/>
    <w:basedOn w:val="12"/>
    <w:link w:val="236"/>
    <w:qFormat/>
    <w:uiPriority w:val="0"/>
    <w:pPr>
      <w:spacing w:before="0" w:after="0" w:line="360" w:lineRule="auto"/>
      <w:ind w:left="0" w:firstLine="482"/>
    </w:pPr>
    <w:rPr>
      <w:rFonts w:ascii="宋体" w:hAnsi="宋体" w:eastAsia="仿宋_GB2312"/>
    </w:rPr>
  </w:style>
  <w:style w:type="character" w:customStyle="1" w:styleId="238">
    <w:name w:val="123YJ Char Char Char"/>
    <w:qFormat/>
    <w:uiPriority w:val="0"/>
    <w:rPr>
      <w:sz w:val="18"/>
    </w:rPr>
  </w:style>
  <w:style w:type="character" w:customStyle="1" w:styleId="239">
    <w:name w:val="1-正文 Char"/>
    <w:link w:val="240"/>
    <w:qFormat/>
    <w:uiPriority w:val="0"/>
    <w:rPr>
      <w:rFonts w:ascii="宋体" w:hAnsi="宋体"/>
      <w:kern w:val="2"/>
      <w:sz w:val="24"/>
      <w:szCs w:val="24"/>
    </w:rPr>
  </w:style>
  <w:style w:type="paragraph" w:customStyle="1" w:styleId="240">
    <w:name w:val="1-正文"/>
    <w:basedOn w:val="1"/>
    <w:link w:val="239"/>
    <w:qFormat/>
    <w:uiPriority w:val="0"/>
    <w:pPr>
      <w:spacing w:line="360" w:lineRule="auto"/>
      <w:ind w:firstLine="480"/>
    </w:pPr>
    <w:rPr>
      <w:rFonts w:ascii="宋体" w:hAnsi="宋体" w:eastAsia="宋体"/>
      <w:sz w:val="24"/>
    </w:rPr>
  </w:style>
  <w:style w:type="character" w:customStyle="1" w:styleId="241">
    <w:name w:val="Char10 Char Char5"/>
    <w:qFormat/>
    <w:uiPriority w:val="0"/>
  </w:style>
  <w:style w:type="character" w:customStyle="1" w:styleId="242">
    <w:name w:val="Char5 Char Char1"/>
    <w:qFormat/>
    <w:uiPriority w:val="0"/>
    <w:rPr>
      <w:rFonts w:ascii="Arial" w:hAnsi="Arial" w:cs="Arial"/>
      <w:b/>
      <w:bCs/>
      <w:kern w:val="28"/>
      <w:sz w:val="32"/>
      <w:szCs w:val="32"/>
    </w:rPr>
  </w:style>
  <w:style w:type="character" w:customStyle="1" w:styleId="243">
    <w:name w:val="HZZH标题—4 Char"/>
    <w:link w:val="244"/>
    <w:qFormat/>
    <w:uiPriority w:val="0"/>
    <w:rPr>
      <w:rFonts w:ascii="Times New Roman" w:hAnsi="Times New Roman" w:eastAsia="楷体_GB2312"/>
      <w:bCs/>
      <w:kern w:val="2"/>
      <w:sz w:val="24"/>
      <w:szCs w:val="28"/>
      <w:lang w:val="zh-CN"/>
    </w:rPr>
  </w:style>
  <w:style w:type="paragraph" w:customStyle="1" w:styleId="244">
    <w:name w:val="HZZH标题—4"/>
    <w:basedOn w:val="10"/>
    <w:link w:val="243"/>
    <w:qFormat/>
    <w:uiPriority w:val="0"/>
    <w:pPr>
      <w:tabs>
        <w:tab w:val="left" w:pos="1080"/>
      </w:tabs>
      <w:ind w:left="0" w:firstLine="200"/>
    </w:pPr>
    <w:rPr>
      <w:rFonts w:ascii="Times New Roman" w:hAnsi="Times New Roman" w:eastAsia="楷体_GB2312"/>
      <w:b w:val="0"/>
      <w:sz w:val="24"/>
      <w:lang w:val="zh-CN"/>
    </w:rPr>
  </w:style>
  <w:style w:type="character" w:customStyle="1" w:styleId="245">
    <w:name w:val="标题41 Char Char1"/>
    <w:qFormat/>
    <w:uiPriority w:val="0"/>
    <w:rPr>
      <w:rFonts w:ascii="黑体" w:eastAsia="黑体"/>
      <w:b/>
      <w:bCs/>
      <w:szCs w:val="32"/>
    </w:rPr>
  </w:style>
  <w:style w:type="character" w:customStyle="1" w:styleId="246">
    <w:name w:val="环小四内容 Char Char"/>
    <w:link w:val="247"/>
    <w:qFormat/>
    <w:uiPriority w:val="0"/>
    <w:rPr>
      <w:rFonts w:ascii="宋体" w:hAnsi="Times New Roman"/>
      <w:kern w:val="2"/>
      <w:sz w:val="24"/>
      <w:szCs w:val="24"/>
    </w:rPr>
  </w:style>
  <w:style w:type="paragraph" w:customStyle="1" w:styleId="247">
    <w:name w:val="环小四内容"/>
    <w:basedOn w:val="1"/>
    <w:link w:val="246"/>
    <w:qFormat/>
    <w:uiPriority w:val="0"/>
    <w:pPr>
      <w:ind w:firstLine="480"/>
    </w:pPr>
    <w:rPr>
      <w:rFonts w:ascii="宋体" w:eastAsia="宋体"/>
      <w:sz w:val="24"/>
    </w:rPr>
  </w:style>
  <w:style w:type="character" w:customStyle="1" w:styleId="248">
    <w:name w:val="正文文字 2 Char1"/>
    <w:qFormat/>
    <w:uiPriority w:val="0"/>
    <w:rPr>
      <w:spacing w:val="-10"/>
      <w:sz w:val="18"/>
    </w:rPr>
  </w:style>
  <w:style w:type="character" w:customStyle="1" w:styleId="249">
    <w:name w:val="Char8 Char Char Char3"/>
    <w:qFormat/>
    <w:uiPriority w:val="0"/>
    <w:rPr>
      <w:rFonts w:ascii="Times New Roman" w:hAnsi="Times New Roman" w:cs="Times New Roman"/>
      <w:szCs w:val="20"/>
    </w:rPr>
  </w:style>
  <w:style w:type="character" w:customStyle="1" w:styleId="250">
    <w:name w:val="unnamed61"/>
    <w:qFormat/>
    <w:uiPriority w:val="0"/>
    <w:rPr>
      <w:color w:val="000000"/>
      <w:spacing w:val="360"/>
      <w:sz w:val="20"/>
      <w:szCs w:val="20"/>
    </w:rPr>
  </w:style>
  <w:style w:type="character" w:customStyle="1" w:styleId="251">
    <w:name w:val="样式 标题 1 + 黑体 三号 黑色 居中 段前: 0.5 行 段后: 0 磅 行距: 单倍行距 Char Char"/>
    <w:qFormat/>
    <w:uiPriority w:val="0"/>
    <w:rPr>
      <w:rFonts w:eastAsia="黑体"/>
      <w:b/>
      <w:bCs/>
      <w:color w:val="000000"/>
      <w:kern w:val="44"/>
      <w:sz w:val="36"/>
      <w:szCs w:val="32"/>
    </w:rPr>
  </w:style>
  <w:style w:type="character" w:customStyle="1" w:styleId="252">
    <w:name w:val="规划 表格内容 Char"/>
    <w:link w:val="253"/>
    <w:qFormat/>
    <w:uiPriority w:val="0"/>
    <w:rPr>
      <w:rFonts w:ascii="Times New Roman" w:hAnsi="Times New Roman" w:cs="宋体"/>
      <w:color w:val="000000"/>
      <w:kern w:val="2"/>
      <w:sz w:val="18"/>
      <w:szCs w:val="18"/>
    </w:rPr>
  </w:style>
  <w:style w:type="paragraph" w:customStyle="1" w:styleId="253">
    <w:name w:val="规划 表格内容"/>
    <w:basedOn w:val="254"/>
    <w:next w:val="254"/>
    <w:link w:val="252"/>
    <w:qFormat/>
    <w:uiPriority w:val="0"/>
    <w:pPr>
      <w:autoSpaceDE w:val="0"/>
      <w:autoSpaceDN w:val="0"/>
      <w:spacing w:line="240" w:lineRule="auto"/>
      <w:ind w:firstLine="200"/>
    </w:pPr>
    <w:rPr>
      <w:rFonts w:eastAsia="宋体" w:cs="宋体"/>
      <w:color w:val="000000"/>
      <w:szCs w:val="18"/>
    </w:rPr>
  </w:style>
  <w:style w:type="paragraph" w:customStyle="1" w:styleId="254">
    <w:name w:val="表格内容"/>
    <w:basedOn w:val="25"/>
    <w:link w:val="1146"/>
    <w:qFormat/>
    <w:uiPriority w:val="0"/>
    <w:pPr>
      <w:ind w:firstLine="0"/>
      <w:jc w:val="center"/>
    </w:pPr>
    <w:rPr>
      <w:sz w:val="18"/>
      <w:szCs w:val="20"/>
    </w:rPr>
  </w:style>
  <w:style w:type="character" w:customStyle="1" w:styleId="255">
    <w:name w:val="图 Char Char"/>
    <w:qFormat/>
    <w:uiPriority w:val="0"/>
    <w:rPr>
      <w:rFonts w:ascii="黑体" w:eastAsia="黑体"/>
      <w:b/>
    </w:rPr>
  </w:style>
  <w:style w:type="character" w:customStyle="1" w:styleId="256">
    <w:name w:val="表头2 Char Char1"/>
    <w:qFormat/>
    <w:uiPriority w:val="0"/>
    <w:rPr>
      <w:b/>
      <w:color w:val="000000"/>
    </w:rPr>
  </w:style>
  <w:style w:type="character" w:customStyle="1" w:styleId="257">
    <w:name w:val="Char Char92"/>
    <w:qFormat/>
    <w:uiPriority w:val="0"/>
    <w:rPr>
      <w:color w:val="000000"/>
      <w:sz w:val="18"/>
      <w:szCs w:val="18"/>
    </w:rPr>
  </w:style>
  <w:style w:type="character" w:customStyle="1" w:styleId="258">
    <w:name w:val="样式 样式 首行缩进:  2 字符 + 宋体 Char"/>
    <w:qFormat/>
    <w:uiPriority w:val="0"/>
    <w:rPr>
      <w:rFonts w:ascii="Times New Roman" w:hAnsi="Times New Roman" w:eastAsia="宋体" w:cs="宋体"/>
      <w:kern w:val="2"/>
      <w:sz w:val="24"/>
      <w:szCs w:val="24"/>
      <w:lang w:val="en-US" w:eastAsia="zh-CN" w:bidi="ar-SA"/>
    </w:rPr>
  </w:style>
  <w:style w:type="character" w:customStyle="1" w:styleId="259">
    <w:name w:val="txt4"/>
    <w:qFormat/>
    <w:uiPriority w:val="0"/>
  </w:style>
  <w:style w:type="character" w:customStyle="1" w:styleId="260">
    <w:name w:val="样式 表格11 + 居中 Char Char Char Char"/>
    <w:link w:val="261"/>
    <w:qFormat/>
    <w:uiPriority w:val="0"/>
    <w:rPr>
      <w:rFonts w:ascii="宋体" w:hAnsi="宋体" w:cs="宋体"/>
      <w:kern w:val="2"/>
      <w:sz w:val="21"/>
      <w:szCs w:val="21"/>
    </w:rPr>
  </w:style>
  <w:style w:type="paragraph" w:customStyle="1" w:styleId="261">
    <w:name w:val="样式 表格11 + 居中 Char Char Char"/>
    <w:basedOn w:val="262"/>
    <w:link w:val="260"/>
    <w:qFormat/>
    <w:uiPriority w:val="0"/>
    <w:pPr>
      <w:spacing w:line="240" w:lineRule="exact"/>
    </w:pPr>
    <w:rPr>
      <w:kern w:val="2"/>
    </w:rPr>
  </w:style>
  <w:style w:type="paragraph" w:customStyle="1" w:styleId="262">
    <w:name w:val="表格11 Char Char Char"/>
    <w:basedOn w:val="1"/>
    <w:link w:val="1501"/>
    <w:qFormat/>
    <w:uiPriority w:val="0"/>
    <w:pPr>
      <w:jc w:val="center"/>
    </w:pPr>
    <w:rPr>
      <w:rFonts w:ascii="宋体" w:hAnsi="宋体" w:eastAsia="宋体" w:cs="宋体"/>
      <w:kern w:val="0"/>
      <w:sz w:val="21"/>
      <w:szCs w:val="21"/>
    </w:rPr>
  </w:style>
  <w:style w:type="character" w:customStyle="1" w:styleId="263">
    <w:name w:val="正文（杨） Char"/>
    <w:link w:val="264"/>
    <w:qFormat/>
    <w:uiPriority w:val="0"/>
    <w:rPr>
      <w:rFonts w:ascii="Times New Roman" w:hAnsi="Times New Roman" w:cs="宋体"/>
      <w:color w:val="000000"/>
      <w:spacing w:val="6"/>
      <w:kern w:val="2"/>
      <w:sz w:val="24"/>
      <w:szCs w:val="24"/>
    </w:rPr>
  </w:style>
  <w:style w:type="paragraph" w:customStyle="1" w:styleId="264">
    <w:name w:val="正文（杨）"/>
    <w:basedOn w:val="1"/>
    <w:link w:val="263"/>
    <w:qFormat/>
    <w:uiPriority w:val="0"/>
    <w:pPr>
      <w:spacing w:line="312" w:lineRule="auto"/>
      <w:ind w:firstLine="504"/>
    </w:pPr>
    <w:rPr>
      <w:rFonts w:eastAsia="宋体" w:cs="宋体"/>
      <w:color w:val="000000"/>
      <w:spacing w:val="6"/>
      <w:sz w:val="24"/>
    </w:rPr>
  </w:style>
  <w:style w:type="character" w:customStyle="1" w:styleId="265">
    <w:name w:val="dfgdfg Char Char2"/>
    <w:qFormat/>
    <w:uiPriority w:val="0"/>
    <w:rPr>
      <w:rFonts w:ascii="Arial" w:hAnsi="Arial" w:eastAsia="黑体"/>
      <w:sz w:val="21"/>
      <w:szCs w:val="21"/>
    </w:rPr>
  </w:style>
  <w:style w:type="character" w:customStyle="1" w:styleId="266">
    <w:name w:val="Char Char81"/>
    <w:qFormat/>
    <w:uiPriority w:val="0"/>
    <w:rPr>
      <w:rFonts w:eastAsia="华文细黑" w:cs="宋体"/>
      <w:b/>
      <w:bCs/>
      <w:color w:val="000000"/>
      <w:kern w:val="2"/>
      <w:sz w:val="28"/>
      <w:szCs w:val="28"/>
      <w:lang w:val="en-US" w:eastAsia="zh-CN" w:bidi="ar-SA"/>
    </w:rPr>
  </w:style>
  <w:style w:type="character" w:customStyle="1" w:styleId="267">
    <w:name w:val="123YJ Char2"/>
    <w:qFormat/>
    <w:uiPriority w:val="0"/>
    <w:rPr>
      <w:sz w:val="18"/>
    </w:rPr>
  </w:style>
  <w:style w:type="character" w:customStyle="1" w:styleId="268">
    <w:name w:val="123YJ Char3"/>
    <w:qFormat/>
    <w:uiPriority w:val="0"/>
    <w:rPr>
      <w:sz w:val="18"/>
    </w:rPr>
  </w:style>
  <w:style w:type="character" w:customStyle="1" w:styleId="269">
    <w:name w:val="Char2 Char Char"/>
    <w:qFormat/>
    <w:uiPriority w:val="0"/>
    <w:rPr>
      <w:rFonts w:ascii="Arial" w:hAnsi="Arial" w:cs="Arial"/>
      <w:b/>
      <w:bCs/>
      <w:sz w:val="32"/>
      <w:szCs w:val="32"/>
    </w:rPr>
  </w:style>
  <w:style w:type="character" w:customStyle="1" w:styleId="270">
    <w:name w:val="表格 Char Char Char"/>
    <w:qFormat/>
    <w:uiPriority w:val="0"/>
    <w:rPr>
      <w:rFonts w:ascii="黑体" w:hAnsi="Times New Roman" w:eastAsia="黑体"/>
      <w:kern w:val="2"/>
      <w:sz w:val="24"/>
      <w:szCs w:val="24"/>
    </w:rPr>
  </w:style>
  <w:style w:type="character" w:customStyle="1" w:styleId="271">
    <w:name w:val="arr1"/>
    <w:qFormat/>
    <w:uiPriority w:val="0"/>
  </w:style>
  <w:style w:type="character" w:customStyle="1" w:styleId="272">
    <w:name w:val="表格11 Char Char1"/>
    <w:qFormat/>
    <w:uiPriority w:val="0"/>
    <w:rPr>
      <w:sz w:val="21"/>
      <w:szCs w:val="21"/>
    </w:rPr>
  </w:style>
  <w:style w:type="character" w:customStyle="1" w:styleId="273">
    <w:name w:val="样式 表格 + (中文) 黑体 Char"/>
    <w:link w:val="207"/>
    <w:qFormat/>
    <w:uiPriority w:val="0"/>
    <w:rPr>
      <w:rFonts w:ascii="Times New Roman" w:hAnsi="Times New Roman" w:eastAsia="仿宋_GB2312"/>
      <w:color w:val="000000"/>
      <w:spacing w:val="-8"/>
      <w:kern w:val="2"/>
      <w:sz w:val="24"/>
      <w:szCs w:val="21"/>
    </w:rPr>
  </w:style>
  <w:style w:type="character" w:customStyle="1" w:styleId="274">
    <w:name w:val="hottext1"/>
    <w:qFormat/>
    <w:uiPriority w:val="0"/>
    <w:rPr>
      <w:rFonts w:ascii="宋体" w:hAnsi="宋体" w:eastAsia="宋体"/>
      <w:strike/>
      <w:sz w:val="22"/>
      <w:u w:val="none"/>
    </w:rPr>
  </w:style>
  <w:style w:type="character" w:customStyle="1" w:styleId="275">
    <w:name w:val="特点标题 Char Char Char Char Char Char Char Char Char Char Char Char Char Char Char Char Char C Char"/>
    <w:qFormat/>
    <w:uiPriority w:val="0"/>
    <w:rPr>
      <w:spacing w:val="6"/>
    </w:rPr>
  </w:style>
  <w:style w:type="character" w:customStyle="1" w:styleId="276">
    <w:name w:val="表头5H Char"/>
    <w:link w:val="277"/>
    <w:qFormat/>
    <w:uiPriority w:val="0"/>
    <w:rPr>
      <w:rFonts w:ascii="黑体" w:hAnsi="Times New Roman" w:eastAsia="黑体"/>
      <w:kern w:val="2"/>
      <w:sz w:val="24"/>
      <w:szCs w:val="24"/>
    </w:rPr>
  </w:style>
  <w:style w:type="paragraph" w:customStyle="1" w:styleId="277">
    <w:name w:val="表头5H"/>
    <w:basedOn w:val="1"/>
    <w:link w:val="276"/>
    <w:qFormat/>
    <w:uiPriority w:val="0"/>
    <w:pPr>
      <w:spacing w:line="312" w:lineRule="auto"/>
      <w:jc w:val="center"/>
    </w:pPr>
    <w:rPr>
      <w:rFonts w:ascii="黑体" w:eastAsia="黑体"/>
      <w:sz w:val="24"/>
    </w:rPr>
  </w:style>
  <w:style w:type="character" w:customStyle="1" w:styleId="278">
    <w:name w:val="样式 段前: 0.5 行 Char Char"/>
    <w:qFormat/>
    <w:uiPriority w:val="0"/>
  </w:style>
  <w:style w:type="character" w:customStyle="1" w:styleId="279">
    <w:name w:val="样式 居中 首行缩进:  0 字符 Char"/>
    <w:link w:val="280"/>
    <w:qFormat/>
    <w:uiPriority w:val="0"/>
    <w:rPr>
      <w:rFonts w:ascii="宋体"/>
      <w:kern w:val="2"/>
      <w:sz w:val="21"/>
      <w:szCs w:val="24"/>
    </w:rPr>
  </w:style>
  <w:style w:type="paragraph" w:customStyle="1" w:styleId="280">
    <w:name w:val="样式 居中 首行缩进:  0 字符"/>
    <w:basedOn w:val="1"/>
    <w:next w:val="1"/>
    <w:link w:val="279"/>
    <w:qFormat/>
    <w:uiPriority w:val="0"/>
    <w:pPr>
      <w:jc w:val="center"/>
    </w:pPr>
    <w:rPr>
      <w:rFonts w:ascii="宋体" w:hAnsi="Calibri" w:eastAsia="宋体"/>
      <w:sz w:val="21"/>
    </w:rPr>
  </w:style>
  <w:style w:type="character" w:customStyle="1" w:styleId="281">
    <w:name w:val="highlight"/>
    <w:qFormat/>
    <w:uiPriority w:val="0"/>
  </w:style>
  <w:style w:type="character" w:customStyle="1" w:styleId="282">
    <w:name w:val="Char10 Char Char4"/>
    <w:qFormat/>
    <w:uiPriority w:val="0"/>
    <w:rPr>
      <w:rFonts w:hAnsi="Times New Roman"/>
      <w:sz w:val="21"/>
      <w:szCs w:val="18"/>
    </w:rPr>
  </w:style>
  <w:style w:type="character" w:customStyle="1" w:styleId="283">
    <w:name w:val="L4 Char Char Char Char Char"/>
    <w:qFormat/>
    <w:uiPriority w:val="0"/>
    <w:rPr>
      <w:rFonts w:ascii="Arial" w:hAnsi="Arial" w:eastAsia="黑体" w:cs="Arial"/>
      <w:b/>
      <w:bCs/>
      <w:kern w:val="2"/>
      <w:sz w:val="28"/>
      <w:szCs w:val="28"/>
      <w:lang w:val="en-US" w:eastAsia="zh-CN" w:bidi="ar-SA"/>
    </w:rPr>
  </w:style>
  <w:style w:type="character" w:customStyle="1" w:styleId="284">
    <w:name w:val="报告书正文 Char Char Char Char Char Char Char Char Char Char Char Char1"/>
    <w:qFormat/>
    <w:uiPriority w:val="0"/>
    <w:rPr>
      <w:color w:val="000000"/>
    </w:rPr>
  </w:style>
  <w:style w:type="character" w:customStyle="1" w:styleId="285">
    <w:name w:val="Char Char5"/>
    <w:qFormat/>
    <w:uiPriority w:val="0"/>
    <w:rPr>
      <w:rFonts w:eastAsia="宋体"/>
      <w:kern w:val="2"/>
      <w:sz w:val="28"/>
      <w:lang w:val="en-US" w:eastAsia="zh-CN" w:bidi="ar-SA"/>
    </w:rPr>
  </w:style>
  <w:style w:type="character" w:customStyle="1" w:styleId="286">
    <w:name w:val="Char3 Char Char1"/>
    <w:qFormat/>
    <w:uiPriority w:val="0"/>
    <w:rPr>
      <w:sz w:val="18"/>
      <w:szCs w:val="18"/>
    </w:rPr>
  </w:style>
  <w:style w:type="character" w:customStyle="1" w:styleId="287">
    <w:name w:val="样式 样式 样式 宋体 段前: 0.5 行 行距: 固定值 18 磅 + 首行缩进:  2 字符 + (西文) 宋体 Char Char1"/>
    <w:qFormat/>
    <w:uiPriority w:val="0"/>
    <w:rPr>
      <w:snapToGrid/>
      <w:color w:val="000000"/>
      <w:lang w:val="en-GB"/>
    </w:rPr>
  </w:style>
  <w:style w:type="character" w:customStyle="1" w:styleId="288">
    <w:name w:val="Char9 Char Char"/>
    <w:qFormat/>
    <w:uiPriority w:val="0"/>
    <w:rPr>
      <w:sz w:val="18"/>
      <w:szCs w:val="18"/>
    </w:rPr>
  </w:style>
  <w:style w:type="character" w:customStyle="1" w:styleId="289">
    <w:name w:val="报告书正文 Char2"/>
    <w:qFormat/>
    <w:uiPriority w:val="0"/>
  </w:style>
  <w:style w:type="character" w:customStyle="1" w:styleId="290">
    <w:name w:val="正文段落22 Char"/>
    <w:link w:val="291"/>
    <w:qFormat/>
    <w:uiPriority w:val="0"/>
    <w:rPr>
      <w:rFonts w:eastAsia="楷体_GB2312"/>
      <w:spacing w:val="6"/>
      <w:kern w:val="2"/>
      <w:sz w:val="24"/>
      <w:szCs w:val="24"/>
    </w:rPr>
  </w:style>
  <w:style w:type="paragraph" w:customStyle="1" w:styleId="291">
    <w:name w:val="正文段落22"/>
    <w:basedOn w:val="1"/>
    <w:link w:val="290"/>
    <w:qFormat/>
    <w:uiPriority w:val="0"/>
    <w:pPr>
      <w:spacing w:line="360" w:lineRule="auto"/>
    </w:pPr>
    <w:rPr>
      <w:rFonts w:ascii="Calibri" w:hAnsi="Calibri" w:eastAsia="楷体_GB2312"/>
      <w:spacing w:val="6"/>
      <w:sz w:val="24"/>
    </w:rPr>
  </w:style>
  <w:style w:type="character" w:customStyle="1" w:styleId="292">
    <w:name w:val="t11"/>
    <w:qFormat/>
    <w:uiPriority w:val="0"/>
    <w:rPr>
      <w:b/>
      <w:bCs/>
      <w:shd w:val="clear" w:color="auto" w:fill="FFFFFF"/>
    </w:rPr>
  </w:style>
  <w:style w:type="character" w:customStyle="1" w:styleId="293">
    <w:name w:val="Char8 Char Char Char"/>
    <w:qFormat/>
    <w:uiPriority w:val="0"/>
  </w:style>
  <w:style w:type="character" w:customStyle="1" w:styleId="294">
    <w:name w:val="标题 4XW Char Char"/>
    <w:qFormat/>
    <w:uiPriority w:val="0"/>
    <w:rPr>
      <w:rFonts w:ascii="Arial" w:hAnsi="Arial" w:eastAsia="黑体"/>
      <w:b/>
      <w:bCs/>
      <w:sz w:val="28"/>
      <w:szCs w:val="28"/>
    </w:rPr>
  </w:style>
  <w:style w:type="character" w:customStyle="1" w:styleId="295">
    <w:name w:val="样式 标题 6标题 6 Char Char Char Char Char Char Char Char Char + 加粗 Char Char Char Char Char Char Char Char Char Char Char Char Char Char Char Char Char Char Char Char Char Char Char Char Char Char Char Char Char Char Char Char Char Char Char Char Char  Char2"/>
    <w:qFormat/>
    <w:uiPriority w:val="0"/>
    <w:rPr>
      <w:rFonts w:eastAsia="仿宋_GB2312"/>
      <w:b/>
      <w:bCs/>
    </w:rPr>
  </w:style>
  <w:style w:type="character" w:customStyle="1" w:styleId="296">
    <w:name w:val="样式 标题 3标题 3 CharH3B Head + 宋体 小三 Char Char Char Char Char Char Char Char1"/>
    <w:qFormat/>
    <w:uiPriority w:val="0"/>
    <w:rPr>
      <w:rFonts w:eastAsia="黑体"/>
      <w:bCs/>
      <w:sz w:val="30"/>
      <w:szCs w:val="28"/>
    </w:rPr>
  </w:style>
  <w:style w:type="character" w:customStyle="1" w:styleId="297">
    <w:name w:val="Char11 Char Char"/>
    <w:qFormat/>
    <w:uiPriority w:val="0"/>
    <w:rPr>
      <w:rFonts w:ascii="Arial" w:hAnsi="Arial" w:eastAsia="黑体"/>
    </w:rPr>
  </w:style>
  <w:style w:type="character" w:customStyle="1" w:styleId="298">
    <w:name w:val="环小四表尾 Char"/>
    <w:link w:val="299"/>
    <w:qFormat/>
    <w:uiPriority w:val="0"/>
    <w:rPr>
      <w:rFonts w:ascii="宋体"/>
      <w:b/>
      <w:bCs/>
      <w:sz w:val="21"/>
      <w:szCs w:val="21"/>
    </w:rPr>
  </w:style>
  <w:style w:type="paragraph" w:customStyle="1" w:styleId="299">
    <w:name w:val="环小四表尾"/>
    <w:link w:val="298"/>
    <w:qFormat/>
    <w:uiPriority w:val="0"/>
    <w:pPr>
      <w:spacing w:line="320" w:lineRule="exact"/>
      <w:jc w:val="right"/>
    </w:pPr>
    <w:rPr>
      <w:rFonts w:ascii="宋体" w:hAnsi="Calibri" w:eastAsia="宋体" w:cs="Times New Roman"/>
      <w:b/>
      <w:bCs/>
      <w:sz w:val="21"/>
      <w:szCs w:val="21"/>
      <w:lang w:val="en-US" w:eastAsia="zh-CN" w:bidi="ar-SA"/>
    </w:rPr>
  </w:style>
  <w:style w:type="character" w:customStyle="1" w:styleId="300">
    <w:name w:val="style111"/>
    <w:qFormat/>
    <w:uiPriority w:val="0"/>
    <w:rPr>
      <w:sz w:val="21"/>
      <w:szCs w:val="21"/>
    </w:rPr>
  </w:style>
  <w:style w:type="character" w:customStyle="1" w:styleId="301">
    <w:name w:val="aspmaker1"/>
    <w:qFormat/>
    <w:uiPriority w:val="0"/>
    <w:rPr>
      <w:rFonts w:hint="default" w:ascii="Verdana" w:hAnsi="Verdana"/>
      <w:sz w:val="20"/>
      <w:szCs w:val="20"/>
    </w:rPr>
  </w:style>
  <w:style w:type="character" w:customStyle="1" w:styleId="302">
    <w:name w:val="cmstitle1"/>
    <w:qFormat/>
    <w:uiPriority w:val="0"/>
    <w:rPr>
      <w:b/>
      <w:color w:val="993300"/>
      <w:sz w:val="24"/>
    </w:rPr>
  </w:style>
  <w:style w:type="character" w:customStyle="1" w:styleId="303">
    <w:name w:val="Char8 Char Char Char4"/>
    <w:qFormat/>
    <w:uiPriority w:val="0"/>
    <w:rPr>
      <w:rFonts w:ascii="Times New Roman" w:hAnsi="Times New Roman" w:cs="Times New Roman"/>
      <w:szCs w:val="20"/>
    </w:rPr>
  </w:style>
  <w:style w:type="character" w:customStyle="1" w:styleId="304">
    <w:name w:val="标题 4 Char Char Char Char"/>
    <w:qFormat/>
    <w:uiPriority w:val="0"/>
    <w:rPr>
      <w:b/>
      <w:bCs/>
      <w:snapToGrid/>
    </w:rPr>
  </w:style>
  <w:style w:type="character" w:customStyle="1" w:styleId="305">
    <w:name w:val="标题 31"/>
    <w:qFormat/>
    <w:uiPriority w:val="0"/>
    <w:rPr>
      <w:rFonts w:ascii="宋体" w:hAnsi="宋体" w:eastAsia="楷体_GB2312"/>
      <w:b/>
      <w:spacing w:val="10"/>
      <w:kern w:val="2"/>
      <w:sz w:val="24"/>
      <w:lang w:val="en-US" w:eastAsia="zh-CN"/>
    </w:rPr>
  </w:style>
  <w:style w:type="character" w:customStyle="1" w:styleId="306">
    <w:name w:val="样式 样式 z + Times New Roman + (西文) Times New Roman Char Char"/>
    <w:qFormat/>
    <w:uiPriority w:val="0"/>
    <w:rPr>
      <w:position w:val="2"/>
    </w:rPr>
  </w:style>
  <w:style w:type="character" w:customStyle="1" w:styleId="307">
    <w:name w:val="Char9 Char Char3"/>
    <w:qFormat/>
    <w:uiPriority w:val="0"/>
    <w:rPr>
      <w:rFonts w:ascii="Times New Roman" w:hAnsi="Times New Roman" w:cs="Times New Roman"/>
      <w:kern w:val="0"/>
      <w:sz w:val="18"/>
      <w:szCs w:val="18"/>
    </w:rPr>
  </w:style>
  <w:style w:type="character" w:customStyle="1" w:styleId="308">
    <w:name w:val="表格字 Char"/>
    <w:link w:val="309"/>
    <w:qFormat/>
    <w:uiPriority w:val="0"/>
    <w:rPr>
      <w:rFonts w:ascii="宋体" w:hAnsi="宋体" w:cs="宋体"/>
      <w:sz w:val="18"/>
      <w:szCs w:val="21"/>
    </w:rPr>
  </w:style>
  <w:style w:type="paragraph" w:customStyle="1" w:styleId="309">
    <w:name w:val="表格字"/>
    <w:basedOn w:val="1"/>
    <w:link w:val="308"/>
    <w:qFormat/>
    <w:uiPriority w:val="0"/>
    <w:pPr>
      <w:spacing w:line="240" w:lineRule="exact"/>
      <w:jc w:val="center"/>
    </w:pPr>
    <w:rPr>
      <w:rFonts w:ascii="宋体" w:hAnsi="宋体" w:eastAsia="宋体" w:cs="宋体"/>
      <w:kern w:val="0"/>
      <w:sz w:val="18"/>
      <w:szCs w:val="21"/>
    </w:rPr>
  </w:style>
  <w:style w:type="character" w:customStyle="1" w:styleId="310">
    <w:name w:val="large"/>
    <w:qFormat/>
    <w:uiPriority w:val="0"/>
  </w:style>
  <w:style w:type="character" w:customStyle="1" w:styleId="311">
    <w:name w:val="样式1 Char Char Char Char Char Char Char Char2"/>
    <w:qFormat/>
    <w:uiPriority w:val="0"/>
  </w:style>
  <w:style w:type="character" w:customStyle="1" w:styleId="312">
    <w:name w:val="标题41 Char"/>
    <w:qFormat/>
    <w:uiPriority w:val="0"/>
    <w:rPr>
      <w:rFonts w:eastAsia="黑体"/>
      <w:b/>
      <w:bCs/>
      <w:color w:val="0000FF"/>
      <w:sz w:val="28"/>
      <w:szCs w:val="28"/>
    </w:rPr>
  </w:style>
  <w:style w:type="character" w:customStyle="1" w:styleId="313">
    <w:name w:val="样式 样式 样式 宋体 段前: 0.5 行 行距: 固定值 18 磅 + 首行缩进:  2 字符 + (西文) 宋体 Char Char"/>
    <w:qFormat/>
    <w:uiPriority w:val="0"/>
    <w:rPr>
      <w:snapToGrid/>
      <w:color w:val="000000"/>
      <w:lang w:val="en-GB"/>
    </w:rPr>
  </w:style>
  <w:style w:type="character" w:customStyle="1" w:styleId="314">
    <w:name w:val="表头11 Char Char1"/>
    <w:qFormat/>
    <w:uiPriority w:val="0"/>
    <w:rPr>
      <w:b/>
      <w:color w:val="FF0000"/>
    </w:rPr>
  </w:style>
  <w:style w:type="character" w:customStyle="1" w:styleId="315">
    <w:name w:val="标题2 Char Char"/>
    <w:qFormat/>
    <w:uiPriority w:val="0"/>
    <w:rPr>
      <w:rFonts w:ascii="Arial" w:hAnsi="Arial" w:eastAsia="黑体" w:cs="Arial"/>
      <w:b/>
      <w:bCs/>
      <w:kern w:val="2"/>
      <w:sz w:val="32"/>
      <w:szCs w:val="32"/>
      <w:lang w:val="en-US" w:eastAsia="zh-CN" w:bidi="ar-SA"/>
    </w:rPr>
  </w:style>
  <w:style w:type="character" w:customStyle="1" w:styleId="316">
    <w:name w:val="正文0 Char Char"/>
    <w:link w:val="317"/>
    <w:qFormat/>
    <w:uiPriority w:val="0"/>
    <w:rPr>
      <w:kern w:val="2"/>
      <w:sz w:val="24"/>
      <w:szCs w:val="24"/>
    </w:rPr>
  </w:style>
  <w:style w:type="paragraph" w:customStyle="1" w:styleId="317">
    <w:name w:val="正文0"/>
    <w:basedOn w:val="1"/>
    <w:next w:val="1"/>
    <w:link w:val="316"/>
    <w:qFormat/>
    <w:uiPriority w:val="0"/>
    <w:pPr>
      <w:spacing w:line="360" w:lineRule="auto"/>
    </w:pPr>
    <w:rPr>
      <w:rFonts w:ascii="Calibri" w:hAnsi="Calibri" w:eastAsia="宋体"/>
      <w:sz w:val="24"/>
    </w:rPr>
  </w:style>
  <w:style w:type="character" w:customStyle="1" w:styleId="318">
    <w:name w:val="标题41 Char Char"/>
    <w:qFormat/>
    <w:uiPriority w:val="0"/>
    <w:rPr>
      <w:rFonts w:ascii="黑体" w:eastAsia="黑体"/>
      <w:b/>
      <w:bCs/>
      <w:szCs w:val="32"/>
    </w:rPr>
  </w:style>
  <w:style w:type="character" w:customStyle="1" w:styleId="319">
    <w:name w:val="样式 标题 4 + 宋体 Char Char Char Char Char Char Char1"/>
    <w:qFormat/>
    <w:uiPriority w:val="0"/>
    <w:rPr>
      <w:b/>
      <w:bCs/>
    </w:rPr>
  </w:style>
  <w:style w:type="character" w:customStyle="1" w:styleId="320">
    <w:name w:val="dfgdfg Char1"/>
    <w:qFormat/>
    <w:uiPriority w:val="0"/>
    <w:rPr>
      <w:rFonts w:ascii="Arial" w:hAnsi="Arial" w:eastAsia="黑体"/>
      <w:sz w:val="21"/>
      <w:szCs w:val="21"/>
    </w:rPr>
  </w:style>
  <w:style w:type="character" w:customStyle="1" w:styleId="321">
    <w:name w:val="Char Char211"/>
    <w:qFormat/>
    <w:uiPriority w:val="0"/>
    <w:rPr>
      <w:rFonts w:eastAsia="宋体"/>
      <w:kern w:val="2"/>
      <w:sz w:val="18"/>
      <w:szCs w:val="18"/>
      <w:lang w:val="en-US" w:eastAsia="zh-CN" w:bidi="ar-SA"/>
    </w:rPr>
  </w:style>
  <w:style w:type="character" w:customStyle="1" w:styleId="322">
    <w:name w:val="Char Char23"/>
    <w:qFormat/>
    <w:uiPriority w:val="0"/>
    <w:rPr>
      <w:rFonts w:eastAsia="宋体"/>
      <w:kern w:val="2"/>
      <w:sz w:val="18"/>
      <w:szCs w:val="18"/>
      <w:lang w:val="en-US" w:eastAsia="zh-CN" w:bidi="ar-SA"/>
    </w:rPr>
  </w:style>
  <w:style w:type="character" w:customStyle="1" w:styleId="323">
    <w:name w:val="标题13"/>
    <w:qFormat/>
    <w:uiPriority w:val="0"/>
  </w:style>
  <w:style w:type="character" w:customStyle="1" w:styleId="324">
    <w:name w:val="Char Char221"/>
    <w:qFormat/>
    <w:uiPriority w:val="0"/>
    <w:rPr>
      <w:sz w:val="18"/>
      <w:szCs w:val="18"/>
    </w:rPr>
  </w:style>
  <w:style w:type="character" w:customStyle="1" w:styleId="325">
    <w:name w:val="Char Char24"/>
    <w:qFormat/>
    <w:uiPriority w:val="0"/>
    <w:rPr>
      <w:rFonts w:ascii="Arial" w:hAnsi="Arial" w:eastAsia="仿宋_GB2312" w:cs="Times New Roman"/>
      <w:spacing w:val="-6"/>
      <w:kern w:val="20"/>
      <w:sz w:val="18"/>
      <w:szCs w:val="20"/>
    </w:rPr>
  </w:style>
  <w:style w:type="character" w:customStyle="1" w:styleId="326">
    <w:name w:val="表格字体 Char"/>
    <w:link w:val="327"/>
    <w:semiHidden/>
    <w:qFormat/>
    <w:uiPriority w:val="0"/>
    <w:rPr>
      <w:kern w:val="2"/>
      <w:sz w:val="21"/>
      <w:szCs w:val="21"/>
    </w:rPr>
  </w:style>
  <w:style w:type="paragraph" w:customStyle="1" w:styleId="327">
    <w:name w:val="表格字体"/>
    <w:basedOn w:val="1"/>
    <w:link w:val="326"/>
    <w:semiHidden/>
    <w:qFormat/>
    <w:uiPriority w:val="0"/>
    <w:pPr>
      <w:widowControl w:val="0"/>
      <w:snapToGrid/>
      <w:spacing w:beforeLines="20" w:afterLines="20"/>
      <w:jc w:val="center"/>
      <w:textAlignment w:val="center"/>
    </w:pPr>
    <w:rPr>
      <w:rFonts w:ascii="Calibri" w:hAnsi="Calibri" w:eastAsia="宋体"/>
      <w:sz w:val="21"/>
      <w:szCs w:val="21"/>
    </w:rPr>
  </w:style>
  <w:style w:type="character" w:customStyle="1" w:styleId="328">
    <w:name w:val="z-窗体底端 Char3"/>
    <w:link w:val="329"/>
    <w:qFormat/>
    <w:uiPriority w:val="0"/>
    <w:rPr>
      <w:rFonts w:ascii="Arial" w:hAnsi="Arial"/>
      <w:vanish/>
      <w:sz w:val="16"/>
      <w:szCs w:val="16"/>
    </w:rPr>
  </w:style>
  <w:style w:type="paragraph" w:customStyle="1" w:styleId="329">
    <w:name w:val="z-窗体底端1"/>
    <w:basedOn w:val="1"/>
    <w:next w:val="1"/>
    <w:link w:val="328"/>
    <w:qFormat/>
    <w:uiPriority w:val="0"/>
    <w:pPr>
      <w:pBdr>
        <w:top w:val="single" w:color="auto" w:sz="6" w:space="1"/>
      </w:pBdr>
      <w:adjustRightInd/>
      <w:snapToGrid/>
      <w:jc w:val="center"/>
    </w:pPr>
    <w:rPr>
      <w:rFonts w:ascii="Arial" w:hAnsi="Arial" w:eastAsia="宋体"/>
      <w:vanish/>
      <w:kern w:val="0"/>
      <w:sz w:val="16"/>
      <w:szCs w:val="16"/>
    </w:rPr>
  </w:style>
  <w:style w:type="character" w:customStyle="1" w:styleId="330">
    <w:name w:val="正正文 Char Char"/>
    <w:qFormat/>
    <w:uiPriority w:val="0"/>
    <w:rPr>
      <w:rFonts w:ascii="宋体" w:hAnsi="宋体"/>
      <w:snapToGrid/>
      <w:kern w:val="2"/>
      <w:sz w:val="24"/>
      <w:szCs w:val="24"/>
      <w:lang w:bidi="ar-SA"/>
    </w:rPr>
  </w:style>
  <w:style w:type="character" w:customStyle="1" w:styleId="331">
    <w:name w:val="样式 表格 + (中文) 黑体 Char Char"/>
    <w:qFormat/>
    <w:uiPriority w:val="0"/>
    <w:rPr>
      <w:rFonts w:eastAsia="宋体"/>
      <w:color w:val="000000"/>
      <w:spacing w:val="-8"/>
      <w:kern w:val="2"/>
      <w:sz w:val="24"/>
      <w:szCs w:val="21"/>
      <w:lang w:bidi="ar-SA"/>
    </w:rPr>
  </w:style>
  <w:style w:type="character" w:customStyle="1" w:styleId="332">
    <w:name w:val="环小四表内容 Char Char"/>
    <w:qFormat/>
    <w:uiPriority w:val="0"/>
    <w:rPr>
      <w:rFonts w:ascii="宋体" w:hAnsi="宋体"/>
      <w:kern w:val="2"/>
      <w:sz w:val="18"/>
      <w:szCs w:val="18"/>
      <w:lang w:bidi="ar-SA"/>
    </w:rPr>
  </w:style>
  <w:style w:type="character" w:customStyle="1" w:styleId="333">
    <w:name w:val="不明显强调1"/>
    <w:qFormat/>
    <w:uiPriority w:val="0"/>
    <w:rPr>
      <w:i/>
      <w:color w:val="5A5A5A"/>
    </w:rPr>
  </w:style>
  <w:style w:type="character" w:customStyle="1" w:styleId="334">
    <w:name w:val="要点1"/>
    <w:qFormat/>
    <w:uiPriority w:val="0"/>
    <w:rPr>
      <w:b/>
    </w:rPr>
  </w:style>
  <w:style w:type="character" w:customStyle="1" w:styleId="335">
    <w:name w:val="表格内容 Char Char Char Char Char Char Char Char"/>
    <w:qFormat/>
    <w:uiPriority w:val="0"/>
    <w:rPr>
      <w:rFonts w:ascii="宋体" w:hAnsi="宋体"/>
      <w:kern w:val="2"/>
      <w:sz w:val="21"/>
      <w:szCs w:val="21"/>
      <w:lang w:bidi="ar-SA"/>
    </w:rPr>
  </w:style>
  <w:style w:type="character" w:customStyle="1" w:styleId="336">
    <w:name w:val="明显参考1"/>
    <w:qFormat/>
    <w:uiPriority w:val="0"/>
    <w:rPr>
      <w:b/>
      <w:sz w:val="24"/>
      <w:u w:val="single"/>
    </w:rPr>
  </w:style>
  <w:style w:type="character" w:customStyle="1" w:styleId="337">
    <w:name w:val="纯文本 Char Char Char Char Char Char Char Char Char"/>
    <w:qFormat/>
    <w:uiPriority w:val="0"/>
    <w:rPr>
      <w:rFonts w:ascii="宋体" w:hAnsi="Courier New" w:eastAsia="宋体"/>
      <w:kern w:val="2"/>
      <w:sz w:val="21"/>
      <w:lang w:val="en-US" w:eastAsia="zh-CN" w:bidi="ar-SA"/>
    </w:rPr>
  </w:style>
  <w:style w:type="character" w:customStyle="1" w:styleId="338">
    <w:name w:val="april表格标题 Char Char"/>
    <w:qFormat/>
    <w:uiPriority w:val="0"/>
  </w:style>
  <w:style w:type="character" w:customStyle="1" w:styleId="339">
    <w:name w:val="规划 表格内容 Char Char"/>
    <w:qFormat/>
    <w:uiPriority w:val="0"/>
    <w:rPr>
      <w:color w:val="000000"/>
      <w:kern w:val="2"/>
      <w:sz w:val="18"/>
      <w:szCs w:val="18"/>
      <w:lang w:bidi="ar-SA"/>
    </w:rPr>
  </w:style>
  <w:style w:type="character" w:customStyle="1" w:styleId="340">
    <w:name w:val="hb4 Char Char"/>
    <w:qFormat/>
    <w:uiPriority w:val="0"/>
    <w:rPr>
      <w:bCs/>
      <w:kern w:val="24"/>
      <w:sz w:val="24"/>
      <w:szCs w:val="24"/>
      <w:lang w:val="en-US" w:eastAsia="zh-CN" w:bidi="ar-SA"/>
    </w:rPr>
  </w:style>
  <w:style w:type="character" w:customStyle="1" w:styleId="341">
    <w:name w:val="表格正文 Char Char Char Char Char Char"/>
    <w:qFormat/>
    <w:uiPriority w:val="0"/>
    <w:rPr>
      <w:sz w:val="21"/>
    </w:rPr>
  </w:style>
  <w:style w:type="character" w:customStyle="1" w:styleId="342">
    <w:name w:val="明显引用 Char3"/>
    <w:link w:val="343"/>
    <w:qFormat/>
    <w:uiPriority w:val="0"/>
    <w:rPr>
      <w:b/>
      <w:i/>
      <w:sz w:val="24"/>
    </w:rPr>
  </w:style>
  <w:style w:type="paragraph" w:styleId="343">
    <w:name w:val="Intense Quote"/>
    <w:basedOn w:val="1"/>
    <w:next w:val="1"/>
    <w:link w:val="342"/>
    <w:qFormat/>
    <w:uiPriority w:val="0"/>
    <w:pPr>
      <w:adjustRightInd/>
      <w:snapToGrid/>
      <w:ind w:left="720" w:right="720"/>
      <w:jc w:val="left"/>
    </w:pPr>
    <w:rPr>
      <w:rFonts w:ascii="Calibri" w:hAnsi="Calibri" w:eastAsia="宋体"/>
      <w:b/>
      <w:i/>
      <w:kern w:val="0"/>
      <w:sz w:val="24"/>
      <w:szCs w:val="20"/>
    </w:rPr>
  </w:style>
  <w:style w:type="character" w:customStyle="1" w:styleId="344">
    <w:name w:val="样式 样式 表格 + (中文) 黑体 + (中文) 黑体 Char Char"/>
    <w:qFormat/>
    <w:uiPriority w:val="0"/>
    <w:rPr>
      <w:rFonts w:eastAsia="黑体"/>
      <w:color w:val="000000"/>
      <w:spacing w:val="-8"/>
      <w:kern w:val="2"/>
      <w:sz w:val="24"/>
      <w:szCs w:val="21"/>
      <w:lang w:bidi="ar-SA"/>
    </w:rPr>
  </w:style>
  <w:style w:type="character" w:customStyle="1" w:styleId="345">
    <w:name w:val="11p1"/>
    <w:qFormat/>
    <w:uiPriority w:val="0"/>
    <w:rPr>
      <w:sz w:val="23"/>
      <w:szCs w:val="23"/>
    </w:rPr>
  </w:style>
  <w:style w:type="character" w:customStyle="1" w:styleId="346">
    <w:name w:val="Char Char151"/>
    <w:qFormat/>
    <w:uiPriority w:val="0"/>
    <w:rPr>
      <w:sz w:val="18"/>
    </w:rPr>
  </w:style>
  <w:style w:type="character" w:customStyle="1" w:styleId="347">
    <w:name w:val="Char Char101"/>
    <w:qFormat/>
    <w:uiPriority w:val="0"/>
  </w:style>
  <w:style w:type="character" w:customStyle="1" w:styleId="348">
    <w:name w:val="Char Char171"/>
    <w:qFormat/>
    <w:uiPriority w:val="0"/>
    <w:rPr>
      <w:rFonts w:ascii="Arial" w:hAnsi="Arial" w:eastAsia="黑体"/>
      <w:b/>
      <w:bCs/>
    </w:rPr>
  </w:style>
  <w:style w:type="character" w:customStyle="1" w:styleId="349">
    <w:name w:val="YL正方 Char"/>
    <w:link w:val="350"/>
    <w:qFormat/>
    <w:uiPriority w:val="0"/>
    <w:rPr>
      <w:rFonts w:ascii="仿宋_GB2312" w:hAnsi="宋体" w:eastAsia="仿宋_GB2312"/>
      <w:bCs/>
      <w:snapToGrid/>
      <w:color w:val="000000"/>
      <w:sz w:val="28"/>
      <w:szCs w:val="28"/>
    </w:rPr>
  </w:style>
  <w:style w:type="paragraph" w:customStyle="1" w:styleId="350">
    <w:name w:val="YL正方"/>
    <w:basedOn w:val="1"/>
    <w:link w:val="349"/>
    <w:qFormat/>
    <w:uiPriority w:val="0"/>
    <w:pPr>
      <w:widowControl w:val="0"/>
      <w:adjustRightInd/>
      <w:snapToGrid/>
      <w:spacing w:line="360" w:lineRule="auto"/>
      <w:ind w:firstLine="560"/>
    </w:pPr>
    <w:rPr>
      <w:rFonts w:ascii="仿宋_GB2312" w:hAnsi="宋体"/>
      <w:bCs/>
      <w:snapToGrid w:val="0"/>
      <w:color w:val="000000"/>
      <w:kern w:val="0"/>
      <w:szCs w:val="28"/>
    </w:rPr>
  </w:style>
  <w:style w:type="character" w:customStyle="1" w:styleId="351">
    <w:name w:val="标题 5 Char Char Char2"/>
    <w:qFormat/>
    <w:uiPriority w:val="0"/>
    <w:rPr>
      <w:rFonts w:ascii="Times New Roman" w:hAnsi="Times New Roman" w:eastAsia="仿宋_GB2312" w:cs="Times New Roman"/>
      <w:kern w:val="20"/>
      <w:sz w:val="28"/>
      <w:szCs w:val="20"/>
    </w:rPr>
  </w:style>
  <w:style w:type="character" w:customStyle="1" w:styleId="352">
    <w:name w:val="正文文本sqf"/>
    <w:qFormat/>
    <w:uiPriority w:val="0"/>
    <w:rPr>
      <w:rFonts w:ascii="宋体" w:hAnsi="宋体"/>
    </w:rPr>
  </w:style>
  <w:style w:type="character" w:customStyle="1" w:styleId="353">
    <w:name w:val="Char Char135"/>
    <w:qFormat/>
    <w:uiPriority w:val="0"/>
    <w:rPr>
      <w:rFonts w:ascii="Arial" w:hAnsi="Arial" w:eastAsia="黑体"/>
      <w:b/>
      <w:bCs/>
    </w:rPr>
  </w:style>
  <w:style w:type="character" w:customStyle="1" w:styleId="354">
    <w:name w:val="无间隔 字符"/>
    <w:qFormat/>
    <w:uiPriority w:val="0"/>
    <w:rPr>
      <w:kern w:val="2"/>
      <w:sz w:val="21"/>
      <w:szCs w:val="22"/>
    </w:rPr>
  </w:style>
  <w:style w:type="character" w:customStyle="1" w:styleId="355">
    <w:name w:val="访问过的超链接1"/>
    <w:qFormat/>
    <w:uiPriority w:val="0"/>
    <w:rPr>
      <w:color w:val="800080"/>
      <w:u w:val="single"/>
    </w:rPr>
  </w:style>
  <w:style w:type="character" w:customStyle="1" w:styleId="356">
    <w:name w:val="Char Char63"/>
    <w:qFormat/>
    <w:uiPriority w:val="0"/>
    <w:rPr>
      <w:rFonts w:eastAsia="宋体"/>
      <w:b/>
      <w:kern w:val="44"/>
      <w:sz w:val="36"/>
      <w:lang w:val="en-US" w:eastAsia="zh-CN" w:bidi="ar-SA"/>
    </w:rPr>
  </w:style>
  <w:style w:type="character" w:customStyle="1" w:styleId="357">
    <w:name w:val="Char Char20"/>
    <w:qFormat/>
    <w:uiPriority w:val="0"/>
    <w:rPr>
      <w:rFonts w:eastAsia="宋体"/>
      <w:kern w:val="2"/>
      <w:sz w:val="21"/>
      <w:szCs w:val="24"/>
      <w:lang w:val="en-US" w:eastAsia="zh-CN" w:bidi="ar-SA"/>
    </w:rPr>
  </w:style>
  <w:style w:type="character" w:customStyle="1" w:styleId="358">
    <w:name w:val="Char Char Char Char Char Char Char Char Char Char Char Char Char"/>
    <w:link w:val="359"/>
    <w:qFormat/>
    <w:uiPriority w:val="0"/>
    <w:rPr>
      <w:kern w:val="2"/>
      <w:sz w:val="21"/>
      <w:szCs w:val="24"/>
    </w:rPr>
  </w:style>
  <w:style w:type="paragraph" w:customStyle="1" w:styleId="359">
    <w:name w:val="Char Char Char Char Char Char Char Char Char Char Char4"/>
    <w:basedOn w:val="1"/>
    <w:link w:val="358"/>
    <w:qFormat/>
    <w:uiPriority w:val="0"/>
    <w:pPr>
      <w:widowControl w:val="0"/>
      <w:adjustRightInd/>
      <w:snapToGrid/>
    </w:pPr>
    <w:rPr>
      <w:rFonts w:ascii="Calibri" w:hAnsi="Calibri" w:eastAsia="宋体"/>
      <w:sz w:val="21"/>
    </w:rPr>
  </w:style>
  <w:style w:type="character" w:customStyle="1" w:styleId="360">
    <w:name w:val="标题 7 Char Char Char Char Char Char Char Char Char"/>
    <w:qFormat/>
    <w:uiPriority w:val="0"/>
    <w:rPr>
      <w:b/>
      <w:bCs/>
    </w:rPr>
  </w:style>
  <w:style w:type="character" w:customStyle="1" w:styleId="361">
    <w:name w:val="count3"/>
    <w:qFormat/>
    <w:uiPriority w:val="0"/>
  </w:style>
  <w:style w:type="character" w:customStyle="1" w:styleId="362">
    <w:name w:val="Char Char212"/>
    <w:qFormat/>
    <w:uiPriority w:val="0"/>
    <w:rPr>
      <w:rFonts w:eastAsia="宋体"/>
      <w:kern w:val="2"/>
      <w:sz w:val="18"/>
      <w:szCs w:val="18"/>
      <w:lang w:val="en-US" w:eastAsia="zh-CN" w:bidi="ar-SA"/>
    </w:rPr>
  </w:style>
  <w:style w:type="character" w:customStyle="1" w:styleId="363">
    <w:name w:val="large1"/>
    <w:qFormat/>
    <w:uiPriority w:val="0"/>
    <w:rPr>
      <w:spacing w:val="380"/>
      <w:sz w:val="22"/>
      <w:szCs w:val="22"/>
    </w:rPr>
  </w:style>
  <w:style w:type="character" w:customStyle="1" w:styleId="364">
    <w:name w:val="表头 Char1 Char Char Char"/>
    <w:link w:val="365"/>
    <w:qFormat/>
    <w:uiPriority w:val="0"/>
    <w:rPr>
      <w:rFonts w:ascii="Arial" w:hAnsi="Arial" w:eastAsia="楷体_GB2312"/>
      <w:b/>
      <w:kern w:val="21"/>
      <w:sz w:val="21"/>
    </w:rPr>
  </w:style>
  <w:style w:type="paragraph" w:customStyle="1" w:styleId="365">
    <w:name w:val="表头 Char1 Char Char"/>
    <w:basedOn w:val="12"/>
    <w:link w:val="364"/>
    <w:qFormat/>
    <w:uiPriority w:val="0"/>
    <w:pPr>
      <w:spacing w:before="120" w:after="120"/>
      <w:ind w:left="0" w:firstLine="200"/>
    </w:pPr>
    <w:rPr>
      <w:rFonts w:ascii="Arial" w:hAnsi="Arial" w:eastAsia="楷体_GB2312"/>
      <w:bCs w:val="0"/>
      <w:kern w:val="21"/>
      <w:sz w:val="21"/>
      <w:szCs w:val="20"/>
    </w:rPr>
  </w:style>
  <w:style w:type="character" w:customStyle="1" w:styleId="366">
    <w:name w:val="明显参考11"/>
    <w:qFormat/>
    <w:uiPriority w:val="0"/>
    <w:rPr>
      <w:b/>
      <w:sz w:val="24"/>
      <w:u w:val="single"/>
    </w:rPr>
  </w:style>
  <w:style w:type="character" w:customStyle="1" w:styleId="367">
    <w:name w:val="报告书正文 Char Char Char Char Char Char Char Char Char Char Char Char Char Char Char Char"/>
    <w:qFormat/>
    <w:uiPriority w:val="0"/>
    <w:rPr>
      <w:color w:val="000000"/>
    </w:rPr>
  </w:style>
  <w:style w:type="character" w:customStyle="1" w:styleId="368">
    <w:name w:val="Char9 Char Char5"/>
    <w:qFormat/>
    <w:uiPriority w:val="0"/>
    <w:rPr>
      <w:sz w:val="18"/>
      <w:szCs w:val="18"/>
    </w:rPr>
  </w:style>
  <w:style w:type="character" w:customStyle="1" w:styleId="369">
    <w:name w:val="bg Char Char Char"/>
    <w:qFormat/>
    <w:uiPriority w:val="0"/>
    <w:rPr>
      <w:sz w:val="21"/>
      <w:szCs w:val="21"/>
    </w:rPr>
  </w:style>
  <w:style w:type="character" w:customStyle="1" w:styleId="370">
    <w:name w:val="样式 表格11 + 居中 Char Char"/>
    <w:qFormat/>
    <w:uiPriority w:val="0"/>
    <w:rPr>
      <w:sz w:val="21"/>
      <w:szCs w:val="21"/>
    </w:rPr>
  </w:style>
  <w:style w:type="character" w:customStyle="1" w:styleId="371">
    <w:name w:val="标4 Char Char Char Char Char Char"/>
    <w:qFormat/>
    <w:uiPriority w:val="0"/>
    <w:rPr>
      <w:szCs w:val="30"/>
    </w:rPr>
  </w:style>
  <w:style w:type="character" w:customStyle="1" w:styleId="372">
    <w:name w:val="纯文本3"/>
    <w:qFormat/>
    <w:uiPriority w:val="0"/>
    <w:rPr>
      <w:rFonts w:hAnsi="Courier New" w:cs="Courier New"/>
      <w:sz w:val="21"/>
      <w:szCs w:val="21"/>
    </w:rPr>
  </w:style>
  <w:style w:type="character" w:customStyle="1" w:styleId="373">
    <w:name w:val="Char12 Char Char1"/>
    <w:qFormat/>
    <w:uiPriority w:val="0"/>
    <w:rPr>
      <w:b/>
      <w:bCs/>
    </w:rPr>
  </w:style>
  <w:style w:type="character" w:customStyle="1" w:styleId="374">
    <w:name w:val="Char12 Char Char4"/>
    <w:qFormat/>
    <w:uiPriority w:val="0"/>
    <w:rPr>
      <w:rFonts w:ascii="Times New Roman" w:hAnsi="Times New Roman"/>
      <w:b/>
      <w:bCs/>
    </w:rPr>
  </w:style>
  <w:style w:type="character" w:customStyle="1" w:styleId="375">
    <w:name w:val="样式1-正文z Char Char Char Char Char"/>
    <w:link w:val="376"/>
    <w:qFormat/>
    <w:uiPriority w:val="0"/>
    <w:rPr>
      <w:rFonts w:ascii="Times New Roman" w:hAnsi="Times New Roman"/>
      <w:snapToGrid/>
      <w:kern w:val="2"/>
      <w:sz w:val="24"/>
      <w:szCs w:val="24"/>
    </w:rPr>
  </w:style>
  <w:style w:type="paragraph" w:customStyle="1" w:styleId="376">
    <w:name w:val="样式1-正文z Char Char Char Char"/>
    <w:basedOn w:val="1"/>
    <w:link w:val="375"/>
    <w:qFormat/>
    <w:uiPriority w:val="0"/>
    <w:pPr>
      <w:spacing w:line="380" w:lineRule="exact"/>
      <w:ind w:firstLine="482"/>
      <w:textAlignment w:val="center"/>
    </w:pPr>
    <w:rPr>
      <w:rFonts w:eastAsia="宋体"/>
      <w:snapToGrid w:val="0"/>
      <w:sz w:val="24"/>
    </w:rPr>
  </w:style>
  <w:style w:type="character" w:customStyle="1" w:styleId="377">
    <w:name w:val="style261"/>
    <w:qFormat/>
    <w:uiPriority w:val="0"/>
    <w:rPr>
      <w:color w:val="000000"/>
      <w:sz w:val="18"/>
      <w:szCs w:val="18"/>
    </w:rPr>
  </w:style>
  <w:style w:type="character" w:customStyle="1" w:styleId="378">
    <w:name w:val="标题 1 Char2"/>
    <w:qFormat/>
    <w:uiPriority w:val="0"/>
    <w:rPr>
      <w:rFonts w:ascii="Cambria" w:hAnsi="Cambria" w:eastAsia="宋体"/>
      <w:b/>
      <w:bCs/>
      <w:kern w:val="32"/>
      <w:sz w:val="32"/>
      <w:szCs w:val="32"/>
      <w:lang w:val="zh-CN" w:eastAsia="zh-CN" w:bidi="ar-SA"/>
    </w:rPr>
  </w:style>
  <w:style w:type="character" w:customStyle="1" w:styleId="379">
    <w:name w:val="签名 Char1"/>
    <w:semiHidden/>
    <w:qFormat/>
    <w:uiPriority w:val="0"/>
    <w:rPr>
      <w:rFonts w:ascii="Calibri" w:hAnsi="Calibri"/>
      <w:sz w:val="21"/>
    </w:rPr>
  </w:style>
  <w:style w:type="character" w:customStyle="1" w:styleId="380">
    <w:name w:val="标题6"/>
    <w:qFormat/>
    <w:uiPriority w:val="0"/>
  </w:style>
  <w:style w:type="character" w:customStyle="1" w:styleId="381">
    <w:name w:val="1.1.1章 Char"/>
    <w:link w:val="382"/>
    <w:qFormat/>
    <w:uiPriority w:val="0"/>
    <w:rPr>
      <w:rFonts w:ascii="Times New Roman" w:hAnsi="Times New Roman" w:eastAsia="仿宋_GB2312"/>
      <w:b/>
      <w:color w:val="000000"/>
      <w:kern w:val="2"/>
      <w:sz w:val="28"/>
      <w:szCs w:val="28"/>
    </w:rPr>
  </w:style>
  <w:style w:type="paragraph" w:customStyle="1" w:styleId="382">
    <w:name w:val="1.1.1章"/>
    <w:basedOn w:val="7"/>
    <w:link w:val="381"/>
    <w:qFormat/>
    <w:uiPriority w:val="0"/>
    <w:pPr>
      <w:widowControl w:val="0"/>
      <w:tabs>
        <w:tab w:val="clear" w:pos="1440"/>
      </w:tabs>
      <w:spacing w:before="240"/>
      <w:ind w:left="0" w:firstLine="200"/>
    </w:pPr>
    <w:rPr>
      <w:rFonts w:eastAsia="仿宋_GB2312"/>
      <w:color w:val="000000"/>
      <w:kern w:val="2"/>
      <w:szCs w:val="28"/>
    </w:rPr>
  </w:style>
  <w:style w:type="character" w:customStyle="1" w:styleId="383">
    <w:name w:val="z-窗体底端 Char1"/>
    <w:semiHidden/>
    <w:qFormat/>
    <w:uiPriority w:val="99"/>
    <w:rPr>
      <w:rFonts w:ascii="Arial" w:hAnsi="Arial" w:cs="Arial"/>
      <w:vanish/>
      <w:sz w:val="16"/>
      <w:szCs w:val="16"/>
    </w:rPr>
  </w:style>
  <w:style w:type="character" w:customStyle="1" w:styleId="384">
    <w:name w:val="正文首行缩进 2 Char2"/>
    <w:semiHidden/>
    <w:qFormat/>
    <w:uiPriority w:val="99"/>
    <w:rPr>
      <w:rFonts w:ascii="Calibri" w:hAnsi="Calibri"/>
      <w:kern w:val="2"/>
      <w:sz w:val="21"/>
      <w:szCs w:val="24"/>
    </w:rPr>
  </w:style>
  <w:style w:type="character" w:customStyle="1" w:styleId="385">
    <w:name w:val="infonormaltext"/>
    <w:qFormat/>
    <w:uiPriority w:val="0"/>
  </w:style>
  <w:style w:type="character" w:customStyle="1" w:styleId="386">
    <w:name w:val="Char Char132"/>
    <w:qFormat/>
    <w:uiPriority w:val="0"/>
    <w:rPr>
      <w:rFonts w:eastAsia="华文细黑" w:cs="宋体"/>
      <w:b/>
      <w:bCs/>
      <w:kern w:val="44"/>
      <w:sz w:val="32"/>
      <w:szCs w:val="44"/>
      <w:lang w:val="en-US" w:eastAsia="zh-CN" w:bidi="ar-SA"/>
    </w:rPr>
  </w:style>
  <w:style w:type="character" w:customStyle="1" w:styleId="387">
    <w:name w:val="样式 样式 样式 样式 宋体 段前: 0.5 行 行距: 固定值 18 磅 + 首行缩进:  2 字符 + (西文) 宋体 + ... Char Char1"/>
    <w:qFormat/>
    <w:uiPriority w:val="0"/>
    <w:rPr>
      <w:snapToGrid/>
      <w:color w:val="000000"/>
      <w:lang w:val="en-GB"/>
    </w:rPr>
  </w:style>
  <w:style w:type="character" w:customStyle="1" w:styleId="388">
    <w:name w:val="HTML 预设格式 Char2"/>
    <w:semiHidden/>
    <w:qFormat/>
    <w:uiPriority w:val="99"/>
    <w:rPr>
      <w:rFonts w:ascii="Courier New" w:hAnsi="Courier New" w:cs="Courier New"/>
    </w:rPr>
  </w:style>
  <w:style w:type="character" w:customStyle="1" w:styleId="389">
    <w:name w:val="页脚 Char1"/>
    <w:semiHidden/>
    <w:qFormat/>
    <w:uiPriority w:val="0"/>
    <w:rPr>
      <w:rFonts w:ascii="Calibri" w:hAnsi="Calibri"/>
      <w:sz w:val="18"/>
      <w:szCs w:val="18"/>
    </w:rPr>
  </w:style>
  <w:style w:type="character" w:customStyle="1" w:styleId="390">
    <w:name w:val="表头2 Char Char"/>
    <w:qFormat/>
    <w:uiPriority w:val="0"/>
    <w:rPr>
      <w:b/>
      <w:color w:val="000000"/>
    </w:rPr>
  </w:style>
  <w:style w:type="character" w:customStyle="1" w:styleId="391">
    <w:name w:val="Char Char22"/>
    <w:qFormat/>
    <w:uiPriority w:val="0"/>
    <w:rPr>
      <w:rFonts w:eastAsia="宋体"/>
      <w:kern w:val="2"/>
      <w:sz w:val="18"/>
      <w:szCs w:val="18"/>
      <w:lang w:val="en-US" w:eastAsia="zh-CN" w:bidi="ar-SA"/>
    </w:rPr>
  </w:style>
  <w:style w:type="character" w:customStyle="1" w:styleId="392">
    <w:name w:val="Char Char32"/>
    <w:qFormat/>
    <w:uiPriority w:val="0"/>
    <w:rPr>
      <w:rFonts w:eastAsia="华康简宋"/>
      <w:kern w:val="2"/>
      <w:sz w:val="24"/>
      <w:lang w:val="en-US" w:eastAsia="zh-CN" w:bidi="ar-SA"/>
    </w:rPr>
  </w:style>
  <w:style w:type="character" w:customStyle="1" w:styleId="393">
    <w:name w:val="Char Char461"/>
    <w:qFormat/>
    <w:uiPriority w:val="0"/>
    <w:rPr>
      <w:sz w:val="21"/>
    </w:rPr>
  </w:style>
  <w:style w:type="character" w:customStyle="1" w:styleId="394">
    <w:name w:val="明显参考2"/>
    <w:qFormat/>
    <w:uiPriority w:val="0"/>
    <w:rPr>
      <w:b/>
      <w:sz w:val="24"/>
      <w:u w:val="single"/>
    </w:rPr>
  </w:style>
  <w:style w:type="character" w:customStyle="1" w:styleId="395">
    <w:name w:val="表头1 Char Char"/>
    <w:qFormat/>
    <w:uiPriority w:val="0"/>
    <w:rPr>
      <w:rFonts w:eastAsia="楷体_GB2312"/>
      <w:b/>
      <w:lang w:bidi="ar-SA"/>
    </w:rPr>
  </w:style>
  <w:style w:type="character" w:customStyle="1" w:styleId="396">
    <w:name w:val="Char Char42"/>
    <w:qFormat/>
    <w:uiPriority w:val="0"/>
    <w:rPr>
      <w:rFonts w:eastAsia="宋体"/>
      <w:kern w:val="2"/>
      <w:sz w:val="18"/>
      <w:szCs w:val="18"/>
      <w:lang w:val="en-US" w:eastAsia="zh-CN" w:bidi="ar-SA"/>
    </w:rPr>
  </w:style>
  <w:style w:type="character" w:customStyle="1" w:styleId="397">
    <w:name w:val="表体 Char Char"/>
    <w:qFormat/>
    <w:uiPriority w:val="0"/>
    <w:rPr>
      <w:rFonts w:ascii="宋体"/>
      <w:bCs/>
      <w:color w:val="FF0000"/>
      <w:kern w:val="24"/>
      <w:sz w:val="18"/>
      <w:lang w:bidi="ar-SA"/>
    </w:rPr>
  </w:style>
  <w:style w:type="character" w:customStyle="1" w:styleId="398">
    <w:name w:val="不明显强调2"/>
    <w:qFormat/>
    <w:uiPriority w:val="0"/>
    <w:rPr>
      <w:i/>
      <w:iCs/>
      <w:color w:val="808080"/>
    </w:rPr>
  </w:style>
  <w:style w:type="character" w:customStyle="1" w:styleId="399">
    <w:name w:val="样式 宋体 小四 行距: 固定值 25 磅 Char Char Char Char Char"/>
    <w:qFormat/>
    <w:uiPriority w:val="0"/>
    <w:rPr>
      <w:rFonts w:ascii="宋体" w:hAnsi="宋体"/>
      <w:kern w:val="2"/>
      <w:sz w:val="24"/>
      <w:szCs w:val="24"/>
      <w:lang w:bidi="ar-SA"/>
    </w:rPr>
  </w:style>
  <w:style w:type="character" w:customStyle="1" w:styleId="400">
    <w:name w:val="明显强调2"/>
    <w:qFormat/>
    <w:uiPriority w:val="0"/>
    <w:rPr>
      <w:b/>
      <w:i/>
      <w:sz w:val="24"/>
      <w:szCs w:val="24"/>
      <w:u w:val="single"/>
    </w:rPr>
  </w:style>
  <w:style w:type="character" w:customStyle="1" w:styleId="401">
    <w:name w:val="Char1 Char2"/>
    <w:link w:val="402"/>
    <w:qFormat/>
    <w:uiPriority w:val="0"/>
    <w:rPr>
      <w:rFonts w:ascii="宋体" w:hAnsi="宋体"/>
      <w:kern w:val="2"/>
      <w:sz w:val="24"/>
      <w:szCs w:val="24"/>
    </w:rPr>
  </w:style>
  <w:style w:type="paragraph" w:customStyle="1" w:styleId="402">
    <w:name w:val="Char14"/>
    <w:basedOn w:val="1"/>
    <w:link w:val="401"/>
    <w:qFormat/>
    <w:uiPriority w:val="0"/>
    <w:pPr>
      <w:spacing w:line="360" w:lineRule="auto"/>
    </w:pPr>
    <w:rPr>
      <w:rFonts w:ascii="宋体" w:hAnsi="宋体" w:eastAsia="宋体"/>
      <w:sz w:val="24"/>
    </w:rPr>
  </w:style>
  <w:style w:type="character" w:customStyle="1" w:styleId="403">
    <w:name w:val="样式 样式 z + Times New Roman + (西文) Times New Roman Char Char Char Char Char"/>
    <w:qFormat/>
    <w:uiPriority w:val="0"/>
    <w:rPr>
      <w:position w:val="2"/>
      <w:sz w:val="24"/>
      <w:szCs w:val="24"/>
      <w:lang w:bidi="ar-SA"/>
    </w:rPr>
  </w:style>
  <w:style w:type="character" w:customStyle="1" w:styleId="404">
    <w:name w:val="Char Char91"/>
    <w:qFormat/>
    <w:uiPriority w:val="0"/>
    <w:rPr>
      <w:rFonts w:eastAsia="黑体"/>
      <w:b/>
      <w:bCs/>
      <w:kern w:val="44"/>
      <w:sz w:val="52"/>
      <w:szCs w:val="44"/>
      <w:lang w:val="en-US" w:eastAsia="zh-CN" w:bidi="ar-SA"/>
    </w:rPr>
  </w:style>
  <w:style w:type="character" w:customStyle="1" w:styleId="405">
    <w:name w:val="样式 标题 4 + 非倾斜 Char Char"/>
    <w:qFormat/>
    <w:uiPriority w:val="0"/>
    <w:rPr>
      <w:b/>
      <w:sz w:val="24"/>
      <w:lang w:bidi="ar-SA"/>
    </w:rPr>
  </w:style>
  <w:style w:type="character" w:customStyle="1" w:styleId="406">
    <w:name w:val="样式 标题 1 + 黑体 三号 黑色 居中 段前: 0.5 行 段后: 0 磅 行距: 单倍行距 Char Char Char Char Char"/>
    <w:qFormat/>
    <w:uiPriority w:val="0"/>
    <w:rPr>
      <w:rFonts w:eastAsia="黑体"/>
      <w:bCs/>
      <w:color w:val="000000"/>
      <w:kern w:val="44"/>
      <w:sz w:val="36"/>
      <w:szCs w:val="32"/>
      <w:lang w:bidi="ar-SA"/>
    </w:rPr>
  </w:style>
  <w:style w:type="character" w:customStyle="1" w:styleId="407">
    <w:name w:val="样式 样式 样式 样式 宋体 段前: 0.5 行 行距: 固定值 18 磅 + 首行缩进:  2 字符 + (西文) 宋体 + ... Char Char Char Char Char Char"/>
    <w:qFormat/>
    <w:uiPriority w:val="0"/>
  </w:style>
  <w:style w:type="character" w:customStyle="1" w:styleId="408">
    <w:name w:val="样式 纯文本孙普文字Plain Text普通文字 Char Char普通文字 Char + 紧缩量  0.2 磅 Char Char"/>
    <w:qFormat/>
    <w:uiPriority w:val="0"/>
    <w:rPr>
      <w:kern w:val="2"/>
      <w:sz w:val="24"/>
      <w:szCs w:val="24"/>
      <w:lang w:bidi="ar-SA"/>
    </w:rPr>
  </w:style>
  <w:style w:type="character" w:customStyle="1" w:styleId="409">
    <w:name w:val="样式 表格11 + 居中 Char Char Char Char Char"/>
    <w:qFormat/>
    <w:uiPriority w:val="0"/>
    <w:rPr>
      <w:rFonts w:ascii="宋体" w:hAnsi="宋体"/>
      <w:kern w:val="2"/>
      <w:sz w:val="21"/>
      <w:szCs w:val="21"/>
      <w:lang w:bidi="ar-SA"/>
    </w:rPr>
  </w:style>
  <w:style w:type="character" w:customStyle="1" w:styleId="410">
    <w:name w:val="无间隔 Char Char"/>
    <w:qFormat/>
    <w:uiPriority w:val="0"/>
    <w:rPr>
      <w:sz w:val="24"/>
      <w:szCs w:val="32"/>
      <w:lang w:bidi="ar-SA"/>
    </w:rPr>
  </w:style>
  <w:style w:type="character" w:customStyle="1" w:styleId="411">
    <w:name w:val="标4 Char Char Char Char Char Char Char"/>
    <w:qFormat/>
    <w:uiPriority w:val="0"/>
    <w:rPr>
      <w:rFonts w:ascii="宋体" w:hAnsi="宋体"/>
      <w:kern w:val="2"/>
      <w:sz w:val="24"/>
      <w:szCs w:val="30"/>
      <w:lang w:val="en-US" w:eastAsia="zh-CN" w:bidi="ar-SA"/>
    </w:rPr>
  </w:style>
  <w:style w:type="character" w:customStyle="1" w:styleId="412">
    <w:name w:val="报告 Char Char Char Char Char Char Char"/>
    <w:qFormat/>
    <w:uiPriority w:val="0"/>
    <w:rPr>
      <w:kern w:val="2"/>
      <w:sz w:val="24"/>
      <w:szCs w:val="24"/>
      <w:lang w:bidi="ar-SA"/>
    </w:rPr>
  </w:style>
  <w:style w:type="character" w:customStyle="1" w:styleId="413">
    <w:name w:val="表、图名 Char Char"/>
    <w:qFormat/>
    <w:uiPriority w:val="0"/>
    <w:rPr>
      <w:rFonts w:eastAsia="黑体"/>
      <w:kern w:val="2"/>
      <w:sz w:val="21"/>
      <w:szCs w:val="21"/>
      <w:lang w:bidi="ar-SA"/>
    </w:rPr>
  </w:style>
  <w:style w:type="character" w:customStyle="1" w:styleId="414">
    <w:name w:val="标题5 Char Char Char Char Char Char Char"/>
    <w:qFormat/>
    <w:uiPriority w:val="0"/>
    <w:rPr>
      <w:kern w:val="2"/>
      <w:sz w:val="24"/>
      <w:szCs w:val="24"/>
      <w:lang w:bidi="ar-SA"/>
    </w:rPr>
  </w:style>
  <w:style w:type="character" w:customStyle="1" w:styleId="415">
    <w:name w:val="报告书正文 Char Char Char Char Char Char Char Char Char Char Char Char Char Char Char Char Char Char Char Char Char"/>
    <w:qFormat/>
    <w:uiPriority w:val="0"/>
    <w:rPr>
      <w:color w:val="000000"/>
      <w:kern w:val="2"/>
      <w:sz w:val="24"/>
      <w:szCs w:val="24"/>
      <w:lang w:bidi="ar-SA"/>
    </w:rPr>
  </w:style>
  <w:style w:type="character" w:customStyle="1" w:styleId="416">
    <w:name w:val="样式 宋体 小四 行距: 固定值 25 磅 Char Char Char Char"/>
    <w:link w:val="417"/>
    <w:qFormat/>
    <w:uiPriority w:val="0"/>
    <w:rPr>
      <w:rFonts w:ascii="宋体" w:hAnsi="宋体" w:cs="宋体"/>
      <w:kern w:val="2"/>
      <w:sz w:val="24"/>
      <w:szCs w:val="24"/>
    </w:rPr>
  </w:style>
  <w:style w:type="paragraph" w:customStyle="1" w:styleId="417">
    <w:name w:val="样式 宋体 小四 行距: 固定值 25 磅 Char Char Char"/>
    <w:basedOn w:val="1"/>
    <w:link w:val="416"/>
    <w:qFormat/>
    <w:uiPriority w:val="0"/>
    <w:pPr>
      <w:spacing w:line="360" w:lineRule="auto"/>
      <w:ind w:firstLine="540" w:firstLineChars="225"/>
    </w:pPr>
    <w:rPr>
      <w:rFonts w:ascii="宋体" w:hAnsi="宋体" w:eastAsia="宋体" w:cs="宋体"/>
      <w:sz w:val="24"/>
    </w:rPr>
  </w:style>
  <w:style w:type="character" w:customStyle="1" w:styleId="418">
    <w:name w:val="明显引用 Char"/>
    <w:link w:val="419"/>
    <w:qFormat/>
    <w:uiPriority w:val="0"/>
    <w:rPr>
      <w:b/>
      <w:i/>
      <w:sz w:val="24"/>
    </w:rPr>
  </w:style>
  <w:style w:type="paragraph" w:customStyle="1" w:styleId="419">
    <w:name w:val="明显引用1"/>
    <w:basedOn w:val="1"/>
    <w:next w:val="1"/>
    <w:link w:val="418"/>
    <w:qFormat/>
    <w:uiPriority w:val="0"/>
    <w:pPr>
      <w:ind w:left="720" w:right="720"/>
    </w:pPr>
    <w:rPr>
      <w:rFonts w:ascii="Calibri" w:hAnsi="Calibri" w:eastAsia="宋体"/>
      <w:b/>
      <w:i/>
      <w:kern w:val="0"/>
      <w:sz w:val="24"/>
      <w:szCs w:val="20"/>
    </w:rPr>
  </w:style>
  <w:style w:type="character" w:customStyle="1" w:styleId="420">
    <w:name w:val="cn1"/>
    <w:qFormat/>
    <w:uiPriority w:val="0"/>
    <w:rPr>
      <w:sz w:val="21"/>
      <w:szCs w:val="21"/>
    </w:rPr>
  </w:style>
  <w:style w:type="character" w:customStyle="1" w:styleId="421">
    <w:name w:val="Char Char7"/>
    <w:qFormat/>
    <w:uiPriority w:val="0"/>
    <w:rPr>
      <w:rFonts w:eastAsia="宋体" w:cs="宋体"/>
      <w:kern w:val="2"/>
      <w:sz w:val="18"/>
      <w:szCs w:val="18"/>
      <w:lang w:val="en-US" w:eastAsia="zh-CN" w:bidi="ar-SA"/>
    </w:rPr>
  </w:style>
  <w:style w:type="character" w:customStyle="1" w:styleId="422">
    <w:name w:val="Char3 Char Char"/>
    <w:qFormat/>
    <w:uiPriority w:val="0"/>
    <w:rPr>
      <w:sz w:val="18"/>
      <w:szCs w:val="18"/>
    </w:rPr>
  </w:style>
  <w:style w:type="character" w:customStyle="1" w:styleId="423">
    <w:name w:val="123YJ Char4"/>
    <w:qFormat/>
    <w:uiPriority w:val="0"/>
    <w:rPr>
      <w:sz w:val="18"/>
    </w:rPr>
  </w:style>
  <w:style w:type="character" w:customStyle="1" w:styleId="424">
    <w:name w:val="oblog_text"/>
    <w:qFormat/>
    <w:uiPriority w:val="0"/>
  </w:style>
  <w:style w:type="character" w:customStyle="1" w:styleId="425">
    <w:name w:val="style151"/>
    <w:qFormat/>
    <w:uiPriority w:val="0"/>
    <w:rPr>
      <w:sz w:val="16"/>
      <w:szCs w:val="16"/>
    </w:rPr>
  </w:style>
  <w:style w:type="character" w:customStyle="1" w:styleId="426">
    <w:name w:val="Char6 Char1"/>
    <w:qFormat/>
    <w:uiPriority w:val="0"/>
    <w:rPr>
      <w:rFonts w:ascii="Times New Roman" w:hAnsi="Times New Roman"/>
      <w:sz w:val="21"/>
    </w:rPr>
  </w:style>
  <w:style w:type="character" w:customStyle="1" w:styleId="427">
    <w:name w:val="样式 宋体 段前: 0.5 行 行距: 固定值 18 磅 Char Char"/>
    <w:qFormat/>
    <w:uiPriority w:val="0"/>
  </w:style>
  <w:style w:type="character" w:customStyle="1" w:styleId="428">
    <w:name w:val="Char3 Char Char2"/>
    <w:qFormat/>
    <w:uiPriority w:val="0"/>
    <w:rPr>
      <w:sz w:val="18"/>
      <w:szCs w:val="18"/>
    </w:rPr>
  </w:style>
  <w:style w:type="character" w:customStyle="1" w:styleId="429">
    <w:name w:val="Char3 Char Char4"/>
    <w:qFormat/>
    <w:uiPriority w:val="0"/>
    <w:rPr>
      <w:rFonts w:ascii="Times New Roman" w:hAnsi="Times New Roman"/>
      <w:sz w:val="18"/>
      <w:szCs w:val="18"/>
    </w:rPr>
  </w:style>
  <w:style w:type="character" w:customStyle="1" w:styleId="430">
    <w:name w:val="Char Char Char5"/>
    <w:qFormat/>
    <w:uiPriority w:val="0"/>
    <w:rPr>
      <w:sz w:val="18"/>
      <w:szCs w:val="18"/>
    </w:rPr>
  </w:style>
  <w:style w:type="character" w:customStyle="1" w:styleId="431">
    <w:name w:val="标准正文 Char Char Char Char"/>
    <w:link w:val="432"/>
    <w:qFormat/>
    <w:uiPriority w:val="0"/>
    <w:rPr>
      <w:rFonts w:ascii="Times New Roman" w:hAnsi="Times New Roman" w:cs="宋体"/>
      <w:kern w:val="2"/>
      <w:sz w:val="28"/>
      <w:szCs w:val="28"/>
    </w:rPr>
  </w:style>
  <w:style w:type="paragraph" w:customStyle="1" w:styleId="432">
    <w:name w:val="标准正文 Char Char Char"/>
    <w:basedOn w:val="1"/>
    <w:link w:val="431"/>
    <w:qFormat/>
    <w:uiPriority w:val="0"/>
    <w:pPr>
      <w:spacing w:line="360" w:lineRule="auto"/>
    </w:pPr>
    <w:rPr>
      <w:rFonts w:eastAsia="宋体" w:cs="宋体"/>
      <w:szCs w:val="28"/>
    </w:rPr>
  </w:style>
  <w:style w:type="character" w:customStyle="1" w:styleId="433">
    <w:name w:val="Char Char121"/>
    <w:qFormat/>
    <w:uiPriority w:val="0"/>
    <w:rPr>
      <w:sz w:val="21"/>
    </w:rPr>
  </w:style>
  <w:style w:type="character" w:customStyle="1" w:styleId="434">
    <w:name w:val="报告书正文 Char Char Char Char Char Char Char Char Char Char Char Char"/>
    <w:link w:val="435"/>
    <w:qFormat/>
    <w:uiPriority w:val="0"/>
    <w:rPr>
      <w:rFonts w:ascii="Times New Roman" w:hAnsi="Times New Roman"/>
      <w:color w:val="000000"/>
      <w:kern w:val="2"/>
      <w:sz w:val="24"/>
      <w:szCs w:val="24"/>
    </w:rPr>
  </w:style>
  <w:style w:type="paragraph" w:customStyle="1" w:styleId="435">
    <w:name w:val="报告书正文 Char Char Char Char Char Char Char Char Char Char Char"/>
    <w:basedOn w:val="1"/>
    <w:link w:val="434"/>
    <w:qFormat/>
    <w:uiPriority w:val="0"/>
    <w:pPr>
      <w:spacing w:line="300" w:lineRule="auto"/>
      <w:ind w:firstLine="480"/>
    </w:pPr>
    <w:rPr>
      <w:rFonts w:eastAsia="宋体"/>
      <w:color w:val="000000"/>
      <w:sz w:val="24"/>
    </w:rPr>
  </w:style>
  <w:style w:type="character" w:customStyle="1" w:styleId="436">
    <w:name w:val="正文文本缩进 2 Char Char"/>
    <w:qFormat/>
    <w:uiPriority w:val="0"/>
    <w:rPr>
      <w:sz w:val="21"/>
    </w:rPr>
  </w:style>
  <w:style w:type="character" w:customStyle="1" w:styleId="437">
    <w:name w:val="style61"/>
    <w:qFormat/>
    <w:uiPriority w:val="0"/>
    <w:rPr>
      <w:b/>
      <w:bCs/>
      <w:sz w:val="27"/>
      <w:szCs w:val="27"/>
    </w:rPr>
  </w:style>
  <w:style w:type="character" w:customStyle="1" w:styleId="438">
    <w:name w:val="样式 样式 样式 宋体 段前: 0.5 行 行距: 固定值 18 磅 + 首行缩进:  2 字符 + (西文) 宋体 Char Char Char Char"/>
    <w:link w:val="439"/>
    <w:qFormat/>
    <w:uiPriority w:val="0"/>
    <w:rPr>
      <w:rFonts w:ascii="宋体" w:hAnsi="宋体" w:cs="宋体"/>
      <w:snapToGrid/>
      <w:color w:val="000000"/>
      <w:kern w:val="2"/>
      <w:sz w:val="24"/>
      <w:szCs w:val="24"/>
      <w:lang w:val="en-GB"/>
    </w:rPr>
  </w:style>
  <w:style w:type="paragraph" w:customStyle="1" w:styleId="439">
    <w:name w:val="样式 样式 样式 宋体 段前: 0.5 行 行距: 固定值 18 磅 + 首行缩进:  2 字符 + (西文) 宋体 Char Char Char"/>
    <w:basedOn w:val="440"/>
    <w:link w:val="438"/>
    <w:qFormat/>
    <w:uiPriority w:val="0"/>
    <w:pPr>
      <w:spacing w:line="480" w:lineRule="exact"/>
      <w:ind w:firstLine="459"/>
    </w:pPr>
  </w:style>
  <w:style w:type="paragraph" w:customStyle="1" w:styleId="440">
    <w:name w:val="样式 样式 宋体 段前: 0.5 行 行距: 固定值 18 磅 + 首行缩进:  2 字符 Char Char Char"/>
    <w:basedOn w:val="1"/>
    <w:link w:val="1493"/>
    <w:qFormat/>
    <w:uiPriority w:val="0"/>
    <w:pPr>
      <w:spacing w:line="360" w:lineRule="auto"/>
      <w:ind w:firstLine="480"/>
    </w:pPr>
    <w:rPr>
      <w:rFonts w:ascii="宋体" w:hAnsi="宋体" w:eastAsia="宋体" w:cs="宋体"/>
      <w:snapToGrid w:val="0"/>
      <w:color w:val="000000"/>
      <w:sz w:val="24"/>
      <w:lang w:val="en-GB"/>
    </w:rPr>
  </w:style>
  <w:style w:type="character" w:customStyle="1" w:styleId="441">
    <w:name w:val="样式 z + Times New Roman Char Char Char Char"/>
    <w:link w:val="442"/>
    <w:qFormat/>
    <w:uiPriority w:val="0"/>
    <w:rPr>
      <w:rFonts w:ascii="宋体" w:hAnsi="宋体"/>
      <w:kern w:val="2"/>
      <w:position w:val="2"/>
      <w:sz w:val="24"/>
      <w:szCs w:val="24"/>
    </w:rPr>
  </w:style>
  <w:style w:type="paragraph" w:customStyle="1" w:styleId="442">
    <w:name w:val="样式 z + Times New Roman Char Char Char"/>
    <w:basedOn w:val="1"/>
    <w:link w:val="441"/>
    <w:qFormat/>
    <w:uiPriority w:val="0"/>
    <w:pPr>
      <w:spacing w:line="480" w:lineRule="exact"/>
      <w:ind w:firstLine="459"/>
    </w:pPr>
    <w:rPr>
      <w:rFonts w:ascii="宋体" w:hAnsi="宋体" w:eastAsia="宋体"/>
      <w:position w:val="2"/>
      <w:sz w:val="24"/>
    </w:rPr>
  </w:style>
  <w:style w:type="character" w:customStyle="1" w:styleId="443">
    <w:name w:val="正文文字 3 Char Char Char Char"/>
    <w:qFormat/>
    <w:uiPriority w:val="0"/>
    <w:rPr>
      <w:sz w:val="16"/>
      <w:szCs w:val="16"/>
    </w:rPr>
  </w:style>
  <w:style w:type="character" w:customStyle="1" w:styleId="444">
    <w:name w:val="Char12 Char Char2"/>
    <w:qFormat/>
    <w:uiPriority w:val="0"/>
    <w:rPr>
      <w:b/>
      <w:spacing w:val="4"/>
    </w:rPr>
  </w:style>
  <w:style w:type="character" w:customStyle="1" w:styleId="445">
    <w:name w:val="样式 标题 4 + 非倾斜 Char"/>
    <w:link w:val="446"/>
    <w:qFormat/>
    <w:uiPriority w:val="0"/>
    <w:rPr>
      <w:b/>
      <w:sz w:val="24"/>
    </w:rPr>
  </w:style>
  <w:style w:type="paragraph" w:customStyle="1" w:styleId="446">
    <w:name w:val="样式 标题 4 + 非倾斜"/>
    <w:basedOn w:val="10"/>
    <w:link w:val="445"/>
    <w:qFormat/>
    <w:uiPriority w:val="0"/>
    <w:pPr>
      <w:tabs>
        <w:tab w:val="left" w:pos="1260"/>
      </w:tabs>
      <w:spacing w:line="400" w:lineRule="exact"/>
      <w:ind w:left="0" w:firstLine="200"/>
    </w:pPr>
    <w:rPr>
      <w:rFonts w:ascii="Calibri" w:hAnsi="Calibri"/>
      <w:bCs w:val="0"/>
      <w:kern w:val="0"/>
      <w:sz w:val="24"/>
      <w:szCs w:val="20"/>
    </w:rPr>
  </w:style>
  <w:style w:type="character" w:customStyle="1" w:styleId="447">
    <w:name w:val="标准正文 Char Char"/>
    <w:link w:val="448"/>
    <w:qFormat/>
    <w:uiPriority w:val="0"/>
    <w:rPr>
      <w:rFonts w:ascii="Times New Roman" w:hAnsi="Times New Roman"/>
      <w:kern w:val="2"/>
      <w:sz w:val="28"/>
      <w:szCs w:val="28"/>
    </w:rPr>
  </w:style>
  <w:style w:type="paragraph" w:customStyle="1" w:styleId="448">
    <w:name w:val="标准正文 Char"/>
    <w:basedOn w:val="1"/>
    <w:link w:val="447"/>
    <w:qFormat/>
    <w:uiPriority w:val="0"/>
    <w:pPr>
      <w:spacing w:line="360" w:lineRule="auto"/>
    </w:pPr>
    <w:rPr>
      <w:rFonts w:eastAsia="宋体"/>
      <w:szCs w:val="28"/>
    </w:rPr>
  </w:style>
  <w:style w:type="character" w:customStyle="1" w:styleId="449">
    <w:name w:val="样式 样式 z + Times New Roman + (西文) Times New Roman Char Char1"/>
    <w:qFormat/>
    <w:uiPriority w:val="0"/>
    <w:rPr>
      <w:position w:val="2"/>
    </w:rPr>
  </w:style>
  <w:style w:type="character" w:customStyle="1" w:styleId="450">
    <w:name w:val="样式 样式 样式 标题 1 + 黑体 三号 黑色 居中 段前: 0.5 行 段后: 0 磅 行距: 单倍行距 + 居中 + Ti... Char Char"/>
    <w:qFormat/>
    <w:uiPriority w:val="0"/>
    <w:rPr>
      <w:rFonts w:eastAsia="黑体"/>
      <w:b/>
      <w:bCs/>
      <w:color w:val="000000"/>
      <w:kern w:val="44"/>
      <w:sz w:val="36"/>
      <w:szCs w:val="32"/>
    </w:rPr>
  </w:style>
  <w:style w:type="character" w:customStyle="1" w:styleId="451">
    <w:name w:val="wdjh"/>
    <w:qFormat/>
    <w:uiPriority w:val="0"/>
  </w:style>
  <w:style w:type="character" w:customStyle="1" w:styleId="452">
    <w:name w:val="正文！！！！！ Char"/>
    <w:link w:val="453"/>
    <w:qFormat/>
    <w:uiPriority w:val="0"/>
    <w:rPr>
      <w:rFonts w:ascii="宋体" w:hAnsi="宋体" w:cs="宋体"/>
      <w:snapToGrid/>
      <w:sz w:val="24"/>
      <w:szCs w:val="24"/>
    </w:rPr>
  </w:style>
  <w:style w:type="paragraph" w:customStyle="1" w:styleId="453">
    <w:name w:val="正文！！！！！"/>
    <w:basedOn w:val="1"/>
    <w:link w:val="452"/>
    <w:qFormat/>
    <w:uiPriority w:val="0"/>
    <w:pPr>
      <w:spacing w:line="360" w:lineRule="auto"/>
    </w:pPr>
    <w:rPr>
      <w:rFonts w:ascii="宋体" w:hAnsi="宋体" w:eastAsia="宋体" w:cs="宋体"/>
      <w:snapToGrid w:val="0"/>
      <w:kern w:val="0"/>
      <w:sz w:val="24"/>
    </w:rPr>
  </w:style>
  <w:style w:type="character" w:customStyle="1" w:styleId="454">
    <w:name w:val="小节1 Char"/>
    <w:qFormat/>
    <w:uiPriority w:val="0"/>
    <w:rPr>
      <w:b/>
      <w:bCs/>
      <w:sz w:val="32"/>
      <w:szCs w:val="32"/>
    </w:rPr>
  </w:style>
  <w:style w:type="character" w:customStyle="1" w:styleId="455">
    <w:name w:val="样式1 Char Char Char Char Char Char Char Char Char"/>
    <w:qFormat/>
    <w:uiPriority w:val="0"/>
  </w:style>
  <w:style w:type="character" w:customStyle="1" w:styleId="456">
    <w:name w:val="Char9 Char Char4"/>
    <w:qFormat/>
    <w:uiPriority w:val="0"/>
    <w:rPr>
      <w:rFonts w:ascii="Times New Roman" w:hAnsi="Times New Roman" w:cs="Times New Roman"/>
      <w:kern w:val="0"/>
      <w:sz w:val="18"/>
      <w:szCs w:val="18"/>
    </w:rPr>
  </w:style>
  <w:style w:type="character" w:customStyle="1" w:styleId="457">
    <w:name w:val="不明显强调11"/>
    <w:qFormat/>
    <w:uiPriority w:val="0"/>
    <w:rPr>
      <w:i/>
      <w:color w:val="5A5A5A"/>
    </w:rPr>
  </w:style>
  <w:style w:type="character" w:customStyle="1" w:styleId="458">
    <w:name w:val="正文001 Char Char"/>
    <w:qFormat/>
    <w:uiPriority w:val="0"/>
    <w:rPr>
      <w:rFonts w:ascii="Arial" w:hAnsi="Arial"/>
      <w:color w:val="000000"/>
      <w:kern w:val="2"/>
      <w:sz w:val="24"/>
      <w:lang w:bidi="ar-SA"/>
    </w:rPr>
  </w:style>
  <w:style w:type="character" w:customStyle="1" w:styleId="459">
    <w:name w:val="样式5 Char Char"/>
    <w:qFormat/>
    <w:uiPriority w:val="0"/>
    <w:rPr>
      <w:rFonts w:ascii="宋体" w:hAnsi="宋体"/>
      <w:kern w:val="2"/>
      <w:sz w:val="24"/>
      <w:szCs w:val="24"/>
      <w:lang w:bidi="ar-SA"/>
    </w:rPr>
  </w:style>
  <w:style w:type="character" w:customStyle="1" w:styleId="460">
    <w:name w:val="亚行正文 Char Char"/>
    <w:qFormat/>
    <w:uiPriority w:val="0"/>
    <w:rPr>
      <w:kern w:val="2"/>
      <w:sz w:val="24"/>
      <w:szCs w:val="24"/>
      <w:lang w:bidi="ar-SA"/>
    </w:rPr>
  </w:style>
  <w:style w:type="character" w:customStyle="1" w:styleId="461">
    <w:name w:val="bg Char Char Char Char Char Char"/>
    <w:qFormat/>
    <w:uiPriority w:val="0"/>
    <w:rPr>
      <w:kern w:val="2"/>
      <w:sz w:val="21"/>
      <w:szCs w:val="21"/>
      <w:lang w:bidi="ar-SA"/>
    </w:rPr>
  </w:style>
  <w:style w:type="character" w:customStyle="1" w:styleId="462">
    <w:name w:val="表头 Char1 Char Char Char Char"/>
    <w:qFormat/>
    <w:uiPriority w:val="0"/>
    <w:rPr>
      <w:rFonts w:ascii="Arial" w:hAnsi="Arial" w:eastAsia="楷体_GB2312"/>
      <w:b/>
      <w:kern w:val="21"/>
      <w:sz w:val="21"/>
      <w:lang w:bidi="ar-SA"/>
    </w:rPr>
  </w:style>
  <w:style w:type="character" w:customStyle="1" w:styleId="463">
    <w:name w:val="我的表头 Char Char"/>
    <w:qFormat/>
    <w:uiPriority w:val="0"/>
    <w:rPr>
      <w:rFonts w:eastAsia="黑体"/>
      <w:kern w:val="2"/>
      <w:sz w:val="21"/>
      <w:szCs w:val="24"/>
      <w:lang w:bidi="ar-SA"/>
    </w:rPr>
  </w:style>
  <w:style w:type="character" w:customStyle="1" w:styleId="464">
    <w:name w:val="样式 样式 样式 标题 1 + 黑体 三号 黑色 居中 段前: 0.5 行 段后: 0 磅 行距: 单倍行距 + 居中 + Ti... Char Char Char Char Char"/>
    <w:qFormat/>
    <w:uiPriority w:val="0"/>
  </w:style>
  <w:style w:type="character" w:customStyle="1" w:styleId="465">
    <w:name w:val="HZZH表头 Char Char"/>
    <w:qFormat/>
    <w:uiPriority w:val="0"/>
    <w:rPr>
      <w:b/>
      <w:bCs/>
      <w:sz w:val="21"/>
      <w:szCs w:val="21"/>
      <w:lang w:bidi="ar-SA"/>
    </w:rPr>
  </w:style>
  <w:style w:type="character" w:customStyle="1" w:styleId="466">
    <w:name w:val="表格内容 Char Char Char Char Char Char Char"/>
    <w:qFormat/>
    <w:uiPriority w:val="0"/>
    <w:rPr>
      <w:rFonts w:ascii="宋体" w:hAnsi="宋体"/>
      <w:kern w:val="2"/>
      <w:sz w:val="21"/>
      <w:szCs w:val="21"/>
      <w:lang w:bidi="ar-SA"/>
    </w:rPr>
  </w:style>
  <w:style w:type="character" w:customStyle="1" w:styleId="467">
    <w:name w:val="样式 居中 首行缩进:  0 字符 Char Char"/>
    <w:qFormat/>
    <w:uiPriority w:val="0"/>
    <w:rPr>
      <w:rFonts w:ascii="宋体"/>
      <w:kern w:val="2"/>
      <w:sz w:val="21"/>
      <w:szCs w:val="24"/>
      <w:lang w:bidi="ar-SA"/>
    </w:rPr>
  </w:style>
  <w:style w:type="character" w:customStyle="1" w:styleId="468">
    <w:name w:val="明显引用 Char Char"/>
    <w:qFormat/>
    <w:uiPriority w:val="0"/>
    <w:rPr>
      <w:b/>
      <w:i/>
      <w:sz w:val="24"/>
      <w:lang w:bidi="ar-SA"/>
    </w:rPr>
  </w:style>
  <w:style w:type="character" w:customStyle="1" w:styleId="469">
    <w:name w:val="Default Text Char Char"/>
    <w:qFormat/>
    <w:uiPriority w:val="0"/>
    <w:rPr>
      <w:color w:val="000000"/>
      <w:sz w:val="24"/>
      <w:lang w:val="en-US" w:eastAsia="zh-CN"/>
    </w:rPr>
  </w:style>
  <w:style w:type="character" w:customStyle="1" w:styleId="470">
    <w:name w:val="插图标题 Char Char"/>
    <w:qFormat/>
    <w:uiPriority w:val="0"/>
    <w:rPr>
      <w:rFonts w:ascii="黑体" w:eastAsia="黑体"/>
      <w:b/>
      <w:bCs/>
      <w:kern w:val="2"/>
      <w:sz w:val="28"/>
      <w:szCs w:val="24"/>
      <w:lang w:bidi="ar-SA"/>
    </w:rPr>
  </w:style>
  <w:style w:type="character" w:customStyle="1" w:styleId="471">
    <w:name w:val="样式 标题 3h33rd levelH33Head 3level_3PIM 3Level 3 Head二级节名...2 Char Char"/>
    <w:qFormat/>
    <w:uiPriority w:val="0"/>
    <w:rPr>
      <w:rFonts w:ascii="宋体" w:hAnsi="宋体"/>
      <w:bCs/>
      <w:sz w:val="24"/>
      <w:szCs w:val="24"/>
      <w:lang w:bidi="ar-SA"/>
    </w:rPr>
  </w:style>
  <w:style w:type="character" w:customStyle="1" w:styleId="472">
    <w:name w:val="样式 标题 3标题 3 CharH3B Head + 宋体 小三 Char Char Char Char Char Char Char Char Char Char Char"/>
    <w:qFormat/>
    <w:uiPriority w:val="0"/>
    <w:rPr>
      <w:rFonts w:ascii="宋体" w:hAnsi="宋体" w:eastAsia="黑体"/>
      <w:bCs/>
      <w:sz w:val="30"/>
      <w:szCs w:val="28"/>
      <w:lang w:bidi="ar-SA"/>
    </w:rPr>
  </w:style>
  <w:style w:type="character" w:customStyle="1" w:styleId="473">
    <w:name w:val="正文段落22 Char Char"/>
    <w:qFormat/>
    <w:uiPriority w:val="0"/>
    <w:rPr>
      <w:rFonts w:eastAsia="楷体_GB2312"/>
      <w:spacing w:val="6"/>
      <w:kern w:val="2"/>
      <w:sz w:val="24"/>
      <w:szCs w:val="24"/>
      <w:lang w:bidi="ar-SA"/>
    </w:rPr>
  </w:style>
  <w:style w:type="character" w:customStyle="1" w:styleId="474">
    <w:name w:val="报告 Char Char Char Char Char Char Char Char"/>
    <w:qFormat/>
    <w:uiPriority w:val="0"/>
    <w:rPr>
      <w:kern w:val="2"/>
      <w:sz w:val="24"/>
      <w:szCs w:val="24"/>
      <w:lang w:bidi="ar-SA"/>
    </w:rPr>
  </w:style>
  <w:style w:type="character" w:customStyle="1" w:styleId="475">
    <w:name w:val="样式 样式 样式 样式 宋体 段前: 0.5 行 行距: 固定值 18 磅 + 首行缩进:  2 字符 + (西文) 宋体 + ... Char Char Char Char Char"/>
    <w:qFormat/>
    <w:uiPriority w:val="0"/>
  </w:style>
  <w:style w:type="character" w:customStyle="1" w:styleId="476">
    <w:name w:val="样式7 Char Char"/>
    <w:qFormat/>
    <w:uiPriority w:val="0"/>
    <w:rPr>
      <w:rFonts w:ascii="黑体" w:eastAsia="黑体"/>
      <w:sz w:val="21"/>
      <w:lang w:bidi="ar-SA"/>
    </w:rPr>
  </w:style>
  <w:style w:type="character" w:customStyle="1" w:styleId="477">
    <w:name w:val="HZZH正文 Char Char"/>
    <w:qFormat/>
    <w:uiPriority w:val="0"/>
    <w:rPr>
      <w:sz w:val="24"/>
      <w:szCs w:val="24"/>
      <w:lang w:bidi="ar-SA"/>
    </w:rPr>
  </w:style>
  <w:style w:type="character" w:customStyle="1" w:styleId="478">
    <w:name w:val="样式 z + Times New Roman Char Char Char Char Char"/>
    <w:qFormat/>
    <w:uiPriority w:val="0"/>
    <w:rPr>
      <w:rFonts w:ascii="宋体" w:hAnsi="宋体"/>
      <w:position w:val="2"/>
      <w:sz w:val="24"/>
      <w:szCs w:val="24"/>
      <w:lang w:bidi="ar-SA"/>
    </w:rPr>
  </w:style>
  <w:style w:type="character" w:customStyle="1" w:styleId="479">
    <w:name w:val="0 Char Char"/>
    <w:qFormat/>
    <w:uiPriority w:val="0"/>
    <w:rPr>
      <w:sz w:val="21"/>
      <w:szCs w:val="21"/>
      <w:lang w:bidi="ar-SA"/>
    </w:rPr>
  </w:style>
  <w:style w:type="character" w:customStyle="1" w:styleId="480">
    <w:name w:val="样式 样式 标题 1 + 黑体 三号 黑色 居中 段前: 0.5 行 段后: 0 磅 行距: 单倍行距 + 居中 Char Char Char Char Char"/>
    <w:qFormat/>
    <w:uiPriority w:val="0"/>
  </w:style>
  <w:style w:type="character" w:customStyle="1" w:styleId="481">
    <w:name w:val="样式 样式 段前: 0.5 行 + 首行缩进:  2 字符 段前: 0.5 行 Char Char Char Char Char"/>
    <w:qFormat/>
    <w:uiPriority w:val="0"/>
  </w:style>
  <w:style w:type="character" w:customStyle="1" w:styleId="482">
    <w:name w:val="bg Char Char Char Char Char Char Char"/>
    <w:qFormat/>
    <w:uiPriority w:val="0"/>
    <w:rPr>
      <w:kern w:val="2"/>
      <w:sz w:val="21"/>
      <w:szCs w:val="21"/>
      <w:lang w:bidi="ar-SA"/>
    </w:rPr>
  </w:style>
  <w:style w:type="character" w:customStyle="1" w:styleId="483">
    <w:name w:val="样式 样式 z + Times New Roman + (西文) Times New Roman Char Char Char Char Char Char"/>
    <w:qFormat/>
    <w:uiPriority w:val="0"/>
    <w:rPr>
      <w:kern w:val="2"/>
      <w:position w:val="2"/>
      <w:sz w:val="24"/>
      <w:szCs w:val="24"/>
      <w:lang w:bidi="ar-SA"/>
    </w:rPr>
  </w:style>
  <w:style w:type="character" w:customStyle="1" w:styleId="484">
    <w:name w:val="Char Char62"/>
    <w:qFormat/>
    <w:uiPriority w:val="0"/>
    <w:rPr>
      <w:rFonts w:eastAsia="宋体"/>
      <w:b/>
      <w:kern w:val="44"/>
      <w:sz w:val="36"/>
      <w:lang w:val="en-US" w:eastAsia="zh-CN" w:bidi="ar-SA"/>
    </w:rPr>
  </w:style>
  <w:style w:type="character" w:customStyle="1" w:styleId="485">
    <w:name w:val="标题3 Char Char1 Char1"/>
    <w:qFormat/>
    <w:uiPriority w:val="0"/>
    <w:rPr>
      <w:rFonts w:ascii="黑体" w:eastAsia="黑体"/>
      <w:b/>
      <w:bCs/>
      <w:szCs w:val="32"/>
    </w:rPr>
  </w:style>
  <w:style w:type="character" w:customStyle="1" w:styleId="486">
    <w:name w:val="Char Char52"/>
    <w:qFormat/>
    <w:uiPriority w:val="0"/>
    <w:rPr>
      <w:rFonts w:eastAsia="宋体"/>
      <w:kern w:val="2"/>
      <w:sz w:val="28"/>
      <w:lang w:val="en-US" w:eastAsia="zh-CN" w:bidi="ar-SA"/>
    </w:rPr>
  </w:style>
  <w:style w:type="character" w:customStyle="1" w:styleId="487">
    <w:name w:val="Char Char462"/>
    <w:qFormat/>
    <w:uiPriority w:val="0"/>
    <w:rPr>
      <w:sz w:val="21"/>
    </w:rPr>
  </w:style>
  <w:style w:type="character" w:customStyle="1" w:styleId="488">
    <w:name w:val="样式6 Char Char"/>
    <w:qFormat/>
    <w:uiPriority w:val="0"/>
    <w:rPr>
      <w:rFonts w:ascii="黑体" w:hAnsi="宋体" w:eastAsia="黑体"/>
      <w:kern w:val="21"/>
      <w:sz w:val="21"/>
      <w:szCs w:val="21"/>
      <w:lang w:bidi="ar-SA"/>
    </w:rPr>
  </w:style>
  <w:style w:type="character" w:customStyle="1" w:styleId="489">
    <w:name w:val="正文（杨） Char Char"/>
    <w:qFormat/>
    <w:uiPriority w:val="0"/>
    <w:rPr>
      <w:color w:val="000000"/>
      <w:spacing w:val="6"/>
      <w:kern w:val="2"/>
      <w:sz w:val="24"/>
      <w:szCs w:val="24"/>
      <w:lang w:bidi="ar-SA"/>
    </w:rPr>
  </w:style>
  <w:style w:type="character" w:customStyle="1" w:styleId="490">
    <w:name w:val="样式1-正文z Char Char Char Char Char Char Char Char Char"/>
    <w:qFormat/>
    <w:uiPriority w:val="0"/>
    <w:rPr>
      <w:snapToGrid/>
      <w:kern w:val="2"/>
      <w:sz w:val="24"/>
      <w:szCs w:val="24"/>
      <w:lang w:bidi="ar-SA"/>
    </w:rPr>
  </w:style>
  <w:style w:type="character" w:customStyle="1" w:styleId="491">
    <w:name w:val="样式 宋体 段前: 0.5 行 行距: 固定值 18 磅 Char Char Char Char Char"/>
    <w:qFormat/>
    <w:uiPriority w:val="0"/>
    <w:rPr>
      <w:rFonts w:ascii="宋体" w:hAnsi="宋体"/>
      <w:kern w:val="2"/>
      <w:sz w:val="24"/>
      <w:szCs w:val="24"/>
      <w:lang w:bidi="ar-SA"/>
    </w:rPr>
  </w:style>
  <w:style w:type="character" w:customStyle="1" w:styleId="492">
    <w:name w:val="报告 Char Char Char Char"/>
    <w:qFormat/>
    <w:uiPriority w:val="0"/>
  </w:style>
  <w:style w:type="character" w:customStyle="1" w:styleId="493">
    <w:name w:val="样式 标题 3h33rd levelH33Head 3level_3PIM 3Level 3 Head二级节名...2 Char"/>
    <w:link w:val="494"/>
    <w:qFormat/>
    <w:uiPriority w:val="0"/>
    <w:rPr>
      <w:rFonts w:ascii="宋体" w:hAnsi="宋体"/>
      <w:bCs/>
      <w:sz w:val="24"/>
      <w:szCs w:val="24"/>
    </w:rPr>
  </w:style>
  <w:style w:type="paragraph" w:customStyle="1" w:styleId="494">
    <w:name w:val="样式 标题 3h33rd levelH33Head 3level_3PIM 3Level 3 Head二级节名...2"/>
    <w:basedOn w:val="7"/>
    <w:link w:val="493"/>
    <w:qFormat/>
    <w:uiPriority w:val="0"/>
    <w:pPr>
      <w:keepNext w:val="0"/>
      <w:keepLines w:val="0"/>
      <w:tabs>
        <w:tab w:val="clear" w:pos="1440"/>
      </w:tabs>
      <w:spacing w:before="0" w:after="0" w:line="500" w:lineRule="exact"/>
      <w:ind w:left="0" w:firstLine="0" w:firstLineChars="0"/>
      <w:jc w:val="left"/>
      <w:outlineLvl w:val="9"/>
    </w:pPr>
    <w:rPr>
      <w:rFonts w:ascii="宋体" w:hAnsi="宋体" w:eastAsia="宋体"/>
      <w:b w:val="0"/>
      <w:bCs/>
      <w:sz w:val="24"/>
      <w:szCs w:val="24"/>
    </w:rPr>
  </w:style>
  <w:style w:type="character" w:customStyle="1" w:styleId="495">
    <w:name w:val="表头 Char1"/>
    <w:qFormat/>
    <w:uiPriority w:val="0"/>
    <w:rPr>
      <w:rFonts w:eastAsia="黑体"/>
      <w:spacing w:val="-10"/>
      <w:sz w:val="21"/>
    </w:rPr>
  </w:style>
  <w:style w:type="character" w:customStyle="1" w:styleId="496">
    <w:name w:val="自定义正文 Char Char Char Char Char Char Char Char Char Char Char Char Char Char Char2"/>
    <w:qFormat/>
    <w:uiPriority w:val="0"/>
    <w:rPr>
      <w:position w:val="-28"/>
      <w:sz w:val="28"/>
      <w:szCs w:val="28"/>
    </w:rPr>
  </w:style>
  <w:style w:type="character" w:customStyle="1" w:styleId="497">
    <w:name w:val="样式 z + Times New Roman Char Char"/>
    <w:qFormat/>
    <w:uiPriority w:val="0"/>
    <w:rPr>
      <w:position w:val="2"/>
    </w:rPr>
  </w:style>
  <w:style w:type="character" w:customStyle="1" w:styleId="498">
    <w:name w:val="君邦正文 Char2"/>
    <w:link w:val="499"/>
    <w:qFormat/>
    <w:uiPriority w:val="0"/>
    <w:rPr>
      <w:bCs/>
      <w:snapToGrid/>
      <w:sz w:val="24"/>
      <w:szCs w:val="22"/>
    </w:rPr>
  </w:style>
  <w:style w:type="paragraph" w:customStyle="1" w:styleId="499">
    <w:name w:val="君邦正文"/>
    <w:link w:val="498"/>
    <w:qFormat/>
    <w:uiPriority w:val="0"/>
    <w:pPr>
      <w:spacing w:after="60" w:line="360" w:lineRule="auto"/>
      <w:ind w:firstLine="480" w:firstLineChars="200"/>
      <w:jc w:val="both"/>
    </w:pPr>
    <w:rPr>
      <w:rFonts w:ascii="Calibri" w:hAnsi="Calibri" w:eastAsia="宋体" w:cs="Times New Roman"/>
      <w:bCs/>
      <w:snapToGrid w:val="0"/>
      <w:sz w:val="24"/>
      <w:szCs w:val="22"/>
      <w:lang w:val="en-US" w:eastAsia="zh-CN" w:bidi="ar-SA"/>
    </w:rPr>
  </w:style>
  <w:style w:type="character" w:customStyle="1" w:styleId="500">
    <w:name w:val="Char5 Char Char"/>
    <w:qFormat/>
    <w:uiPriority w:val="0"/>
    <w:rPr>
      <w:rFonts w:ascii="Arial" w:hAnsi="Arial" w:cs="Arial"/>
      <w:b/>
      <w:bCs/>
      <w:kern w:val="28"/>
      <w:sz w:val="32"/>
      <w:szCs w:val="32"/>
    </w:rPr>
  </w:style>
  <w:style w:type="character" w:customStyle="1" w:styleId="501">
    <w:name w:val="表内格式 Char1"/>
    <w:link w:val="502"/>
    <w:qFormat/>
    <w:uiPriority w:val="0"/>
    <w:rPr>
      <w:rFonts w:ascii="Times New Roman" w:hAnsi="Times New Roman" w:eastAsia="仿宋_GB2312"/>
      <w:sz w:val="18"/>
    </w:rPr>
  </w:style>
  <w:style w:type="paragraph" w:customStyle="1" w:styleId="502">
    <w:name w:val="表内格式"/>
    <w:basedOn w:val="1"/>
    <w:link w:val="501"/>
    <w:qFormat/>
    <w:uiPriority w:val="0"/>
    <w:pPr>
      <w:jc w:val="center"/>
    </w:pPr>
    <w:rPr>
      <w:kern w:val="0"/>
      <w:sz w:val="18"/>
      <w:szCs w:val="20"/>
    </w:rPr>
  </w:style>
  <w:style w:type="character" w:customStyle="1" w:styleId="503">
    <w:name w:val="Char Char46"/>
    <w:qFormat/>
    <w:uiPriority w:val="0"/>
    <w:rPr>
      <w:sz w:val="21"/>
    </w:rPr>
  </w:style>
  <w:style w:type="character" w:customStyle="1" w:styleId="504">
    <w:name w:val="报告表  段 Char Char"/>
    <w:link w:val="505"/>
    <w:qFormat/>
    <w:uiPriority w:val="0"/>
    <w:rPr>
      <w:rFonts w:ascii="宋体"/>
      <w:sz w:val="24"/>
    </w:rPr>
  </w:style>
  <w:style w:type="paragraph" w:customStyle="1" w:styleId="505">
    <w:name w:val="报告表  段"/>
    <w:basedOn w:val="1"/>
    <w:link w:val="504"/>
    <w:qFormat/>
    <w:uiPriority w:val="0"/>
    <w:pPr>
      <w:spacing w:line="360" w:lineRule="auto"/>
      <w:ind w:firstLine="505"/>
      <w:jc w:val="left"/>
      <w:textAlignment w:val="baseline"/>
    </w:pPr>
    <w:rPr>
      <w:rFonts w:ascii="宋体" w:hAnsi="Calibri" w:eastAsia="宋体"/>
      <w:kern w:val="0"/>
      <w:sz w:val="24"/>
      <w:szCs w:val="20"/>
    </w:rPr>
  </w:style>
  <w:style w:type="character" w:customStyle="1" w:styleId="506">
    <w:name w:val="Char Char8"/>
    <w:qFormat/>
    <w:uiPriority w:val="0"/>
    <w:rPr>
      <w:rFonts w:eastAsia="宋体"/>
      <w:b/>
      <w:bCs/>
      <w:kern w:val="2"/>
      <w:sz w:val="32"/>
      <w:szCs w:val="32"/>
      <w:lang w:val="en-US" w:eastAsia="zh-CN" w:bidi="ar-SA"/>
    </w:rPr>
  </w:style>
  <w:style w:type="character" w:customStyle="1" w:styleId="507">
    <w:name w:val="表格文字01 Char"/>
    <w:link w:val="508"/>
    <w:qFormat/>
    <w:uiPriority w:val="0"/>
    <w:rPr>
      <w:rFonts w:ascii="Arial" w:hAnsi="Arial"/>
      <w:snapToGrid/>
      <w:color w:val="000000"/>
      <w:kern w:val="2"/>
      <w:sz w:val="21"/>
    </w:rPr>
  </w:style>
  <w:style w:type="paragraph" w:customStyle="1" w:styleId="508">
    <w:name w:val="表格文字01"/>
    <w:basedOn w:val="1"/>
    <w:link w:val="507"/>
    <w:qFormat/>
    <w:uiPriority w:val="0"/>
    <w:pPr>
      <w:wordWrap w:val="0"/>
      <w:overflowPunct w:val="0"/>
      <w:topLinePunct/>
      <w:jc w:val="center"/>
    </w:pPr>
    <w:rPr>
      <w:rFonts w:ascii="Arial" w:hAnsi="Arial" w:eastAsia="宋体"/>
      <w:snapToGrid w:val="0"/>
      <w:color w:val="000000"/>
      <w:sz w:val="21"/>
      <w:szCs w:val="20"/>
    </w:rPr>
  </w:style>
  <w:style w:type="character" w:customStyle="1" w:styleId="509">
    <w:name w:val="Char Char13"/>
    <w:qFormat/>
    <w:uiPriority w:val="0"/>
    <w:rPr>
      <w:rFonts w:ascii="Arial" w:hAnsi="Arial" w:eastAsia="黑体"/>
      <w:b/>
      <w:bCs/>
    </w:rPr>
  </w:style>
  <w:style w:type="character" w:customStyle="1" w:styleId="510">
    <w:name w:val="样式 标题 4 + 宋体 Char Char Char Char Char Char Char Char Char"/>
    <w:link w:val="511"/>
    <w:qFormat/>
    <w:uiPriority w:val="0"/>
    <w:rPr>
      <w:rFonts w:ascii="Times New Roman" w:hAnsi="Times New Roman" w:eastAsia="楷体_GB2312"/>
      <w:kern w:val="2"/>
      <w:sz w:val="24"/>
      <w:szCs w:val="24"/>
      <w:lang w:val="zh-CN"/>
    </w:rPr>
  </w:style>
  <w:style w:type="paragraph" w:customStyle="1" w:styleId="511">
    <w:name w:val="样式 标题 4 + 宋体 Char Char Char Char Char Char Char Char"/>
    <w:basedOn w:val="10"/>
    <w:link w:val="510"/>
    <w:qFormat/>
    <w:uiPriority w:val="0"/>
    <w:pPr>
      <w:spacing w:line="300" w:lineRule="auto"/>
      <w:ind w:left="1680" w:hanging="420"/>
    </w:pPr>
    <w:rPr>
      <w:rFonts w:ascii="Times New Roman" w:hAnsi="Times New Roman" w:eastAsia="楷体_GB2312"/>
      <w:b w:val="0"/>
      <w:bCs w:val="0"/>
      <w:sz w:val="24"/>
      <w:szCs w:val="24"/>
      <w:lang w:val="zh-CN"/>
    </w:rPr>
  </w:style>
  <w:style w:type="character" w:customStyle="1" w:styleId="512">
    <w:name w:val="不明显参考1"/>
    <w:qFormat/>
    <w:uiPriority w:val="0"/>
    <w:rPr>
      <w:smallCaps/>
      <w:color w:val="C0504D"/>
      <w:u w:val="single"/>
    </w:rPr>
  </w:style>
  <w:style w:type="character" w:customStyle="1" w:styleId="513">
    <w:name w:val="hei18-b"/>
    <w:qFormat/>
    <w:uiPriority w:val="0"/>
  </w:style>
  <w:style w:type="character" w:customStyle="1" w:styleId="514">
    <w:name w:val="表文字 Char1"/>
    <w:qFormat/>
    <w:uiPriority w:val="0"/>
    <w:rPr>
      <w:rFonts w:ascii="宋体" w:hAnsi="宋体"/>
      <w:sz w:val="18"/>
    </w:rPr>
  </w:style>
  <w:style w:type="character" w:customStyle="1" w:styleId="515">
    <w:name w:val="lh22px"/>
    <w:qFormat/>
    <w:uiPriority w:val="0"/>
  </w:style>
  <w:style w:type="character" w:customStyle="1" w:styleId="516">
    <w:name w:val="Char7 Char Char4"/>
    <w:qFormat/>
    <w:uiPriority w:val="0"/>
    <w:rPr>
      <w:rFonts w:hAnsi="Times New Roman"/>
      <w:snapToGrid/>
      <w:kern w:val="24"/>
      <w:szCs w:val="21"/>
    </w:rPr>
  </w:style>
  <w:style w:type="character" w:customStyle="1" w:styleId="517">
    <w:name w:val="bt Char"/>
    <w:qFormat/>
    <w:uiPriority w:val="0"/>
  </w:style>
  <w:style w:type="character" w:customStyle="1" w:styleId="518">
    <w:name w:val="hx"/>
    <w:qFormat/>
    <w:uiPriority w:val="0"/>
  </w:style>
  <w:style w:type="character" w:customStyle="1" w:styleId="519">
    <w:name w:val="样式 表头11 + 自动设置 Char Char Char Char"/>
    <w:link w:val="520"/>
    <w:qFormat/>
    <w:uiPriority w:val="0"/>
    <w:rPr>
      <w:rFonts w:ascii="宋体" w:hAnsi="宋体"/>
      <w:b/>
      <w:bCs/>
      <w:color w:val="000000"/>
      <w:kern w:val="2"/>
      <w:sz w:val="24"/>
      <w:szCs w:val="21"/>
    </w:rPr>
  </w:style>
  <w:style w:type="paragraph" w:customStyle="1" w:styleId="520">
    <w:name w:val="样式 表头11 + 自动设置 Char Char Char"/>
    <w:basedOn w:val="521"/>
    <w:link w:val="519"/>
    <w:qFormat/>
    <w:uiPriority w:val="0"/>
    <w:pPr>
      <w:spacing w:line="240" w:lineRule="auto"/>
    </w:pPr>
    <w:rPr>
      <w:rFonts w:eastAsia="宋体"/>
      <w:bCs/>
      <w:color w:val="000000"/>
      <w:szCs w:val="21"/>
    </w:rPr>
  </w:style>
  <w:style w:type="paragraph" w:customStyle="1" w:styleId="521">
    <w:name w:val="表头11 Char Char Char"/>
    <w:basedOn w:val="1"/>
    <w:link w:val="1400"/>
    <w:qFormat/>
    <w:uiPriority w:val="0"/>
    <w:pPr>
      <w:spacing w:line="480" w:lineRule="exact"/>
      <w:jc w:val="center"/>
    </w:pPr>
    <w:rPr>
      <w:rFonts w:ascii="宋体" w:hAnsi="宋体"/>
      <w:b/>
      <w:color w:val="FF0000"/>
      <w:sz w:val="24"/>
    </w:rPr>
  </w:style>
  <w:style w:type="character" w:customStyle="1" w:styleId="522">
    <w:name w:val="p2"/>
    <w:qFormat/>
    <w:uiPriority w:val="0"/>
  </w:style>
  <w:style w:type="character" w:customStyle="1" w:styleId="523">
    <w:name w:val="f14"/>
    <w:qFormat/>
    <w:uiPriority w:val="0"/>
  </w:style>
  <w:style w:type="character" w:customStyle="1" w:styleId="524">
    <w:name w:val="titlered20"/>
    <w:qFormat/>
    <w:uiPriority w:val="0"/>
  </w:style>
  <w:style w:type="character" w:customStyle="1" w:styleId="525">
    <w:name w:val="正文首行缩进 Char"/>
    <w:qFormat/>
    <w:uiPriority w:val="0"/>
    <w:rPr>
      <w:snapToGrid/>
      <w:sz w:val="28"/>
      <w:lang w:eastAsia="zh-CN"/>
    </w:rPr>
  </w:style>
  <w:style w:type="character" w:customStyle="1" w:styleId="526">
    <w:name w:val="news_newsinfo_font1"/>
    <w:qFormat/>
    <w:uiPriority w:val="0"/>
    <w:rPr>
      <w:rFonts w:ascii="Verdana" w:hAnsi="Verdana" w:eastAsia="宋体"/>
      <w:kern w:val="2"/>
      <w:sz w:val="21"/>
      <w:szCs w:val="21"/>
      <w:lang w:val="en-US" w:eastAsia="zh-CN" w:bidi="ar-SA"/>
    </w:rPr>
  </w:style>
  <w:style w:type="character" w:customStyle="1" w:styleId="527">
    <w:name w:val="标题 4 Char Char Char"/>
    <w:qFormat/>
    <w:uiPriority w:val="0"/>
    <w:rPr>
      <w:rFonts w:ascii="Arial" w:hAnsi="Arial" w:eastAsia="黑体"/>
      <w:bCs/>
      <w:snapToGrid/>
      <w:kern w:val="24"/>
      <w:sz w:val="24"/>
      <w:lang w:eastAsia="zh-CN"/>
    </w:rPr>
  </w:style>
  <w:style w:type="character" w:customStyle="1" w:styleId="528">
    <w:name w:val="title41"/>
    <w:qFormat/>
    <w:uiPriority w:val="0"/>
    <w:rPr>
      <w:rFonts w:hint="eastAsia" w:ascii="宋体" w:hAnsi="宋体" w:eastAsia="宋体"/>
      <w:color w:val="FF6600"/>
      <w:sz w:val="36"/>
      <w:szCs w:val="36"/>
    </w:rPr>
  </w:style>
  <w:style w:type="character" w:customStyle="1" w:styleId="529">
    <w:name w:val="正文小四首缩1.3行距 Char"/>
    <w:link w:val="530"/>
    <w:qFormat/>
    <w:uiPriority w:val="0"/>
    <w:rPr>
      <w:rFonts w:eastAsia="宋体"/>
      <w:kern w:val="2"/>
      <w:sz w:val="24"/>
      <w:szCs w:val="24"/>
      <w:lang w:val="en-US" w:eastAsia="zh-CN" w:bidi="ar-SA"/>
    </w:rPr>
  </w:style>
  <w:style w:type="paragraph" w:customStyle="1" w:styleId="530">
    <w:name w:val="正文小四首缩1.3行距"/>
    <w:basedOn w:val="1"/>
    <w:link w:val="529"/>
    <w:qFormat/>
    <w:uiPriority w:val="0"/>
    <w:pPr>
      <w:spacing w:line="312" w:lineRule="auto"/>
      <w:ind w:firstLine="420"/>
    </w:pPr>
    <w:rPr>
      <w:sz w:val="24"/>
    </w:rPr>
  </w:style>
  <w:style w:type="character" w:customStyle="1" w:styleId="531">
    <w:name w:val="A表内容 Char"/>
    <w:link w:val="532"/>
    <w:qFormat/>
    <w:uiPriority w:val="0"/>
    <w:rPr>
      <w:rFonts w:eastAsia="宋体"/>
      <w:sz w:val="21"/>
      <w:szCs w:val="21"/>
      <w:lang w:val="en-US" w:eastAsia="zh-CN" w:bidi="ar-SA"/>
    </w:rPr>
  </w:style>
  <w:style w:type="paragraph" w:customStyle="1" w:styleId="532">
    <w:name w:val="A表内容"/>
    <w:basedOn w:val="1"/>
    <w:link w:val="531"/>
    <w:qFormat/>
    <w:uiPriority w:val="0"/>
    <w:pPr>
      <w:jc w:val="left"/>
    </w:pPr>
    <w:rPr>
      <w:kern w:val="0"/>
      <w:szCs w:val="21"/>
    </w:rPr>
  </w:style>
  <w:style w:type="character" w:customStyle="1" w:styleId="533">
    <w:name w:val="css-text3"/>
    <w:qFormat/>
    <w:uiPriority w:val="0"/>
  </w:style>
  <w:style w:type="character" w:customStyle="1" w:styleId="534">
    <w:name w:val="样式 表头 + Char"/>
    <w:link w:val="535"/>
    <w:qFormat/>
    <w:uiPriority w:val="0"/>
    <w:rPr>
      <w:rFonts w:ascii="黑体" w:eastAsia="黑体"/>
      <w:b/>
      <w:bCs/>
      <w:color w:val="000000"/>
      <w:kern w:val="2"/>
      <w:sz w:val="24"/>
      <w:szCs w:val="24"/>
      <w:lang w:val="en-US" w:eastAsia="zh-CN" w:bidi="ar-SA"/>
    </w:rPr>
  </w:style>
  <w:style w:type="paragraph" w:customStyle="1" w:styleId="535">
    <w:name w:val="样式 表头 +"/>
    <w:basedOn w:val="3"/>
    <w:link w:val="534"/>
    <w:qFormat/>
    <w:uiPriority w:val="0"/>
    <w:pPr>
      <w:autoSpaceDE/>
      <w:autoSpaceDN/>
      <w:spacing w:beforeLines="0" w:afterLines="0"/>
      <w:textAlignment w:val="auto"/>
    </w:pPr>
    <w:rPr>
      <w:rFonts w:ascii="黑体" w:hAnsi="Times New Roman"/>
      <w:bCs/>
      <w:snapToGrid/>
      <w:color w:val="000000"/>
      <w:spacing w:val="0"/>
      <w:kern w:val="2"/>
    </w:rPr>
  </w:style>
  <w:style w:type="paragraph" w:customStyle="1" w:styleId="536">
    <w:name w:val="表1"/>
    <w:next w:val="1"/>
    <w:link w:val="1088"/>
    <w:qFormat/>
    <w:uiPriority w:val="0"/>
    <w:pPr>
      <w:adjustRightInd w:val="0"/>
      <w:snapToGrid w:val="0"/>
      <w:spacing w:line="320" w:lineRule="exact"/>
      <w:jc w:val="center"/>
    </w:pPr>
    <w:rPr>
      <w:rFonts w:ascii="Calibri" w:hAnsi="Calibri" w:eastAsia="宋体" w:cs="Times New Roman"/>
      <w:sz w:val="21"/>
      <w:lang w:val="en-US" w:eastAsia="zh-CN" w:bidi="ar-SA"/>
    </w:rPr>
  </w:style>
  <w:style w:type="character" w:customStyle="1" w:styleId="537">
    <w:name w:val="样式 样式 方正宋三简体 14 磅 行距: 1.5 倍行距1 + 首行缩进:  2 字符 Char"/>
    <w:link w:val="538"/>
    <w:qFormat/>
    <w:uiPriority w:val="0"/>
    <w:rPr>
      <w:rFonts w:ascii="宋体" w:hAnsi="方正宋三简体" w:eastAsia="宋体" w:cs="宋体"/>
      <w:kern w:val="2"/>
      <w:sz w:val="27"/>
      <w:szCs w:val="27"/>
      <w:lang w:val="en-US" w:eastAsia="zh-CN" w:bidi="ar-SA"/>
    </w:rPr>
  </w:style>
  <w:style w:type="paragraph" w:customStyle="1" w:styleId="538">
    <w:name w:val="样式 样式 方正宋三简体 14 磅 行距: 1.5 倍行距1 + 首行缩进:  2 字符"/>
    <w:basedOn w:val="1"/>
    <w:link w:val="537"/>
    <w:qFormat/>
    <w:uiPriority w:val="0"/>
    <w:rPr>
      <w:rFonts w:ascii="宋体" w:hAnsi="方正宋三简体" w:cs="宋体"/>
      <w:sz w:val="27"/>
      <w:szCs w:val="27"/>
    </w:rPr>
  </w:style>
  <w:style w:type="character" w:customStyle="1" w:styleId="539">
    <w:name w:val="普通文字 Char Char Char Char1"/>
    <w:qFormat/>
    <w:uiPriority w:val="0"/>
    <w:rPr>
      <w:rFonts w:ascii="宋体" w:hAnsi="Courier New" w:cs="Courier New"/>
      <w:kern w:val="2"/>
      <w:sz w:val="21"/>
      <w:szCs w:val="21"/>
      <w:lang w:eastAsia="zh-CN"/>
    </w:rPr>
  </w:style>
  <w:style w:type="character" w:customStyle="1" w:styleId="540">
    <w:name w:val="WW-默认段落字体"/>
    <w:qFormat/>
    <w:uiPriority w:val="0"/>
  </w:style>
  <w:style w:type="character" w:customStyle="1" w:styleId="541">
    <w:name w:val="德胜空行 Char"/>
    <w:link w:val="542"/>
    <w:qFormat/>
    <w:uiPriority w:val="0"/>
    <w:rPr>
      <w:rFonts w:eastAsia="宋体"/>
      <w:snapToGrid w:val="0"/>
      <w:color w:val="0000FF"/>
      <w:sz w:val="21"/>
      <w:szCs w:val="21"/>
      <w:lang w:val="en-US" w:eastAsia="zh-CN" w:bidi="ar-SA"/>
    </w:rPr>
  </w:style>
  <w:style w:type="paragraph" w:customStyle="1" w:styleId="542">
    <w:name w:val="德胜空行"/>
    <w:basedOn w:val="1"/>
    <w:link w:val="541"/>
    <w:qFormat/>
    <w:uiPriority w:val="0"/>
    <w:pPr>
      <w:jc w:val="left"/>
    </w:pPr>
    <w:rPr>
      <w:snapToGrid w:val="0"/>
      <w:color w:val="0000FF"/>
      <w:kern w:val="0"/>
      <w:szCs w:val="21"/>
    </w:rPr>
  </w:style>
  <w:style w:type="character" w:customStyle="1" w:styleId="543">
    <w:name w:val="样式 样式 样式 首行缩进:  2 字符 + 首行缩进:  2 字符 + 首行缩进:  2 字符 Char"/>
    <w:link w:val="544"/>
    <w:qFormat/>
    <w:uiPriority w:val="0"/>
    <w:rPr>
      <w:rFonts w:ascii="宋体" w:eastAsia="宋体"/>
      <w:kern w:val="2"/>
      <w:sz w:val="27"/>
      <w:lang w:val="en-US" w:eastAsia="zh-CN" w:bidi="ar-SA"/>
    </w:rPr>
  </w:style>
  <w:style w:type="paragraph" w:customStyle="1" w:styleId="544">
    <w:name w:val="样式 样式 样式 首行缩进:  2 字符 + 首行缩进:  2 字符 + 首行缩进:  2 字符"/>
    <w:basedOn w:val="1"/>
    <w:link w:val="543"/>
    <w:qFormat/>
    <w:uiPriority w:val="0"/>
    <w:pPr>
      <w:ind w:firstLine="567"/>
    </w:pPr>
    <w:rPr>
      <w:rFonts w:ascii="宋体"/>
      <w:sz w:val="27"/>
      <w:szCs w:val="20"/>
    </w:rPr>
  </w:style>
  <w:style w:type="character" w:customStyle="1" w:styleId="545">
    <w:name w:val="正文 + 首行缩进:  2 字符 Char"/>
    <w:qFormat/>
    <w:uiPriority w:val="0"/>
    <w:rPr>
      <w:rFonts w:eastAsia="宋体"/>
      <w:spacing w:val="12"/>
      <w:kern w:val="2"/>
      <w:sz w:val="24"/>
      <w:lang w:val="en-US" w:eastAsia="zh-CN" w:bidi="ar-SA"/>
    </w:rPr>
  </w:style>
  <w:style w:type="character" w:customStyle="1" w:styleId="546">
    <w:name w:val="文档结构图 Char"/>
    <w:qFormat/>
    <w:uiPriority w:val="0"/>
    <w:rPr>
      <w:rFonts w:ascii="Times New Roman" w:hAnsi="Times New Roman" w:eastAsia="宋体" w:cs="Times New Roman"/>
      <w:szCs w:val="20"/>
      <w:shd w:val="clear" w:color="auto" w:fill="000080"/>
    </w:rPr>
  </w:style>
  <w:style w:type="character" w:customStyle="1" w:styleId="547">
    <w:name w:val="Char Char54"/>
    <w:qFormat/>
    <w:uiPriority w:val="0"/>
  </w:style>
  <w:style w:type="character" w:customStyle="1" w:styleId="548">
    <w:name w:val="样式3 Char"/>
    <w:link w:val="549"/>
    <w:qFormat/>
    <w:uiPriority w:val="0"/>
    <w:rPr>
      <w:rFonts w:ascii="黑体" w:hAnsi="宋体" w:eastAsia="黑体"/>
      <w:b/>
      <w:bCs/>
      <w:sz w:val="30"/>
      <w:szCs w:val="30"/>
      <w:lang w:val="en-US" w:eastAsia="zh-CN" w:bidi="ar-SA"/>
    </w:rPr>
  </w:style>
  <w:style w:type="paragraph" w:customStyle="1" w:styleId="549">
    <w:name w:val="样式3"/>
    <w:basedOn w:val="38"/>
    <w:link w:val="548"/>
    <w:qFormat/>
    <w:uiPriority w:val="0"/>
    <w:pPr>
      <w:tabs>
        <w:tab w:val="left" w:pos="540"/>
        <w:tab w:val="left" w:pos="600"/>
        <w:tab w:val="left" w:pos="720"/>
        <w:tab w:val="left" w:pos="1200"/>
        <w:tab w:val="left" w:pos="1440"/>
        <w:tab w:val="left" w:pos="2448"/>
        <w:tab w:val="left" w:pos="3000"/>
        <w:tab w:val="left" w:pos="3888"/>
        <w:tab w:val="left" w:pos="4800"/>
        <w:tab w:val="left" w:pos="5040"/>
        <w:tab w:val="left" w:pos="5883"/>
        <w:tab w:val="left" w:pos="6300"/>
        <w:tab w:val="left" w:pos="7353"/>
        <w:tab w:val="left" w:pos="8613"/>
      </w:tabs>
      <w:autoSpaceDE w:val="0"/>
      <w:autoSpaceDN w:val="0"/>
      <w:spacing w:beforeLines="50" w:afterLines="50" w:line="300" w:lineRule="auto"/>
    </w:pPr>
    <w:rPr>
      <w:rFonts w:ascii="黑体" w:hAnsi="宋体" w:eastAsia="黑体"/>
      <w:b/>
      <w:bCs/>
      <w:kern w:val="0"/>
      <w:sz w:val="30"/>
      <w:szCs w:val="30"/>
    </w:rPr>
  </w:style>
  <w:style w:type="character" w:customStyle="1" w:styleId="550">
    <w:name w:val="正文首行缩进 Char1"/>
    <w:link w:val="551"/>
    <w:qFormat/>
    <w:uiPriority w:val="0"/>
    <w:rPr>
      <w:rFonts w:ascii="宋体" w:hAnsi="宋体"/>
      <w:sz w:val="24"/>
      <w:szCs w:val="24"/>
      <w:lang w:eastAsia="zh-CN"/>
    </w:rPr>
  </w:style>
  <w:style w:type="paragraph" w:customStyle="1" w:styleId="551">
    <w:name w:val="正文首行缩进2"/>
    <w:basedOn w:val="38"/>
    <w:link w:val="550"/>
    <w:qFormat/>
    <w:uiPriority w:val="0"/>
    <w:pPr>
      <w:spacing w:after="0" w:line="312" w:lineRule="auto"/>
      <w:ind w:firstLine="567"/>
      <w:textAlignment w:val="baseline"/>
    </w:pPr>
    <w:rPr>
      <w:rFonts w:ascii="宋体" w:hAnsi="宋体"/>
      <w:kern w:val="0"/>
      <w:sz w:val="24"/>
    </w:rPr>
  </w:style>
  <w:style w:type="character" w:customStyle="1" w:styleId="552">
    <w:name w:val="样式 样式 首行缩进:  2 字符 + 首行缩进:  2 字符 Char"/>
    <w:link w:val="553"/>
    <w:qFormat/>
    <w:uiPriority w:val="0"/>
    <w:rPr>
      <w:rFonts w:eastAsia="黑体"/>
      <w:kern w:val="28"/>
      <w:sz w:val="28"/>
      <w:lang w:val="en-US" w:eastAsia="zh-CN" w:bidi="ar-SA"/>
    </w:rPr>
  </w:style>
  <w:style w:type="paragraph" w:customStyle="1" w:styleId="553">
    <w:name w:val="样式 样式 首行缩进:  2 字符 + 首行缩进:  2 字符"/>
    <w:basedOn w:val="1"/>
    <w:link w:val="552"/>
    <w:qFormat/>
    <w:uiPriority w:val="0"/>
    <w:pPr>
      <w:tabs>
        <w:tab w:val="left" w:pos="540"/>
        <w:tab w:val="left" w:pos="600"/>
        <w:tab w:val="left" w:pos="720"/>
        <w:tab w:val="left" w:pos="1200"/>
        <w:tab w:val="left" w:pos="1440"/>
        <w:tab w:val="left" w:pos="2448"/>
        <w:tab w:val="left" w:pos="6755"/>
        <w:tab w:val="left" w:pos="6830"/>
        <w:tab w:val="left" w:pos="7353"/>
        <w:tab w:val="left" w:pos="8613"/>
      </w:tabs>
      <w:spacing w:line="300" w:lineRule="auto"/>
      <w:ind w:firstLine="560"/>
      <w:textAlignment w:val="baseline"/>
    </w:pPr>
    <w:rPr>
      <w:rFonts w:eastAsia="黑体"/>
      <w:kern w:val="28"/>
      <w:szCs w:val="20"/>
    </w:rPr>
  </w:style>
  <w:style w:type="character" w:customStyle="1" w:styleId="554">
    <w:name w:val="r1"/>
    <w:qFormat/>
    <w:uiPriority w:val="0"/>
    <w:rPr>
      <w:sz w:val="20"/>
      <w:szCs w:val="20"/>
    </w:rPr>
  </w:style>
  <w:style w:type="character" w:customStyle="1" w:styleId="555">
    <w:name w:val="正文01 Char"/>
    <w:link w:val="556"/>
    <w:qFormat/>
    <w:locked/>
    <w:uiPriority w:val="0"/>
    <w:rPr>
      <w:rFonts w:eastAsia="宋体"/>
      <w:kern w:val="2"/>
      <w:sz w:val="24"/>
      <w:szCs w:val="24"/>
      <w:lang w:val="en-US" w:eastAsia="zh-CN" w:bidi="ar-SA"/>
    </w:rPr>
  </w:style>
  <w:style w:type="paragraph" w:customStyle="1" w:styleId="556">
    <w:name w:val="正文01"/>
    <w:basedOn w:val="1"/>
    <w:link w:val="555"/>
    <w:qFormat/>
    <w:uiPriority w:val="0"/>
    <w:pPr>
      <w:spacing w:before="60" w:line="460" w:lineRule="exact"/>
    </w:pPr>
    <w:rPr>
      <w:sz w:val="24"/>
    </w:rPr>
  </w:style>
  <w:style w:type="character" w:customStyle="1" w:styleId="557">
    <w:name w:val="model11"/>
    <w:qFormat/>
    <w:uiPriority w:val="0"/>
    <w:rPr>
      <w:rFonts w:hint="eastAsia" w:ascii="宋体" w:hAnsi="宋体" w:eastAsia="宋体"/>
      <w:sz w:val="18"/>
      <w:szCs w:val="18"/>
      <w:u w:val="none"/>
    </w:rPr>
  </w:style>
  <w:style w:type="character" w:customStyle="1" w:styleId="558">
    <w:name w:val="样式2 Char"/>
    <w:qFormat/>
    <w:uiPriority w:val="0"/>
    <w:rPr>
      <w:rFonts w:ascii="宋体" w:hAnsi="黑体" w:eastAsia="黑体"/>
      <w:b/>
      <w:bCs/>
      <w:kern w:val="2"/>
      <w:sz w:val="32"/>
      <w:szCs w:val="32"/>
      <w:lang w:val="en-US" w:eastAsia="zh-CN" w:bidi="ar-SA"/>
    </w:rPr>
  </w:style>
  <w:style w:type="character" w:customStyle="1" w:styleId="559">
    <w:name w:val="Char Char17"/>
    <w:qFormat/>
    <w:uiPriority w:val="0"/>
  </w:style>
  <w:style w:type="character" w:customStyle="1" w:styleId="560">
    <w:name w:val="题注 Char Char1"/>
    <w:qFormat/>
    <w:uiPriority w:val="0"/>
    <w:rPr>
      <w:rFonts w:ascii="Arial" w:hAnsi="Arial" w:cs="Arial"/>
      <w:kern w:val="2"/>
      <w:sz w:val="24"/>
      <w:szCs w:val="24"/>
      <w:lang w:eastAsia="zh-CN"/>
    </w:rPr>
  </w:style>
  <w:style w:type="character" w:customStyle="1" w:styleId="561">
    <w:name w:val="txt1"/>
    <w:qFormat/>
    <w:uiPriority w:val="0"/>
    <w:rPr>
      <w:sz w:val="20"/>
      <w:szCs w:val="20"/>
    </w:rPr>
  </w:style>
  <w:style w:type="character" w:customStyle="1" w:styleId="562">
    <w:name w:val="big1"/>
    <w:qFormat/>
    <w:uiPriority w:val="0"/>
    <w:rPr>
      <w:rFonts w:hint="default"/>
      <w:spacing w:val="408"/>
      <w:sz w:val="21"/>
      <w:szCs w:val="21"/>
    </w:rPr>
  </w:style>
  <w:style w:type="character" w:customStyle="1" w:styleId="563">
    <w:name w:val="图表 Char"/>
    <w:link w:val="564"/>
    <w:qFormat/>
    <w:uiPriority w:val="0"/>
    <w:rPr>
      <w:rFonts w:eastAsia="Times New Roman"/>
      <w:color w:val="800000"/>
      <w:spacing w:val="20"/>
      <w:kern w:val="2"/>
      <w:sz w:val="21"/>
      <w:szCs w:val="24"/>
      <w:lang w:val="en-US" w:eastAsia="zh-CN" w:bidi="ar-SA"/>
    </w:rPr>
  </w:style>
  <w:style w:type="paragraph" w:customStyle="1" w:styleId="564">
    <w:name w:val="图表"/>
    <w:link w:val="563"/>
    <w:qFormat/>
    <w:uiPriority w:val="0"/>
    <w:pPr>
      <w:spacing w:line="320" w:lineRule="exact"/>
      <w:jc w:val="center"/>
    </w:pPr>
    <w:rPr>
      <w:rFonts w:ascii="Calibri" w:hAnsi="Calibri" w:eastAsia="Times New Roman" w:cs="Times New Roman"/>
      <w:color w:val="800000"/>
      <w:spacing w:val="20"/>
      <w:kern w:val="2"/>
      <w:sz w:val="21"/>
      <w:szCs w:val="24"/>
      <w:lang w:val="en-US" w:eastAsia="zh-CN" w:bidi="ar-SA"/>
    </w:rPr>
  </w:style>
  <w:style w:type="character" w:customStyle="1" w:styleId="565">
    <w:name w:val="标题 Char1"/>
    <w:qFormat/>
    <w:uiPriority w:val="0"/>
    <w:rPr>
      <w:rFonts w:ascii="黑体" w:hAnsi="MS Sans Serif" w:eastAsia="黑体" w:cs="Times New Roman"/>
      <w:b/>
      <w:spacing w:val="20"/>
      <w:kern w:val="28"/>
      <w:sz w:val="44"/>
      <w:szCs w:val="20"/>
    </w:rPr>
  </w:style>
  <w:style w:type="character" w:customStyle="1" w:styleId="566">
    <w:name w:val="报告标题1 Char"/>
    <w:link w:val="567"/>
    <w:qFormat/>
    <w:uiPriority w:val="0"/>
    <w:rPr>
      <w:rFonts w:ascii="Arial" w:hAnsi="Arial" w:eastAsia="宋体"/>
      <w:b/>
      <w:bCs/>
      <w:color w:val="000000"/>
      <w:kern w:val="2"/>
      <w:sz w:val="30"/>
      <w:szCs w:val="24"/>
      <w:lang w:val="en-US" w:eastAsia="zh-CN" w:bidi="ar-SA"/>
    </w:rPr>
  </w:style>
  <w:style w:type="paragraph" w:customStyle="1" w:styleId="567">
    <w:name w:val="报告标题1"/>
    <w:basedOn w:val="5"/>
    <w:link w:val="566"/>
    <w:qFormat/>
    <w:uiPriority w:val="0"/>
    <w:pPr>
      <w:keepLines w:val="0"/>
      <w:tabs>
        <w:tab w:val="left" w:pos="0"/>
      </w:tabs>
      <w:spacing w:before="0" w:after="0" w:line="360" w:lineRule="auto"/>
      <w:jc w:val="left"/>
    </w:pPr>
    <w:rPr>
      <w:rFonts w:ascii="Arial" w:hAnsi="Arial"/>
      <w:color w:val="000000"/>
      <w:kern w:val="2"/>
      <w:sz w:val="30"/>
      <w:szCs w:val="24"/>
    </w:rPr>
  </w:style>
  <w:style w:type="character" w:customStyle="1" w:styleId="568">
    <w:name w:val="批注框文本 Char"/>
    <w:qFormat/>
    <w:uiPriority w:val="0"/>
    <w:rPr>
      <w:rFonts w:ascii="Times New Roman" w:hAnsi="Times New Roman" w:eastAsia="宋体" w:cs="Times New Roman"/>
      <w:sz w:val="18"/>
      <w:szCs w:val="18"/>
    </w:rPr>
  </w:style>
  <w:style w:type="character" w:customStyle="1" w:styleId="569">
    <w:name w:val="main"/>
    <w:qFormat/>
    <w:uiPriority w:val="0"/>
  </w:style>
  <w:style w:type="character" w:customStyle="1" w:styleId="570">
    <w:name w:val="标题 3 Char Char Char Char"/>
    <w:qFormat/>
    <w:uiPriority w:val="0"/>
    <w:rPr>
      <w:spacing w:val="315"/>
      <w:sz w:val="21"/>
      <w:szCs w:val="21"/>
    </w:rPr>
  </w:style>
  <w:style w:type="character" w:customStyle="1" w:styleId="571">
    <w:name w:val="报告标题3 Char"/>
    <w:link w:val="572"/>
    <w:qFormat/>
    <w:uiPriority w:val="0"/>
    <w:rPr>
      <w:rFonts w:ascii="Arial" w:hAnsi="Arial" w:eastAsia="宋体"/>
      <w:b/>
      <w:color w:val="000000"/>
      <w:kern w:val="2"/>
      <w:sz w:val="24"/>
      <w:szCs w:val="32"/>
      <w:lang w:val="en-US" w:eastAsia="zh-CN" w:bidi="ar-SA"/>
    </w:rPr>
  </w:style>
  <w:style w:type="paragraph" w:customStyle="1" w:styleId="572">
    <w:name w:val="报告标题3"/>
    <w:basedOn w:val="7"/>
    <w:link w:val="571"/>
    <w:qFormat/>
    <w:uiPriority w:val="0"/>
    <w:pPr>
      <w:tabs>
        <w:tab w:val="left" w:pos="0"/>
        <w:tab w:val="clear" w:pos="1440"/>
      </w:tabs>
      <w:spacing w:before="0" w:after="0" w:line="360" w:lineRule="auto"/>
      <w:ind w:left="0" w:firstLine="0"/>
      <w:jc w:val="left"/>
    </w:pPr>
    <w:rPr>
      <w:rFonts w:ascii="Arial" w:hAnsi="Arial" w:eastAsia="宋体"/>
      <w:color w:val="000000"/>
      <w:kern w:val="2"/>
      <w:sz w:val="24"/>
      <w:szCs w:val="32"/>
    </w:rPr>
  </w:style>
  <w:style w:type="character" w:customStyle="1" w:styleId="573">
    <w:name w:val="表中文字 Char"/>
    <w:qFormat/>
    <w:uiPriority w:val="0"/>
    <w:rPr>
      <w:rFonts w:eastAsia="宋体"/>
      <w:sz w:val="24"/>
      <w:lang w:val="en-US" w:eastAsia="zh-CN" w:bidi="ar-SA"/>
    </w:rPr>
  </w:style>
  <w:style w:type="character" w:customStyle="1" w:styleId="574">
    <w:name w:val="正文-------- Char"/>
    <w:link w:val="575"/>
    <w:qFormat/>
    <w:uiPriority w:val="0"/>
    <w:rPr>
      <w:rFonts w:eastAsia="宋体" w:cs="宋体"/>
      <w:kern w:val="2"/>
      <w:sz w:val="24"/>
      <w:lang w:val="en-US" w:eastAsia="zh-CN" w:bidi="ar-SA"/>
    </w:rPr>
  </w:style>
  <w:style w:type="paragraph" w:customStyle="1" w:styleId="575">
    <w:name w:val="正文--------"/>
    <w:basedOn w:val="1"/>
    <w:link w:val="574"/>
    <w:qFormat/>
    <w:uiPriority w:val="0"/>
    <w:pPr>
      <w:spacing w:line="460" w:lineRule="exact"/>
      <w:ind w:firstLine="480"/>
      <w:jc w:val="left"/>
    </w:pPr>
    <w:rPr>
      <w:rFonts w:cs="宋体"/>
      <w:sz w:val="24"/>
      <w:szCs w:val="20"/>
    </w:rPr>
  </w:style>
  <w:style w:type="character" w:customStyle="1" w:styleId="576">
    <w:name w:val="正文文字缩进 3 Char Char"/>
    <w:qFormat/>
    <w:uiPriority w:val="0"/>
    <w:rPr>
      <w:rFonts w:ascii="宋体" w:hAnsi="宋体"/>
      <w:color w:val="0000FF"/>
      <w:kern w:val="2"/>
      <w:sz w:val="24"/>
      <w:szCs w:val="24"/>
    </w:rPr>
  </w:style>
  <w:style w:type="character" w:customStyle="1" w:styleId="577">
    <w:name w:val="表格下方正文 Char"/>
    <w:link w:val="578"/>
    <w:qFormat/>
    <w:uiPriority w:val="0"/>
    <w:rPr>
      <w:rFonts w:eastAsia="宋体"/>
      <w:kern w:val="2"/>
      <w:sz w:val="24"/>
      <w:lang w:val="en-US" w:eastAsia="zh-CN" w:bidi="ar-SA"/>
    </w:rPr>
  </w:style>
  <w:style w:type="paragraph" w:customStyle="1" w:styleId="578">
    <w:name w:val="表格下方正文"/>
    <w:basedOn w:val="1"/>
    <w:link w:val="577"/>
    <w:qFormat/>
    <w:uiPriority w:val="0"/>
    <w:pPr>
      <w:spacing w:before="300" w:line="460" w:lineRule="exact"/>
    </w:pPr>
    <w:rPr>
      <w:sz w:val="24"/>
      <w:szCs w:val="20"/>
    </w:rPr>
  </w:style>
  <w:style w:type="character" w:customStyle="1" w:styleId="579">
    <w:name w:val="台塑正文小四1.3 Char"/>
    <w:qFormat/>
    <w:uiPriority w:val="0"/>
    <w:rPr>
      <w:color w:val="000000"/>
      <w:sz w:val="24"/>
      <w:szCs w:val="24"/>
      <w:lang w:eastAsia="zh-CN"/>
    </w:rPr>
  </w:style>
  <w:style w:type="character" w:customStyle="1" w:styleId="580">
    <w:name w:val="split-word"/>
    <w:qFormat/>
    <w:uiPriority w:val="0"/>
    <w:rPr>
      <w:rFonts w:cs="Times New Roman"/>
    </w:rPr>
  </w:style>
  <w:style w:type="character" w:customStyle="1" w:styleId="581">
    <w:name w:val="图1-1 Char"/>
    <w:qFormat/>
    <w:uiPriority w:val="0"/>
    <w:rPr>
      <w:rFonts w:eastAsia="宋体"/>
      <w:b/>
      <w:spacing w:val="12"/>
      <w:w w:val="90"/>
      <w:kern w:val="2"/>
      <w:sz w:val="21"/>
      <w:szCs w:val="24"/>
      <w:lang w:val="en-US" w:eastAsia="zh-CN" w:bidi="ar-SA"/>
    </w:rPr>
  </w:style>
  <w:style w:type="character" w:customStyle="1" w:styleId="582">
    <w:name w:val="contenttext11"/>
    <w:qFormat/>
    <w:uiPriority w:val="0"/>
    <w:rPr>
      <w:rFonts w:hint="eastAsia" w:ascii="宋体" w:hAnsi="宋体" w:eastAsia="宋体"/>
      <w:sz w:val="20"/>
      <w:szCs w:val="20"/>
    </w:rPr>
  </w:style>
  <w:style w:type="character" w:customStyle="1" w:styleId="583">
    <w:name w:val="标题 4 Char2"/>
    <w:qFormat/>
    <w:uiPriority w:val="0"/>
    <w:rPr>
      <w:rFonts w:ascii="Verdana" w:hAnsi="Verdana" w:eastAsia="宋体"/>
      <w:bCs/>
      <w:snapToGrid w:val="0"/>
      <w:kern w:val="2"/>
      <w:sz w:val="28"/>
      <w:szCs w:val="28"/>
      <w:lang w:val="en-US" w:eastAsia="zh-CN" w:bidi="ar-SA"/>
    </w:rPr>
  </w:style>
  <w:style w:type="character" w:customStyle="1" w:styleId="584">
    <w:name w:val="样式 标题 4 + (西文) 宋体 Char"/>
    <w:qFormat/>
    <w:uiPriority w:val="0"/>
    <w:rPr>
      <w:rFonts w:ascii="宋体" w:hAnsi="宋体" w:eastAsia="黑体"/>
      <w:b/>
      <w:bCs/>
      <w:kern w:val="2"/>
      <w:sz w:val="24"/>
      <w:szCs w:val="28"/>
      <w:lang w:eastAsia="zh-CN"/>
    </w:rPr>
  </w:style>
  <w:style w:type="character" w:customStyle="1" w:styleId="585">
    <w:name w:val="样式 正文首行缩进 + 首行缩进:  2 字符 Char2"/>
    <w:qFormat/>
    <w:uiPriority w:val="0"/>
    <w:rPr>
      <w:rFonts w:ascii="宋体" w:hAnsi="宋体" w:cs="宋体"/>
      <w:sz w:val="24"/>
      <w:szCs w:val="24"/>
      <w:lang w:eastAsia="zh-CN"/>
    </w:rPr>
  </w:style>
  <w:style w:type="character" w:customStyle="1" w:styleId="586">
    <w:name w:val="德胜正文顶格小标题 Char"/>
    <w:link w:val="587"/>
    <w:qFormat/>
    <w:uiPriority w:val="0"/>
    <w:rPr>
      <w:rFonts w:eastAsia="宋体"/>
      <w:snapToGrid w:val="0"/>
      <w:color w:val="0000FF"/>
      <w:sz w:val="24"/>
      <w:szCs w:val="24"/>
      <w:lang w:val="en-US" w:eastAsia="zh-CN" w:bidi="ar-SA"/>
    </w:rPr>
  </w:style>
  <w:style w:type="paragraph" w:customStyle="1" w:styleId="587">
    <w:name w:val="德胜正文顶格小标题"/>
    <w:basedOn w:val="542"/>
    <w:link w:val="586"/>
    <w:qFormat/>
    <w:uiPriority w:val="0"/>
    <w:pPr>
      <w:spacing w:line="360" w:lineRule="auto"/>
    </w:pPr>
    <w:rPr>
      <w:sz w:val="24"/>
      <w:szCs w:val="24"/>
    </w:rPr>
  </w:style>
  <w:style w:type="character" w:customStyle="1" w:styleId="588">
    <w:name w:val="样式 正文首行缩进 + (符号) Times New Roman Char"/>
    <w:link w:val="589"/>
    <w:qFormat/>
    <w:uiPriority w:val="0"/>
    <w:rPr>
      <w:rFonts w:eastAsia="宋体"/>
      <w:color w:val="000000"/>
      <w:kern w:val="21"/>
      <w:sz w:val="28"/>
      <w:szCs w:val="28"/>
      <w:lang w:val="en-US" w:eastAsia="zh-CN" w:bidi="ar-SA"/>
    </w:rPr>
  </w:style>
  <w:style w:type="paragraph" w:customStyle="1" w:styleId="589">
    <w:name w:val="样式 正文首行缩进 + (符号) Times New Roman"/>
    <w:basedOn w:val="89"/>
    <w:link w:val="588"/>
    <w:qFormat/>
    <w:uiPriority w:val="0"/>
    <w:pPr>
      <w:tabs>
        <w:tab w:val="left" w:pos="2538"/>
      </w:tabs>
      <w:suppressAutoHyphens/>
      <w:spacing w:line="300" w:lineRule="auto"/>
      <w:ind w:right="-105" w:rightChars="-50" w:firstLine="538" w:firstLineChars="192"/>
    </w:pPr>
    <w:rPr>
      <w:color w:val="000000"/>
      <w:kern w:val="21"/>
      <w:szCs w:val="28"/>
    </w:rPr>
  </w:style>
  <w:style w:type="character" w:customStyle="1" w:styleId="590">
    <w:name w:val="A   正文 Char Char"/>
    <w:link w:val="591"/>
    <w:qFormat/>
    <w:uiPriority w:val="0"/>
    <w:rPr>
      <w:rFonts w:ascii="黑体" w:hAnsi="Verdana" w:eastAsia="宋体"/>
      <w:snapToGrid w:val="0"/>
      <w:color w:val="000000"/>
      <w:kern w:val="2"/>
      <w:sz w:val="28"/>
      <w:lang w:val="en-US" w:eastAsia="zh-CN" w:bidi="ar-SA"/>
    </w:rPr>
  </w:style>
  <w:style w:type="paragraph" w:customStyle="1" w:styleId="591">
    <w:name w:val="A   正文"/>
    <w:basedOn w:val="1"/>
    <w:link w:val="590"/>
    <w:qFormat/>
    <w:uiPriority w:val="0"/>
    <w:pPr>
      <w:spacing w:before="120" w:after="60" w:line="300" w:lineRule="auto"/>
      <w:ind w:firstLine="560"/>
    </w:pPr>
    <w:rPr>
      <w:rFonts w:ascii="黑体" w:hAnsi="Verdana"/>
      <w:snapToGrid w:val="0"/>
      <w:color w:val="000000"/>
      <w:szCs w:val="20"/>
    </w:rPr>
  </w:style>
  <w:style w:type="character" w:customStyle="1" w:styleId="592">
    <w:name w:val="样式 表头11 + 自动设置 Char Char1"/>
    <w:qFormat/>
    <w:uiPriority w:val="0"/>
    <w:rPr>
      <w:b/>
      <w:bCs/>
      <w:color w:val="000000"/>
      <w:szCs w:val="21"/>
    </w:rPr>
  </w:style>
  <w:style w:type="character" w:customStyle="1" w:styleId="593">
    <w:name w:val="样式 纯文本 + Times New Roman 四号 Char"/>
    <w:link w:val="594"/>
    <w:qFormat/>
    <w:uiPriority w:val="0"/>
    <w:rPr>
      <w:rFonts w:eastAsia="宋体" w:cs="Courier New"/>
      <w:kern w:val="2"/>
      <w:sz w:val="28"/>
      <w:szCs w:val="21"/>
      <w:lang w:val="en-GB" w:eastAsia="zh-CN" w:bidi="ar-SA"/>
    </w:rPr>
  </w:style>
  <w:style w:type="paragraph" w:customStyle="1" w:styleId="594">
    <w:name w:val="样式 纯文本 + Times New Roman 四号"/>
    <w:basedOn w:val="49"/>
    <w:link w:val="593"/>
    <w:qFormat/>
    <w:uiPriority w:val="0"/>
    <w:pPr>
      <w:ind w:firstLine="640"/>
    </w:pPr>
    <w:rPr>
      <w:rFonts w:ascii="Times New Roman" w:hAnsi="Times New Roman" w:cs="Courier New"/>
      <w:kern w:val="2"/>
      <w:szCs w:val="21"/>
      <w:lang w:val="en-GB"/>
    </w:rPr>
  </w:style>
  <w:style w:type="character" w:customStyle="1" w:styleId="595">
    <w:name w:val="_Heading 2 Char Char Char Char"/>
    <w:qFormat/>
    <w:uiPriority w:val="0"/>
    <w:rPr>
      <w:rFonts w:eastAsia="黑体"/>
      <w:bCs/>
      <w:color w:val="000000"/>
      <w:sz w:val="28"/>
      <w:szCs w:val="32"/>
      <w:lang w:eastAsia="zh-CN"/>
    </w:rPr>
  </w:style>
  <w:style w:type="character" w:customStyle="1" w:styleId="596">
    <w:name w:val="标题 1 Char1 Char"/>
    <w:qFormat/>
    <w:uiPriority w:val="0"/>
    <w:rPr>
      <w:rFonts w:ascii="宋体" w:hAnsi="宋体"/>
      <w:b/>
      <w:kern w:val="44"/>
      <w:sz w:val="44"/>
      <w:szCs w:val="30"/>
    </w:rPr>
  </w:style>
  <w:style w:type="character" w:customStyle="1" w:styleId="597">
    <w:name w:val="4正文 Char Char"/>
    <w:link w:val="598"/>
    <w:qFormat/>
    <w:uiPriority w:val="0"/>
    <w:rPr>
      <w:rFonts w:eastAsia="宋体"/>
      <w:b/>
      <w:sz w:val="28"/>
      <w:lang w:val="en-US" w:eastAsia="zh-CN" w:bidi="ar-SA"/>
    </w:rPr>
  </w:style>
  <w:style w:type="paragraph" w:customStyle="1" w:styleId="598">
    <w:name w:val="4正文"/>
    <w:basedOn w:val="1"/>
    <w:link w:val="597"/>
    <w:qFormat/>
    <w:uiPriority w:val="0"/>
    <w:pPr>
      <w:spacing w:line="360" w:lineRule="auto"/>
      <w:ind w:firstLine="560"/>
      <w:textAlignment w:val="baseline"/>
    </w:pPr>
    <w:rPr>
      <w:b/>
      <w:kern w:val="0"/>
      <w:szCs w:val="20"/>
    </w:rPr>
  </w:style>
  <w:style w:type="character" w:customStyle="1" w:styleId="599">
    <w:name w:val="标题 2_Heading 111 Char"/>
    <w:link w:val="600"/>
    <w:qFormat/>
    <w:uiPriority w:val="0"/>
    <w:rPr>
      <w:rFonts w:eastAsia="黑体"/>
      <w:bCs/>
      <w:snapToGrid w:val="0"/>
      <w:kern w:val="2"/>
      <w:sz w:val="28"/>
      <w:szCs w:val="24"/>
      <w:lang w:val="en-US" w:eastAsia="zh-CN" w:bidi="ar-SA"/>
    </w:rPr>
  </w:style>
  <w:style w:type="paragraph" w:customStyle="1" w:styleId="600">
    <w:name w:val="标题 2_Heading 111"/>
    <w:basedOn w:val="6"/>
    <w:link w:val="599"/>
    <w:qFormat/>
    <w:uiPriority w:val="0"/>
    <w:pPr>
      <w:keepNext w:val="0"/>
      <w:keepLines w:val="0"/>
      <w:tabs>
        <w:tab w:val="left" w:pos="540"/>
        <w:tab w:val="left" w:pos="600"/>
        <w:tab w:val="left" w:pos="720"/>
        <w:tab w:val="left" w:pos="1200"/>
        <w:tab w:val="left" w:pos="1440"/>
        <w:tab w:val="left" w:pos="2448"/>
        <w:tab w:val="left" w:pos="3888"/>
        <w:tab w:val="left" w:pos="4800"/>
        <w:tab w:val="left" w:pos="6480"/>
        <w:tab w:val="left" w:pos="7353"/>
        <w:tab w:val="left" w:pos="8613"/>
        <w:tab w:val="clear" w:pos="1080"/>
      </w:tabs>
      <w:autoSpaceDE w:val="0"/>
      <w:autoSpaceDN w:val="0"/>
      <w:spacing w:before="0" w:after="0" w:line="300" w:lineRule="auto"/>
      <w:ind w:left="0" w:firstLine="0"/>
      <w:jc w:val="left"/>
      <w:textAlignment w:val="baseline"/>
    </w:pPr>
    <w:rPr>
      <w:b w:val="0"/>
      <w:bCs/>
      <w:snapToGrid w:val="0"/>
      <w:kern w:val="2"/>
      <w:sz w:val="28"/>
      <w:szCs w:val="24"/>
    </w:rPr>
  </w:style>
  <w:style w:type="character" w:customStyle="1" w:styleId="601">
    <w:name w:val="ca-121"/>
    <w:qFormat/>
    <w:uiPriority w:val="0"/>
    <w:rPr>
      <w:rFonts w:hint="default" w:ascii="Times New Roman" w:hAnsi="Times New Roman" w:eastAsia="宋体" w:cs="Times New Roman"/>
      <w:sz w:val="28"/>
      <w:szCs w:val="28"/>
      <w:lang w:val="en-US" w:eastAsia="en-US" w:bidi="ar-SA"/>
    </w:rPr>
  </w:style>
  <w:style w:type="character" w:customStyle="1" w:styleId="602">
    <w:name w:val="p41"/>
    <w:qFormat/>
    <w:uiPriority w:val="0"/>
    <w:rPr>
      <w:rFonts w:ascii="宋体" w:hAnsi="宋体" w:eastAsia="宋体"/>
      <w:spacing w:val="280"/>
      <w:kern w:val="2"/>
      <w:sz w:val="21"/>
      <w:szCs w:val="21"/>
      <w:lang w:val="en-US" w:eastAsia="zh-CN" w:bidi="ar-SA"/>
    </w:rPr>
  </w:style>
  <w:style w:type="character" w:customStyle="1" w:styleId="603">
    <w:name w:val="Re Char"/>
    <w:qFormat/>
    <w:uiPriority w:val="0"/>
    <w:rPr>
      <w:rFonts w:eastAsia="黑体"/>
      <w:b/>
      <w:bCs/>
      <w:snapToGrid/>
      <w:sz w:val="24"/>
      <w:szCs w:val="32"/>
      <w:lang w:eastAsia="zh-CN"/>
    </w:rPr>
  </w:style>
  <w:style w:type="character" w:customStyle="1" w:styleId="604">
    <w:name w:val="段落1 Char"/>
    <w:link w:val="605"/>
    <w:qFormat/>
    <w:uiPriority w:val="0"/>
    <w:rPr>
      <w:rFonts w:eastAsia="宋体"/>
      <w:spacing w:val="4"/>
      <w:sz w:val="24"/>
      <w:lang w:val="en-US" w:eastAsia="zh-CN" w:bidi="ar-SA"/>
    </w:rPr>
  </w:style>
  <w:style w:type="paragraph" w:customStyle="1" w:styleId="605">
    <w:name w:val="段落1"/>
    <w:basedOn w:val="1"/>
    <w:link w:val="604"/>
    <w:qFormat/>
    <w:uiPriority w:val="0"/>
    <w:pPr>
      <w:spacing w:line="400" w:lineRule="atLeast"/>
      <w:ind w:firstLine="510"/>
      <w:textAlignment w:val="baseline"/>
    </w:pPr>
    <w:rPr>
      <w:spacing w:val="4"/>
      <w:kern w:val="0"/>
      <w:sz w:val="24"/>
      <w:szCs w:val="20"/>
    </w:rPr>
  </w:style>
  <w:style w:type="character" w:customStyle="1" w:styleId="606">
    <w:name w:val="样式 标题 2_Heading 2HEAD_2HEAD_21HEAD_22HEAD_211HEAD_23HEAD_... Char"/>
    <w:link w:val="607"/>
    <w:qFormat/>
    <w:uiPriority w:val="0"/>
    <w:rPr>
      <w:lang w:val="en-US" w:eastAsia="zh-CN" w:bidi="ar-SA"/>
    </w:rPr>
  </w:style>
  <w:style w:type="paragraph" w:customStyle="1" w:styleId="607">
    <w:name w:val="样式 标题 2_Heading 2HEAD_2HEAD_21HEAD_22HEAD_211HEAD_23HEAD_..."/>
    <w:basedOn w:val="6"/>
    <w:link w:val="606"/>
    <w:qFormat/>
    <w:uiPriority w:val="0"/>
    <w:pPr>
      <w:keepNext w:val="0"/>
      <w:keepLines w:val="0"/>
      <w:tabs>
        <w:tab w:val="clear" w:pos="1080"/>
      </w:tabs>
      <w:spacing w:before="0" w:after="0" w:line="300" w:lineRule="auto"/>
      <w:ind w:left="0" w:firstLine="0"/>
      <w:jc w:val="left"/>
    </w:pPr>
    <w:rPr>
      <w:rFonts w:ascii="黑体"/>
      <w:b w:val="0"/>
      <w:snapToGrid w:val="0"/>
      <w:sz w:val="28"/>
      <w:szCs w:val="32"/>
    </w:rPr>
  </w:style>
  <w:style w:type="character" w:customStyle="1" w:styleId="608">
    <w:name w:val="重点"/>
    <w:semiHidden/>
    <w:qFormat/>
    <w:uiPriority w:val="0"/>
    <w:rPr>
      <w:i/>
    </w:rPr>
  </w:style>
  <w:style w:type="character" w:customStyle="1" w:styleId="609">
    <w:name w:val="页眉 Char2"/>
    <w:qFormat/>
    <w:uiPriority w:val="0"/>
    <w:rPr>
      <w:sz w:val="18"/>
      <w:szCs w:val="18"/>
    </w:rPr>
  </w:style>
  <w:style w:type="character" w:customStyle="1" w:styleId="610">
    <w:name w:val="样式 标题 7标题 7 表无节条标题 7 表1表头无级项表格标题1 Char表格标题1无节条 Char Char...2 Char Char"/>
    <w:link w:val="611"/>
    <w:qFormat/>
    <w:locked/>
    <w:uiPriority w:val="0"/>
    <w:rPr>
      <w:rFonts w:ascii="宋体" w:hAnsi="宋体" w:eastAsia="黑体"/>
      <w:kern w:val="2"/>
      <w:sz w:val="24"/>
      <w:szCs w:val="24"/>
      <w:lang w:bidi="ar-SA"/>
    </w:rPr>
  </w:style>
  <w:style w:type="paragraph" w:customStyle="1" w:styleId="611">
    <w:name w:val="样式 标题 7标题 7 表无节条标题 7 表1表头无级项表格标题1 Char表格标题1无节条 Char Char...2"/>
    <w:basedOn w:val="13"/>
    <w:link w:val="610"/>
    <w:qFormat/>
    <w:uiPriority w:val="0"/>
    <w:pPr>
      <w:keepLines w:val="0"/>
      <w:tabs>
        <w:tab w:val="left" w:pos="360"/>
        <w:tab w:val="left" w:pos="520"/>
        <w:tab w:val="left" w:pos="3471"/>
        <w:tab w:val="clear" w:pos="3540"/>
      </w:tabs>
      <w:autoSpaceDE/>
      <w:autoSpaceDN/>
      <w:spacing w:before="0" w:after="0" w:line="360" w:lineRule="auto"/>
      <w:ind w:left="0" w:firstLine="0"/>
      <w:jc w:val="center"/>
      <w:textAlignment w:val="auto"/>
    </w:pPr>
    <w:rPr>
      <w:rFonts w:ascii="宋体" w:hAnsi="宋体" w:eastAsia="黑体"/>
      <w:b w:val="0"/>
      <w:color w:val="auto"/>
      <w:kern w:val="2"/>
      <w:szCs w:val="24"/>
    </w:rPr>
  </w:style>
  <w:style w:type="character" w:customStyle="1" w:styleId="612">
    <w:name w:val="@标题2 Char"/>
    <w:link w:val="613"/>
    <w:qFormat/>
    <w:uiPriority w:val="0"/>
    <w:rPr>
      <w:rFonts w:eastAsia="仿宋_GB2312"/>
      <w:sz w:val="28"/>
      <w:lang w:bidi="ar-SA"/>
    </w:rPr>
  </w:style>
  <w:style w:type="paragraph" w:customStyle="1" w:styleId="613">
    <w:name w:val="@标题2"/>
    <w:basedOn w:val="6"/>
    <w:link w:val="612"/>
    <w:qFormat/>
    <w:uiPriority w:val="0"/>
    <w:pPr>
      <w:tabs>
        <w:tab w:val="clear" w:pos="1080"/>
      </w:tabs>
      <w:spacing w:before="0" w:after="0"/>
      <w:ind w:left="0" w:firstLine="0"/>
    </w:pPr>
    <w:rPr>
      <w:rFonts w:eastAsia="仿宋_GB2312"/>
      <w:b w:val="0"/>
      <w:sz w:val="28"/>
    </w:rPr>
  </w:style>
  <w:style w:type="character" w:customStyle="1" w:styleId="614">
    <w:name w:val="第一章 标题 2 Char"/>
    <w:qFormat/>
    <w:uiPriority w:val="0"/>
    <w:rPr>
      <w:rFonts w:eastAsia="宋体"/>
      <w:b/>
      <w:kern w:val="2"/>
      <w:sz w:val="32"/>
      <w:lang w:val="en-US" w:eastAsia="zh-CN" w:bidi="ar-SA"/>
    </w:rPr>
  </w:style>
  <w:style w:type="character" w:customStyle="1" w:styleId="615">
    <w:name w:val="表号 Char1"/>
    <w:link w:val="616"/>
    <w:qFormat/>
    <w:uiPriority w:val="0"/>
    <w:rPr>
      <w:rFonts w:ascii="黑体" w:hAnsi="Times New Roman" w:eastAsia="黑体"/>
      <w:sz w:val="21"/>
    </w:rPr>
  </w:style>
  <w:style w:type="paragraph" w:customStyle="1" w:styleId="616">
    <w:name w:val="表号"/>
    <w:basedOn w:val="617"/>
    <w:next w:val="617"/>
    <w:link w:val="615"/>
    <w:qFormat/>
    <w:uiPriority w:val="0"/>
    <w:pPr>
      <w:tabs>
        <w:tab w:val="left" w:pos="360"/>
      </w:tabs>
      <w:spacing w:line="240" w:lineRule="atLeast"/>
      <w:ind w:left="-264" w:firstLine="264"/>
      <w:jc w:val="right"/>
    </w:pPr>
    <w:rPr>
      <w:rFonts w:ascii="黑体" w:eastAsia="黑体"/>
      <w:color w:val="auto"/>
    </w:rPr>
  </w:style>
  <w:style w:type="paragraph" w:customStyle="1" w:styleId="617">
    <w:name w:val="表内字"/>
    <w:link w:val="1128"/>
    <w:qFormat/>
    <w:uiPriority w:val="0"/>
    <w:pPr>
      <w:spacing w:line="312" w:lineRule="auto"/>
      <w:jc w:val="center"/>
    </w:pPr>
    <w:rPr>
      <w:rFonts w:ascii="Calibri" w:hAnsi="Calibri" w:eastAsia="宋体" w:cs="Times New Roman"/>
      <w:color w:val="000000"/>
      <w:sz w:val="21"/>
      <w:lang w:val="en-US" w:eastAsia="zh-CN" w:bidi="ar-SA"/>
    </w:rPr>
  </w:style>
  <w:style w:type="character" w:customStyle="1" w:styleId="618">
    <w:name w:val="hangju"/>
    <w:qFormat/>
    <w:uiPriority w:val="0"/>
    <w:rPr>
      <w:rFonts w:ascii="Verdana" w:hAnsi="Verdana" w:eastAsia="宋体"/>
      <w:lang w:val="en-US" w:eastAsia="en-US" w:bidi="ar-SA"/>
    </w:rPr>
  </w:style>
  <w:style w:type="character" w:customStyle="1" w:styleId="619">
    <w:name w:val="mainfont1"/>
    <w:qFormat/>
    <w:uiPriority w:val="0"/>
    <w:rPr>
      <w:color w:val="666666"/>
      <w:sz w:val="18"/>
      <w:szCs w:val="18"/>
      <w:u w:val="none"/>
    </w:rPr>
  </w:style>
  <w:style w:type="character" w:customStyle="1" w:styleId="620">
    <w:name w:val="列表项目符号 Char"/>
    <w:qFormat/>
    <w:uiPriority w:val="0"/>
    <w:rPr>
      <w:bCs/>
      <w:snapToGrid/>
      <w:kern w:val="24"/>
      <w:sz w:val="24"/>
      <w:szCs w:val="24"/>
      <w:lang w:eastAsia="zh-CN"/>
    </w:rPr>
  </w:style>
  <w:style w:type="character" w:customStyle="1" w:styleId="621">
    <w:name w:val="正文文本缩进 Char"/>
    <w:qFormat/>
    <w:uiPriority w:val="0"/>
    <w:rPr>
      <w:rFonts w:eastAsia="宋体"/>
      <w:kern w:val="2"/>
      <w:sz w:val="24"/>
      <w:szCs w:val="24"/>
      <w:lang w:val="en-US" w:eastAsia="zh-CN" w:bidi="ar-SA"/>
    </w:rPr>
  </w:style>
  <w:style w:type="character" w:customStyle="1" w:styleId="622">
    <w:name w:val="表格文字 Char"/>
    <w:link w:val="623"/>
    <w:qFormat/>
    <w:uiPriority w:val="0"/>
    <w:rPr>
      <w:rFonts w:ascii="宋体" w:hAnsi="Arial" w:eastAsia="宋体"/>
      <w:kern w:val="2"/>
      <w:sz w:val="21"/>
      <w:lang w:val="en-US" w:eastAsia="zh-CN" w:bidi="ar-SA"/>
    </w:rPr>
  </w:style>
  <w:style w:type="paragraph" w:customStyle="1" w:styleId="623">
    <w:name w:val="表格文字"/>
    <w:basedOn w:val="25"/>
    <w:link w:val="622"/>
    <w:qFormat/>
    <w:uiPriority w:val="0"/>
    <w:pPr>
      <w:ind w:firstLine="0"/>
      <w:jc w:val="center"/>
    </w:pPr>
    <w:rPr>
      <w:rFonts w:ascii="宋体" w:hAnsi="Arial"/>
      <w:szCs w:val="20"/>
    </w:rPr>
  </w:style>
  <w:style w:type="character" w:customStyle="1" w:styleId="624">
    <w:name w:val="样式 题注Char Char Char Char题注 Char2题注 Char Char题注 Char Char C...1 Char"/>
    <w:link w:val="625"/>
    <w:qFormat/>
    <w:uiPriority w:val="0"/>
    <w:rPr>
      <w:rFonts w:ascii="Arial" w:hAnsi="Arial" w:eastAsia="宋体"/>
      <w:snapToGrid w:val="0"/>
      <w:kern w:val="24"/>
      <w:sz w:val="24"/>
      <w:szCs w:val="24"/>
      <w:lang w:val="en-US" w:eastAsia="zh-CN" w:bidi="ar-SA"/>
    </w:rPr>
  </w:style>
  <w:style w:type="paragraph" w:customStyle="1" w:styleId="625">
    <w:name w:val="样式 题注Char Char Char Char题注 Char2题注 Char Char题注 Char Char C...1"/>
    <w:basedOn w:val="26"/>
    <w:link w:val="624"/>
    <w:qFormat/>
    <w:uiPriority w:val="0"/>
    <w:pPr>
      <w:spacing w:before="152" w:after="160"/>
      <w:jc w:val="center"/>
      <w:textAlignment w:val="baseline"/>
    </w:pPr>
    <w:rPr>
      <w:rFonts w:ascii="Arial" w:hAnsi="Arial" w:eastAsia="宋体"/>
      <w:snapToGrid w:val="0"/>
      <w:kern w:val="24"/>
      <w:sz w:val="24"/>
      <w:szCs w:val="24"/>
    </w:rPr>
  </w:style>
  <w:style w:type="character" w:customStyle="1" w:styleId="626">
    <w:name w:val="l1201"/>
    <w:semiHidden/>
    <w:qFormat/>
    <w:uiPriority w:val="0"/>
  </w:style>
  <w:style w:type="character" w:customStyle="1" w:styleId="627">
    <w:name w:val="WW-正文首行缩进 Char Char"/>
    <w:link w:val="628"/>
    <w:qFormat/>
    <w:uiPriority w:val="0"/>
    <w:rPr>
      <w:rFonts w:eastAsia="宋体"/>
      <w:sz w:val="28"/>
      <w:lang w:val="en-US" w:eastAsia="zh-CN" w:bidi="ar-SA"/>
    </w:rPr>
  </w:style>
  <w:style w:type="paragraph" w:customStyle="1" w:styleId="628">
    <w:name w:val="WW-正文首行缩进"/>
    <w:basedOn w:val="38"/>
    <w:link w:val="627"/>
    <w:qFormat/>
    <w:uiPriority w:val="0"/>
    <w:pPr>
      <w:suppressAutoHyphens/>
      <w:spacing w:after="0" w:line="312" w:lineRule="auto"/>
      <w:ind w:firstLine="567"/>
      <w:textAlignment w:val="baseline"/>
    </w:pPr>
    <w:rPr>
      <w:kern w:val="0"/>
      <w:szCs w:val="20"/>
    </w:rPr>
  </w:style>
  <w:style w:type="character" w:customStyle="1" w:styleId="629">
    <w:name w:val="报告正文1 Char"/>
    <w:link w:val="630"/>
    <w:qFormat/>
    <w:uiPriority w:val="0"/>
    <w:rPr>
      <w:color w:val="000000"/>
      <w:kern w:val="2"/>
      <w:sz w:val="24"/>
      <w:szCs w:val="24"/>
      <w:lang w:bidi="ar-SA"/>
    </w:rPr>
  </w:style>
  <w:style w:type="paragraph" w:customStyle="1" w:styleId="630">
    <w:name w:val="报告正文1"/>
    <w:basedOn w:val="90"/>
    <w:link w:val="629"/>
    <w:qFormat/>
    <w:uiPriority w:val="0"/>
    <w:pPr>
      <w:spacing w:after="0" w:line="360" w:lineRule="auto"/>
      <w:ind w:left="0" w:leftChars="0" w:firstLine="200"/>
    </w:pPr>
    <w:rPr>
      <w:color w:val="000000"/>
      <w:sz w:val="24"/>
    </w:rPr>
  </w:style>
  <w:style w:type="character" w:customStyle="1" w:styleId="631">
    <w:name w:val="样式 标题 2 + Times New Roman Char"/>
    <w:qFormat/>
    <w:uiPriority w:val="0"/>
    <w:rPr>
      <w:rFonts w:ascii="Times New Roman" w:hAnsi="Times New Roman" w:eastAsia="黑体"/>
      <w:color w:val="000000"/>
      <w:kern w:val="2"/>
      <w:sz w:val="28"/>
      <w:szCs w:val="30"/>
      <w:lang w:val="en-US" w:eastAsia="zh-CN" w:bidi="ar-SA"/>
    </w:rPr>
  </w:style>
  <w:style w:type="character" w:customStyle="1" w:styleId="632">
    <w:name w:val="正文(首行缩进) Char1"/>
    <w:qFormat/>
    <w:uiPriority w:val="0"/>
    <w:rPr>
      <w:snapToGrid w:val="0"/>
      <w:color w:val="000000"/>
      <w:sz w:val="24"/>
      <w:szCs w:val="24"/>
    </w:rPr>
  </w:style>
  <w:style w:type="character" w:customStyle="1" w:styleId="633">
    <w:name w:val="表文 Char"/>
    <w:link w:val="634"/>
    <w:qFormat/>
    <w:uiPriority w:val="0"/>
    <w:rPr>
      <w:rFonts w:eastAsia="宋体"/>
      <w:sz w:val="24"/>
      <w:lang w:val="en-US" w:eastAsia="zh-CN" w:bidi="ar-SA"/>
    </w:rPr>
  </w:style>
  <w:style w:type="paragraph" w:customStyle="1" w:styleId="634">
    <w:name w:val="表文"/>
    <w:basedOn w:val="1"/>
    <w:link w:val="633"/>
    <w:qFormat/>
    <w:uiPriority w:val="0"/>
    <w:pPr>
      <w:jc w:val="center"/>
      <w:textAlignment w:val="baseline"/>
    </w:pPr>
    <w:rPr>
      <w:kern w:val="0"/>
      <w:sz w:val="24"/>
      <w:szCs w:val="20"/>
    </w:rPr>
  </w:style>
  <w:style w:type="character" w:customStyle="1" w:styleId="635">
    <w:name w:val="首行缩进:  2 字符 Char Char"/>
    <w:qFormat/>
    <w:uiPriority w:val="0"/>
    <w:rPr>
      <w:rFonts w:cs="宋体"/>
      <w:snapToGrid/>
      <w:kern w:val="2"/>
      <w:sz w:val="24"/>
      <w:szCs w:val="21"/>
      <w:lang w:eastAsia="zh-CN"/>
    </w:rPr>
  </w:style>
  <w:style w:type="character" w:customStyle="1" w:styleId="636">
    <w:name w:val="lyh  正文 Char Char"/>
    <w:link w:val="637"/>
    <w:qFormat/>
    <w:uiPriority w:val="0"/>
    <w:rPr>
      <w:rFonts w:eastAsia="宋体"/>
      <w:kern w:val="2"/>
      <w:sz w:val="28"/>
      <w:szCs w:val="24"/>
      <w:lang w:val="en-US" w:eastAsia="zh-CN" w:bidi="ar-SA"/>
    </w:rPr>
  </w:style>
  <w:style w:type="paragraph" w:customStyle="1" w:styleId="637">
    <w:name w:val="lyh  正文"/>
    <w:basedOn w:val="1"/>
    <w:link w:val="636"/>
    <w:qFormat/>
    <w:uiPriority w:val="0"/>
    <w:pPr>
      <w:spacing w:line="360" w:lineRule="auto"/>
      <w:jc w:val="left"/>
    </w:pPr>
  </w:style>
  <w:style w:type="character" w:customStyle="1" w:styleId="638">
    <w:name w:val="二级标题 Char"/>
    <w:link w:val="639"/>
    <w:qFormat/>
    <w:uiPriority w:val="0"/>
    <w:rPr>
      <w:rFonts w:ascii="Times New Roman" w:hAnsi="Times New Roman" w:eastAsia="黑体"/>
      <w:bCs/>
      <w:kern w:val="2"/>
      <w:sz w:val="30"/>
      <w:szCs w:val="32"/>
    </w:rPr>
  </w:style>
  <w:style w:type="paragraph" w:customStyle="1" w:styleId="639">
    <w:name w:val="二级标题"/>
    <w:basedOn w:val="1"/>
    <w:next w:val="1"/>
    <w:link w:val="638"/>
    <w:qFormat/>
    <w:uiPriority w:val="0"/>
    <w:pPr>
      <w:ind w:firstLine="0" w:firstLineChars="0"/>
      <w:outlineLvl w:val="1"/>
    </w:pPr>
    <w:rPr>
      <w:rFonts w:eastAsia="黑体"/>
      <w:bCs/>
      <w:sz w:val="30"/>
      <w:szCs w:val="32"/>
    </w:rPr>
  </w:style>
  <w:style w:type="character" w:customStyle="1" w:styleId="640">
    <w:name w:val="一级标题 Char"/>
    <w:link w:val="641"/>
    <w:qFormat/>
    <w:uiPriority w:val="0"/>
    <w:rPr>
      <w:rFonts w:ascii="Times New Roman" w:hAnsi="Times New Roman" w:eastAsia="黑体"/>
      <w:b/>
      <w:bCs/>
      <w:kern w:val="2"/>
      <w:sz w:val="32"/>
    </w:rPr>
  </w:style>
  <w:style w:type="paragraph" w:customStyle="1" w:styleId="641">
    <w:name w:val="一级标题"/>
    <w:basedOn w:val="1"/>
    <w:next w:val="1"/>
    <w:link w:val="640"/>
    <w:qFormat/>
    <w:uiPriority w:val="0"/>
    <w:pPr>
      <w:ind w:firstLine="0" w:firstLineChars="0"/>
      <w:jc w:val="left"/>
      <w:textAlignment w:val="baseline"/>
      <w:outlineLvl w:val="0"/>
    </w:pPr>
    <w:rPr>
      <w:rFonts w:eastAsia="黑体"/>
      <w:b/>
      <w:bCs/>
      <w:sz w:val="32"/>
      <w:szCs w:val="20"/>
    </w:rPr>
  </w:style>
  <w:style w:type="character" w:customStyle="1" w:styleId="642">
    <w:name w:val="表图头的文字 Char"/>
    <w:link w:val="643"/>
    <w:qFormat/>
    <w:uiPriority w:val="0"/>
    <w:rPr>
      <w:rFonts w:ascii="Times New Roman" w:hAnsi="Times New Roman" w:eastAsia="仿宋_GB2312"/>
      <w:bCs/>
      <w:color w:val="000000"/>
      <w:sz w:val="24"/>
    </w:rPr>
  </w:style>
  <w:style w:type="paragraph" w:customStyle="1" w:styleId="643">
    <w:name w:val="表图头的文字"/>
    <w:basedOn w:val="1"/>
    <w:link w:val="642"/>
    <w:qFormat/>
    <w:uiPriority w:val="0"/>
    <w:pPr>
      <w:ind w:firstLine="0" w:firstLineChars="0"/>
      <w:jc w:val="center"/>
    </w:pPr>
    <w:rPr>
      <w:bCs/>
      <w:color w:val="000000"/>
      <w:kern w:val="0"/>
      <w:sz w:val="24"/>
      <w:szCs w:val="20"/>
    </w:rPr>
  </w:style>
  <w:style w:type="character" w:customStyle="1" w:styleId="644">
    <w:name w:val="图名，环保 Char"/>
    <w:link w:val="645"/>
    <w:qFormat/>
    <w:uiPriority w:val="0"/>
    <w:rPr>
      <w:rFonts w:eastAsia="宋体"/>
      <w:sz w:val="21"/>
      <w:szCs w:val="21"/>
      <w:lang w:val="en-US" w:eastAsia="zh-CN" w:bidi="ar-SA"/>
    </w:rPr>
  </w:style>
  <w:style w:type="paragraph" w:customStyle="1" w:styleId="645">
    <w:name w:val="图名，环保"/>
    <w:basedOn w:val="1"/>
    <w:next w:val="1"/>
    <w:link w:val="644"/>
    <w:qFormat/>
    <w:uiPriority w:val="0"/>
    <w:pPr>
      <w:spacing w:line="300" w:lineRule="auto"/>
      <w:jc w:val="center"/>
    </w:pPr>
    <w:rPr>
      <w:kern w:val="0"/>
      <w:szCs w:val="21"/>
    </w:rPr>
  </w:style>
  <w:style w:type="character" w:customStyle="1" w:styleId="646">
    <w:name w:val="李发荣个人正文 Char"/>
    <w:link w:val="647"/>
    <w:qFormat/>
    <w:uiPriority w:val="0"/>
    <w:rPr>
      <w:sz w:val="24"/>
      <w:szCs w:val="24"/>
      <w:lang w:bidi="ar-SA"/>
    </w:rPr>
  </w:style>
  <w:style w:type="paragraph" w:customStyle="1" w:styleId="647">
    <w:name w:val="李发荣个人正文"/>
    <w:basedOn w:val="1"/>
    <w:next w:val="1"/>
    <w:link w:val="646"/>
    <w:qFormat/>
    <w:uiPriority w:val="0"/>
    <w:pPr>
      <w:spacing w:line="360" w:lineRule="auto"/>
      <w:ind w:firstLine="504"/>
    </w:pPr>
    <w:rPr>
      <w:kern w:val="0"/>
      <w:sz w:val="24"/>
    </w:rPr>
  </w:style>
  <w:style w:type="character" w:customStyle="1" w:styleId="648">
    <w:name w:val="图表名称 Char Char"/>
    <w:qFormat/>
    <w:uiPriority w:val="0"/>
    <w:rPr>
      <w:rFonts w:ascii="宋体" w:hAnsi="宋体"/>
      <w:b/>
      <w:kern w:val="2"/>
      <w:sz w:val="21"/>
      <w:szCs w:val="21"/>
    </w:rPr>
  </w:style>
  <w:style w:type="character" w:customStyle="1" w:styleId="649">
    <w:name w:val="正文文字缩进 Char"/>
    <w:qFormat/>
    <w:uiPriority w:val="0"/>
    <w:rPr>
      <w:rFonts w:eastAsia="宋体"/>
      <w:kern w:val="2"/>
      <w:sz w:val="21"/>
      <w:szCs w:val="24"/>
      <w:lang w:val="en-US" w:eastAsia="zh-CN" w:bidi="ar-SA"/>
    </w:rPr>
  </w:style>
  <w:style w:type="character" w:customStyle="1" w:styleId="650">
    <w:name w:val="表标 Char"/>
    <w:qFormat/>
    <w:uiPriority w:val="0"/>
    <w:rPr>
      <w:rFonts w:ascii="黑体" w:eastAsia="黑体"/>
      <w:kern w:val="2"/>
      <w:sz w:val="30"/>
      <w:lang w:eastAsia="zh-CN"/>
    </w:rPr>
  </w:style>
  <w:style w:type="character" w:customStyle="1" w:styleId="651">
    <w:name w:val="题注 Char Char2"/>
    <w:qFormat/>
    <w:uiPriority w:val="0"/>
    <w:rPr>
      <w:rFonts w:eastAsia="黑体" w:cs="Arial"/>
      <w:snapToGrid/>
      <w:sz w:val="24"/>
      <w:lang w:eastAsia="zh-CN"/>
    </w:rPr>
  </w:style>
  <w:style w:type="character" w:customStyle="1" w:styleId="652">
    <w:name w:val="p16 Char Char"/>
    <w:link w:val="653"/>
    <w:qFormat/>
    <w:uiPriority w:val="0"/>
    <w:rPr>
      <w:rFonts w:eastAsia="宋体"/>
      <w:spacing w:val="20"/>
      <w:sz w:val="21"/>
      <w:szCs w:val="21"/>
      <w:lang w:val="en-US" w:eastAsia="zh-CN" w:bidi="ar-SA"/>
    </w:rPr>
  </w:style>
  <w:style w:type="paragraph" w:customStyle="1" w:styleId="653">
    <w:name w:val="p16"/>
    <w:basedOn w:val="1"/>
    <w:link w:val="652"/>
    <w:qFormat/>
    <w:uiPriority w:val="0"/>
    <w:pPr>
      <w:spacing w:line="440" w:lineRule="atLeast"/>
      <w:jc w:val="center"/>
    </w:pPr>
    <w:rPr>
      <w:spacing w:val="20"/>
      <w:kern w:val="0"/>
      <w:szCs w:val="21"/>
    </w:rPr>
  </w:style>
  <w:style w:type="character" w:customStyle="1" w:styleId="654">
    <w:name w:val="Char Char Char Char Char Char Char Char Char"/>
    <w:link w:val="655"/>
    <w:qFormat/>
    <w:uiPriority w:val="0"/>
    <w:rPr>
      <w:rFonts w:ascii="Times New Roman" w:hAnsi="Times New Roman" w:eastAsia="仿宋_GB2312"/>
      <w:kern w:val="2"/>
      <w:sz w:val="28"/>
      <w:szCs w:val="24"/>
    </w:rPr>
  </w:style>
  <w:style w:type="paragraph" w:customStyle="1" w:styleId="655">
    <w:name w:val="Char Char Char Char Char Char Char"/>
    <w:basedOn w:val="1"/>
    <w:link w:val="654"/>
    <w:qFormat/>
    <w:uiPriority w:val="0"/>
  </w:style>
  <w:style w:type="character" w:customStyle="1" w:styleId="656">
    <w:name w:val="正文001 Char"/>
    <w:link w:val="657"/>
    <w:qFormat/>
    <w:uiPriority w:val="0"/>
    <w:rPr>
      <w:rFonts w:ascii="Arial" w:hAnsi="Arial" w:eastAsia="仿宋_GB2312"/>
      <w:color w:val="000000"/>
      <w:kern w:val="2"/>
      <w:sz w:val="24"/>
    </w:rPr>
  </w:style>
  <w:style w:type="paragraph" w:customStyle="1" w:styleId="657">
    <w:name w:val="正文001"/>
    <w:basedOn w:val="1"/>
    <w:link w:val="656"/>
    <w:qFormat/>
    <w:uiPriority w:val="0"/>
    <w:pPr>
      <w:spacing w:before="60" w:line="460" w:lineRule="exact"/>
      <w:ind w:firstLine="482"/>
    </w:pPr>
    <w:rPr>
      <w:rFonts w:ascii="Arial" w:hAnsi="Arial"/>
      <w:color w:val="000000"/>
      <w:sz w:val="24"/>
      <w:szCs w:val="20"/>
    </w:rPr>
  </w:style>
  <w:style w:type="character" w:customStyle="1" w:styleId="658">
    <w:name w:val="样式4 Char Char"/>
    <w:link w:val="659"/>
    <w:qFormat/>
    <w:uiPriority w:val="0"/>
    <w:rPr>
      <w:rFonts w:ascii="Times New Roman" w:hAnsi="Times New Roman" w:eastAsia="黑体"/>
      <w:kern w:val="2"/>
      <w:sz w:val="36"/>
      <w:szCs w:val="36"/>
    </w:rPr>
  </w:style>
  <w:style w:type="paragraph" w:customStyle="1" w:styleId="659">
    <w:name w:val="样式4"/>
    <w:basedOn w:val="5"/>
    <w:link w:val="658"/>
    <w:qFormat/>
    <w:uiPriority w:val="0"/>
    <w:pPr>
      <w:keepNext w:val="0"/>
      <w:pageBreakBefore/>
      <w:spacing w:before="240" w:after="120" w:line="240" w:lineRule="auto"/>
      <w:ind w:left="3171" w:hanging="432"/>
      <w:jc w:val="center"/>
    </w:pPr>
    <w:rPr>
      <w:rFonts w:eastAsia="黑体"/>
      <w:b w:val="0"/>
      <w:bCs w:val="0"/>
      <w:kern w:val="2"/>
      <w:sz w:val="36"/>
      <w:szCs w:val="36"/>
    </w:rPr>
  </w:style>
  <w:style w:type="character" w:customStyle="1" w:styleId="660">
    <w:name w:val="插图标题 Char"/>
    <w:link w:val="661"/>
    <w:qFormat/>
    <w:uiPriority w:val="0"/>
    <w:rPr>
      <w:rFonts w:ascii="黑体" w:hAnsi="Times New Roman" w:eastAsia="黑体"/>
      <w:sz w:val="28"/>
    </w:rPr>
  </w:style>
  <w:style w:type="paragraph" w:customStyle="1" w:styleId="661">
    <w:name w:val="插图标题"/>
    <w:basedOn w:val="1"/>
    <w:link w:val="660"/>
    <w:qFormat/>
    <w:uiPriority w:val="0"/>
    <w:pPr>
      <w:tabs>
        <w:tab w:val="center" w:pos="6804"/>
        <w:tab w:val="right" w:pos="7371"/>
      </w:tabs>
      <w:overflowPunct w:val="0"/>
      <w:ind w:firstLine="567"/>
      <w:jc w:val="center"/>
      <w:textAlignment w:val="baseline"/>
    </w:pPr>
    <w:rPr>
      <w:rFonts w:ascii="黑体" w:eastAsia="黑体"/>
      <w:kern w:val="0"/>
      <w:szCs w:val="20"/>
    </w:rPr>
  </w:style>
  <w:style w:type="character" w:customStyle="1" w:styleId="662">
    <w:name w:val="0 Char"/>
    <w:link w:val="663"/>
    <w:qFormat/>
    <w:uiPriority w:val="0"/>
    <w:rPr>
      <w:rFonts w:ascii="Times New Roman" w:hAnsi="Times New Roman" w:eastAsia="仿宋_GB2312"/>
    </w:rPr>
  </w:style>
  <w:style w:type="paragraph" w:customStyle="1" w:styleId="663">
    <w:name w:val="0"/>
    <w:basedOn w:val="1"/>
    <w:link w:val="662"/>
    <w:qFormat/>
    <w:uiPriority w:val="0"/>
    <w:pPr>
      <w:spacing w:line="365" w:lineRule="atLeast"/>
      <w:ind w:left="1"/>
      <w:textAlignment w:val="bottom"/>
    </w:pPr>
    <w:rPr>
      <w:kern w:val="0"/>
      <w:sz w:val="20"/>
      <w:szCs w:val="20"/>
    </w:rPr>
  </w:style>
  <w:style w:type="character" w:customStyle="1" w:styleId="664">
    <w:name w:val="pv110title"/>
    <w:qFormat/>
    <w:uiPriority w:val="0"/>
  </w:style>
  <w:style w:type="character" w:customStyle="1" w:styleId="665">
    <w:name w:val="表中的文字 Char"/>
    <w:link w:val="666"/>
    <w:qFormat/>
    <w:uiPriority w:val="0"/>
    <w:rPr>
      <w:rFonts w:ascii="Times New Roman" w:hAnsi="Times New Roman" w:eastAsia="仿宋_GB2312"/>
      <w:bCs/>
      <w:color w:val="000000"/>
      <w:sz w:val="21"/>
      <w:szCs w:val="21"/>
    </w:rPr>
  </w:style>
  <w:style w:type="paragraph" w:customStyle="1" w:styleId="666">
    <w:name w:val="表中的文字"/>
    <w:basedOn w:val="667"/>
    <w:link w:val="665"/>
    <w:qFormat/>
    <w:uiPriority w:val="0"/>
    <w:pPr>
      <w:spacing w:line="440" w:lineRule="exact"/>
      <w:ind w:firstLine="0" w:firstLineChars="0"/>
    </w:pPr>
    <w:rPr>
      <w:rFonts w:eastAsia="仿宋_GB2312"/>
      <w:bCs/>
      <w:color w:val="000000"/>
      <w:kern w:val="0"/>
      <w:sz w:val="21"/>
      <w:szCs w:val="21"/>
    </w:rPr>
  </w:style>
  <w:style w:type="paragraph" w:customStyle="1" w:styleId="667">
    <w:name w:val="表中文字"/>
    <w:basedOn w:val="1"/>
    <w:qFormat/>
    <w:uiPriority w:val="0"/>
    <w:pPr>
      <w:jc w:val="center"/>
    </w:pPr>
    <w:rPr>
      <w:rFonts w:eastAsia="宋体"/>
      <w:szCs w:val="20"/>
    </w:rPr>
  </w:style>
  <w:style w:type="character" w:customStyle="1" w:styleId="668">
    <w:name w:val="论文正文 Char"/>
    <w:link w:val="669"/>
    <w:qFormat/>
    <w:uiPriority w:val="0"/>
    <w:rPr>
      <w:rFonts w:ascii="宋体" w:hAnsi="宋体" w:eastAsia="仿宋_GB2312"/>
      <w:kern w:val="2"/>
      <w:sz w:val="28"/>
      <w:szCs w:val="24"/>
    </w:rPr>
  </w:style>
  <w:style w:type="paragraph" w:customStyle="1" w:styleId="669">
    <w:name w:val="论文正文"/>
    <w:basedOn w:val="25"/>
    <w:link w:val="668"/>
    <w:qFormat/>
    <w:uiPriority w:val="0"/>
    <w:pPr>
      <w:ind w:firstLine="480"/>
    </w:pPr>
    <w:rPr>
      <w:rFonts w:ascii="宋体" w:hAnsi="宋体"/>
      <w:szCs w:val="24"/>
    </w:rPr>
  </w:style>
  <w:style w:type="character" w:customStyle="1" w:styleId="670">
    <w:name w:val="正文文字进缩 Char"/>
    <w:link w:val="671"/>
    <w:qFormat/>
    <w:locked/>
    <w:uiPriority w:val="0"/>
    <w:rPr>
      <w:rFonts w:ascii="宋体" w:hAnsi="Arial Black" w:eastAsia="仿宋_GB2312"/>
      <w:bCs/>
      <w:iCs/>
      <w:kern w:val="2"/>
      <w:sz w:val="28"/>
      <w:szCs w:val="24"/>
    </w:rPr>
  </w:style>
  <w:style w:type="paragraph" w:customStyle="1" w:styleId="671">
    <w:name w:val="正文文字进缩"/>
    <w:basedOn w:val="1"/>
    <w:link w:val="670"/>
    <w:qFormat/>
    <w:uiPriority w:val="0"/>
    <w:pPr>
      <w:spacing w:line="360" w:lineRule="auto"/>
      <w:ind w:firstLine="539"/>
    </w:pPr>
    <w:rPr>
      <w:rFonts w:ascii="宋体" w:hAnsi="Arial Black"/>
      <w:bCs/>
      <w:iCs/>
    </w:rPr>
  </w:style>
  <w:style w:type="character" w:customStyle="1" w:styleId="672">
    <w:name w:val="我的正文 Char"/>
    <w:link w:val="673"/>
    <w:qFormat/>
    <w:uiPriority w:val="0"/>
    <w:rPr>
      <w:rFonts w:ascii="Times New Roman" w:hAnsi="Times New Roman" w:eastAsia="仿宋_GB2312"/>
      <w:kern w:val="2"/>
      <w:sz w:val="28"/>
      <w:szCs w:val="24"/>
    </w:rPr>
  </w:style>
  <w:style w:type="paragraph" w:customStyle="1" w:styleId="673">
    <w:name w:val="我的正文"/>
    <w:basedOn w:val="1"/>
    <w:link w:val="672"/>
    <w:qFormat/>
    <w:uiPriority w:val="0"/>
  </w:style>
  <w:style w:type="character" w:customStyle="1" w:styleId="674">
    <w:name w:val="正文样式1 Char1"/>
    <w:link w:val="675"/>
    <w:qFormat/>
    <w:uiPriority w:val="0"/>
    <w:rPr>
      <w:rFonts w:ascii="宋体" w:hAnsi="宋体" w:eastAsia="仿宋_GB2312"/>
      <w:kern w:val="2"/>
      <w:sz w:val="24"/>
      <w:szCs w:val="24"/>
    </w:rPr>
  </w:style>
  <w:style w:type="paragraph" w:customStyle="1" w:styleId="675">
    <w:name w:val="正文样式1"/>
    <w:basedOn w:val="1"/>
    <w:link w:val="674"/>
    <w:qFormat/>
    <w:uiPriority w:val="0"/>
    <w:pPr>
      <w:jc w:val="center"/>
    </w:pPr>
    <w:rPr>
      <w:rFonts w:ascii="宋体" w:hAnsi="宋体"/>
      <w:sz w:val="24"/>
    </w:rPr>
  </w:style>
  <w:style w:type="character" w:customStyle="1" w:styleId="676">
    <w:name w:val="hb4 Char"/>
    <w:link w:val="677"/>
    <w:qFormat/>
    <w:uiPriority w:val="0"/>
    <w:rPr>
      <w:rFonts w:ascii="宋体" w:hAnsi="Arial" w:cs="宋体"/>
      <w:b/>
      <w:bCs/>
      <w:kern w:val="2"/>
      <w:sz w:val="24"/>
      <w:szCs w:val="24"/>
    </w:rPr>
  </w:style>
  <w:style w:type="paragraph" w:customStyle="1" w:styleId="677">
    <w:name w:val="hb4"/>
    <w:basedOn w:val="10"/>
    <w:link w:val="676"/>
    <w:qFormat/>
    <w:uiPriority w:val="0"/>
    <w:pPr>
      <w:spacing w:beforeLines="50" w:afterLines="50" w:line="529" w:lineRule="exact"/>
      <w:ind w:left="0" w:firstLine="0"/>
    </w:pPr>
    <w:rPr>
      <w:rFonts w:ascii="宋体" w:hAnsi="Arial" w:cs="宋体"/>
      <w:sz w:val="24"/>
      <w:szCs w:val="24"/>
    </w:rPr>
  </w:style>
  <w:style w:type="character" w:customStyle="1" w:styleId="678">
    <w:name w:val="cucd-C Char Char"/>
    <w:link w:val="679"/>
    <w:qFormat/>
    <w:uiPriority w:val="0"/>
    <w:rPr>
      <w:b/>
      <w:sz w:val="28"/>
      <w:szCs w:val="24"/>
    </w:rPr>
  </w:style>
  <w:style w:type="paragraph" w:customStyle="1" w:styleId="679">
    <w:name w:val="cucd-C Char"/>
    <w:next w:val="680"/>
    <w:link w:val="678"/>
    <w:qFormat/>
    <w:uiPriority w:val="0"/>
    <w:pPr>
      <w:spacing w:line="360" w:lineRule="auto"/>
      <w:jc w:val="center"/>
      <w:outlineLvl w:val="2"/>
    </w:pPr>
    <w:rPr>
      <w:rFonts w:ascii="Calibri" w:hAnsi="Calibri" w:eastAsia="宋体" w:cs="Times New Roman"/>
      <w:b/>
      <w:sz w:val="28"/>
      <w:szCs w:val="24"/>
      <w:lang w:val="en-US" w:eastAsia="zh-CN" w:bidi="ar-SA"/>
    </w:rPr>
  </w:style>
  <w:style w:type="paragraph" w:customStyle="1" w:styleId="680">
    <w:name w:val="cucd-0"/>
    <w:link w:val="824"/>
    <w:qFormat/>
    <w:uiPriority w:val="0"/>
    <w:pPr>
      <w:spacing w:line="360" w:lineRule="auto"/>
      <w:ind w:firstLine="480" w:firstLineChars="200"/>
      <w:jc w:val="center"/>
    </w:pPr>
    <w:rPr>
      <w:rFonts w:ascii="Calibri" w:hAnsi="Calibri" w:eastAsia="宋体" w:cs="Times New Roman"/>
      <w:kern w:val="2"/>
      <w:sz w:val="24"/>
      <w:szCs w:val="24"/>
      <w:lang w:val="en-US" w:eastAsia="zh-CN" w:bidi="ar-SA"/>
    </w:rPr>
  </w:style>
  <w:style w:type="character" w:customStyle="1" w:styleId="681">
    <w:name w:val="title2"/>
    <w:qFormat/>
    <w:uiPriority w:val="0"/>
  </w:style>
  <w:style w:type="character" w:customStyle="1" w:styleId="682">
    <w:name w:val="样式5 Char"/>
    <w:link w:val="683"/>
    <w:qFormat/>
    <w:uiPriority w:val="0"/>
    <w:rPr>
      <w:rFonts w:ascii="黑体" w:hAnsi="宋体" w:eastAsia="黑体"/>
      <w:sz w:val="30"/>
      <w:szCs w:val="30"/>
    </w:rPr>
  </w:style>
  <w:style w:type="paragraph" w:customStyle="1" w:styleId="683">
    <w:name w:val="样式5"/>
    <w:basedOn w:val="6"/>
    <w:link w:val="682"/>
    <w:qFormat/>
    <w:uiPriority w:val="0"/>
    <w:pPr>
      <w:tabs>
        <w:tab w:val="clear" w:pos="1080"/>
      </w:tabs>
      <w:spacing w:before="0" w:after="0"/>
      <w:ind w:left="0" w:firstLine="0"/>
      <w:jc w:val="left"/>
    </w:pPr>
    <w:rPr>
      <w:rFonts w:ascii="黑体" w:hAnsi="宋体"/>
      <w:b w:val="0"/>
      <w:sz w:val="30"/>
      <w:szCs w:val="30"/>
    </w:rPr>
  </w:style>
  <w:style w:type="character" w:customStyle="1" w:styleId="684">
    <w:name w:val="表中 Char"/>
    <w:link w:val="685"/>
    <w:qFormat/>
    <w:uiPriority w:val="0"/>
    <w:rPr>
      <w:rFonts w:ascii="宋体" w:hAnsi="Batang"/>
      <w:sz w:val="18"/>
    </w:rPr>
  </w:style>
  <w:style w:type="paragraph" w:customStyle="1" w:styleId="685">
    <w:name w:val="表中"/>
    <w:link w:val="684"/>
    <w:qFormat/>
    <w:uiPriority w:val="0"/>
    <w:pPr>
      <w:widowControl w:val="0"/>
      <w:snapToGrid w:val="0"/>
      <w:spacing w:line="280" w:lineRule="exact"/>
      <w:jc w:val="both"/>
    </w:pPr>
    <w:rPr>
      <w:rFonts w:ascii="宋体" w:hAnsi="Batang" w:eastAsia="宋体" w:cs="Times New Roman"/>
      <w:sz w:val="18"/>
      <w:lang w:val="en-US" w:eastAsia="zh-CN" w:bidi="ar-SA"/>
    </w:rPr>
  </w:style>
  <w:style w:type="character" w:customStyle="1" w:styleId="686">
    <w:name w:val="表头2 Char Char Char Char"/>
    <w:link w:val="687"/>
    <w:qFormat/>
    <w:uiPriority w:val="0"/>
    <w:rPr>
      <w:rFonts w:ascii="宋体" w:hAnsi="宋体" w:cs="宋体"/>
      <w:b/>
      <w:color w:val="000000"/>
      <w:kern w:val="2"/>
      <w:sz w:val="24"/>
      <w:szCs w:val="24"/>
    </w:rPr>
  </w:style>
  <w:style w:type="paragraph" w:customStyle="1" w:styleId="687">
    <w:name w:val="表头2 Char Char Char"/>
    <w:basedOn w:val="1"/>
    <w:link w:val="686"/>
    <w:qFormat/>
    <w:uiPriority w:val="0"/>
    <w:pPr>
      <w:jc w:val="center"/>
    </w:pPr>
    <w:rPr>
      <w:rFonts w:ascii="宋体" w:hAnsi="宋体" w:eastAsia="宋体" w:cs="宋体"/>
      <w:b/>
      <w:color w:val="000000"/>
      <w:sz w:val="24"/>
    </w:rPr>
  </w:style>
  <w:style w:type="character" w:customStyle="1" w:styleId="688">
    <w:name w:val="样式 表头11 + 自动设置 Char Char"/>
    <w:qFormat/>
    <w:uiPriority w:val="0"/>
    <w:rPr>
      <w:b/>
      <w:bCs/>
      <w:color w:val="000000"/>
      <w:szCs w:val="21"/>
    </w:rPr>
  </w:style>
  <w:style w:type="character" w:customStyle="1" w:styleId="689">
    <w:name w:val="Char2 Char Char1"/>
    <w:qFormat/>
    <w:uiPriority w:val="0"/>
    <w:rPr>
      <w:rFonts w:ascii="Arial" w:hAnsi="Arial" w:cs="Arial"/>
      <w:b/>
      <w:bCs/>
      <w:sz w:val="32"/>
      <w:szCs w:val="32"/>
    </w:rPr>
  </w:style>
  <w:style w:type="character" w:customStyle="1" w:styleId="690">
    <w:name w:val="标4 Char Char Char Char Char2"/>
    <w:qFormat/>
    <w:uiPriority w:val="0"/>
    <w:rPr>
      <w:szCs w:val="30"/>
    </w:rPr>
  </w:style>
  <w:style w:type="character" w:customStyle="1" w:styleId="691">
    <w:name w:val="样式 标题 22nd levelh22Header 2H2UNDERRUBRIK 1-2Titre2l2一级节...2 Char"/>
    <w:link w:val="692"/>
    <w:qFormat/>
    <w:uiPriority w:val="0"/>
    <w:rPr>
      <w:rFonts w:ascii="Arial" w:hAnsi="Arial" w:eastAsia="黑体"/>
      <w:kern w:val="2"/>
      <w:sz w:val="30"/>
      <w:szCs w:val="28"/>
      <w:lang w:val="zh-CN"/>
    </w:rPr>
  </w:style>
  <w:style w:type="paragraph" w:customStyle="1" w:styleId="692">
    <w:name w:val="样式 标题 22nd levelh22Header 2H2UNDERRUBRIK 1-2Titre2l2一级节...2"/>
    <w:basedOn w:val="6"/>
    <w:link w:val="691"/>
    <w:qFormat/>
    <w:uiPriority w:val="0"/>
    <w:pPr>
      <w:keepLines w:val="0"/>
      <w:tabs>
        <w:tab w:val="clear" w:pos="1080"/>
      </w:tabs>
      <w:spacing w:after="60"/>
      <w:ind w:left="840" w:hanging="420"/>
    </w:pPr>
    <w:rPr>
      <w:rFonts w:ascii="Arial" w:hAnsi="Arial"/>
      <w:b w:val="0"/>
      <w:kern w:val="2"/>
      <w:sz w:val="30"/>
      <w:szCs w:val="28"/>
      <w:lang w:val="zh-CN"/>
    </w:rPr>
  </w:style>
  <w:style w:type="character" w:customStyle="1" w:styleId="693">
    <w:name w:val="样式 标题 4 + 宋体 Char Char Char Char Char Char Char Char1"/>
    <w:qFormat/>
    <w:uiPriority w:val="0"/>
    <w:rPr>
      <w:b/>
      <w:bCs/>
    </w:rPr>
  </w:style>
  <w:style w:type="character" w:customStyle="1" w:styleId="694">
    <w:name w:val="hei41"/>
    <w:qFormat/>
    <w:uiPriority w:val="0"/>
    <w:rPr>
      <w:rFonts w:hint="eastAsia"/>
      <w:color w:val="333333"/>
      <w:sz w:val="18"/>
      <w:szCs w:val="18"/>
      <w:u w:val="none"/>
    </w:rPr>
  </w:style>
  <w:style w:type="character" w:customStyle="1" w:styleId="695">
    <w:name w:val="表头11 Char Char"/>
    <w:qFormat/>
    <w:uiPriority w:val="0"/>
    <w:rPr>
      <w:b/>
      <w:color w:val="FF0000"/>
    </w:rPr>
  </w:style>
  <w:style w:type="character" w:customStyle="1" w:styleId="696">
    <w:name w:val="样式 段前: 0.5 行 Char Char Char Char"/>
    <w:link w:val="697"/>
    <w:qFormat/>
    <w:uiPriority w:val="0"/>
    <w:rPr>
      <w:rFonts w:ascii="Times New Roman" w:hAnsi="Times New Roman" w:cs="宋体"/>
      <w:kern w:val="2"/>
      <w:sz w:val="24"/>
      <w:szCs w:val="24"/>
    </w:rPr>
  </w:style>
  <w:style w:type="paragraph" w:customStyle="1" w:styleId="697">
    <w:name w:val="样式 段前: 0.5 行 Char Char Char"/>
    <w:basedOn w:val="1"/>
    <w:link w:val="696"/>
    <w:qFormat/>
    <w:uiPriority w:val="0"/>
    <w:pPr>
      <w:spacing w:beforeLines="50" w:line="360" w:lineRule="exact"/>
    </w:pPr>
    <w:rPr>
      <w:rFonts w:eastAsia="宋体" w:cs="宋体"/>
      <w:sz w:val="24"/>
    </w:rPr>
  </w:style>
  <w:style w:type="character" w:customStyle="1" w:styleId="698">
    <w:name w:val="dfgdfg Char Char Char"/>
    <w:qFormat/>
    <w:uiPriority w:val="0"/>
    <w:rPr>
      <w:rFonts w:ascii="Arial" w:hAnsi="Arial" w:eastAsia="黑体"/>
      <w:sz w:val="21"/>
      <w:szCs w:val="21"/>
    </w:rPr>
  </w:style>
  <w:style w:type="character" w:customStyle="1" w:styleId="699">
    <w:name w:val="Char7 Char Char"/>
    <w:qFormat/>
    <w:uiPriority w:val="0"/>
    <w:rPr>
      <w:snapToGrid/>
      <w:spacing w:val="6"/>
      <w:kern w:val="24"/>
    </w:rPr>
  </w:style>
  <w:style w:type="character" w:customStyle="1" w:styleId="700">
    <w:name w:val="bg Char Char Char Char Char"/>
    <w:link w:val="701"/>
    <w:qFormat/>
    <w:uiPriority w:val="0"/>
    <w:rPr>
      <w:rFonts w:ascii="Times New Roman" w:hAnsi="Times New Roman" w:cs="宋体"/>
      <w:kern w:val="2"/>
      <w:sz w:val="21"/>
      <w:szCs w:val="21"/>
    </w:rPr>
  </w:style>
  <w:style w:type="paragraph" w:customStyle="1" w:styleId="701">
    <w:name w:val="bg Char Char Char Char"/>
    <w:basedOn w:val="1"/>
    <w:link w:val="700"/>
    <w:qFormat/>
    <w:uiPriority w:val="0"/>
    <w:pPr>
      <w:jc w:val="center"/>
    </w:pPr>
    <w:rPr>
      <w:rFonts w:eastAsia="宋体" w:cs="宋体"/>
      <w:sz w:val="21"/>
      <w:szCs w:val="21"/>
    </w:rPr>
  </w:style>
  <w:style w:type="character" w:customStyle="1" w:styleId="702">
    <w:name w:val="正文文字 2 Char3"/>
    <w:qFormat/>
    <w:uiPriority w:val="0"/>
    <w:rPr>
      <w:rFonts w:ascii="Times New Roman" w:hAnsi="Times New Roman"/>
      <w:sz w:val="21"/>
    </w:rPr>
  </w:style>
  <w:style w:type="character" w:customStyle="1" w:styleId="703">
    <w:name w:val="标题 4 Char Char Char Char Char Char Char Char Char Ch"/>
    <w:qFormat/>
    <w:uiPriority w:val="0"/>
    <w:rPr>
      <w:rFonts w:ascii="黑体" w:eastAsia="黑体"/>
      <w:b/>
      <w:bCs/>
      <w:spacing w:val="5"/>
      <w:szCs w:val="28"/>
    </w:rPr>
  </w:style>
  <w:style w:type="character" w:customStyle="1" w:styleId="704">
    <w:name w:val="标题5 Char Char Char Char Char Char"/>
    <w:link w:val="705"/>
    <w:qFormat/>
    <w:uiPriority w:val="0"/>
    <w:rPr>
      <w:rFonts w:ascii="Times New Roman" w:hAnsi="Times New Roman"/>
      <w:kern w:val="2"/>
      <w:sz w:val="24"/>
      <w:szCs w:val="24"/>
    </w:rPr>
  </w:style>
  <w:style w:type="paragraph" w:customStyle="1" w:styleId="705">
    <w:name w:val="标题5 Char Char Char Char Char"/>
    <w:basedOn w:val="1"/>
    <w:link w:val="704"/>
    <w:qFormat/>
    <w:uiPriority w:val="0"/>
    <w:pPr>
      <w:tabs>
        <w:tab w:val="left" w:pos="840"/>
      </w:tabs>
      <w:spacing w:line="360" w:lineRule="auto"/>
      <w:ind w:left="840" w:hanging="420"/>
      <w:outlineLvl w:val="3"/>
    </w:pPr>
    <w:rPr>
      <w:rFonts w:eastAsia="宋体"/>
      <w:sz w:val="24"/>
    </w:rPr>
  </w:style>
  <w:style w:type="character" w:customStyle="1" w:styleId="706">
    <w:name w:val="样式 标题 4 + 宋体 Char Char Char Char Char1"/>
    <w:qFormat/>
    <w:uiPriority w:val="0"/>
    <w:rPr>
      <w:bCs/>
    </w:rPr>
  </w:style>
  <w:style w:type="character" w:customStyle="1" w:styleId="707">
    <w:name w:val="正正文 Char"/>
    <w:link w:val="708"/>
    <w:qFormat/>
    <w:uiPriority w:val="0"/>
    <w:rPr>
      <w:rFonts w:ascii="宋体" w:hAnsi="宋体"/>
      <w:snapToGrid/>
      <w:kern w:val="2"/>
      <w:sz w:val="24"/>
      <w:szCs w:val="24"/>
    </w:rPr>
  </w:style>
  <w:style w:type="paragraph" w:customStyle="1" w:styleId="708">
    <w:name w:val="正正文"/>
    <w:basedOn w:val="1"/>
    <w:link w:val="707"/>
    <w:qFormat/>
    <w:uiPriority w:val="0"/>
    <w:pPr>
      <w:spacing w:before="240" w:after="120" w:line="360" w:lineRule="auto"/>
      <w:ind w:firstLine="480"/>
    </w:pPr>
    <w:rPr>
      <w:rFonts w:ascii="宋体" w:hAnsi="宋体" w:eastAsia="宋体"/>
      <w:snapToGrid w:val="0"/>
      <w:sz w:val="24"/>
    </w:rPr>
  </w:style>
  <w:style w:type="character" w:customStyle="1" w:styleId="709">
    <w:name w:val="样式 标题 1 + 黑体 三号 黑色 居中 段前: 0.5 行 段后: 0 磅 行距: 单倍行距 Char Char Char Char"/>
    <w:link w:val="710"/>
    <w:qFormat/>
    <w:uiPriority w:val="0"/>
    <w:rPr>
      <w:rFonts w:ascii="Times New Roman" w:hAnsi="Times New Roman" w:eastAsia="黑体" w:cs="宋体"/>
      <w:bCs/>
      <w:color w:val="000000"/>
      <w:kern w:val="44"/>
      <w:sz w:val="36"/>
      <w:szCs w:val="32"/>
    </w:rPr>
  </w:style>
  <w:style w:type="paragraph" w:customStyle="1" w:styleId="710">
    <w:name w:val="样式 标题 1 + 黑体 三号 黑色 居中 段前: 0.5 行 段后: 0 磅 行距: 单倍行距 Char Char Char"/>
    <w:basedOn w:val="5"/>
    <w:link w:val="709"/>
    <w:qFormat/>
    <w:uiPriority w:val="0"/>
    <w:pPr>
      <w:keepLines w:val="0"/>
      <w:pageBreakBefore/>
      <w:spacing w:before="0" w:after="0" w:line="360" w:lineRule="exact"/>
      <w:ind w:left="0" w:firstLine="200"/>
    </w:pPr>
    <w:rPr>
      <w:rFonts w:eastAsia="黑体" w:cs="宋体"/>
      <w:b w:val="0"/>
      <w:color w:val="000000"/>
      <w:sz w:val="36"/>
      <w:szCs w:val="32"/>
    </w:rPr>
  </w:style>
  <w:style w:type="character" w:customStyle="1" w:styleId="711">
    <w:name w:val="段落1 Char1"/>
    <w:qFormat/>
    <w:uiPriority w:val="0"/>
    <w:rPr>
      <w:rFonts w:ascii="Times New Roman" w:hAnsi="Times New Roman" w:eastAsia="仿宋_GB2312"/>
      <w:spacing w:val="4"/>
      <w:sz w:val="24"/>
    </w:rPr>
  </w:style>
  <w:style w:type="character" w:customStyle="1" w:styleId="712">
    <w:name w:val="bg Char"/>
    <w:link w:val="713"/>
    <w:qFormat/>
    <w:uiPriority w:val="0"/>
    <w:rPr>
      <w:rFonts w:ascii="Times New Roman" w:hAnsi="Times New Roman" w:cs="宋体"/>
      <w:kern w:val="2"/>
      <w:sz w:val="21"/>
      <w:szCs w:val="21"/>
    </w:rPr>
  </w:style>
  <w:style w:type="paragraph" w:customStyle="1" w:styleId="713">
    <w:name w:val="bg"/>
    <w:basedOn w:val="1"/>
    <w:link w:val="712"/>
    <w:qFormat/>
    <w:uiPriority w:val="0"/>
    <w:pPr>
      <w:jc w:val="center"/>
    </w:pPr>
    <w:rPr>
      <w:rFonts w:eastAsia="宋体" w:cs="宋体"/>
      <w:sz w:val="21"/>
      <w:szCs w:val="21"/>
    </w:rPr>
  </w:style>
  <w:style w:type="character" w:customStyle="1" w:styleId="714">
    <w:name w:val="样式 标题 3标题 3 CharH3B Head + 宋体 小三 Char Char Char Char Char2"/>
    <w:qFormat/>
    <w:uiPriority w:val="0"/>
    <w:rPr>
      <w:rFonts w:eastAsia="黑体"/>
      <w:bCs/>
      <w:sz w:val="30"/>
      <w:szCs w:val="28"/>
    </w:rPr>
  </w:style>
  <w:style w:type="character" w:customStyle="1" w:styleId="715">
    <w:name w:val="Char3 Char Char3"/>
    <w:qFormat/>
    <w:uiPriority w:val="0"/>
    <w:rPr>
      <w:rFonts w:ascii="Times New Roman" w:hAnsi="Times New Roman"/>
      <w:sz w:val="18"/>
      <w:szCs w:val="18"/>
    </w:rPr>
  </w:style>
  <w:style w:type="character" w:customStyle="1" w:styleId="716">
    <w:name w:val="Char Char122"/>
    <w:qFormat/>
    <w:uiPriority w:val="0"/>
    <w:rPr>
      <w:rFonts w:eastAsia="华文中宋"/>
      <w:b/>
      <w:bCs/>
      <w:kern w:val="2"/>
      <w:sz w:val="30"/>
      <w:szCs w:val="30"/>
      <w:lang w:val="en-US" w:eastAsia="zh-CN" w:bidi="ar-SA"/>
    </w:rPr>
  </w:style>
  <w:style w:type="character" w:customStyle="1" w:styleId="717">
    <w:name w:val="样式 样式 样式 样式 宋体 段前: 0.5 行 行距: 固定值 18 磅 + 首行缩进:  2 字符 + (西文) 宋体 + ... Char"/>
    <w:link w:val="718"/>
    <w:qFormat/>
    <w:uiPriority w:val="0"/>
    <w:rPr>
      <w:rFonts w:ascii="Times New Roman" w:hAnsi="Times New Roman" w:eastAsia="Times New Roman" w:cs="宋体"/>
      <w:snapToGrid/>
      <w:color w:val="000000"/>
      <w:kern w:val="2"/>
      <w:sz w:val="24"/>
      <w:szCs w:val="18"/>
      <w:lang w:val="en-GB"/>
    </w:rPr>
  </w:style>
  <w:style w:type="paragraph" w:customStyle="1" w:styleId="718">
    <w:name w:val="样式 样式 样式 样式 宋体 段前: 0.5 行 行距: 固定值 18 磅 + 首行缩进:  2 字符 + (西文) 宋体 + ..."/>
    <w:basedOn w:val="719"/>
    <w:link w:val="717"/>
    <w:qFormat/>
    <w:uiPriority w:val="0"/>
  </w:style>
  <w:style w:type="paragraph" w:customStyle="1" w:styleId="719">
    <w:name w:val="样式 样式 样式 宋体 段前: 0.5 行 行距: 固定值 18 磅 + 首行缩进:  2 字符 + (西文) 宋体"/>
    <w:basedOn w:val="720"/>
    <w:link w:val="1408"/>
    <w:qFormat/>
    <w:uiPriority w:val="0"/>
    <w:pPr>
      <w:spacing w:line="480" w:lineRule="exact"/>
      <w:ind w:firstLine="459"/>
    </w:pPr>
    <w:rPr>
      <w:rFonts w:ascii="Times New Roman" w:hAnsi="Times New Roman" w:eastAsia="Times New Roman" w:cs="宋体"/>
      <w:szCs w:val="18"/>
    </w:rPr>
  </w:style>
  <w:style w:type="paragraph" w:customStyle="1" w:styleId="720">
    <w:name w:val="样式 样式 宋体 段前: 0.5 行 行距: 固定值 18 磅 + 首行缩进:  2 字符"/>
    <w:basedOn w:val="1"/>
    <w:link w:val="1409"/>
    <w:qFormat/>
    <w:uiPriority w:val="0"/>
    <w:pPr>
      <w:spacing w:line="360" w:lineRule="auto"/>
      <w:ind w:firstLine="480"/>
    </w:pPr>
    <w:rPr>
      <w:rFonts w:ascii="宋体" w:hAnsi="宋体"/>
      <w:snapToGrid w:val="0"/>
      <w:color w:val="000000"/>
      <w:sz w:val="24"/>
      <w:lang w:val="en-GB"/>
    </w:rPr>
  </w:style>
  <w:style w:type="character" w:customStyle="1" w:styleId="721">
    <w:name w:val="Char Char31"/>
    <w:qFormat/>
    <w:uiPriority w:val="0"/>
    <w:rPr>
      <w:rFonts w:eastAsia="华康简宋"/>
      <w:kern w:val="2"/>
      <w:sz w:val="24"/>
      <w:lang w:val="en-US" w:eastAsia="zh-CN" w:bidi="ar-SA"/>
    </w:rPr>
  </w:style>
  <w:style w:type="character" w:customStyle="1" w:styleId="722">
    <w:name w:val="Char Char14"/>
    <w:qFormat/>
    <w:uiPriority w:val="0"/>
    <w:rPr>
      <w:sz w:val="21"/>
    </w:rPr>
  </w:style>
  <w:style w:type="character" w:customStyle="1" w:styleId="723">
    <w:name w:val="Char12 Char Char"/>
    <w:qFormat/>
    <w:uiPriority w:val="0"/>
    <w:rPr>
      <w:b/>
      <w:bCs/>
    </w:rPr>
  </w:style>
  <w:style w:type="character" w:customStyle="1" w:styleId="724">
    <w:name w:val="Char Char45"/>
    <w:qFormat/>
    <w:uiPriority w:val="0"/>
    <w:rPr>
      <w:rFonts w:ascii="Cambria" w:hAnsi="Cambria" w:eastAsia="宋体"/>
      <w:b/>
      <w:bCs/>
      <w:kern w:val="32"/>
      <w:sz w:val="32"/>
      <w:szCs w:val="32"/>
    </w:rPr>
  </w:style>
  <w:style w:type="character" w:customStyle="1" w:styleId="725">
    <w:name w:val="书籍标题2"/>
    <w:qFormat/>
    <w:uiPriority w:val="0"/>
    <w:rPr>
      <w:rFonts w:ascii="Cambria" w:hAnsi="Cambria" w:eastAsia="宋体"/>
      <w:b/>
      <w:i/>
      <w:sz w:val="24"/>
      <w:szCs w:val="24"/>
    </w:rPr>
  </w:style>
  <w:style w:type="character" w:customStyle="1" w:styleId="726">
    <w:name w:val="Char Char93"/>
    <w:qFormat/>
    <w:uiPriority w:val="0"/>
    <w:rPr>
      <w:rFonts w:eastAsia="黑体"/>
      <w:b/>
      <w:bCs/>
      <w:kern w:val="44"/>
      <w:sz w:val="52"/>
      <w:szCs w:val="44"/>
      <w:lang w:val="en-US" w:eastAsia="zh-CN" w:bidi="ar-SA"/>
    </w:rPr>
  </w:style>
  <w:style w:type="character" w:customStyle="1" w:styleId="727">
    <w:name w:val="Char Char134"/>
    <w:qFormat/>
    <w:uiPriority w:val="0"/>
    <w:rPr>
      <w:rFonts w:eastAsia="华文细黑" w:cs="宋体"/>
      <w:b/>
      <w:bCs/>
      <w:kern w:val="44"/>
      <w:sz w:val="32"/>
      <w:szCs w:val="44"/>
      <w:lang w:val="en-US" w:eastAsia="zh-CN" w:bidi="ar-SA"/>
    </w:rPr>
  </w:style>
  <w:style w:type="character" w:customStyle="1" w:styleId="728">
    <w:name w:val="样式 标题 22nd levelh22Header 2H2UNDERRUBRIK 1-2Titre2l2一级节...1 Char Char"/>
    <w:qFormat/>
    <w:uiPriority w:val="0"/>
    <w:rPr>
      <w:rFonts w:ascii="Arial" w:hAnsi="Arial" w:eastAsia="黑体"/>
      <w:b/>
      <w:bCs/>
      <w:kern w:val="2"/>
      <w:sz w:val="28"/>
      <w:szCs w:val="28"/>
      <w:lang w:bidi="ar-SA"/>
    </w:rPr>
  </w:style>
  <w:style w:type="character" w:customStyle="1" w:styleId="729">
    <w:name w:val="Char Char72"/>
    <w:qFormat/>
    <w:uiPriority w:val="0"/>
    <w:rPr>
      <w:rFonts w:eastAsia="宋体" w:cs="宋体"/>
      <w:kern w:val="2"/>
      <w:sz w:val="18"/>
      <w:szCs w:val="18"/>
      <w:lang w:val="en-US" w:eastAsia="zh-CN" w:bidi="ar-SA"/>
    </w:rPr>
  </w:style>
  <w:style w:type="character" w:customStyle="1" w:styleId="730">
    <w:name w:val="z-窗体底端 Char2"/>
    <w:semiHidden/>
    <w:qFormat/>
    <w:uiPriority w:val="99"/>
    <w:rPr>
      <w:rFonts w:ascii="Arial" w:hAnsi="Arial" w:cs="Arial"/>
      <w:vanish/>
      <w:sz w:val="16"/>
      <w:szCs w:val="16"/>
    </w:rPr>
  </w:style>
  <w:style w:type="character" w:customStyle="1" w:styleId="731">
    <w:name w:val="z-窗体顶端 Char2"/>
    <w:semiHidden/>
    <w:qFormat/>
    <w:uiPriority w:val="99"/>
    <w:rPr>
      <w:rFonts w:ascii="Arial" w:hAnsi="Arial" w:cs="Arial"/>
      <w:vanish/>
      <w:sz w:val="16"/>
      <w:szCs w:val="16"/>
    </w:rPr>
  </w:style>
  <w:style w:type="character" w:customStyle="1" w:styleId="732">
    <w:name w:val="样式 样式 段前: 0.5 行 + 首行缩进:  2 字符 段前: 0.5 行 Char Char Char Char Char Char"/>
    <w:qFormat/>
    <w:uiPriority w:val="0"/>
  </w:style>
  <w:style w:type="character" w:customStyle="1" w:styleId="733">
    <w:name w:val="表头2 Char Char Char Char Char"/>
    <w:qFormat/>
    <w:uiPriority w:val="0"/>
    <w:rPr>
      <w:rFonts w:ascii="宋体" w:hAnsi="宋体"/>
      <w:b/>
      <w:color w:val="000000"/>
      <w:kern w:val="2"/>
      <w:sz w:val="24"/>
      <w:szCs w:val="24"/>
      <w:lang w:bidi="ar-SA"/>
    </w:rPr>
  </w:style>
  <w:style w:type="character" w:customStyle="1" w:styleId="734">
    <w:name w:val="标准正文 Char Char Char Char Char"/>
    <w:qFormat/>
    <w:uiPriority w:val="0"/>
    <w:rPr>
      <w:kern w:val="2"/>
      <w:sz w:val="28"/>
      <w:szCs w:val="28"/>
      <w:lang w:bidi="ar-SA"/>
    </w:rPr>
  </w:style>
  <w:style w:type="character" w:customStyle="1" w:styleId="735">
    <w:name w:val="表头5H Char Char"/>
    <w:qFormat/>
    <w:uiPriority w:val="0"/>
    <w:rPr>
      <w:rFonts w:ascii="黑体" w:eastAsia="黑体"/>
      <w:kern w:val="2"/>
      <w:sz w:val="24"/>
      <w:szCs w:val="24"/>
      <w:lang w:bidi="ar-SA"/>
    </w:rPr>
  </w:style>
  <w:style w:type="character" w:customStyle="1" w:styleId="736">
    <w:name w:val="报告书正文 Char Char Char Char Char Char Char Char Char Char Char Char Char Char Char Char Char Char Char Char"/>
    <w:qFormat/>
    <w:uiPriority w:val="0"/>
    <w:rPr>
      <w:kern w:val="2"/>
      <w:sz w:val="24"/>
      <w:szCs w:val="24"/>
      <w:lang w:bidi="ar-SA"/>
    </w:rPr>
  </w:style>
  <w:style w:type="character" w:customStyle="1" w:styleId="737">
    <w:name w:val="样式1-正文 Char Char"/>
    <w:qFormat/>
    <w:uiPriority w:val="0"/>
    <w:rPr>
      <w:rFonts w:ascii="宋体" w:hAnsi="宋体"/>
      <w:spacing w:val="-1"/>
      <w:sz w:val="24"/>
      <w:szCs w:val="32"/>
      <w:lang w:bidi="ar-SA"/>
    </w:rPr>
  </w:style>
  <w:style w:type="character" w:customStyle="1" w:styleId="738">
    <w:name w:val="Char Char Char Char Char Char Char Char Char Char Char Char Char Char Char Char Char Char Char Char Char Char Char Char Char"/>
    <w:qFormat/>
    <w:uiPriority w:val="0"/>
    <w:rPr>
      <w:rFonts w:hAnsi="Courier New" w:cs="Courier New"/>
      <w:sz w:val="21"/>
      <w:szCs w:val="21"/>
    </w:rPr>
  </w:style>
  <w:style w:type="character" w:customStyle="1" w:styleId="739">
    <w:name w:val="环小四1.1.1（三级） Char Char"/>
    <w:qFormat/>
    <w:uiPriority w:val="0"/>
    <w:rPr>
      <w:rFonts w:ascii="宋体" w:hAnsi="宋体" w:eastAsia="楷体_GB2312"/>
      <w:b/>
      <w:bCs/>
      <w:snapToGrid/>
      <w:sz w:val="24"/>
      <w:szCs w:val="24"/>
      <w:lang w:val="en-US" w:eastAsia="zh-CN" w:bidi="ar-SA"/>
    </w:rPr>
  </w:style>
  <w:style w:type="character" w:customStyle="1" w:styleId="740">
    <w:name w:val="环小四表尾 Char Char"/>
    <w:qFormat/>
    <w:uiPriority w:val="0"/>
    <w:rPr>
      <w:rFonts w:ascii="宋体"/>
      <w:b/>
      <w:bCs/>
      <w:sz w:val="21"/>
      <w:szCs w:val="21"/>
      <w:lang w:val="en-US" w:eastAsia="zh-CN" w:bidi="ar-SA"/>
    </w:rPr>
  </w:style>
  <w:style w:type="character" w:customStyle="1" w:styleId="741">
    <w:name w:val="表头11 Char Char Char Char Char"/>
    <w:qFormat/>
    <w:uiPriority w:val="0"/>
    <w:rPr>
      <w:rFonts w:ascii="宋体" w:hAnsi="宋体" w:eastAsia="宋体"/>
      <w:b/>
      <w:color w:val="FF0000"/>
      <w:kern w:val="2"/>
      <w:sz w:val="24"/>
      <w:szCs w:val="24"/>
      <w:lang w:bidi="ar-SA"/>
    </w:rPr>
  </w:style>
  <w:style w:type="character" w:customStyle="1" w:styleId="742">
    <w:name w:val="样式 标题 3标题 3 CharH3B Head + 宋体 小三 Char Char Char Char Char Char Char Char Char Char"/>
    <w:qFormat/>
    <w:uiPriority w:val="0"/>
    <w:rPr>
      <w:rFonts w:ascii="宋体" w:hAnsi="宋体" w:eastAsia="黑体"/>
      <w:bCs/>
      <w:sz w:val="30"/>
      <w:szCs w:val="28"/>
      <w:lang w:bidi="ar-SA"/>
    </w:rPr>
  </w:style>
  <w:style w:type="character" w:customStyle="1" w:styleId="743">
    <w:name w:val="表格11 Char Char Char Char Char"/>
    <w:qFormat/>
    <w:uiPriority w:val="0"/>
    <w:rPr>
      <w:rFonts w:ascii="宋体" w:hAnsi="宋体"/>
      <w:sz w:val="21"/>
      <w:szCs w:val="21"/>
      <w:lang w:bidi="ar-SA"/>
    </w:rPr>
  </w:style>
  <w:style w:type="character" w:customStyle="1" w:styleId="744">
    <w:name w:val="样式 郝家梁正文 + 宋体 Char Char"/>
    <w:qFormat/>
    <w:uiPriority w:val="0"/>
    <w:rPr>
      <w:rFonts w:ascii="宋体" w:hAnsi="宋体"/>
      <w:color w:val="000000"/>
      <w:kern w:val="2"/>
      <w:sz w:val="24"/>
      <w:lang w:bidi="ar-SA"/>
    </w:rPr>
  </w:style>
  <w:style w:type="character" w:customStyle="1" w:styleId="745">
    <w:name w:val="报告书正文 Char Char Char Char Char Char Char Char Char Char Char Char Char Char Char Char Char Char Char"/>
    <w:qFormat/>
    <w:uiPriority w:val="0"/>
    <w:rPr>
      <w:color w:val="000000"/>
      <w:kern w:val="2"/>
      <w:sz w:val="24"/>
      <w:szCs w:val="24"/>
      <w:lang w:bidi="ar-SA"/>
    </w:rPr>
  </w:style>
  <w:style w:type="character" w:customStyle="1" w:styleId="746">
    <w:name w:val="表号 Char Char"/>
    <w:qFormat/>
    <w:uiPriority w:val="0"/>
    <w:rPr>
      <w:rFonts w:eastAsia="黑体"/>
      <w:kern w:val="2"/>
      <w:sz w:val="24"/>
      <w:szCs w:val="24"/>
      <w:lang w:bidi="ar-SA"/>
    </w:rPr>
  </w:style>
  <w:style w:type="character" w:customStyle="1" w:styleId="747">
    <w:name w:val="样式 标题 22nd levelh22Header 2H2UNDERRUBRIK 1-2Titre2l2一级节...2 Char Char"/>
    <w:qFormat/>
    <w:uiPriority w:val="0"/>
    <w:rPr>
      <w:rFonts w:ascii="Arial" w:hAnsi="Arial" w:eastAsia="黑体"/>
      <w:kern w:val="2"/>
      <w:sz w:val="30"/>
      <w:szCs w:val="28"/>
      <w:lang w:bidi="ar-SA"/>
    </w:rPr>
  </w:style>
  <w:style w:type="character" w:customStyle="1" w:styleId="748">
    <w:name w:val="样式 样式 宋体 段前: 0.5 行 行距: 固定值 18 磅 + 首行缩进:  2 字符 Char Char Char Char Char"/>
    <w:qFormat/>
    <w:uiPriority w:val="0"/>
    <w:rPr>
      <w:rFonts w:ascii="宋体" w:hAnsi="宋体"/>
      <w:snapToGrid/>
      <w:color w:val="000000"/>
      <w:kern w:val="2"/>
      <w:sz w:val="24"/>
      <w:szCs w:val="24"/>
      <w:lang w:val="en-GB" w:bidi="ar-SA"/>
    </w:rPr>
  </w:style>
  <w:style w:type="character" w:customStyle="1" w:styleId="749">
    <w:name w:val="BG5 Char Char Char Char Char Char Char Char Char"/>
    <w:qFormat/>
    <w:uiPriority w:val="0"/>
    <w:rPr>
      <w:rFonts w:ascii="@宋体"/>
      <w:kern w:val="2"/>
      <w:sz w:val="21"/>
      <w:szCs w:val="24"/>
      <w:lang w:bidi="ar-SA"/>
    </w:rPr>
  </w:style>
  <w:style w:type="character" w:customStyle="1" w:styleId="750">
    <w:name w:val="样式 宋体 段前: 0.5 行 行距: 固定值 18 磅 Char Char1"/>
    <w:qFormat/>
    <w:uiPriority w:val="0"/>
  </w:style>
  <w:style w:type="character" w:customStyle="1" w:styleId="751">
    <w:name w:val="HTML 预先格式化 Char2"/>
    <w:qFormat/>
    <w:uiPriority w:val="0"/>
  </w:style>
  <w:style w:type="character" w:customStyle="1" w:styleId="752">
    <w:name w:val="普通文字 Char Char Char Char Char Char Char Char Char Char Char Char Char Char Char Char Char Char Char Char"/>
    <w:qFormat/>
    <w:uiPriority w:val="0"/>
    <w:rPr>
      <w:rFonts w:hAnsi="Courier New"/>
      <w:sz w:val="21"/>
    </w:rPr>
  </w:style>
  <w:style w:type="character" w:customStyle="1" w:styleId="753">
    <w:name w:val="Char Char61"/>
    <w:qFormat/>
    <w:uiPriority w:val="0"/>
    <w:rPr>
      <w:rFonts w:eastAsia="宋体"/>
      <w:b/>
      <w:kern w:val="44"/>
      <w:sz w:val="36"/>
      <w:lang w:val="en-US" w:eastAsia="zh-CN" w:bidi="ar-SA"/>
    </w:rPr>
  </w:style>
  <w:style w:type="character" w:customStyle="1" w:styleId="754">
    <w:name w:val="样式 标题 22nd levelh22Header 2H2UNDERRUBRIK 1-2Titre2l2一级节...1 Char"/>
    <w:link w:val="755"/>
    <w:qFormat/>
    <w:uiPriority w:val="0"/>
    <w:rPr>
      <w:rFonts w:ascii="Arial" w:hAnsi="Arial" w:eastAsia="黑体"/>
      <w:b/>
      <w:bCs/>
      <w:kern w:val="2"/>
      <w:sz w:val="28"/>
      <w:szCs w:val="28"/>
    </w:rPr>
  </w:style>
  <w:style w:type="paragraph" w:customStyle="1" w:styleId="755">
    <w:name w:val="样式 标题 22nd levelh22Header 2H2UNDERRUBRIK 1-2Titre2l2一级节...1"/>
    <w:basedOn w:val="6"/>
    <w:link w:val="754"/>
    <w:qFormat/>
    <w:uiPriority w:val="0"/>
    <w:pPr>
      <w:keepLines w:val="0"/>
      <w:tabs>
        <w:tab w:val="clear" w:pos="1080"/>
      </w:tabs>
      <w:spacing w:after="60"/>
      <w:ind w:left="840" w:hanging="420"/>
    </w:pPr>
    <w:rPr>
      <w:rFonts w:ascii="Arial" w:hAnsi="Arial"/>
      <w:bCs/>
      <w:kern w:val="2"/>
      <w:sz w:val="28"/>
      <w:szCs w:val="28"/>
    </w:rPr>
  </w:style>
  <w:style w:type="character" w:customStyle="1" w:styleId="756">
    <w:name w:val="亚行正文 Char"/>
    <w:link w:val="757"/>
    <w:qFormat/>
    <w:uiPriority w:val="0"/>
    <w:rPr>
      <w:rFonts w:ascii="Times New Roman" w:hAnsi="Times New Roman"/>
      <w:kern w:val="2"/>
      <w:sz w:val="24"/>
      <w:szCs w:val="24"/>
    </w:rPr>
  </w:style>
  <w:style w:type="paragraph" w:customStyle="1" w:styleId="757">
    <w:name w:val="亚行正文"/>
    <w:basedOn w:val="1"/>
    <w:link w:val="756"/>
    <w:qFormat/>
    <w:uiPriority w:val="0"/>
    <w:pPr>
      <w:spacing w:line="480" w:lineRule="exact"/>
      <w:ind w:firstLine="480"/>
    </w:pPr>
    <w:rPr>
      <w:rFonts w:eastAsia="宋体"/>
      <w:sz w:val="24"/>
    </w:rPr>
  </w:style>
  <w:style w:type="character" w:customStyle="1" w:styleId="758">
    <w:name w:val="样式 样式 样式 样式 宋体 段前: 0.5 行 行距: 固定值 18 磅 + 首行缩进:  2 字符 + (西文) 宋体 + ... Char Char"/>
    <w:qFormat/>
    <w:uiPriority w:val="0"/>
    <w:rPr>
      <w:snapToGrid/>
      <w:color w:val="000000"/>
      <w:lang w:val="en-GB"/>
    </w:rPr>
  </w:style>
  <w:style w:type="character" w:customStyle="1" w:styleId="759">
    <w:name w:val="Default Text Char"/>
    <w:qFormat/>
    <w:uiPriority w:val="0"/>
    <w:rPr>
      <w:color w:val="000000"/>
      <w:sz w:val="24"/>
      <w:lang w:val="en-US" w:eastAsia="zh-CN"/>
    </w:rPr>
  </w:style>
  <w:style w:type="character" w:customStyle="1" w:styleId="760">
    <w:name w:val="报告书正文 Char3"/>
    <w:qFormat/>
    <w:uiPriority w:val="0"/>
  </w:style>
  <w:style w:type="character" w:customStyle="1" w:styleId="761">
    <w:name w:val="样式 标题 3 + 华文中宋 小三 段前: 6 磅 段后: 6 磅 行距: 多倍行距 1.4 字行 Char1"/>
    <w:link w:val="762"/>
    <w:qFormat/>
    <w:uiPriority w:val="0"/>
    <w:rPr>
      <w:rFonts w:ascii="Times New Roman" w:hAnsi="Times New Roman" w:eastAsia="华文中宋"/>
      <w:bCs/>
      <w:kern w:val="2"/>
      <w:sz w:val="28"/>
      <w:szCs w:val="30"/>
      <w:lang w:val="zh-CN"/>
    </w:rPr>
  </w:style>
  <w:style w:type="paragraph" w:customStyle="1" w:styleId="762">
    <w:name w:val="样式 标题 3 + 华文中宋 小三 段前: 6 磅 段后: 6 磅 行距: 多倍行距 1.4 字行"/>
    <w:basedOn w:val="7"/>
    <w:link w:val="761"/>
    <w:qFormat/>
    <w:uiPriority w:val="0"/>
    <w:pPr>
      <w:keepLines w:val="0"/>
      <w:tabs>
        <w:tab w:val="left" w:pos="633"/>
        <w:tab w:val="clear" w:pos="1440"/>
      </w:tabs>
      <w:spacing w:before="0" w:after="0"/>
      <w:ind w:left="778" w:hanging="764"/>
    </w:pPr>
    <w:rPr>
      <w:rFonts w:eastAsia="华文中宋"/>
      <w:b w:val="0"/>
      <w:bCs/>
      <w:kern w:val="2"/>
      <w:szCs w:val="30"/>
      <w:lang w:val="zh-CN"/>
    </w:rPr>
  </w:style>
  <w:style w:type="character" w:customStyle="1" w:styleId="763">
    <w:name w:val="报告 Char"/>
    <w:qFormat/>
    <w:uiPriority w:val="0"/>
    <w:rPr>
      <w:rFonts w:ascii="Times New Roman" w:hAnsi="Times New Roman"/>
      <w:kern w:val="2"/>
      <w:sz w:val="24"/>
      <w:szCs w:val="24"/>
    </w:rPr>
  </w:style>
  <w:style w:type="character" w:customStyle="1" w:styleId="764">
    <w:name w:val="bg Char Char"/>
    <w:qFormat/>
    <w:uiPriority w:val="0"/>
    <w:rPr>
      <w:sz w:val="21"/>
      <w:szCs w:val="21"/>
    </w:rPr>
  </w:style>
  <w:style w:type="character" w:customStyle="1" w:styleId="765">
    <w:name w:val="Char11 Char Char1"/>
    <w:qFormat/>
    <w:uiPriority w:val="0"/>
    <w:rPr>
      <w:rFonts w:ascii="Arial" w:hAnsi="Arial" w:eastAsia="黑体"/>
    </w:rPr>
  </w:style>
  <w:style w:type="character" w:customStyle="1" w:styleId="766">
    <w:name w:val="HTML 预先格式化 Char Char"/>
    <w:qFormat/>
    <w:uiPriority w:val="0"/>
    <w:rPr>
      <w:rFonts w:ascii="Courier New" w:hAnsi="Courier New" w:cs="Courier New"/>
    </w:rPr>
  </w:style>
  <w:style w:type="character" w:customStyle="1" w:styleId="767">
    <w:name w:val="Char Char4"/>
    <w:qFormat/>
    <w:uiPriority w:val="0"/>
    <w:rPr>
      <w:rFonts w:eastAsia="宋体"/>
      <w:kern w:val="2"/>
      <w:sz w:val="18"/>
      <w:szCs w:val="18"/>
      <w:lang w:val="en-US" w:eastAsia="zh-CN" w:bidi="ar-SA"/>
    </w:rPr>
  </w:style>
  <w:style w:type="character" w:customStyle="1" w:styleId="768">
    <w:name w:val="f14 lh15"/>
    <w:qFormat/>
    <w:uiPriority w:val="0"/>
  </w:style>
  <w:style w:type="character" w:customStyle="1" w:styleId="769">
    <w:name w:val="Char Char Char4"/>
    <w:qFormat/>
    <w:uiPriority w:val="0"/>
    <w:rPr>
      <w:rFonts w:ascii="Arial" w:hAnsi="Arial" w:eastAsia="黑体"/>
      <w:b/>
      <w:bCs/>
    </w:rPr>
  </w:style>
  <w:style w:type="character" w:customStyle="1" w:styleId="770">
    <w:name w:val="样式1 Char Char Char Char Char Char Char Char1"/>
    <w:qFormat/>
    <w:uiPriority w:val="0"/>
  </w:style>
  <w:style w:type="character" w:customStyle="1" w:styleId="771">
    <w:name w:val="Char12 Char Char3"/>
    <w:qFormat/>
    <w:uiPriority w:val="0"/>
    <w:rPr>
      <w:rFonts w:ascii="Times New Roman" w:hAnsi="Times New Roman"/>
      <w:b/>
      <w:bCs/>
    </w:rPr>
  </w:style>
  <w:style w:type="character" w:customStyle="1" w:styleId="772">
    <w:name w:val="st12"/>
    <w:qFormat/>
    <w:uiPriority w:val="0"/>
  </w:style>
  <w:style w:type="character" w:customStyle="1" w:styleId="773">
    <w:name w:val="样式 样式 样式 标题 1 + 黑体 三号 黑色 居中 段前: 0.5 行 段后: 0 磅 行距: 单倍行距 + 居中 + Ti... Char Char1"/>
    <w:qFormat/>
    <w:uiPriority w:val="0"/>
    <w:rPr>
      <w:rFonts w:eastAsia="黑体"/>
      <w:b/>
      <w:bCs/>
      <w:color w:val="000000"/>
      <w:kern w:val="44"/>
      <w:sz w:val="36"/>
      <w:szCs w:val="32"/>
    </w:rPr>
  </w:style>
  <w:style w:type="character" w:customStyle="1" w:styleId="774">
    <w:name w:val="样式 样式 样式 样式 宋体 段前: 0.5 行 行距: 固定值 18 磅 + 首行缩进:  2 字符 + (西文) 宋体 + ... Char Char Char Char"/>
    <w:link w:val="775"/>
    <w:qFormat/>
    <w:uiPriority w:val="0"/>
    <w:rPr>
      <w:rFonts w:ascii="宋体" w:hAnsi="宋体" w:cs="宋体"/>
      <w:snapToGrid/>
      <w:color w:val="000000"/>
      <w:kern w:val="2"/>
      <w:sz w:val="24"/>
      <w:szCs w:val="24"/>
      <w:lang w:val="en-GB"/>
    </w:rPr>
  </w:style>
  <w:style w:type="paragraph" w:customStyle="1" w:styleId="775">
    <w:name w:val="样式 样式 样式 样式 宋体 段前: 0.5 行 行距: 固定值 18 磅 + 首行缩进:  2 字符 + (西文) 宋体 + ... Char Char Char"/>
    <w:basedOn w:val="439"/>
    <w:link w:val="774"/>
    <w:qFormat/>
    <w:uiPriority w:val="0"/>
  </w:style>
  <w:style w:type="character" w:customStyle="1" w:styleId="776">
    <w:name w:val="样式 普通文字 + 加宽量  0.4 磅 Char Char Char Char Char Char Char Char Char Char Char Char Char Char Char Char Char Char Char Char"/>
    <w:qFormat/>
    <w:uiPriority w:val="0"/>
    <w:rPr>
      <w:spacing w:val="8"/>
    </w:rPr>
  </w:style>
  <w:style w:type="character" w:customStyle="1" w:styleId="777">
    <w:name w:val="环小四1.1.1（三级） Char"/>
    <w:link w:val="778"/>
    <w:qFormat/>
    <w:uiPriority w:val="0"/>
    <w:rPr>
      <w:rFonts w:ascii="宋体" w:hAnsi="宋体" w:eastAsia="楷体_GB2312"/>
      <w:b/>
      <w:bCs/>
      <w:snapToGrid/>
      <w:sz w:val="24"/>
      <w:szCs w:val="24"/>
    </w:rPr>
  </w:style>
  <w:style w:type="paragraph" w:customStyle="1" w:styleId="778">
    <w:name w:val="环小四1.1.1（三级）"/>
    <w:link w:val="777"/>
    <w:qFormat/>
    <w:uiPriority w:val="0"/>
    <w:pPr>
      <w:widowControl w:val="0"/>
      <w:spacing w:line="320" w:lineRule="exact"/>
      <w:jc w:val="center"/>
      <w:outlineLvl w:val="2"/>
    </w:pPr>
    <w:rPr>
      <w:rFonts w:ascii="宋体" w:hAnsi="宋体" w:eastAsia="楷体_GB2312" w:cs="Times New Roman"/>
      <w:b/>
      <w:bCs/>
      <w:snapToGrid w:val="0"/>
      <w:sz w:val="24"/>
      <w:szCs w:val="24"/>
      <w:lang w:val="en-US" w:eastAsia="zh-CN" w:bidi="ar-SA"/>
    </w:rPr>
  </w:style>
  <w:style w:type="character" w:customStyle="1" w:styleId="779">
    <w:name w:val="样式 样式 z + Times New Roman + (西文) Times New Roman Char Char Char Char"/>
    <w:link w:val="780"/>
    <w:qFormat/>
    <w:uiPriority w:val="0"/>
    <w:rPr>
      <w:rFonts w:ascii="Times New Roman" w:hAnsi="Times New Roman"/>
      <w:kern w:val="2"/>
      <w:position w:val="2"/>
      <w:sz w:val="24"/>
      <w:szCs w:val="24"/>
    </w:rPr>
  </w:style>
  <w:style w:type="paragraph" w:customStyle="1" w:styleId="780">
    <w:name w:val="样式 样式 z + Times New Roman + (西文) Times New Roman Char Char Char"/>
    <w:basedOn w:val="1"/>
    <w:link w:val="779"/>
    <w:qFormat/>
    <w:uiPriority w:val="0"/>
    <w:pPr>
      <w:spacing w:line="480" w:lineRule="exact"/>
      <w:ind w:firstLine="459"/>
    </w:pPr>
    <w:rPr>
      <w:rFonts w:eastAsia="宋体"/>
      <w:position w:val="2"/>
      <w:sz w:val="24"/>
    </w:rPr>
  </w:style>
  <w:style w:type="character" w:customStyle="1" w:styleId="781">
    <w:name w:val="明显引用 Char2"/>
    <w:semiHidden/>
    <w:qFormat/>
    <w:uiPriority w:val="99"/>
    <w:rPr>
      <w:rFonts w:ascii="Calibri" w:hAnsi="Calibri"/>
      <w:b/>
      <w:bCs/>
      <w:i/>
      <w:iCs/>
      <w:color w:val="4F81BD"/>
      <w:sz w:val="21"/>
    </w:rPr>
  </w:style>
  <w:style w:type="character" w:customStyle="1" w:styleId="782">
    <w:name w:val="脚注文本 Char1"/>
    <w:semiHidden/>
    <w:qFormat/>
    <w:uiPriority w:val="99"/>
    <w:rPr>
      <w:rFonts w:ascii="Calibri" w:hAnsi="Calibri"/>
      <w:sz w:val="18"/>
      <w:szCs w:val="18"/>
    </w:rPr>
  </w:style>
  <w:style w:type="character" w:customStyle="1" w:styleId="783">
    <w:name w:val="search_content1"/>
    <w:qFormat/>
    <w:uiPriority w:val="0"/>
    <w:rPr>
      <w:sz w:val="20"/>
      <w:szCs w:val="20"/>
    </w:rPr>
  </w:style>
  <w:style w:type="character" w:customStyle="1" w:styleId="784">
    <w:name w:val="Char Char451"/>
    <w:qFormat/>
    <w:uiPriority w:val="0"/>
    <w:rPr>
      <w:rFonts w:ascii="Cambria" w:hAnsi="Cambria" w:eastAsia="宋体"/>
      <w:b/>
      <w:bCs/>
      <w:kern w:val="32"/>
      <w:sz w:val="32"/>
      <w:szCs w:val="32"/>
    </w:rPr>
  </w:style>
  <w:style w:type="character" w:customStyle="1" w:styleId="785">
    <w:name w:val="Char Char124"/>
    <w:qFormat/>
    <w:uiPriority w:val="0"/>
    <w:rPr>
      <w:rFonts w:eastAsia="华文中宋"/>
      <w:b/>
      <w:bCs/>
      <w:kern w:val="2"/>
      <w:sz w:val="30"/>
      <w:szCs w:val="30"/>
      <w:lang w:val="en-US" w:eastAsia="zh-CN" w:bidi="ar-SA"/>
    </w:rPr>
  </w:style>
  <w:style w:type="character" w:customStyle="1" w:styleId="786">
    <w:name w:val="正文！！！！！ Char Char"/>
    <w:qFormat/>
    <w:uiPriority w:val="0"/>
    <w:rPr>
      <w:rFonts w:ascii="宋体" w:hAnsi="宋体"/>
      <w:snapToGrid/>
      <w:sz w:val="24"/>
      <w:szCs w:val="24"/>
      <w:lang w:bidi="ar-SA"/>
    </w:rPr>
  </w:style>
  <w:style w:type="character" w:customStyle="1" w:styleId="787">
    <w:name w:val="报告 Char Char Char Char Char Char Char Char Char"/>
    <w:qFormat/>
    <w:uiPriority w:val="0"/>
    <w:rPr>
      <w:kern w:val="2"/>
      <w:sz w:val="24"/>
      <w:szCs w:val="24"/>
      <w:lang w:bidi="ar-SA"/>
    </w:rPr>
  </w:style>
  <w:style w:type="character" w:customStyle="1" w:styleId="788">
    <w:name w:val="样式 段前: 0.5 行 Char Char Char Char Char Char"/>
    <w:qFormat/>
    <w:uiPriority w:val="0"/>
    <w:rPr>
      <w:kern w:val="2"/>
      <w:sz w:val="24"/>
      <w:szCs w:val="24"/>
      <w:lang w:bidi="ar-SA"/>
    </w:rPr>
  </w:style>
  <w:style w:type="character" w:customStyle="1" w:styleId="789">
    <w:name w:val="正文文本最新 Char Char Char Char1 Char Char Char Char Char Char1 Char Char"/>
    <w:qFormat/>
    <w:uiPriority w:val="0"/>
    <w:rPr>
      <w:bCs/>
      <w:kern w:val="2"/>
      <w:sz w:val="28"/>
      <w:szCs w:val="24"/>
      <w:lang w:bidi="ar-SA"/>
    </w:rPr>
  </w:style>
  <w:style w:type="character" w:customStyle="1" w:styleId="790">
    <w:name w:val="表格 Char Char Char Char"/>
    <w:qFormat/>
    <w:uiPriority w:val="0"/>
    <w:rPr>
      <w:rFonts w:ascii="黑体" w:eastAsia="黑体"/>
      <w:kern w:val="2"/>
      <w:sz w:val="24"/>
      <w:szCs w:val="24"/>
      <w:lang w:bidi="ar-SA"/>
    </w:rPr>
  </w:style>
  <w:style w:type="character" w:customStyle="1" w:styleId="791">
    <w:name w:val="表中 Char Char"/>
    <w:qFormat/>
    <w:uiPriority w:val="0"/>
    <w:rPr>
      <w:rFonts w:ascii="宋体" w:hAnsi="宋体"/>
      <w:color w:val="000000"/>
      <w:kern w:val="2"/>
      <w:sz w:val="18"/>
      <w:szCs w:val="18"/>
      <w:lang w:val="en-US" w:eastAsia="zh-CN" w:bidi="ar-SA"/>
    </w:rPr>
  </w:style>
  <w:style w:type="character" w:customStyle="1" w:styleId="792">
    <w:name w:val="BG5 Char Char Char Char Char Char Char Char Char Char"/>
    <w:qFormat/>
    <w:uiPriority w:val="0"/>
    <w:rPr>
      <w:rFonts w:ascii="@宋体"/>
      <w:kern w:val="2"/>
      <w:sz w:val="21"/>
      <w:szCs w:val="24"/>
      <w:lang w:bidi="ar-SA"/>
    </w:rPr>
  </w:style>
  <w:style w:type="character" w:customStyle="1" w:styleId="793">
    <w:name w:val="报告书正文 Char Char Char Char Char Char Char Char Char Char Char Char Char Char Char Char Char Char"/>
    <w:qFormat/>
    <w:uiPriority w:val="0"/>
    <w:rPr>
      <w:color w:val="000000"/>
      <w:kern w:val="2"/>
      <w:sz w:val="24"/>
      <w:szCs w:val="24"/>
      <w:lang w:bidi="ar-SA"/>
    </w:rPr>
  </w:style>
  <w:style w:type="character" w:customStyle="1" w:styleId="794">
    <w:name w:val="ch中文正文 Char Char"/>
    <w:qFormat/>
    <w:uiPriority w:val="0"/>
    <w:rPr>
      <w:sz w:val="24"/>
      <w:lang w:val="en-US" w:eastAsia="zh-CN" w:bidi="ar-SA"/>
    </w:rPr>
  </w:style>
  <w:style w:type="character" w:customStyle="1" w:styleId="795">
    <w:name w:val="样式 样式 样式 宋体 段前: 0.5 行 行距: 固定值 18 磅 + 首行缩进:  2 字符 + (西文) 宋体 Char Char Char Char Char"/>
    <w:qFormat/>
    <w:uiPriority w:val="0"/>
  </w:style>
  <w:style w:type="character" w:customStyle="1" w:styleId="796">
    <w:name w:val="样式 z + Times New Roman Char Char Char Char Char Char"/>
    <w:qFormat/>
    <w:uiPriority w:val="0"/>
    <w:rPr>
      <w:rFonts w:ascii="宋体" w:hAnsi="宋体"/>
      <w:kern w:val="2"/>
      <w:position w:val="2"/>
      <w:sz w:val="24"/>
      <w:szCs w:val="24"/>
      <w:lang w:bidi="ar-SA"/>
    </w:rPr>
  </w:style>
  <w:style w:type="character" w:customStyle="1" w:styleId="797">
    <w:name w:val="样式 表头11 + 自动设置 Char Char Char Char Char"/>
    <w:qFormat/>
    <w:uiPriority w:val="0"/>
    <w:rPr>
      <w:rFonts w:ascii="宋体" w:hAnsi="宋体"/>
      <w:b/>
      <w:bCs/>
      <w:color w:val="000000"/>
      <w:kern w:val="2"/>
      <w:sz w:val="24"/>
      <w:szCs w:val="21"/>
      <w:lang w:bidi="ar-SA"/>
    </w:rPr>
  </w:style>
  <w:style w:type="character" w:customStyle="1" w:styleId="798">
    <w:name w:val="样式 首行缩进:  1 字符 Char Char"/>
    <w:qFormat/>
    <w:uiPriority w:val="0"/>
    <w:rPr>
      <w:rFonts w:ascii="宋体"/>
      <w:snapToGrid/>
      <w:sz w:val="24"/>
      <w:szCs w:val="24"/>
      <w:lang w:bidi="ar-SA"/>
    </w:rPr>
  </w:style>
  <w:style w:type="character" w:customStyle="1" w:styleId="799">
    <w:name w:val="Char1 Char Char1"/>
    <w:qFormat/>
    <w:uiPriority w:val="0"/>
    <w:rPr>
      <w:rFonts w:ascii="宋体" w:hAnsi="宋体"/>
      <w:kern w:val="2"/>
      <w:sz w:val="24"/>
      <w:szCs w:val="24"/>
      <w:lang w:bidi="ar-SA"/>
    </w:rPr>
  </w:style>
  <w:style w:type="character" w:customStyle="1" w:styleId="800">
    <w:name w:val="表图头 Char"/>
    <w:link w:val="801"/>
    <w:qFormat/>
    <w:uiPriority w:val="0"/>
    <w:rPr>
      <w:rFonts w:eastAsia="仿宋_GB2312"/>
      <w:kern w:val="2"/>
      <w:sz w:val="24"/>
      <w:szCs w:val="24"/>
    </w:rPr>
  </w:style>
  <w:style w:type="paragraph" w:customStyle="1" w:styleId="801">
    <w:name w:val="表图头"/>
    <w:basedOn w:val="1"/>
    <w:link w:val="800"/>
    <w:qFormat/>
    <w:uiPriority w:val="0"/>
    <w:pPr>
      <w:widowControl w:val="0"/>
      <w:adjustRightInd/>
      <w:snapToGrid/>
      <w:spacing w:line="440" w:lineRule="exact"/>
      <w:ind w:firstLine="0" w:firstLineChars="0"/>
      <w:jc w:val="center"/>
    </w:pPr>
    <w:rPr>
      <w:rFonts w:ascii="Calibri" w:hAnsi="Calibri"/>
      <w:sz w:val="24"/>
    </w:rPr>
  </w:style>
  <w:style w:type="character" w:customStyle="1" w:styleId="802">
    <w:name w:val="引用 Char Char"/>
    <w:qFormat/>
    <w:uiPriority w:val="0"/>
    <w:rPr>
      <w:i/>
      <w:sz w:val="24"/>
      <w:szCs w:val="24"/>
      <w:lang w:bidi="ar-SA"/>
    </w:rPr>
  </w:style>
  <w:style w:type="character" w:customStyle="1" w:styleId="803">
    <w:name w:val="Char Char94"/>
    <w:qFormat/>
    <w:uiPriority w:val="0"/>
    <w:rPr>
      <w:rFonts w:eastAsia="黑体"/>
      <w:b/>
      <w:bCs/>
      <w:kern w:val="44"/>
      <w:sz w:val="52"/>
      <w:szCs w:val="44"/>
      <w:lang w:val="en-US" w:eastAsia="zh-CN" w:bidi="ar-SA"/>
    </w:rPr>
  </w:style>
  <w:style w:type="character" w:customStyle="1" w:styleId="804">
    <w:name w:val="BG5 Char Char Char Char Char Char1"/>
    <w:qFormat/>
    <w:uiPriority w:val="0"/>
    <w:rPr>
      <w:rFonts w:ascii="@宋体"/>
      <w:sz w:val="21"/>
    </w:rPr>
  </w:style>
  <w:style w:type="character" w:customStyle="1" w:styleId="805">
    <w:name w:val="样式7 Char"/>
    <w:link w:val="806"/>
    <w:qFormat/>
    <w:uiPriority w:val="0"/>
    <w:rPr>
      <w:rFonts w:ascii="黑体" w:hAnsi="宋体" w:eastAsia="黑体"/>
      <w:b/>
      <w:sz w:val="30"/>
      <w:szCs w:val="30"/>
    </w:rPr>
  </w:style>
  <w:style w:type="paragraph" w:customStyle="1" w:styleId="806">
    <w:name w:val="样式7"/>
    <w:basedOn w:val="683"/>
    <w:link w:val="805"/>
    <w:qFormat/>
    <w:uiPriority w:val="0"/>
    <w:pPr>
      <w:spacing w:beforeLines="50" w:line="520" w:lineRule="atLeast"/>
    </w:pPr>
    <w:rPr>
      <w:b/>
    </w:rPr>
  </w:style>
  <w:style w:type="character" w:customStyle="1" w:styleId="807">
    <w:name w:val="apple-converted-space"/>
    <w:qFormat/>
    <w:uiPriority w:val="0"/>
  </w:style>
  <w:style w:type="character" w:customStyle="1" w:styleId="808">
    <w:name w:val="内容 Char"/>
    <w:link w:val="809"/>
    <w:qFormat/>
    <w:uiPriority w:val="0"/>
    <w:rPr>
      <w:rFonts w:ascii="Times New Roman" w:hAnsi="Times New Roman"/>
      <w:color w:val="000000"/>
      <w:kern w:val="2"/>
      <w:sz w:val="24"/>
      <w:szCs w:val="24"/>
    </w:rPr>
  </w:style>
  <w:style w:type="paragraph" w:customStyle="1" w:styleId="809">
    <w:name w:val="内容"/>
    <w:basedOn w:val="1"/>
    <w:link w:val="808"/>
    <w:qFormat/>
    <w:uiPriority w:val="0"/>
    <w:pPr>
      <w:spacing w:beforeLines="50" w:afterLines="50"/>
    </w:pPr>
    <w:rPr>
      <w:color w:val="000000"/>
      <w:sz w:val="24"/>
    </w:rPr>
  </w:style>
  <w:style w:type="character" w:customStyle="1" w:styleId="810">
    <w:name w:val="Char Char33"/>
    <w:qFormat/>
    <w:uiPriority w:val="0"/>
    <w:rPr>
      <w:rFonts w:ascii="Arial" w:hAnsi="Arial" w:eastAsia="黑体"/>
      <w:b/>
      <w:bCs/>
      <w:kern w:val="2"/>
      <w:sz w:val="32"/>
      <w:szCs w:val="32"/>
      <w:lang w:val="en-US" w:eastAsia="zh-CN" w:bidi="ar-SA"/>
    </w:rPr>
  </w:style>
  <w:style w:type="character" w:customStyle="1" w:styleId="811">
    <w:name w:val="p101"/>
    <w:qFormat/>
    <w:uiPriority w:val="0"/>
    <w:rPr>
      <w:rFonts w:hint="default" w:ascii="p10" w:hAnsi="p10"/>
      <w:color w:val="006633"/>
      <w:spacing w:val="400"/>
      <w:sz w:val="20"/>
      <w:szCs w:val="20"/>
    </w:rPr>
  </w:style>
  <w:style w:type="character" w:customStyle="1" w:styleId="812">
    <w:name w:val="Char1 Char"/>
    <w:link w:val="813"/>
    <w:qFormat/>
    <w:uiPriority w:val="0"/>
    <w:rPr>
      <w:rFonts w:ascii="Times New Roman" w:hAnsi="Times New Roman" w:eastAsia="仿宋_GB2312"/>
      <w:kern w:val="2"/>
      <w:sz w:val="28"/>
      <w:szCs w:val="24"/>
    </w:rPr>
  </w:style>
  <w:style w:type="paragraph" w:customStyle="1" w:styleId="813">
    <w:name w:val="Char1"/>
    <w:basedOn w:val="1"/>
    <w:link w:val="812"/>
    <w:qFormat/>
    <w:uiPriority w:val="0"/>
  </w:style>
  <w:style w:type="character" w:customStyle="1" w:styleId="814">
    <w:name w:val="样式1 Char"/>
    <w:link w:val="815"/>
    <w:qFormat/>
    <w:uiPriority w:val="0"/>
    <w:rPr>
      <w:rFonts w:ascii="Times New Roman" w:hAnsi="Times New Roman" w:eastAsia="黑体"/>
      <w:kern w:val="2"/>
      <w:sz w:val="36"/>
      <w:szCs w:val="28"/>
    </w:rPr>
  </w:style>
  <w:style w:type="paragraph" w:customStyle="1" w:styleId="815">
    <w:name w:val="样式1"/>
    <w:basedOn w:val="5"/>
    <w:link w:val="814"/>
    <w:qFormat/>
    <w:uiPriority w:val="0"/>
    <w:pPr>
      <w:keepNext w:val="0"/>
      <w:pageBreakBefore/>
      <w:spacing w:before="240" w:after="120" w:line="240" w:lineRule="auto"/>
      <w:jc w:val="center"/>
    </w:pPr>
    <w:rPr>
      <w:rFonts w:eastAsia="黑体"/>
      <w:b w:val="0"/>
      <w:bCs w:val="0"/>
      <w:kern w:val="2"/>
      <w:sz w:val="36"/>
      <w:szCs w:val="28"/>
    </w:rPr>
  </w:style>
  <w:style w:type="character" w:customStyle="1" w:styleId="816">
    <w:name w:val="报告 Char1"/>
    <w:link w:val="817"/>
    <w:qFormat/>
    <w:uiPriority w:val="0"/>
    <w:rPr>
      <w:rFonts w:ascii="TimesNewRoman" w:hAnsi="TimesNewRoman" w:eastAsia="仿宋_GB2312"/>
      <w:sz w:val="24"/>
    </w:rPr>
  </w:style>
  <w:style w:type="paragraph" w:customStyle="1" w:styleId="817">
    <w:name w:val="报告"/>
    <w:basedOn w:val="1"/>
    <w:link w:val="816"/>
    <w:qFormat/>
    <w:uiPriority w:val="0"/>
    <w:pPr>
      <w:spacing w:line="360" w:lineRule="auto"/>
      <w:ind w:firstLine="505"/>
      <w:textAlignment w:val="center"/>
    </w:pPr>
    <w:rPr>
      <w:rFonts w:ascii="TimesNewRoman" w:hAnsi="TimesNewRoman"/>
      <w:kern w:val="0"/>
      <w:sz w:val="24"/>
      <w:szCs w:val="20"/>
    </w:rPr>
  </w:style>
  <w:style w:type="character" w:customStyle="1" w:styleId="818">
    <w:name w:val="表头文字 Char"/>
    <w:link w:val="819"/>
    <w:qFormat/>
    <w:uiPriority w:val="0"/>
    <w:rPr>
      <w:rFonts w:ascii="Times New Roman" w:hAnsi="Times New Roman" w:eastAsia="仿宋_GB2312"/>
      <w:b/>
      <w:sz w:val="28"/>
    </w:rPr>
  </w:style>
  <w:style w:type="paragraph" w:customStyle="1" w:styleId="819">
    <w:name w:val="表头文字"/>
    <w:basedOn w:val="1"/>
    <w:link w:val="818"/>
    <w:qFormat/>
    <w:uiPriority w:val="0"/>
    <w:pPr>
      <w:spacing w:line="400" w:lineRule="exact"/>
      <w:jc w:val="center"/>
      <w:textAlignment w:val="baseline"/>
    </w:pPr>
    <w:rPr>
      <w:b/>
      <w:kern w:val="0"/>
      <w:szCs w:val="20"/>
    </w:rPr>
  </w:style>
  <w:style w:type="character" w:customStyle="1" w:styleId="820">
    <w:name w:val="hide"/>
    <w:qFormat/>
    <w:uiPriority w:val="0"/>
    <w:rPr>
      <w:color w:val="FFFFFF"/>
      <w:sz w:val="2"/>
      <w:szCs w:val="2"/>
    </w:rPr>
  </w:style>
  <w:style w:type="character" w:customStyle="1" w:styleId="821">
    <w:name w:val="样式 表文 + (西文) Arial (中文) 宋体 (复杂文种) Arial (西文)粗体 Char"/>
    <w:link w:val="822"/>
    <w:qFormat/>
    <w:uiPriority w:val="0"/>
    <w:rPr>
      <w:rFonts w:ascii="Arial" w:hAnsi="Arial"/>
      <w:b/>
    </w:rPr>
  </w:style>
  <w:style w:type="paragraph" w:customStyle="1" w:styleId="822">
    <w:name w:val="样式 表文 + (西文) Arial (中文) 宋体 (复杂文种) Arial (西文)粗体"/>
    <w:basedOn w:val="634"/>
    <w:link w:val="821"/>
    <w:qFormat/>
    <w:uiPriority w:val="0"/>
    <w:pPr>
      <w:adjustRightInd/>
      <w:spacing w:line="360" w:lineRule="exact"/>
      <w:textAlignment w:val="auto"/>
    </w:pPr>
    <w:rPr>
      <w:rFonts w:ascii="Arial" w:hAnsi="Arial" w:eastAsia="宋体"/>
      <w:b/>
      <w:sz w:val="20"/>
    </w:rPr>
  </w:style>
  <w:style w:type="character" w:customStyle="1" w:styleId="823">
    <w:name w:val="ht1"/>
    <w:qFormat/>
    <w:uiPriority w:val="0"/>
  </w:style>
  <w:style w:type="character" w:customStyle="1" w:styleId="824">
    <w:name w:val="cucd-0 Char"/>
    <w:link w:val="680"/>
    <w:qFormat/>
    <w:uiPriority w:val="0"/>
    <w:rPr>
      <w:kern w:val="2"/>
      <w:sz w:val="24"/>
      <w:szCs w:val="24"/>
    </w:rPr>
  </w:style>
  <w:style w:type="character" w:customStyle="1" w:styleId="825">
    <w:name w:val="表文 Char Char"/>
    <w:qFormat/>
    <w:uiPriority w:val="0"/>
    <w:rPr>
      <w:rFonts w:eastAsia="宋体"/>
      <w:sz w:val="24"/>
      <w:lang w:val="en-US" w:eastAsia="zh-CN" w:bidi="ar-SA"/>
    </w:rPr>
  </w:style>
  <w:style w:type="character" w:customStyle="1" w:styleId="826">
    <w:name w:val="正文文字缩进 Char Char"/>
    <w:qFormat/>
    <w:uiPriority w:val="0"/>
    <w:rPr>
      <w:rFonts w:ascii="宋体" w:hAnsi="宋体" w:eastAsia="宋体"/>
      <w:kern w:val="2"/>
      <w:sz w:val="24"/>
      <w:lang w:val="en-US" w:eastAsia="zh-CN" w:bidi="ar-SA"/>
    </w:rPr>
  </w:style>
  <w:style w:type="character" w:customStyle="1" w:styleId="827">
    <w:name w:val="表粗 Char Char"/>
    <w:qFormat/>
    <w:uiPriority w:val="0"/>
    <w:rPr>
      <w:rFonts w:ascii="Arial" w:hAnsi="Arial" w:eastAsia="仿宋_GB2312"/>
      <w:b/>
      <w:kern w:val="2"/>
      <w:sz w:val="21"/>
      <w:lang w:val="en-US" w:eastAsia="zh-CN"/>
    </w:rPr>
  </w:style>
  <w:style w:type="character" w:customStyle="1" w:styleId="828">
    <w:name w:val="样式正文 Char"/>
    <w:link w:val="829"/>
    <w:qFormat/>
    <w:uiPriority w:val="0"/>
  </w:style>
  <w:style w:type="paragraph" w:customStyle="1" w:styleId="829">
    <w:name w:val="样式正文"/>
    <w:basedOn w:val="25"/>
    <w:link w:val="828"/>
    <w:qFormat/>
    <w:uiPriority w:val="0"/>
    <w:pPr>
      <w:spacing w:line="360" w:lineRule="auto"/>
      <w:ind w:firstLine="624"/>
    </w:pPr>
    <w:rPr>
      <w:rFonts w:ascii="Calibri" w:hAnsi="Calibri" w:eastAsia="宋体"/>
      <w:kern w:val="0"/>
      <w:sz w:val="20"/>
      <w:szCs w:val="20"/>
    </w:rPr>
  </w:style>
  <w:style w:type="character" w:customStyle="1" w:styleId="830">
    <w:name w:val="jianjie_index"/>
    <w:qFormat/>
    <w:uiPriority w:val="0"/>
  </w:style>
  <w:style w:type="character" w:customStyle="1" w:styleId="831">
    <w:name w:val="apple-style-span"/>
    <w:qFormat/>
    <w:uiPriority w:val="0"/>
  </w:style>
  <w:style w:type="character" w:customStyle="1" w:styleId="832">
    <w:name w:val="sbody1"/>
    <w:qFormat/>
    <w:uiPriority w:val="0"/>
    <w:rPr>
      <w:sz w:val="14"/>
      <w:szCs w:val="14"/>
    </w:rPr>
  </w:style>
  <w:style w:type="character" w:customStyle="1" w:styleId="833">
    <w:name w:val="title011"/>
    <w:qFormat/>
    <w:uiPriority w:val="0"/>
    <w:rPr>
      <w:rFonts w:eastAsia="宋体"/>
      <w:kern w:val="2"/>
      <w:sz w:val="38"/>
      <w:u w:val="none"/>
      <w:lang w:val="en-US" w:eastAsia="zh-CN"/>
    </w:rPr>
  </w:style>
  <w:style w:type="character" w:customStyle="1" w:styleId="834">
    <w:name w:val="style41"/>
    <w:qFormat/>
    <w:uiPriority w:val="0"/>
    <w:rPr>
      <w:b/>
      <w:bCs/>
      <w:color w:val="CC0000"/>
      <w:sz w:val="21"/>
      <w:szCs w:val="21"/>
    </w:rPr>
  </w:style>
  <w:style w:type="character" w:customStyle="1" w:styleId="835">
    <w:name w:val="txtcontent11"/>
    <w:qFormat/>
    <w:uiPriority w:val="0"/>
    <w:rPr>
      <w:rFonts w:hint="default" w:ascii="ˎ̥" w:hAnsi="ˎ̥"/>
      <w:color w:val="000000"/>
      <w:sz w:val="21"/>
      <w:szCs w:val="21"/>
    </w:rPr>
  </w:style>
  <w:style w:type="character" w:customStyle="1" w:styleId="836">
    <w:name w:val="jiu"/>
    <w:qFormat/>
    <w:uiPriority w:val="0"/>
  </w:style>
  <w:style w:type="character" w:customStyle="1" w:styleId="837">
    <w:name w:val="海港表头 Char"/>
    <w:link w:val="838"/>
    <w:qFormat/>
    <w:uiPriority w:val="0"/>
  </w:style>
  <w:style w:type="paragraph" w:customStyle="1" w:styleId="838">
    <w:name w:val="海港表头"/>
    <w:basedOn w:val="839"/>
    <w:link w:val="837"/>
    <w:qFormat/>
    <w:uiPriority w:val="0"/>
    <w:pPr>
      <w:spacing w:before="0" w:after="0" w:line="300" w:lineRule="exact"/>
      <w:ind w:left="-56" w:leftChars="-30" w:right="-63" w:rightChars="-30"/>
      <w:textAlignment w:val="baseline"/>
    </w:pPr>
    <w:rPr>
      <w:rFonts w:ascii="Calibri" w:hAnsi="Calibri" w:eastAsia="宋体"/>
      <w:sz w:val="20"/>
    </w:rPr>
  </w:style>
  <w:style w:type="paragraph" w:customStyle="1" w:styleId="839">
    <w:name w:val="表"/>
    <w:basedOn w:val="1"/>
    <w:qFormat/>
    <w:uiPriority w:val="0"/>
    <w:pPr>
      <w:spacing w:before="60" w:after="60" w:line="0" w:lineRule="atLeast"/>
      <w:jc w:val="center"/>
    </w:pPr>
    <w:rPr>
      <w:kern w:val="0"/>
      <w:szCs w:val="20"/>
    </w:rPr>
  </w:style>
  <w:style w:type="character" w:customStyle="1" w:styleId="840">
    <w:name w:val="超链接1"/>
    <w:qFormat/>
    <w:uiPriority w:val="0"/>
    <w:rPr>
      <w:color w:val="auto"/>
      <w:sz w:val="18"/>
      <w:u w:val="none"/>
    </w:rPr>
  </w:style>
  <w:style w:type="character" w:customStyle="1" w:styleId="841">
    <w:name w:val="段标题 Char"/>
    <w:link w:val="842"/>
    <w:qFormat/>
    <w:uiPriority w:val="0"/>
    <w:rPr>
      <w:rFonts w:ascii="黑体" w:eastAsia="黑体"/>
      <w:bCs/>
      <w:color w:val="000000"/>
      <w:sz w:val="28"/>
      <w:szCs w:val="28"/>
    </w:rPr>
  </w:style>
  <w:style w:type="paragraph" w:customStyle="1" w:styleId="842">
    <w:name w:val="段标题"/>
    <w:basedOn w:val="1"/>
    <w:link w:val="841"/>
    <w:qFormat/>
    <w:uiPriority w:val="0"/>
    <w:pPr>
      <w:spacing w:line="360" w:lineRule="auto"/>
      <w:outlineLvl w:val="0"/>
    </w:pPr>
    <w:rPr>
      <w:rFonts w:ascii="黑体" w:hAnsi="Calibri" w:eastAsia="黑体"/>
      <w:bCs/>
      <w:color w:val="000000"/>
      <w:kern w:val="0"/>
      <w:szCs w:val="28"/>
    </w:rPr>
  </w:style>
  <w:style w:type="character" w:customStyle="1" w:styleId="843">
    <w:name w:val="1.标题 1 Char Char"/>
    <w:qFormat/>
    <w:uiPriority w:val="0"/>
    <w:rPr>
      <w:rFonts w:eastAsia="黑体"/>
      <w:b/>
      <w:kern w:val="44"/>
      <w:sz w:val="28"/>
      <w:lang w:val="en-US" w:eastAsia="zh-CN"/>
    </w:rPr>
  </w:style>
  <w:style w:type="character" w:customStyle="1" w:styleId="844">
    <w:name w:val="样式 列表 + 黑色 Char"/>
    <w:qFormat/>
    <w:uiPriority w:val="0"/>
    <w:rPr>
      <w:rFonts w:ascii="黑体" w:eastAsia="黑体"/>
      <w:color w:val="000000"/>
      <w:kern w:val="2"/>
      <w:sz w:val="24"/>
      <w:szCs w:val="24"/>
      <w:lang w:val="en-US" w:eastAsia="zh-CN" w:bidi="ar-SA"/>
    </w:rPr>
  </w:style>
  <w:style w:type="character" w:customStyle="1" w:styleId="845">
    <w:name w:val="样式 正文（首行缩进两字） + 行距: 固定值 20 磅 Char"/>
    <w:link w:val="846"/>
    <w:qFormat/>
    <w:uiPriority w:val="0"/>
    <w:rPr>
      <w:rFonts w:eastAsia="仿宋_GB2312"/>
      <w:sz w:val="24"/>
    </w:rPr>
  </w:style>
  <w:style w:type="paragraph" w:customStyle="1" w:styleId="846">
    <w:name w:val="样式 正文（首行缩进两字） + 行距: 固定值 20 磅"/>
    <w:basedOn w:val="25"/>
    <w:link w:val="845"/>
    <w:qFormat/>
    <w:uiPriority w:val="0"/>
    <w:pPr>
      <w:spacing w:afterLines="20" w:line="400" w:lineRule="exact"/>
      <w:ind w:firstLine="480"/>
    </w:pPr>
    <w:rPr>
      <w:rFonts w:ascii="Calibri" w:hAnsi="Calibri"/>
      <w:kern w:val="0"/>
      <w:sz w:val="24"/>
      <w:szCs w:val="20"/>
    </w:rPr>
  </w:style>
  <w:style w:type="character" w:customStyle="1" w:styleId="847">
    <w:name w:val="important"/>
    <w:qFormat/>
    <w:uiPriority w:val="0"/>
  </w:style>
  <w:style w:type="character" w:customStyle="1" w:styleId="848">
    <w:name w:val="表 Char1"/>
    <w:qFormat/>
    <w:uiPriority w:val="0"/>
    <w:rPr>
      <w:rFonts w:eastAsia="仿宋_GB2312"/>
      <w:color w:val="FF0000"/>
      <w:kern w:val="2"/>
      <w:sz w:val="21"/>
      <w:lang w:val="en-US" w:eastAsia="zh-CN"/>
    </w:rPr>
  </w:style>
  <w:style w:type="character" w:customStyle="1" w:styleId="849">
    <w:name w:val="style51"/>
    <w:qFormat/>
    <w:uiPriority w:val="0"/>
    <w:rPr>
      <w:color w:val="CC0000"/>
    </w:rPr>
  </w:style>
  <w:style w:type="character" w:customStyle="1" w:styleId="850">
    <w:name w:val="宏文本 Char"/>
    <w:link w:val="4"/>
    <w:semiHidden/>
    <w:qFormat/>
    <w:uiPriority w:val="0"/>
    <w:rPr>
      <w:rFonts w:ascii="Courier New" w:hAnsi="Courier New" w:cs="Courier New"/>
      <w:kern w:val="2"/>
      <w:sz w:val="24"/>
      <w:szCs w:val="24"/>
    </w:rPr>
  </w:style>
  <w:style w:type="character" w:customStyle="1" w:styleId="851">
    <w:name w:val="样式 标题 11.标题 1一、标题 1 Char Char Char Char1 南陵标题 1标题 1 Char标题...1 Char"/>
    <w:link w:val="852"/>
    <w:qFormat/>
    <w:uiPriority w:val="0"/>
    <w:rPr>
      <w:rFonts w:ascii="Times New Roman" w:hAnsi="Times New Roman" w:eastAsia="仿宋_GB2312"/>
      <w:b/>
      <w:sz w:val="28"/>
    </w:rPr>
  </w:style>
  <w:style w:type="paragraph" w:customStyle="1" w:styleId="852">
    <w:name w:val="样式 标题 11.标题 1一、标题 1 Char Char Char Char1 南陵标题 1标题 1 Char标题...1"/>
    <w:basedOn w:val="5"/>
    <w:link w:val="851"/>
    <w:qFormat/>
    <w:uiPriority w:val="0"/>
    <w:rPr>
      <w:bCs w:val="0"/>
      <w:kern w:val="0"/>
      <w:sz w:val="28"/>
      <w:szCs w:val="20"/>
    </w:rPr>
  </w:style>
  <w:style w:type="character" w:customStyle="1" w:styleId="853">
    <w:name w:val="标题 1 Char1"/>
    <w:link w:val="5"/>
    <w:qFormat/>
    <w:uiPriority w:val="0"/>
    <w:rPr>
      <w:rFonts w:ascii="Times New Roman" w:hAnsi="Times New Roman" w:eastAsia="仿宋_GB2312"/>
      <w:b/>
      <w:bCs/>
      <w:kern w:val="44"/>
      <w:sz w:val="44"/>
      <w:szCs w:val="44"/>
    </w:rPr>
  </w:style>
  <w:style w:type="character" w:customStyle="1" w:styleId="854">
    <w:name w:val="标题 2 Char2"/>
    <w:link w:val="6"/>
    <w:qFormat/>
    <w:uiPriority w:val="0"/>
    <w:rPr>
      <w:rFonts w:ascii="Times New Roman" w:hAnsi="Times New Roman" w:eastAsia="黑体"/>
      <w:b/>
      <w:sz w:val="32"/>
    </w:rPr>
  </w:style>
  <w:style w:type="character" w:customStyle="1" w:styleId="855">
    <w:name w:val="标题 3 Char1"/>
    <w:link w:val="7"/>
    <w:qFormat/>
    <w:uiPriority w:val="0"/>
    <w:rPr>
      <w:rFonts w:ascii="Times New Roman" w:hAnsi="Times New Roman" w:eastAsia="黑体"/>
      <w:b/>
      <w:sz w:val="28"/>
    </w:rPr>
  </w:style>
  <w:style w:type="character" w:customStyle="1" w:styleId="856">
    <w:name w:val="title-blue1"/>
    <w:qFormat/>
    <w:uiPriority w:val="0"/>
    <w:rPr>
      <w:rFonts w:hint="default" w:ascii="Verdana" w:hAnsi="Verdana"/>
      <w:b/>
      <w:bCs/>
      <w:color w:val="CC3300"/>
      <w:sz w:val="21"/>
      <w:szCs w:val="21"/>
      <w:u w:val="none"/>
    </w:rPr>
  </w:style>
  <w:style w:type="character" w:customStyle="1" w:styleId="857">
    <w:name w:val="标题 4 Char"/>
    <w:link w:val="10"/>
    <w:qFormat/>
    <w:uiPriority w:val="0"/>
    <w:rPr>
      <w:rFonts w:ascii="Cambria" w:hAnsi="Cambria"/>
      <w:b/>
      <w:bCs/>
      <w:kern w:val="2"/>
      <w:sz w:val="28"/>
      <w:szCs w:val="28"/>
    </w:rPr>
  </w:style>
  <w:style w:type="character" w:customStyle="1" w:styleId="858">
    <w:name w:val="postkeywords"/>
    <w:qFormat/>
    <w:uiPriority w:val="0"/>
  </w:style>
  <w:style w:type="character" w:customStyle="1" w:styleId="859">
    <w:name w:val="正文首行缩进 Char3"/>
    <w:link w:val="89"/>
    <w:qFormat/>
    <w:uiPriority w:val="99"/>
    <w:rPr>
      <w:rFonts w:ascii="Times New Roman" w:hAnsi="Times New Roman"/>
      <w:kern w:val="2"/>
      <w:sz w:val="21"/>
      <w:szCs w:val="24"/>
    </w:rPr>
  </w:style>
  <w:style w:type="character" w:customStyle="1" w:styleId="860">
    <w:name w:val="样式 正文文本正文文字 + 仿宋_GB2312 四号 红色 Char"/>
    <w:qFormat/>
    <w:uiPriority w:val="0"/>
    <w:rPr>
      <w:rFonts w:ascii="仿宋_GB2312" w:hAnsi="仿宋_GB2312" w:eastAsia="仿宋_GB2312"/>
      <w:snapToGrid w:val="0"/>
      <w:color w:val="FF0000"/>
      <w:kern w:val="2"/>
      <w:sz w:val="24"/>
      <w:lang w:val="en-US" w:eastAsia="zh-CN"/>
    </w:rPr>
  </w:style>
  <w:style w:type="character" w:customStyle="1" w:styleId="861">
    <w:name w:val="标题 5 Char1"/>
    <w:link w:val="11"/>
    <w:qFormat/>
    <w:uiPriority w:val="0"/>
    <w:rPr>
      <w:rFonts w:ascii="Times New Roman" w:hAnsi="Times New Roman" w:eastAsia="仿宋_GB2312"/>
      <w:b/>
      <w:bCs/>
      <w:kern w:val="2"/>
      <w:sz w:val="28"/>
      <w:szCs w:val="28"/>
    </w:rPr>
  </w:style>
  <w:style w:type="character" w:customStyle="1" w:styleId="862">
    <w:name w:val="标题 6 Char"/>
    <w:link w:val="12"/>
    <w:qFormat/>
    <w:uiPriority w:val="0"/>
    <w:rPr>
      <w:rFonts w:ascii="Cambria" w:hAnsi="Cambria"/>
      <w:b/>
      <w:bCs/>
      <w:kern w:val="2"/>
      <w:sz w:val="24"/>
      <w:szCs w:val="24"/>
    </w:rPr>
  </w:style>
  <w:style w:type="character" w:customStyle="1" w:styleId="863">
    <w:name w:val="a11"/>
    <w:qFormat/>
    <w:uiPriority w:val="0"/>
    <w:rPr>
      <w:rFonts w:hint="default"/>
      <w:color w:val="000000"/>
      <w:spacing w:val="31680"/>
      <w:sz w:val="28"/>
      <w:szCs w:val="28"/>
    </w:rPr>
  </w:style>
  <w:style w:type="character" w:customStyle="1" w:styleId="864">
    <w:name w:val="标题 7 Char"/>
    <w:link w:val="13"/>
    <w:qFormat/>
    <w:uiPriority w:val="0"/>
    <w:rPr>
      <w:rFonts w:ascii="Times New Roman" w:hAnsi="Times New Roman" w:eastAsia="仿宋_GB2312"/>
      <w:b/>
      <w:color w:val="000000"/>
      <w:kern w:val="28"/>
      <w:sz w:val="24"/>
    </w:rPr>
  </w:style>
  <w:style w:type="character" w:customStyle="1" w:styleId="865">
    <w:name w:val="目录 2 Char"/>
    <w:qFormat/>
    <w:uiPriority w:val="0"/>
    <w:rPr>
      <w:rFonts w:eastAsia="宋体"/>
      <w:kern w:val="2"/>
      <w:sz w:val="21"/>
      <w:lang w:val="en-US" w:eastAsia="zh-CN" w:bidi="ar-SA"/>
    </w:rPr>
  </w:style>
  <w:style w:type="character" w:customStyle="1" w:styleId="866">
    <w:name w:val="标题 8 Char"/>
    <w:link w:val="14"/>
    <w:qFormat/>
    <w:uiPriority w:val="0"/>
    <w:rPr>
      <w:rFonts w:ascii="Arial" w:hAnsi="Arial" w:eastAsia="黑体"/>
      <w:color w:val="000000"/>
      <w:kern w:val="28"/>
      <w:sz w:val="24"/>
    </w:rPr>
  </w:style>
  <w:style w:type="character" w:customStyle="1" w:styleId="867">
    <w:name w:val="main1"/>
    <w:qFormat/>
    <w:uiPriority w:val="0"/>
    <w:rPr>
      <w:rFonts w:hint="default"/>
      <w:color w:val="0033CC"/>
      <w:sz w:val="18"/>
      <w:szCs w:val="18"/>
    </w:rPr>
  </w:style>
  <w:style w:type="character" w:customStyle="1" w:styleId="868">
    <w:name w:val="标题 9 Char"/>
    <w:link w:val="15"/>
    <w:qFormat/>
    <w:uiPriority w:val="0"/>
    <w:rPr>
      <w:rFonts w:ascii="Cambria" w:hAnsi="Cambria"/>
      <w:kern w:val="2"/>
      <w:sz w:val="21"/>
      <w:szCs w:val="21"/>
    </w:rPr>
  </w:style>
  <w:style w:type="character" w:customStyle="1" w:styleId="869">
    <w:name w:val="ask-title"/>
    <w:qFormat/>
    <w:uiPriority w:val="0"/>
  </w:style>
  <w:style w:type="character" w:customStyle="1" w:styleId="870">
    <w:name w:val="注释标题 Char1"/>
    <w:link w:val="20"/>
    <w:qFormat/>
    <w:uiPriority w:val="99"/>
    <w:rPr>
      <w:rFonts w:ascii="Times New Roman" w:hAnsi="Times New Roman" w:eastAsia="宋体" w:cs="Times New Roman"/>
      <w:szCs w:val="20"/>
    </w:rPr>
  </w:style>
  <w:style w:type="character" w:customStyle="1" w:styleId="871">
    <w:name w:val="样式 标题 1 + 非加宽量 / 紧缩量 Char"/>
    <w:link w:val="872"/>
    <w:qFormat/>
    <w:uiPriority w:val="0"/>
    <w:rPr>
      <w:rFonts w:ascii="Times New Roman" w:hAnsi="Times New Roman" w:eastAsia="黑体"/>
      <w:b/>
      <w:bCs/>
      <w:kern w:val="44"/>
      <w:sz w:val="28"/>
      <w:szCs w:val="28"/>
    </w:rPr>
  </w:style>
  <w:style w:type="paragraph" w:customStyle="1" w:styleId="872">
    <w:name w:val="样式 标题 1 + 非加宽量 / 紧缩量"/>
    <w:basedOn w:val="5"/>
    <w:link w:val="871"/>
    <w:qFormat/>
    <w:uiPriority w:val="0"/>
    <w:rPr>
      <w:rFonts w:eastAsia="黑体"/>
      <w:sz w:val="28"/>
      <w:szCs w:val="28"/>
    </w:rPr>
  </w:style>
  <w:style w:type="character" w:customStyle="1" w:styleId="873">
    <w:name w:val="电子邮件签名 Char"/>
    <w:link w:val="23"/>
    <w:qFormat/>
    <w:uiPriority w:val="0"/>
    <w:rPr>
      <w:rFonts w:ascii="Times New Roman" w:hAnsi="Times New Roman" w:eastAsia="仿宋_GB2312"/>
      <w:kern w:val="2"/>
      <w:sz w:val="28"/>
      <w:szCs w:val="24"/>
      <w:lang w:val="en-US" w:eastAsia="zh-CN"/>
    </w:rPr>
  </w:style>
  <w:style w:type="character" w:customStyle="1" w:styleId="874">
    <w:name w:val="样式 标题 1 + (中文) 宋体 小四 Char"/>
    <w:link w:val="875"/>
    <w:qFormat/>
    <w:uiPriority w:val="0"/>
    <w:rPr>
      <w:rFonts w:ascii="Times New Roman" w:hAnsi="Times New Roman" w:eastAsia="仿宋_GB2312"/>
      <w:b/>
      <w:sz w:val="44"/>
      <w:szCs w:val="24"/>
    </w:rPr>
  </w:style>
  <w:style w:type="paragraph" w:customStyle="1" w:styleId="875">
    <w:name w:val="样式 标题 1 + (中文) 宋体 小四"/>
    <w:basedOn w:val="5"/>
    <w:link w:val="874"/>
    <w:qFormat/>
    <w:uiPriority w:val="0"/>
    <w:rPr>
      <w:bCs w:val="0"/>
      <w:kern w:val="0"/>
      <w:szCs w:val="24"/>
    </w:rPr>
  </w:style>
  <w:style w:type="character" w:customStyle="1" w:styleId="876">
    <w:name w:val="正文缩进 Char"/>
    <w:link w:val="25"/>
    <w:qFormat/>
    <w:uiPriority w:val="0"/>
    <w:rPr>
      <w:rFonts w:ascii="Times New Roman" w:hAnsi="Times New Roman"/>
      <w:kern w:val="2"/>
      <w:sz w:val="21"/>
      <w:szCs w:val="21"/>
    </w:rPr>
  </w:style>
  <w:style w:type="character" w:customStyle="1" w:styleId="877">
    <w:name w:val="无间隔 Char"/>
    <w:link w:val="878"/>
    <w:qFormat/>
    <w:locked/>
    <w:uiPriority w:val="0"/>
    <w:rPr>
      <w:rFonts w:eastAsia="Times New Roman"/>
      <w:sz w:val="24"/>
      <w:szCs w:val="24"/>
      <w:lang w:eastAsia="en-US" w:bidi="en-US"/>
    </w:rPr>
  </w:style>
  <w:style w:type="paragraph" w:styleId="878">
    <w:name w:val="No Spacing"/>
    <w:link w:val="877"/>
    <w:qFormat/>
    <w:uiPriority w:val="0"/>
    <w:pPr>
      <w:spacing w:beforeLines="50" w:afterLines="50" w:line="320" w:lineRule="exact"/>
      <w:jc w:val="center"/>
    </w:pPr>
    <w:rPr>
      <w:rFonts w:ascii="Calibri" w:hAnsi="Calibri" w:eastAsia="Times New Roman" w:cs="Times New Roman"/>
      <w:sz w:val="24"/>
      <w:szCs w:val="24"/>
      <w:lang w:val="en-US" w:eastAsia="en-US" w:bidi="en-US"/>
    </w:rPr>
  </w:style>
  <w:style w:type="character" w:customStyle="1" w:styleId="879">
    <w:name w:val="题注 Char"/>
    <w:link w:val="26"/>
    <w:qFormat/>
    <w:uiPriority w:val="35"/>
    <w:rPr>
      <w:rFonts w:ascii="Cambria" w:hAnsi="Cambria" w:eastAsia="黑体" w:cs="Times New Roman"/>
      <w:kern w:val="2"/>
    </w:rPr>
  </w:style>
  <w:style w:type="character" w:customStyle="1" w:styleId="880">
    <w:name w:val="content_normal_bold_title1"/>
    <w:qFormat/>
    <w:uiPriority w:val="0"/>
    <w:rPr>
      <w:rFonts w:hint="default" w:ascii="Arial" w:hAnsi="Arial" w:eastAsia="宋体" w:cs="Arial"/>
      <w:b/>
      <w:bCs/>
      <w:color w:val="000000"/>
      <w:sz w:val="36"/>
      <w:szCs w:val="36"/>
      <w:u w:val="none"/>
    </w:rPr>
  </w:style>
  <w:style w:type="character" w:customStyle="1" w:styleId="881">
    <w:name w:val="文档结构图 Char1"/>
    <w:link w:val="30"/>
    <w:semiHidden/>
    <w:qFormat/>
    <w:uiPriority w:val="99"/>
    <w:rPr>
      <w:rFonts w:ascii="宋体" w:eastAsia="宋体"/>
      <w:sz w:val="18"/>
      <w:szCs w:val="18"/>
    </w:rPr>
  </w:style>
  <w:style w:type="character" w:customStyle="1" w:styleId="882">
    <w:name w:val="批注文字 Char1"/>
    <w:link w:val="32"/>
    <w:qFormat/>
    <w:uiPriority w:val="99"/>
    <w:rPr>
      <w:rFonts w:ascii="Times New Roman" w:hAnsi="Times New Roman" w:eastAsia="仿宋_GB2312"/>
      <w:kern w:val="2"/>
      <w:sz w:val="28"/>
    </w:rPr>
  </w:style>
  <w:style w:type="character" w:customStyle="1" w:styleId="883">
    <w:name w:val="cauc-TB Char Char Char"/>
    <w:qFormat/>
    <w:uiPriority w:val="0"/>
    <w:rPr>
      <w:rFonts w:eastAsia="宋体"/>
      <w:kern w:val="2"/>
      <w:sz w:val="21"/>
      <w:szCs w:val="24"/>
      <w:lang w:val="en-US" w:eastAsia="zh-CN" w:bidi="ar-SA"/>
    </w:rPr>
  </w:style>
  <w:style w:type="character" w:customStyle="1" w:styleId="884">
    <w:name w:val="称呼 Char"/>
    <w:link w:val="34"/>
    <w:qFormat/>
    <w:uiPriority w:val="0"/>
    <w:rPr>
      <w:rFonts w:ascii="Times New Roman" w:hAnsi="Times New Roman" w:eastAsia="仿宋_GB2312"/>
      <w:kern w:val="2"/>
      <w:sz w:val="28"/>
      <w:szCs w:val="24"/>
      <w:lang w:val="en-US" w:eastAsia="zh-CN"/>
    </w:rPr>
  </w:style>
  <w:style w:type="character" w:customStyle="1" w:styleId="885">
    <w:name w:val="cauc-B Char"/>
    <w:link w:val="886"/>
    <w:qFormat/>
    <w:uiPriority w:val="0"/>
    <w:rPr>
      <w:rFonts w:ascii="仿宋_GB2312" w:eastAsia="仿宋_GB2312"/>
      <w:b/>
      <w:sz w:val="28"/>
      <w:szCs w:val="28"/>
    </w:rPr>
  </w:style>
  <w:style w:type="paragraph" w:customStyle="1" w:styleId="886">
    <w:name w:val="cauc-B"/>
    <w:next w:val="887"/>
    <w:link w:val="885"/>
    <w:qFormat/>
    <w:uiPriority w:val="0"/>
    <w:pPr>
      <w:snapToGrid w:val="0"/>
      <w:spacing w:beforeLines="50" w:line="520" w:lineRule="atLeast"/>
      <w:ind w:right="42" w:rightChars="20"/>
      <w:jc w:val="center"/>
      <w:outlineLvl w:val="1"/>
    </w:pPr>
    <w:rPr>
      <w:rFonts w:ascii="仿宋_GB2312" w:hAnsi="Calibri" w:eastAsia="仿宋_GB2312" w:cs="Times New Roman"/>
      <w:b/>
      <w:sz w:val="28"/>
      <w:szCs w:val="28"/>
      <w:lang w:val="en-US" w:eastAsia="zh-CN" w:bidi="ar-SA"/>
    </w:rPr>
  </w:style>
  <w:style w:type="paragraph" w:customStyle="1" w:styleId="887">
    <w:name w:val="cauc-0 Char"/>
    <w:qFormat/>
    <w:uiPriority w:val="0"/>
    <w:pPr>
      <w:spacing w:line="360" w:lineRule="auto"/>
      <w:ind w:firstLine="480" w:firstLineChars="200"/>
      <w:jc w:val="both"/>
    </w:pPr>
    <w:rPr>
      <w:rFonts w:ascii="Calibri" w:hAnsi="Calibri" w:eastAsia="宋体" w:cs="Times New Roman"/>
      <w:kern w:val="2"/>
      <w:sz w:val="24"/>
      <w:szCs w:val="24"/>
      <w:lang w:val="en-US" w:eastAsia="zh-CN" w:bidi="ar-SA"/>
    </w:rPr>
  </w:style>
  <w:style w:type="character" w:customStyle="1" w:styleId="888">
    <w:name w:val="正文文本 3 Char1"/>
    <w:link w:val="35"/>
    <w:qFormat/>
    <w:uiPriority w:val="0"/>
    <w:rPr>
      <w:kern w:val="2"/>
      <w:sz w:val="16"/>
      <w:szCs w:val="16"/>
    </w:rPr>
  </w:style>
  <w:style w:type="character" w:customStyle="1" w:styleId="889">
    <w:name w:val="style2"/>
    <w:qFormat/>
    <w:uiPriority w:val="0"/>
  </w:style>
  <w:style w:type="character" w:customStyle="1" w:styleId="890">
    <w:name w:val="结束语 Char"/>
    <w:link w:val="36"/>
    <w:qFormat/>
    <w:uiPriority w:val="0"/>
    <w:rPr>
      <w:rFonts w:ascii="Times New Roman" w:hAnsi="Times New Roman" w:eastAsia="仿宋_GB2312"/>
      <w:kern w:val="2"/>
      <w:sz w:val="28"/>
      <w:szCs w:val="24"/>
      <w:lang w:val="en-US" w:eastAsia="zh-CN"/>
    </w:rPr>
  </w:style>
  <w:style w:type="character" w:customStyle="1" w:styleId="891">
    <w:name w:val="Char Char9"/>
    <w:qFormat/>
    <w:uiPriority w:val="0"/>
    <w:rPr>
      <w:rFonts w:eastAsia="宋体"/>
      <w:kern w:val="2"/>
      <w:sz w:val="18"/>
      <w:lang w:val="en-US" w:eastAsia="zh-CN" w:bidi="ar-SA"/>
    </w:rPr>
  </w:style>
  <w:style w:type="character" w:customStyle="1" w:styleId="892">
    <w:name w:val="正文文本 Char2"/>
    <w:link w:val="38"/>
    <w:qFormat/>
    <w:uiPriority w:val="0"/>
  </w:style>
  <w:style w:type="character" w:customStyle="1" w:styleId="893">
    <w:name w:val="正文文字缩进 Char Char Char Char"/>
    <w:qFormat/>
    <w:uiPriority w:val="0"/>
    <w:rPr>
      <w:rFonts w:ascii="宋体" w:eastAsia="宋体"/>
      <w:spacing w:val="5"/>
      <w:kern w:val="2"/>
      <w:sz w:val="25"/>
      <w:szCs w:val="25"/>
      <w:lang w:val="en-US" w:eastAsia="zh-CN" w:bidi="ar-SA"/>
    </w:rPr>
  </w:style>
  <w:style w:type="character" w:customStyle="1" w:styleId="894">
    <w:name w:val="正文文本缩进 Char1"/>
    <w:link w:val="39"/>
    <w:qFormat/>
    <w:uiPriority w:val="99"/>
  </w:style>
  <w:style w:type="character" w:customStyle="1" w:styleId="895">
    <w:name w:val="hei141"/>
    <w:qFormat/>
    <w:uiPriority w:val="0"/>
    <w:rPr>
      <w:color w:val="000000"/>
      <w:sz w:val="21"/>
      <w:szCs w:val="21"/>
    </w:rPr>
  </w:style>
  <w:style w:type="character" w:customStyle="1" w:styleId="896">
    <w:name w:val="HTML 地址 Char"/>
    <w:link w:val="45"/>
    <w:qFormat/>
    <w:uiPriority w:val="0"/>
    <w:rPr>
      <w:rFonts w:ascii="Times New Roman" w:hAnsi="Times New Roman" w:eastAsia="仿宋_GB2312"/>
      <w:i/>
      <w:iCs/>
      <w:kern w:val="2"/>
      <w:sz w:val="28"/>
      <w:szCs w:val="24"/>
    </w:rPr>
  </w:style>
  <w:style w:type="character" w:customStyle="1" w:styleId="897">
    <w:name w:val="引用 Char"/>
    <w:link w:val="898"/>
    <w:qFormat/>
    <w:uiPriority w:val="0"/>
    <w:rPr>
      <w:i/>
      <w:iCs/>
      <w:color w:val="000000"/>
      <w:szCs w:val="24"/>
    </w:rPr>
  </w:style>
  <w:style w:type="paragraph" w:styleId="898">
    <w:name w:val="Quote"/>
    <w:basedOn w:val="1"/>
    <w:next w:val="1"/>
    <w:link w:val="897"/>
    <w:qFormat/>
    <w:uiPriority w:val="0"/>
    <w:rPr>
      <w:rFonts w:ascii="Calibri" w:hAnsi="Calibri" w:eastAsia="宋体"/>
      <w:i/>
      <w:iCs/>
      <w:color w:val="000000"/>
      <w:kern w:val="0"/>
      <w:sz w:val="20"/>
    </w:rPr>
  </w:style>
  <w:style w:type="character" w:customStyle="1" w:styleId="899">
    <w:name w:val="纯文本 Char1"/>
    <w:link w:val="49"/>
    <w:qFormat/>
    <w:locked/>
    <w:uiPriority w:val="0"/>
    <w:rPr>
      <w:rFonts w:ascii="宋体" w:hAnsi="Courier New" w:eastAsia="宋体" w:cs="Times New Roman"/>
      <w:sz w:val="28"/>
      <w:szCs w:val="20"/>
    </w:rPr>
  </w:style>
  <w:style w:type="character" w:customStyle="1" w:styleId="900">
    <w:name w:val="正文文本缩进B Char"/>
    <w:link w:val="901"/>
    <w:qFormat/>
    <w:locked/>
    <w:uiPriority w:val="0"/>
    <w:rPr>
      <w:rFonts w:ascii="宋体" w:hAnsi="宋体"/>
      <w:sz w:val="24"/>
      <w:szCs w:val="24"/>
    </w:rPr>
  </w:style>
  <w:style w:type="paragraph" w:customStyle="1" w:styleId="901">
    <w:name w:val="正文文本缩进B"/>
    <w:basedOn w:val="39"/>
    <w:link w:val="900"/>
    <w:qFormat/>
    <w:uiPriority w:val="0"/>
    <w:rPr>
      <w:rFonts w:ascii="宋体" w:hAnsi="宋体" w:eastAsia="宋体"/>
      <w:kern w:val="0"/>
      <w:sz w:val="24"/>
    </w:rPr>
  </w:style>
  <w:style w:type="character" w:customStyle="1" w:styleId="902">
    <w:name w:val="日期 Char1"/>
    <w:link w:val="54"/>
    <w:qFormat/>
    <w:uiPriority w:val="99"/>
  </w:style>
  <w:style w:type="character" w:customStyle="1" w:styleId="903">
    <w:name w:val="批注主题 Char1"/>
    <w:qFormat/>
    <w:uiPriority w:val="0"/>
    <w:rPr>
      <w:b/>
      <w:bCs/>
      <w:kern w:val="2"/>
      <w:sz w:val="21"/>
      <w:szCs w:val="24"/>
    </w:rPr>
  </w:style>
  <w:style w:type="character" w:customStyle="1" w:styleId="904">
    <w:name w:val="正文文本缩进 2 Char2"/>
    <w:link w:val="55"/>
    <w:qFormat/>
    <w:uiPriority w:val="0"/>
  </w:style>
  <w:style w:type="character" w:customStyle="1" w:styleId="905">
    <w:name w:val="尾注文本 Char"/>
    <w:link w:val="56"/>
    <w:qFormat/>
    <w:uiPriority w:val="0"/>
    <w:rPr>
      <w:rFonts w:ascii="Times New Roman" w:hAnsi="Times New Roman"/>
      <w:sz w:val="24"/>
    </w:rPr>
  </w:style>
  <w:style w:type="character" w:customStyle="1" w:styleId="906">
    <w:name w:val="批注框文本 Char1"/>
    <w:link w:val="58"/>
    <w:semiHidden/>
    <w:qFormat/>
    <w:uiPriority w:val="99"/>
    <w:rPr>
      <w:sz w:val="18"/>
      <w:szCs w:val="18"/>
    </w:rPr>
  </w:style>
  <w:style w:type="character" w:customStyle="1" w:styleId="907">
    <w:name w:val="要点2"/>
    <w:qFormat/>
    <w:uiPriority w:val="0"/>
    <w:rPr>
      <w:b/>
    </w:rPr>
  </w:style>
  <w:style w:type="character" w:customStyle="1" w:styleId="908">
    <w:name w:val="页脚 Char"/>
    <w:link w:val="59"/>
    <w:qFormat/>
    <w:uiPriority w:val="99"/>
    <w:rPr>
      <w:rFonts w:ascii="Times New Roman" w:hAnsi="Times New Roman" w:eastAsia="隶书"/>
      <w:kern w:val="2"/>
      <w:sz w:val="18"/>
      <w:szCs w:val="18"/>
    </w:rPr>
  </w:style>
  <w:style w:type="character" w:customStyle="1" w:styleId="909">
    <w:name w:val="表格11 Char"/>
    <w:link w:val="910"/>
    <w:qFormat/>
    <w:uiPriority w:val="0"/>
    <w:rPr>
      <w:rFonts w:ascii="Times New Roman" w:hAnsi="Times New Roman" w:eastAsia="仿宋_GB2312"/>
      <w:kern w:val="2"/>
      <w:sz w:val="24"/>
    </w:rPr>
  </w:style>
  <w:style w:type="paragraph" w:customStyle="1" w:styleId="910">
    <w:name w:val="表格11"/>
    <w:basedOn w:val="1"/>
    <w:link w:val="909"/>
    <w:qFormat/>
    <w:uiPriority w:val="0"/>
    <w:pPr>
      <w:jc w:val="center"/>
    </w:pPr>
    <w:rPr>
      <w:sz w:val="24"/>
      <w:szCs w:val="20"/>
    </w:rPr>
  </w:style>
  <w:style w:type="character" w:customStyle="1" w:styleId="911">
    <w:name w:val="页眉 Char"/>
    <w:link w:val="61"/>
    <w:qFormat/>
    <w:uiPriority w:val="0"/>
    <w:rPr>
      <w:rFonts w:ascii="Times New Roman" w:hAnsi="Times New Roman" w:eastAsia="隶书"/>
      <w:kern w:val="2"/>
      <w:sz w:val="21"/>
      <w:szCs w:val="18"/>
    </w:rPr>
  </w:style>
  <w:style w:type="character" w:customStyle="1" w:styleId="912">
    <w:name w:val="副标题 Char1"/>
    <w:qFormat/>
    <w:uiPriority w:val="0"/>
    <w:rPr>
      <w:rFonts w:ascii="Cambria" w:hAnsi="Cambria" w:eastAsia="宋体" w:cs="Times New Roman"/>
      <w:b/>
      <w:bCs/>
      <w:kern w:val="28"/>
      <w:sz w:val="32"/>
      <w:szCs w:val="32"/>
    </w:rPr>
  </w:style>
  <w:style w:type="character" w:customStyle="1" w:styleId="913">
    <w:name w:val="签名 Char"/>
    <w:link w:val="62"/>
    <w:qFormat/>
    <w:uiPriority w:val="0"/>
    <w:rPr>
      <w:rFonts w:ascii="Times New Roman" w:hAnsi="Times New Roman" w:eastAsia="仿宋_GB2312"/>
      <w:kern w:val="2"/>
      <w:sz w:val="28"/>
      <w:szCs w:val="24"/>
      <w:lang w:val="en-US" w:eastAsia="zh-CN"/>
    </w:rPr>
  </w:style>
  <w:style w:type="character" w:customStyle="1" w:styleId="914">
    <w:name w:val="副标题 Char"/>
    <w:link w:val="68"/>
    <w:qFormat/>
    <w:uiPriority w:val="0"/>
    <w:rPr>
      <w:rFonts w:ascii="Arial" w:hAnsi="Arial" w:eastAsia="仿宋_GB2312" w:cs="Arial"/>
      <w:b/>
      <w:bCs/>
      <w:kern w:val="28"/>
      <w:sz w:val="32"/>
      <w:szCs w:val="32"/>
      <w:lang w:val="en-US" w:eastAsia="zh-CN"/>
    </w:rPr>
  </w:style>
  <w:style w:type="character" w:customStyle="1" w:styleId="915">
    <w:name w:val="脚注文本 Char"/>
    <w:link w:val="71"/>
    <w:qFormat/>
    <w:uiPriority w:val="0"/>
    <w:rPr>
      <w:rFonts w:ascii="Times New Roman" w:hAnsi="Times New Roman" w:eastAsia="仿宋_GB2312"/>
      <w:kern w:val="2"/>
      <w:sz w:val="18"/>
      <w:szCs w:val="18"/>
    </w:rPr>
  </w:style>
  <w:style w:type="character" w:customStyle="1" w:styleId="916">
    <w:name w:val="cucd-2 Char"/>
    <w:link w:val="917"/>
    <w:qFormat/>
    <w:uiPriority w:val="0"/>
    <w:rPr>
      <w:rFonts w:eastAsia="黑体"/>
      <w:b/>
      <w:sz w:val="30"/>
      <w:szCs w:val="24"/>
    </w:rPr>
  </w:style>
  <w:style w:type="paragraph" w:customStyle="1" w:styleId="917">
    <w:name w:val="cucd-2"/>
    <w:next w:val="918"/>
    <w:link w:val="916"/>
    <w:qFormat/>
    <w:uiPriority w:val="0"/>
    <w:pPr>
      <w:tabs>
        <w:tab w:val="left" w:pos="900"/>
      </w:tabs>
      <w:spacing w:line="360" w:lineRule="auto"/>
      <w:ind w:left="900" w:hanging="480"/>
      <w:jc w:val="center"/>
      <w:outlineLvl w:val="1"/>
    </w:pPr>
    <w:rPr>
      <w:rFonts w:ascii="Calibri" w:hAnsi="Calibri" w:eastAsia="黑体" w:cs="Times New Roman"/>
      <w:b/>
      <w:sz w:val="30"/>
      <w:szCs w:val="24"/>
      <w:lang w:val="en-US" w:eastAsia="zh-CN" w:bidi="ar-SA"/>
    </w:rPr>
  </w:style>
  <w:style w:type="paragraph" w:customStyle="1" w:styleId="918">
    <w:name w:val="cucd-3"/>
    <w:next w:val="1"/>
    <w:qFormat/>
    <w:uiPriority w:val="0"/>
    <w:pPr>
      <w:tabs>
        <w:tab w:val="left" w:pos="1260"/>
      </w:tabs>
      <w:spacing w:line="360" w:lineRule="auto"/>
      <w:ind w:left="1260" w:hanging="420"/>
      <w:jc w:val="center"/>
      <w:outlineLvl w:val="2"/>
    </w:pPr>
    <w:rPr>
      <w:rFonts w:ascii="Calibri" w:hAnsi="Calibri" w:eastAsia="宋体" w:cs="Times New Roman"/>
      <w:b/>
      <w:kern w:val="2"/>
      <w:sz w:val="28"/>
      <w:szCs w:val="24"/>
      <w:lang w:val="en-US" w:eastAsia="zh-CN" w:bidi="ar-SA"/>
    </w:rPr>
  </w:style>
  <w:style w:type="character" w:customStyle="1" w:styleId="919">
    <w:name w:val="正文文本缩进 3 Char1"/>
    <w:link w:val="74"/>
    <w:qFormat/>
    <w:uiPriority w:val="0"/>
    <w:rPr>
      <w:kern w:val="2"/>
      <w:sz w:val="16"/>
      <w:szCs w:val="16"/>
    </w:rPr>
  </w:style>
  <w:style w:type="character" w:customStyle="1" w:styleId="920">
    <w:name w:val="表格A Char"/>
    <w:link w:val="921"/>
    <w:qFormat/>
    <w:uiPriority w:val="0"/>
    <w:rPr>
      <w:sz w:val="24"/>
      <w:szCs w:val="24"/>
    </w:rPr>
  </w:style>
  <w:style w:type="paragraph" w:customStyle="1" w:styleId="921">
    <w:name w:val="表格A"/>
    <w:basedOn w:val="1"/>
    <w:link w:val="920"/>
    <w:uiPriority w:val="0"/>
    <w:pPr>
      <w:spacing w:line="400" w:lineRule="exact"/>
      <w:jc w:val="center"/>
    </w:pPr>
    <w:rPr>
      <w:rFonts w:ascii="Calibri" w:hAnsi="Calibri" w:eastAsia="宋体"/>
      <w:kern w:val="0"/>
      <w:sz w:val="24"/>
    </w:rPr>
  </w:style>
  <w:style w:type="character" w:customStyle="1" w:styleId="922">
    <w:name w:val="正文文本 2 Char1"/>
    <w:link w:val="80"/>
    <w:qFormat/>
    <w:uiPriority w:val="99"/>
    <w:rPr>
      <w:rFonts w:ascii="Times New Roman" w:hAnsi="Times New Roman"/>
      <w:kern w:val="2"/>
      <w:sz w:val="21"/>
      <w:szCs w:val="24"/>
    </w:rPr>
  </w:style>
  <w:style w:type="character" w:customStyle="1" w:styleId="923">
    <w:name w:val="正文内容 Char"/>
    <w:link w:val="924"/>
    <w:qFormat/>
    <w:locked/>
    <w:uiPriority w:val="0"/>
    <w:rPr>
      <w:sz w:val="24"/>
    </w:rPr>
  </w:style>
  <w:style w:type="paragraph" w:customStyle="1" w:styleId="924">
    <w:name w:val="正文内容"/>
    <w:basedOn w:val="1"/>
    <w:link w:val="923"/>
    <w:qFormat/>
    <w:uiPriority w:val="0"/>
    <w:pPr>
      <w:spacing w:line="360" w:lineRule="auto"/>
    </w:pPr>
    <w:rPr>
      <w:rFonts w:ascii="Calibri" w:hAnsi="Calibri" w:eastAsia="宋体"/>
      <w:kern w:val="0"/>
      <w:sz w:val="24"/>
      <w:szCs w:val="20"/>
    </w:rPr>
  </w:style>
  <w:style w:type="character" w:customStyle="1" w:styleId="925">
    <w:name w:val="信息标题 Char"/>
    <w:link w:val="9"/>
    <w:qFormat/>
    <w:uiPriority w:val="0"/>
    <w:rPr>
      <w:rFonts w:ascii="Arial" w:hAnsi="Arial" w:eastAsia="仿宋_GB2312" w:cs="Arial"/>
      <w:bCs/>
      <w:sz w:val="24"/>
      <w:szCs w:val="24"/>
      <w:shd w:val="pct20" w:color="auto" w:fill="auto"/>
    </w:rPr>
  </w:style>
  <w:style w:type="character" w:customStyle="1" w:styleId="926">
    <w:name w:val="HTML 预设格式 Char"/>
    <w:link w:val="83"/>
    <w:qFormat/>
    <w:uiPriority w:val="0"/>
    <w:rPr>
      <w:rFonts w:ascii="Arial Unicode MS" w:hAnsi="Arial Unicode MS" w:eastAsia="Arial Unicode MS" w:cs="Arial Unicode MS"/>
    </w:rPr>
  </w:style>
  <w:style w:type="character" w:customStyle="1" w:styleId="927">
    <w:name w:val="样式 四号"/>
    <w:qFormat/>
    <w:uiPriority w:val="0"/>
    <w:rPr>
      <w:rFonts w:ascii="Times New Roman" w:hAnsi="Times New Roman" w:eastAsia="宋体"/>
      <w:kern w:val="0"/>
      <w:sz w:val="28"/>
      <w:szCs w:val="28"/>
    </w:rPr>
  </w:style>
  <w:style w:type="character" w:customStyle="1" w:styleId="928">
    <w:name w:val="普通(网站) Char1"/>
    <w:link w:val="84"/>
    <w:qFormat/>
    <w:uiPriority w:val="0"/>
    <w:rPr>
      <w:rFonts w:ascii="Arial Unicode MS" w:hAnsi="Arial Unicode MS" w:eastAsia="Arial Unicode MS" w:cs="Arial Unicode MS"/>
      <w:sz w:val="24"/>
      <w:szCs w:val="24"/>
      <w:lang w:val="en-US" w:eastAsia="zh-CN" w:bidi="ar-SA"/>
    </w:rPr>
  </w:style>
  <w:style w:type="character" w:customStyle="1" w:styleId="929">
    <w:name w:val="标题 Char"/>
    <w:link w:val="87"/>
    <w:qFormat/>
    <w:uiPriority w:val="10"/>
    <w:rPr>
      <w:rFonts w:eastAsia="黑体"/>
      <w:b/>
      <w:kern w:val="2"/>
      <w:sz w:val="36"/>
      <w:lang w:val="en-US" w:eastAsia="zh-CN" w:bidi="ar-SA"/>
    </w:rPr>
  </w:style>
  <w:style w:type="character" w:customStyle="1" w:styleId="930">
    <w:name w:val="访问过的超链接2"/>
    <w:qFormat/>
    <w:uiPriority w:val="0"/>
    <w:rPr>
      <w:color w:val="800080"/>
      <w:u w:val="single"/>
    </w:rPr>
  </w:style>
  <w:style w:type="character" w:customStyle="1" w:styleId="931">
    <w:name w:val="批注主题 Char"/>
    <w:link w:val="88"/>
    <w:qFormat/>
    <w:uiPriority w:val="0"/>
    <w:rPr>
      <w:rFonts w:ascii="Times New Roman" w:hAnsi="Times New Roman" w:eastAsia="仿宋_GB2312"/>
      <w:b/>
      <w:bCs/>
      <w:kern w:val="2"/>
      <w:sz w:val="28"/>
      <w:szCs w:val="22"/>
    </w:rPr>
  </w:style>
  <w:style w:type="character" w:customStyle="1" w:styleId="932">
    <w:name w:val="引用 Char1"/>
    <w:qFormat/>
    <w:uiPriority w:val="0"/>
    <w:rPr>
      <w:rFonts w:ascii="Times New Roman" w:hAnsi="Times New Roman" w:eastAsia="仿宋_GB2312"/>
      <w:i/>
      <w:iCs/>
      <w:color w:val="000000"/>
      <w:kern w:val="2"/>
      <w:sz w:val="28"/>
      <w:szCs w:val="24"/>
    </w:rPr>
  </w:style>
  <w:style w:type="character" w:customStyle="1" w:styleId="933">
    <w:name w:val="表格四号 Char"/>
    <w:link w:val="934"/>
    <w:qFormat/>
    <w:uiPriority w:val="0"/>
    <w:rPr>
      <w:rFonts w:ascii="宋体" w:hAnsi="宋体"/>
      <w:snapToGrid w:val="0"/>
      <w:sz w:val="28"/>
      <w:szCs w:val="28"/>
    </w:rPr>
  </w:style>
  <w:style w:type="paragraph" w:customStyle="1" w:styleId="934">
    <w:name w:val="表格四号"/>
    <w:basedOn w:val="1"/>
    <w:link w:val="933"/>
    <w:qFormat/>
    <w:uiPriority w:val="0"/>
    <w:pPr>
      <w:jc w:val="center"/>
    </w:pPr>
    <w:rPr>
      <w:rFonts w:ascii="宋体" w:hAnsi="宋体"/>
      <w:snapToGrid w:val="0"/>
      <w:kern w:val="0"/>
      <w:szCs w:val="28"/>
    </w:rPr>
  </w:style>
  <w:style w:type="character" w:customStyle="1" w:styleId="935">
    <w:name w:val="111111正文 Char Char"/>
    <w:link w:val="936"/>
    <w:qFormat/>
    <w:uiPriority w:val="0"/>
    <w:rPr>
      <w:rFonts w:ascii="Times New Roman" w:hAnsi="Times New Roman" w:eastAsia="仿宋_GB2312"/>
      <w:kern w:val="2"/>
      <w:sz w:val="24"/>
      <w:szCs w:val="24"/>
    </w:rPr>
  </w:style>
  <w:style w:type="paragraph" w:customStyle="1" w:styleId="936">
    <w:name w:val="111111正文"/>
    <w:basedOn w:val="1"/>
    <w:link w:val="935"/>
    <w:qFormat/>
    <w:uiPriority w:val="0"/>
    <w:pPr>
      <w:spacing w:line="360" w:lineRule="auto"/>
    </w:pPr>
    <w:rPr>
      <w:sz w:val="24"/>
    </w:rPr>
  </w:style>
  <w:style w:type="character" w:customStyle="1" w:styleId="937">
    <w:name w:val="样式 标题 2_Heading 2标题2节_Heading 2 Char一级条2Majorsect1.1标题 ... Char"/>
    <w:link w:val="938"/>
    <w:qFormat/>
    <w:uiPriority w:val="0"/>
    <w:rPr>
      <w:rFonts w:hAnsi="宋体" w:eastAsia="黑体"/>
      <w:bCs/>
      <w:snapToGrid w:val="0"/>
      <w:sz w:val="28"/>
      <w:szCs w:val="32"/>
      <w:lang w:val="en-US" w:eastAsia="zh-CN" w:bidi="ar-SA"/>
    </w:rPr>
  </w:style>
  <w:style w:type="paragraph" w:customStyle="1" w:styleId="938">
    <w:name w:val="样式 标题 2_Heading 2标题2节_Heading 2 Char一级条2Majorsect1.1标题 ..."/>
    <w:basedOn w:val="6"/>
    <w:link w:val="937"/>
    <w:qFormat/>
    <w:uiPriority w:val="0"/>
    <w:pPr>
      <w:keepNext w:val="0"/>
      <w:keepLines w:val="0"/>
      <w:tabs>
        <w:tab w:val="clear" w:pos="1080"/>
      </w:tabs>
      <w:spacing w:before="0" w:after="0" w:line="300" w:lineRule="auto"/>
      <w:jc w:val="left"/>
    </w:pPr>
    <w:rPr>
      <w:rFonts w:hAnsi="宋体"/>
      <w:b w:val="0"/>
      <w:bCs/>
      <w:snapToGrid w:val="0"/>
      <w:sz w:val="28"/>
      <w:szCs w:val="32"/>
    </w:rPr>
  </w:style>
  <w:style w:type="character" w:customStyle="1" w:styleId="939">
    <w:name w:val="不明显参考2"/>
    <w:qFormat/>
    <w:uiPriority w:val="0"/>
    <w:rPr>
      <w:smallCaps/>
      <w:color w:val="C0504D"/>
      <w:u w:val="single"/>
    </w:rPr>
  </w:style>
  <w:style w:type="character" w:customStyle="1" w:styleId="940">
    <w:name w:val="style71"/>
    <w:qFormat/>
    <w:uiPriority w:val="0"/>
    <w:rPr>
      <w:rFonts w:ascii="Verdana" w:hAnsi="Verdana" w:eastAsia="宋体"/>
      <w:sz w:val="18"/>
      <w:szCs w:val="18"/>
      <w:lang w:val="en-US" w:eastAsia="en-US" w:bidi="ar-SA"/>
    </w:rPr>
  </w:style>
  <w:style w:type="character" w:customStyle="1" w:styleId="941">
    <w:name w:val="样式 样式 宋体 小四 行距: 1.5 倍行距 + 首行缩进:  2 字符 Char Char"/>
    <w:link w:val="942"/>
    <w:qFormat/>
    <w:locked/>
    <w:uiPriority w:val="0"/>
    <w:rPr>
      <w:rFonts w:ascii="宋体" w:hAnsi="宋体"/>
      <w:kern w:val="2"/>
      <w:sz w:val="28"/>
      <w:szCs w:val="28"/>
      <w:lang w:bidi="ar-SA"/>
    </w:rPr>
  </w:style>
  <w:style w:type="paragraph" w:customStyle="1" w:styleId="942">
    <w:name w:val="样式 样式 宋体 小四 行距: 1.5 倍行距 + 首行缩进:  2 字符"/>
    <w:basedOn w:val="1"/>
    <w:link w:val="941"/>
    <w:qFormat/>
    <w:uiPriority w:val="0"/>
    <w:pPr>
      <w:spacing w:line="300" w:lineRule="auto"/>
    </w:pPr>
    <w:rPr>
      <w:rFonts w:ascii="宋体" w:hAnsi="宋体"/>
      <w:szCs w:val="28"/>
    </w:rPr>
  </w:style>
  <w:style w:type="character" w:customStyle="1" w:styleId="943">
    <w:name w:val="图头 Char"/>
    <w:link w:val="944"/>
    <w:qFormat/>
    <w:uiPriority w:val="0"/>
    <w:rPr>
      <w:rFonts w:ascii="黑体" w:hAnsi="Times New Roman" w:eastAsia="黑体"/>
      <w:kern w:val="2"/>
      <w:sz w:val="28"/>
      <w:szCs w:val="28"/>
    </w:rPr>
  </w:style>
  <w:style w:type="paragraph" w:customStyle="1" w:styleId="944">
    <w:name w:val="图头"/>
    <w:basedOn w:val="1"/>
    <w:link w:val="943"/>
    <w:qFormat/>
    <w:uiPriority w:val="0"/>
    <w:pPr>
      <w:spacing w:line="360" w:lineRule="auto"/>
      <w:jc w:val="center"/>
    </w:pPr>
    <w:rPr>
      <w:rFonts w:ascii="黑体" w:eastAsia="黑体"/>
      <w:szCs w:val="28"/>
    </w:rPr>
  </w:style>
  <w:style w:type="character" w:customStyle="1" w:styleId="945">
    <w:name w:val="正文1 Char Char"/>
    <w:qFormat/>
    <w:uiPriority w:val="0"/>
    <w:rPr>
      <w:snapToGrid/>
      <w:kern w:val="21"/>
      <w:sz w:val="21"/>
      <w:szCs w:val="24"/>
      <w:lang w:eastAsia="zh-CN"/>
    </w:rPr>
  </w:style>
  <w:style w:type="character" w:customStyle="1" w:styleId="946">
    <w:name w:val="msoplaintext"/>
    <w:qFormat/>
    <w:uiPriority w:val="0"/>
    <w:rPr>
      <w:sz w:val="20"/>
      <w:szCs w:val="20"/>
    </w:rPr>
  </w:style>
  <w:style w:type="character" w:customStyle="1" w:styleId="947">
    <w:name w:val="样式 纯文本 + Times New Roman 小四 Char"/>
    <w:link w:val="948"/>
    <w:qFormat/>
    <w:locked/>
    <w:uiPriority w:val="0"/>
    <w:rPr>
      <w:rFonts w:ascii="宋体" w:hAnsi="Courier New"/>
      <w:snapToGrid w:val="0"/>
      <w:kern w:val="2"/>
      <w:sz w:val="24"/>
      <w:szCs w:val="21"/>
      <w:lang w:val="en-US" w:eastAsia="zh-CN" w:bidi="ar-SA"/>
    </w:rPr>
  </w:style>
  <w:style w:type="paragraph" w:customStyle="1" w:styleId="948">
    <w:name w:val="样式 纯文本 + Times New Roman 小四"/>
    <w:basedOn w:val="49"/>
    <w:link w:val="947"/>
    <w:qFormat/>
    <w:uiPriority w:val="0"/>
    <w:pPr>
      <w:spacing w:line="360" w:lineRule="auto"/>
    </w:pPr>
    <w:rPr>
      <w:snapToGrid w:val="0"/>
      <w:kern w:val="2"/>
      <w:sz w:val="24"/>
      <w:szCs w:val="21"/>
    </w:rPr>
  </w:style>
  <w:style w:type="character" w:customStyle="1" w:styleId="949">
    <w:name w:val="正文文字缩进一 Char"/>
    <w:link w:val="950"/>
    <w:qFormat/>
    <w:locked/>
    <w:uiPriority w:val="0"/>
    <w:rPr>
      <w:sz w:val="28"/>
      <w:szCs w:val="28"/>
    </w:rPr>
  </w:style>
  <w:style w:type="paragraph" w:customStyle="1" w:styleId="950">
    <w:name w:val="正文文字缩进一"/>
    <w:basedOn w:val="1"/>
    <w:link w:val="949"/>
    <w:qFormat/>
    <w:uiPriority w:val="0"/>
    <w:pPr>
      <w:spacing w:line="360" w:lineRule="auto"/>
      <w:ind w:firstLine="560"/>
    </w:pPr>
    <w:rPr>
      <w:rFonts w:ascii="Calibri" w:hAnsi="Calibri" w:eastAsia="宋体"/>
      <w:kern w:val="0"/>
      <w:szCs w:val="28"/>
    </w:rPr>
  </w:style>
  <w:style w:type="character" w:customStyle="1" w:styleId="951">
    <w:name w:val="【表头】 Char"/>
    <w:link w:val="952"/>
    <w:qFormat/>
    <w:uiPriority w:val="0"/>
    <w:rPr>
      <w:rFonts w:eastAsia="黑体" w:cs="宋体"/>
      <w:sz w:val="24"/>
      <w:lang w:val="en-US" w:eastAsia="zh-CN" w:bidi="ar-SA"/>
    </w:rPr>
  </w:style>
  <w:style w:type="paragraph" w:customStyle="1" w:styleId="952">
    <w:name w:val="【表头】"/>
    <w:basedOn w:val="1"/>
    <w:link w:val="951"/>
    <w:qFormat/>
    <w:uiPriority w:val="0"/>
    <w:pPr>
      <w:spacing w:line="460" w:lineRule="exact"/>
      <w:jc w:val="center"/>
    </w:pPr>
    <w:rPr>
      <w:rFonts w:eastAsia="黑体" w:cs="宋体"/>
      <w:kern w:val="0"/>
      <w:sz w:val="24"/>
      <w:szCs w:val="20"/>
    </w:rPr>
  </w:style>
  <w:style w:type="character" w:customStyle="1" w:styleId="953">
    <w:name w:val="题注 Char1"/>
    <w:semiHidden/>
    <w:qFormat/>
    <w:uiPriority w:val="35"/>
    <w:rPr>
      <w:rFonts w:ascii="Cambria" w:hAnsi="Cambria" w:eastAsia="黑体" w:cs="Times New Roman"/>
      <w:kern w:val="2"/>
    </w:rPr>
  </w:style>
  <w:style w:type="character" w:customStyle="1" w:styleId="954">
    <w:name w:val="new-title1"/>
    <w:qFormat/>
    <w:uiPriority w:val="0"/>
    <w:rPr>
      <w:rFonts w:ascii="Verdana" w:hAnsi="Verdana" w:eastAsia="宋体"/>
      <w:b/>
      <w:bCs/>
      <w:color w:val="FF0000"/>
      <w:sz w:val="24"/>
      <w:szCs w:val="24"/>
      <w:lang w:val="en-US" w:eastAsia="en-US" w:bidi="ar-SA"/>
    </w:rPr>
  </w:style>
  <w:style w:type="character" w:customStyle="1" w:styleId="955">
    <w:name w:val="样式 宋体 13 磅 首行缩进:  0.99 厘米 Char"/>
    <w:link w:val="956"/>
    <w:qFormat/>
    <w:uiPriority w:val="0"/>
    <w:rPr>
      <w:rFonts w:ascii="宋体" w:hAnsi="宋体" w:eastAsia="宋体" w:cs="宋体"/>
      <w:kern w:val="2"/>
      <w:sz w:val="27"/>
      <w:szCs w:val="27"/>
      <w:lang w:val="en-US" w:eastAsia="zh-CN" w:bidi="ar-SA"/>
    </w:rPr>
  </w:style>
  <w:style w:type="paragraph" w:customStyle="1" w:styleId="956">
    <w:name w:val="样式 宋体 13 磅 首行缩进:  0.99 厘米"/>
    <w:basedOn w:val="1"/>
    <w:link w:val="955"/>
    <w:qFormat/>
    <w:uiPriority w:val="0"/>
    <w:pPr>
      <w:ind w:firstLine="560"/>
    </w:pPr>
    <w:rPr>
      <w:rFonts w:ascii="宋体" w:hAnsi="宋体" w:cs="宋体"/>
      <w:sz w:val="27"/>
      <w:szCs w:val="27"/>
    </w:rPr>
  </w:style>
  <w:style w:type="character" w:customStyle="1" w:styleId="957">
    <w:name w:val="style21"/>
    <w:qFormat/>
    <w:uiPriority w:val="0"/>
    <w:rPr>
      <w:b/>
      <w:bCs/>
      <w:sz w:val="21"/>
      <w:szCs w:val="21"/>
    </w:rPr>
  </w:style>
  <w:style w:type="character" w:customStyle="1" w:styleId="958">
    <w:name w:val="样式 正文首行缩进 + 浅蓝 Char"/>
    <w:link w:val="959"/>
    <w:qFormat/>
    <w:uiPriority w:val="0"/>
    <w:rPr>
      <w:rFonts w:eastAsia="宋体"/>
      <w:snapToGrid w:val="0"/>
      <w:color w:val="000000"/>
      <w:kern w:val="2"/>
      <w:sz w:val="28"/>
      <w:szCs w:val="24"/>
      <w:lang w:val="en-US" w:eastAsia="zh-CN" w:bidi="ar-SA"/>
    </w:rPr>
  </w:style>
  <w:style w:type="paragraph" w:customStyle="1" w:styleId="959">
    <w:name w:val="样式 正文首行缩进 + 浅蓝"/>
    <w:basedOn w:val="89"/>
    <w:link w:val="958"/>
    <w:qFormat/>
    <w:uiPriority w:val="0"/>
    <w:pPr>
      <w:spacing w:line="300" w:lineRule="auto"/>
      <w:ind w:firstLine="560" w:firstLineChars="200"/>
    </w:pPr>
    <w:rPr>
      <w:snapToGrid w:val="0"/>
      <w:color w:val="000000"/>
    </w:rPr>
  </w:style>
  <w:style w:type="character" w:customStyle="1" w:styleId="960">
    <w:name w:val="1.1标题2 Char"/>
    <w:qFormat/>
    <w:uiPriority w:val="0"/>
    <w:rPr>
      <w:rFonts w:ascii="Arial" w:hAnsi="Arial" w:eastAsia="黑体"/>
      <w:bCs/>
      <w:kern w:val="2"/>
      <w:sz w:val="32"/>
      <w:szCs w:val="32"/>
      <w:lang w:val="en-US" w:eastAsia="zh-CN" w:bidi="ar-SA"/>
    </w:rPr>
  </w:style>
  <w:style w:type="character" w:customStyle="1" w:styleId="961">
    <w:name w:val="样式 样式 正文首行缩进 + 首行缩进:  2 字符 + 首行缩进:  2 字符 Char"/>
    <w:qFormat/>
    <w:uiPriority w:val="0"/>
    <w:rPr>
      <w:rFonts w:ascii="宋体" w:hAnsi="宋体" w:cs="宋体"/>
      <w:snapToGrid/>
      <w:sz w:val="24"/>
      <w:szCs w:val="24"/>
      <w:lang w:val="en-US" w:eastAsia="zh-CN" w:bidi="ar-SA"/>
    </w:rPr>
  </w:style>
  <w:style w:type="character" w:customStyle="1" w:styleId="962">
    <w:name w:val="正文文本缩进b Char"/>
    <w:link w:val="963"/>
    <w:qFormat/>
    <w:locked/>
    <w:uiPriority w:val="0"/>
    <w:rPr>
      <w:rFonts w:ascii="宋体" w:hAnsi="BankGothic Lt BT"/>
      <w:sz w:val="24"/>
      <w:szCs w:val="24"/>
    </w:rPr>
  </w:style>
  <w:style w:type="paragraph" w:customStyle="1" w:styleId="963">
    <w:name w:val="正文文本缩进b"/>
    <w:basedOn w:val="39"/>
    <w:link w:val="962"/>
    <w:qFormat/>
    <w:uiPriority w:val="0"/>
    <w:rPr>
      <w:rFonts w:ascii="宋体" w:hAnsi="BankGothic Lt BT" w:eastAsia="宋体"/>
      <w:kern w:val="0"/>
      <w:sz w:val="24"/>
    </w:rPr>
  </w:style>
  <w:style w:type="character" w:customStyle="1" w:styleId="964">
    <w:name w:val="p0char"/>
    <w:qFormat/>
    <w:uiPriority w:val="0"/>
  </w:style>
  <w:style w:type="character" w:customStyle="1" w:styleId="965">
    <w:name w:val="正文文字缩进 2 Char"/>
    <w:qFormat/>
    <w:uiPriority w:val="0"/>
    <w:rPr>
      <w:kern w:val="2"/>
      <w:sz w:val="24"/>
    </w:rPr>
  </w:style>
  <w:style w:type="character" w:customStyle="1" w:styleId="966">
    <w:name w:val="报告书表格 Char"/>
    <w:link w:val="967"/>
    <w:qFormat/>
    <w:uiPriority w:val="0"/>
    <w:rPr>
      <w:rFonts w:ascii="Times New Roman" w:hAnsi="Times New Roman" w:eastAsia="仿宋_GB2312"/>
      <w:sz w:val="28"/>
    </w:rPr>
  </w:style>
  <w:style w:type="paragraph" w:customStyle="1" w:styleId="967">
    <w:name w:val="报告书表格"/>
    <w:basedOn w:val="1"/>
    <w:link w:val="966"/>
    <w:uiPriority w:val="0"/>
    <w:pPr>
      <w:spacing w:line="240" w:lineRule="atLeast"/>
      <w:jc w:val="center"/>
      <w:textAlignment w:val="baseline"/>
    </w:pPr>
    <w:rPr>
      <w:kern w:val="0"/>
      <w:szCs w:val="20"/>
    </w:rPr>
  </w:style>
  <w:style w:type="character" w:customStyle="1" w:styleId="968">
    <w:name w:val="可研-正文首行缩进 Char Char1"/>
    <w:qFormat/>
    <w:uiPriority w:val="0"/>
    <w:rPr>
      <w:rFonts w:ascii="Times New Roman" w:hAnsi="Times New Roman" w:eastAsia="宋体" w:cs="Times New Roman"/>
      <w:spacing w:val="6"/>
      <w:kern w:val="2"/>
      <w:sz w:val="24"/>
      <w:szCs w:val="24"/>
      <w:lang w:val="en-US" w:eastAsia="zh-CN" w:bidi="ar-SA"/>
    </w:rPr>
  </w:style>
  <w:style w:type="character" w:customStyle="1" w:styleId="969">
    <w:name w:val="正 Char1"/>
    <w:link w:val="970"/>
    <w:qFormat/>
    <w:uiPriority w:val="0"/>
    <w:rPr>
      <w:rFonts w:eastAsia="宋体" w:cs="宋体"/>
      <w:kern w:val="2"/>
      <w:sz w:val="24"/>
      <w:lang w:val="en-US" w:eastAsia="zh-CN" w:bidi="ar-SA"/>
    </w:rPr>
  </w:style>
  <w:style w:type="paragraph" w:customStyle="1" w:styleId="970">
    <w:name w:val="正"/>
    <w:basedOn w:val="1"/>
    <w:link w:val="969"/>
    <w:qFormat/>
    <w:uiPriority w:val="0"/>
    <w:pPr>
      <w:spacing w:beforeLines="25" w:afterLines="25" w:line="440" w:lineRule="exact"/>
    </w:pPr>
    <w:rPr>
      <w:rFonts w:cs="宋体"/>
      <w:sz w:val="24"/>
      <w:szCs w:val="20"/>
    </w:rPr>
  </w:style>
  <w:style w:type="character" w:customStyle="1" w:styleId="971">
    <w:name w:val="Normal Indent Char"/>
    <w:qFormat/>
    <w:locked/>
    <w:uiPriority w:val="0"/>
    <w:rPr>
      <w:rFonts w:ascii="楷体_GB2312" w:hAnsi="Times New Roman" w:eastAsia="楷体_GB2312"/>
      <w:color w:val="000000"/>
      <w:sz w:val="24"/>
    </w:rPr>
  </w:style>
  <w:style w:type="character" w:customStyle="1" w:styleId="972">
    <w:name w:val="表后 Char"/>
    <w:link w:val="973"/>
    <w:qFormat/>
    <w:uiPriority w:val="0"/>
    <w:rPr>
      <w:kern w:val="2"/>
      <w:sz w:val="28"/>
      <w:szCs w:val="24"/>
    </w:rPr>
  </w:style>
  <w:style w:type="paragraph" w:customStyle="1" w:styleId="973">
    <w:name w:val="表后"/>
    <w:basedOn w:val="974"/>
    <w:link w:val="972"/>
    <w:qFormat/>
    <w:uiPriority w:val="0"/>
    <w:pPr>
      <w:spacing w:beforeLines="75" w:after="25" w:line="560" w:lineRule="exact"/>
    </w:pPr>
    <w:rPr>
      <w:kern w:val="2"/>
    </w:rPr>
  </w:style>
  <w:style w:type="paragraph" w:customStyle="1" w:styleId="974">
    <w:name w:val="缩2字"/>
    <w:basedOn w:val="1"/>
    <w:link w:val="1334"/>
    <w:qFormat/>
    <w:uiPriority w:val="0"/>
    <w:pPr>
      <w:spacing w:afterLines="25" w:line="550" w:lineRule="exact"/>
    </w:pPr>
    <w:rPr>
      <w:rFonts w:ascii="Calibri" w:hAnsi="Calibri" w:eastAsia="宋体"/>
      <w:kern w:val="0"/>
    </w:rPr>
  </w:style>
  <w:style w:type="character" w:customStyle="1" w:styleId="975">
    <w:name w:val="标题1"/>
    <w:qFormat/>
    <w:uiPriority w:val="0"/>
  </w:style>
  <w:style w:type="character" w:customStyle="1" w:styleId="976">
    <w:name w:val="正文00 Char"/>
    <w:qFormat/>
    <w:uiPriority w:val="0"/>
    <w:rPr>
      <w:rFonts w:cs="宋体"/>
      <w:sz w:val="24"/>
      <w:szCs w:val="24"/>
    </w:rPr>
  </w:style>
  <w:style w:type="character" w:customStyle="1" w:styleId="977">
    <w:name w:val="Char Char6"/>
    <w:qFormat/>
    <w:uiPriority w:val="0"/>
    <w:rPr>
      <w:rFonts w:eastAsia="宋体"/>
      <w:b/>
      <w:bCs/>
      <w:kern w:val="2"/>
      <w:sz w:val="28"/>
      <w:szCs w:val="24"/>
      <w:lang w:val="en-US" w:eastAsia="zh-CN" w:bidi="ar-SA"/>
    </w:rPr>
  </w:style>
  <w:style w:type="character" w:customStyle="1" w:styleId="978">
    <w:name w:val="仿宋GB正文 Char"/>
    <w:link w:val="979"/>
    <w:qFormat/>
    <w:uiPriority w:val="0"/>
    <w:rPr>
      <w:rFonts w:ascii="Times New Roman" w:hAnsi="Times New Roman" w:eastAsia="仿宋_GB2312"/>
      <w:color w:val="000000"/>
      <w:kern w:val="2"/>
      <w:sz w:val="28"/>
      <w:szCs w:val="28"/>
    </w:rPr>
  </w:style>
  <w:style w:type="paragraph" w:customStyle="1" w:styleId="979">
    <w:name w:val="仿宋GB正文"/>
    <w:basedOn w:val="1"/>
    <w:link w:val="978"/>
    <w:qFormat/>
    <w:uiPriority w:val="0"/>
    <w:pPr>
      <w:ind w:firstLine="560"/>
    </w:pPr>
    <w:rPr>
      <w:color w:val="000000"/>
      <w:szCs w:val="28"/>
    </w:rPr>
  </w:style>
  <w:style w:type="character" w:customStyle="1" w:styleId="980">
    <w:name w:val="样式 样式 样式 样式 正文首行缩进 + 首行缩进:  2 字符 + 首行缩进:  2 字符 + 宋体 + (中文) 宋体 Char"/>
    <w:qFormat/>
    <w:uiPriority w:val="0"/>
    <w:rPr>
      <w:rFonts w:ascii="宋体" w:hAnsi="宋体" w:cs="宋体"/>
      <w:snapToGrid/>
      <w:sz w:val="24"/>
      <w:szCs w:val="24"/>
      <w:lang w:val="en-US" w:eastAsia="zh-CN" w:bidi="ar-SA"/>
    </w:rPr>
  </w:style>
  <w:style w:type="character" w:customStyle="1" w:styleId="981">
    <w:name w:val="3333331"/>
    <w:qFormat/>
    <w:uiPriority w:val="0"/>
    <w:rPr>
      <w:color w:val="333333"/>
      <w:sz w:val="18"/>
      <w:szCs w:val="18"/>
      <w:u w:val="none"/>
    </w:rPr>
  </w:style>
  <w:style w:type="character" w:customStyle="1" w:styleId="982">
    <w:name w:val="4char1"/>
    <w:qFormat/>
    <w:uiPriority w:val="0"/>
    <w:rPr>
      <w:rFonts w:hint="eastAsia" w:ascii="楷体_GB2312" w:hAnsi="Verdana" w:eastAsia="楷体_GB2312"/>
      <w:lang w:val="en-US" w:eastAsia="en-US" w:bidi="ar-SA"/>
    </w:rPr>
  </w:style>
  <w:style w:type="character" w:customStyle="1" w:styleId="983">
    <w:name w:val="样式 正文首行缩进 + 首行缩进:  2 字符 Char"/>
    <w:qFormat/>
    <w:uiPriority w:val="0"/>
    <w:rPr>
      <w:rFonts w:ascii="宋体" w:hAnsi="宋体" w:cs="宋体"/>
      <w:snapToGrid/>
      <w:sz w:val="24"/>
      <w:szCs w:val="24"/>
      <w:lang w:val="en-US" w:eastAsia="zh-CN" w:bidi="ar-SA"/>
    </w:rPr>
  </w:style>
  <w:style w:type="character" w:customStyle="1" w:styleId="984">
    <w:name w:val="标题 5 Char"/>
    <w:qFormat/>
    <w:uiPriority w:val="0"/>
    <w:rPr>
      <w:rFonts w:ascii="Verdana" w:hAnsi="Verdana" w:eastAsia="宋体"/>
      <w:snapToGrid w:val="0"/>
      <w:sz w:val="28"/>
      <w:lang w:val="en-US" w:eastAsia="zh-CN" w:bidi="ar-SA"/>
    </w:rPr>
  </w:style>
  <w:style w:type="character" w:customStyle="1" w:styleId="985">
    <w:name w:val="表题 Char"/>
    <w:link w:val="986"/>
    <w:qFormat/>
    <w:uiPriority w:val="0"/>
    <w:rPr>
      <w:rFonts w:ascii="仿宋_GB2312" w:hAnsi="宋体" w:eastAsia="仿宋_GB2312"/>
      <w:sz w:val="24"/>
      <w:szCs w:val="24"/>
      <w:lang w:val="en-US" w:eastAsia="zh-CN" w:bidi="ar-SA"/>
    </w:rPr>
  </w:style>
  <w:style w:type="paragraph" w:customStyle="1" w:styleId="986">
    <w:name w:val="表题"/>
    <w:link w:val="985"/>
    <w:qFormat/>
    <w:uiPriority w:val="0"/>
    <w:pPr>
      <w:widowControl w:val="0"/>
      <w:adjustRightInd w:val="0"/>
      <w:snapToGrid w:val="0"/>
      <w:spacing w:line="440" w:lineRule="exact"/>
      <w:jc w:val="center"/>
    </w:pPr>
    <w:rPr>
      <w:rFonts w:ascii="仿宋_GB2312" w:hAnsi="宋体" w:eastAsia="仿宋_GB2312" w:cs="Times New Roman"/>
      <w:sz w:val="24"/>
      <w:szCs w:val="24"/>
      <w:lang w:val="en-US" w:eastAsia="zh-CN" w:bidi="ar-SA"/>
    </w:rPr>
  </w:style>
  <w:style w:type="character" w:customStyle="1" w:styleId="987">
    <w:name w:val="正文文本 3 Char"/>
    <w:qFormat/>
    <w:uiPriority w:val="0"/>
    <w:rPr>
      <w:rFonts w:ascii="Times New Roman" w:hAnsi="Times New Roman" w:eastAsia="宋体" w:cs="Times New Roman"/>
      <w:sz w:val="16"/>
      <w:szCs w:val="16"/>
    </w:rPr>
  </w:style>
  <w:style w:type="character" w:customStyle="1" w:styleId="988">
    <w:name w:val="表格标题 Char"/>
    <w:qFormat/>
    <w:uiPriority w:val="0"/>
    <w:rPr>
      <w:rFonts w:cs="宋体"/>
      <w:snapToGrid/>
      <w:kern w:val="24"/>
      <w:sz w:val="24"/>
      <w:szCs w:val="21"/>
      <w:lang w:eastAsia="zh-CN"/>
    </w:rPr>
  </w:style>
  <w:style w:type="character" w:customStyle="1" w:styleId="989">
    <w:name w:val="_Heading 2 Char1"/>
    <w:qFormat/>
    <w:uiPriority w:val="0"/>
    <w:rPr>
      <w:rFonts w:eastAsia="黑体"/>
      <w:bCs/>
      <w:snapToGrid w:val="0"/>
      <w:sz w:val="28"/>
      <w:szCs w:val="32"/>
      <w:lang w:val="en-US" w:eastAsia="zh-CN" w:bidi="ar-SA"/>
    </w:rPr>
  </w:style>
  <w:style w:type="character" w:customStyle="1" w:styleId="990">
    <w:name w:val="头 Char"/>
    <w:qFormat/>
    <w:uiPriority w:val="0"/>
    <w:rPr>
      <w:rFonts w:ascii="Times New Roman" w:hAnsi="Times New Roman" w:eastAsia="仿宋_GB2312" w:cs="Times New Roman"/>
      <w:b/>
      <w:kern w:val="0"/>
      <w:position w:val="-36"/>
      <w:sz w:val="32"/>
      <w:szCs w:val="20"/>
    </w:rPr>
  </w:style>
  <w:style w:type="character" w:customStyle="1" w:styleId="991">
    <w:name w:val="Char Char35"/>
    <w:qFormat/>
    <w:uiPriority w:val="0"/>
    <w:rPr>
      <w:rFonts w:ascii="Times New Roman" w:hAnsi="Times New Roman" w:eastAsia="黑体" w:cs="Times New Roman"/>
      <w:b/>
      <w:sz w:val="28"/>
      <w:szCs w:val="20"/>
    </w:rPr>
  </w:style>
  <w:style w:type="character" w:customStyle="1" w:styleId="992">
    <w:name w:val="首行缩进 Char"/>
    <w:link w:val="993"/>
    <w:qFormat/>
    <w:uiPriority w:val="0"/>
    <w:rPr>
      <w:rFonts w:eastAsia="宋体"/>
      <w:spacing w:val="20"/>
      <w:kern w:val="2"/>
      <w:sz w:val="21"/>
      <w:lang w:val="en-US" w:eastAsia="zh-CN" w:bidi="ar-SA"/>
    </w:rPr>
  </w:style>
  <w:style w:type="paragraph" w:customStyle="1" w:styleId="993">
    <w:name w:val="首行缩进"/>
    <w:basedOn w:val="1"/>
    <w:link w:val="992"/>
    <w:qFormat/>
    <w:uiPriority w:val="0"/>
    <w:pPr>
      <w:spacing w:line="440" w:lineRule="exact"/>
      <w:jc w:val="center"/>
    </w:pPr>
    <w:rPr>
      <w:spacing w:val="20"/>
      <w:szCs w:val="20"/>
    </w:rPr>
  </w:style>
  <w:style w:type="character" w:customStyle="1" w:styleId="994">
    <w:name w:val="表号 Char"/>
    <w:qFormat/>
    <w:uiPriority w:val="0"/>
    <w:rPr>
      <w:rFonts w:ascii="黑体" w:eastAsia="黑体"/>
      <w:sz w:val="21"/>
      <w:lang w:val="en-US" w:eastAsia="zh-CN" w:bidi="ar-SA"/>
    </w:rPr>
  </w:style>
  <w:style w:type="character" w:customStyle="1" w:styleId="995">
    <w:name w:val="Char Char28"/>
    <w:qFormat/>
    <w:uiPriority w:val="0"/>
    <w:rPr>
      <w:rFonts w:ascii="Times New Roman" w:hAnsi="Times New Roman" w:eastAsia="黑体" w:cs="Times New Roman"/>
      <w:b/>
      <w:sz w:val="32"/>
      <w:szCs w:val="20"/>
    </w:rPr>
  </w:style>
  <w:style w:type="character" w:customStyle="1" w:styleId="996">
    <w:name w:val="fontstyle01"/>
    <w:qFormat/>
    <w:uiPriority w:val="0"/>
    <w:rPr>
      <w:rFonts w:hint="eastAsia" w:ascii="宋体" w:hAnsi="宋体" w:eastAsia="宋体"/>
      <w:color w:val="000000"/>
      <w:sz w:val="24"/>
      <w:szCs w:val="24"/>
    </w:rPr>
  </w:style>
  <w:style w:type="character" w:customStyle="1" w:styleId="997">
    <w:name w:val="正文(首行缩进) Char"/>
    <w:link w:val="998"/>
    <w:uiPriority w:val="0"/>
    <w:rPr>
      <w:rFonts w:eastAsia="宋体"/>
      <w:snapToGrid w:val="0"/>
      <w:sz w:val="24"/>
      <w:szCs w:val="24"/>
    </w:rPr>
  </w:style>
  <w:style w:type="paragraph" w:customStyle="1" w:styleId="998">
    <w:name w:val="正文(首行缩进)"/>
    <w:basedOn w:val="1"/>
    <w:link w:val="997"/>
    <w:qFormat/>
    <w:uiPriority w:val="0"/>
    <w:pPr>
      <w:spacing w:line="360" w:lineRule="auto"/>
    </w:pPr>
    <w:rPr>
      <w:snapToGrid w:val="0"/>
      <w:kern w:val="0"/>
      <w:sz w:val="24"/>
    </w:rPr>
  </w:style>
  <w:style w:type="character" w:customStyle="1" w:styleId="999">
    <w:name w:val="chword"/>
    <w:qFormat/>
    <w:uiPriority w:val="0"/>
  </w:style>
  <w:style w:type="character" w:customStyle="1" w:styleId="1000">
    <w:name w:val="表内文字 Char Char"/>
    <w:qFormat/>
    <w:uiPriority w:val="0"/>
    <w:rPr>
      <w:sz w:val="24"/>
      <w:lang w:val="en-US" w:eastAsia="zh-CN" w:bidi="ar-SA"/>
    </w:rPr>
  </w:style>
  <w:style w:type="character" w:customStyle="1" w:styleId="1001">
    <w:name w:val="排，正文 Char"/>
    <w:link w:val="1002"/>
    <w:qFormat/>
    <w:uiPriority w:val="0"/>
    <w:rPr>
      <w:rFonts w:ascii="宋体" w:hAnsi="宋体" w:eastAsia="宋体"/>
      <w:color w:val="000000"/>
      <w:kern w:val="2"/>
      <w:sz w:val="28"/>
      <w:lang w:val="en-US" w:eastAsia="zh-CN" w:bidi="ar-SA"/>
    </w:rPr>
  </w:style>
  <w:style w:type="paragraph" w:customStyle="1" w:styleId="1002">
    <w:name w:val="排，正文"/>
    <w:basedOn w:val="1"/>
    <w:link w:val="1001"/>
    <w:qFormat/>
    <w:uiPriority w:val="0"/>
    <w:pPr>
      <w:spacing w:line="500" w:lineRule="exact"/>
      <w:ind w:firstLine="630" w:firstLineChars="225"/>
    </w:pPr>
    <w:rPr>
      <w:rFonts w:ascii="宋体" w:hAnsi="宋体"/>
      <w:color w:val="000000"/>
      <w:szCs w:val="20"/>
    </w:rPr>
  </w:style>
  <w:style w:type="character" w:customStyle="1" w:styleId="1003">
    <w:name w:val="Font Style94"/>
    <w:qFormat/>
    <w:uiPriority w:val="0"/>
    <w:rPr>
      <w:rFonts w:ascii="宋体" w:eastAsia="宋体" w:cs="宋体"/>
      <w:sz w:val="22"/>
      <w:szCs w:val="22"/>
    </w:rPr>
  </w:style>
  <w:style w:type="character" w:customStyle="1" w:styleId="1004">
    <w:name w:val="zzsy051"/>
    <w:qFormat/>
    <w:uiPriority w:val="0"/>
    <w:rPr>
      <w:rFonts w:hint="eastAsia" w:ascii="宋体" w:hAnsi="宋体" w:eastAsia="宋体"/>
      <w:b/>
      <w:bCs/>
      <w:color w:val="FF0000"/>
      <w:sz w:val="24"/>
      <w:szCs w:val="24"/>
    </w:rPr>
  </w:style>
  <w:style w:type="character" w:styleId="1005">
    <w:name w:val="Placeholder Text"/>
    <w:semiHidden/>
    <w:qFormat/>
    <w:uiPriority w:val="99"/>
    <w:rPr>
      <w:color w:val="808080"/>
    </w:rPr>
  </w:style>
  <w:style w:type="character" w:customStyle="1" w:styleId="1006">
    <w:name w:val="【正文】 Char"/>
    <w:link w:val="8"/>
    <w:qFormat/>
    <w:uiPriority w:val="0"/>
    <w:rPr>
      <w:rFonts w:eastAsia="宋体" w:cs="宋体"/>
      <w:spacing w:val="20"/>
      <w:kern w:val="2"/>
      <w:sz w:val="24"/>
      <w:lang w:val="en-US" w:eastAsia="zh-CN" w:bidi="ar-SA"/>
    </w:rPr>
  </w:style>
  <w:style w:type="character" w:customStyle="1" w:styleId="1007">
    <w:name w:val="正文++++++++++ Char"/>
    <w:link w:val="1008"/>
    <w:qFormat/>
    <w:uiPriority w:val="0"/>
    <w:rPr>
      <w:rFonts w:eastAsia="宋体" w:cs="宋体"/>
      <w:kern w:val="2"/>
      <w:sz w:val="24"/>
      <w:lang w:val="en-US" w:eastAsia="zh-CN" w:bidi="ar-SA"/>
    </w:rPr>
  </w:style>
  <w:style w:type="paragraph" w:customStyle="1" w:styleId="1008">
    <w:name w:val="正文++++++++++"/>
    <w:basedOn w:val="1"/>
    <w:link w:val="1007"/>
    <w:qFormat/>
    <w:uiPriority w:val="0"/>
    <w:pPr>
      <w:ind w:firstLine="534"/>
    </w:pPr>
    <w:rPr>
      <w:rFonts w:cs="宋体"/>
      <w:sz w:val="24"/>
      <w:szCs w:val="20"/>
    </w:rPr>
  </w:style>
  <w:style w:type="character" w:customStyle="1" w:styleId="1009">
    <w:name w:val="表号 Char3"/>
    <w:qFormat/>
    <w:uiPriority w:val="0"/>
    <w:rPr>
      <w:rFonts w:eastAsia="宋体"/>
      <w:sz w:val="24"/>
      <w:szCs w:val="24"/>
      <w:lang w:val="en-US" w:eastAsia="zh-CN" w:bidi="ar-SA"/>
    </w:rPr>
  </w:style>
  <w:style w:type="character" w:customStyle="1" w:styleId="1010">
    <w:name w:val="标题 3 Char"/>
    <w:qFormat/>
    <w:uiPriority w:val="0"/>
    <w:rPr>
      <w:b/>
      <w:bCs/>
      <w:sz w:val="32"/>
      <w:szCs w:val="32"/>
    </w:rPr>
  </w:style>
  <w:style w:type="character" w:customStyle="1" w:styleId="1011">
    <w:name w:val="样式 样式 正文首行缩进 + 首行缩进:  2 字符 + 首行缩进:  2 字符 Char2"/>
    <w:qFormat/>
    <w:uiPriority w:val="0"/>
    <w:rPr>
      <w:rFonts w:ascii="宋体" w:hAnsi="宋体" w:cs="宋体"/>
      <w:snapToGrid/>
      <w:kern w:val="24"/>
      <w:sz w:val="24"/>
      <w:szCs w:val="24"/>
      <w:lang w:eastAsia="zh-CN"/>
    </w:rPr>
  </w:style>
  <w:style w:type="character" w:customStyle="1" w:styleId="1012">
    <w:name w:val="样式 小四 蓝色 首行缩进:  0.85 厘米 行距: 多倍行距 1.4 字行 Char"/>
    <w:link w:val="1013"/>
    <w:uiPriority w:val="0"/>
    <w:rPr>
      <w:rFonts w:eastAsia="宋体" w:cs="宋体"/>
      <w:color w:val="0000FF"/>
      <w:kern w:val="2"/>
      <w:sz w:val="24"/>
      <w:lang w:val="en-US" w:eastAsia="zh-CN" w:bidi="ar-SA"/>
    </w:rPr>
  </w:style>
  <w:style w:type="paragraph" w:customStyle="1" w:styleId="1013">
    <w:name w:val="样式 小四 蓝色 首行缩进:  0.85 厘米 行距: 多倍行距 1.4 字行"/>
    <w:basedOn w:val="1"/>
    <w:link w:val="1012"/>
    <w:qFormat/>
    <w:uiPriority w:val="0"/>
    <w:pPr>
      <w:spacing w:line="336" w:lineRule="auto"/>
      <w:ind w:firstLine="482"/>
    </w:pPr>
    <w:rPr>
      <w:rFonts w:cs="宋体"/>
      <w:color w:val="0000FF"/>
      <w:sz w:val="24"/>
      <w:szCs w:val="20"/>
    </w:rPr>
  </w:style>
  <w:style w:type="character" w:customStyle="1" w:styleId="1014">
    <w:name w:val="题注 Char Char Char"/>
    <w:qFormat/>
    <w:uiPriority w:val="0"/>
    <w:rPr>
      <w:rFonts w:ascii="Arial" w:hAnsi="Arial" w:cs="Arial"/>
      <w:snapToGrid/>
      <w:kern w:val="24"/>
      <w:sz w:val="24"/>
      <w:lang w:eastAsia="zh-CN"/>
    </w:rPr>
  </w:style>
  <w:style w:type="character" w:customStyle="1" w:styleId="1015">
    <w:name w:val="特点标题 Char Char"/>
    <w:semiHidden/>
    <w:qFormat/>
    <w:uiPriority w:val="0"/>
    <w:rPr>
      <w:rFonts w:eastAsia="宋体"/>
      <w:kern w:val="2"/>
      <w:sz w:val="36"/>
      <w:lang w:val="en-US" w:eastAsia="zh-CN" w:bidi="ar-SA"/>
    </w:rPr>
  </w:style>
  <w:style w:type="character" w:customStyle="1" w:styleId="1016">
    <w:name w:val="A4"/>
    <w:qFormat/>
    <w:uiPriority w:val="0"/>
    <w:rPr>
      <w:rFonts w:ascii="新宋体" w:eastAsia="新宋体" w:cs="新宋体"/>
      <w:color w:val="000000"/>
      <w:sz w:val="28"/>
      <w:szCs w:val="28"/>
    </w:rPr>
  </w:style>
  <w:style w:type="character" w:customStyle="1" w:styleId="1017">
    <w:name w:val="readmail_locationtip"/>
    <w:uiPriority w:val="0"/>
  </w:style>
  <w:style w:type="character" w:customStyle="1" w:styleId="1018">
    <w:name w:val="正文文本最新 Char Char Char1 Char Char Char Char Char Char Char"/>
    <w:qFormat/>
    <w:uiPriority w:val="0"/>
    <w:rPr>
      <w:rFonts w:eastAsia="宋体"/>
      <w:b/>
      <w:bCs/>
      <w:kern w:val="2"/>
      <w:sz w:val="28"/>
      <w:szCs w:val="24"/>
      <w:lang w:val="en-US" w:eastAsia="zh-CN" w:bidi="ar-SA"/>
    </w:rPr>
  </w:style>
  <w:style w:type="character" w:customStyle="1" w:styleId="1019">
    <w:name w:val="样式 表题 + 黑色 Char"/>
    <w:link w:val="1020"/>
    <w:qFormat/>
    <w:uiPriority w:val="0"/>
    <w:rPr>
      <w:rFonts w:eastAsia="黑体"/>
      <w:snapToGrid w:val="0"/>
      <w:color w:val="000000"/>
      <w:sz w:val="24"/>
      <w:lang w:val="en-US" w:eastAsia="zh-CN" w:bidi="ar-SA"/>
    </w:rPr>
  </w:style>
  <w:style w:type="paragraph" w:customStyle="1" w:styleId="1020">
    <w:name w:val="样式 表题 + 黑色"/>
    <w:basedOn w:val="1"/>
    <w:link w:val="1019"/>
    <w:qFormat/>
    <w:uiPriority w:val="0"/>
    <w:pPr>
      <w:jc w:val="center"/>
    </w:pPr>
    <w:rPr>
      <w:rFonts w:eastAsia="黑体"/>
      <w:snapToGrid w:val="0"/>
      <w:color w:val="000000"/>
      <w:kern w:val="0"/>
      <w:sz w:val="24"/>
      <w:szCs w:val="20"/>
    </w:rPr>
  </w:style>
  <w:style w:type="character" w:customStyle="1" w:styleId="1021">
    <w:name w:val="H2 Char2"/>
    <w:qFormat/>
    <w:uiPriority w:val="0"/>
    <w:rPr>
      <w:rFonts w:eastAsia="黑体"/>
      <w:b/>
      <w:kern w:val="2"/>
      <w:sz w:val="32"/>
      <w:lang w:val="en-US" w:eastAsia="zh-CN" w:bidi="ar-SA"/>
    </w:rPr>
  </w:style>
  <w:style w:type="character" w:customStyle="1" w:styleId="1022">
    <w:name w:val="MSG_EN_FONT_STYLE_NAME_TEMPLATE_ROLE MSG_EN_FONT_STYLE_NAME_BY_ROLE_TEXT_"/>
    <w:qFormat/>
    <w:uiPriority w:val="0"/>
    <w:rPr>
      <w:rFonts w:ascii="宋体" w:hAnsi="宋体" w:eastAsia="宋体" w:cs="宋体"/>
      <w:sz w:val="21"/>
      <w:szCs w:val="21"/>
      <w:u w:val="none"/>
    </w:rPr>
  </w:style>
  <w:style w:type="character" w:customStyle="1" w:styleId="1023">
    <w:name w:val="2级标题 Char"/>
    <w:link w:val="1024"/>
    <w:qFormat/>
    <w:locked/>
    <w:uiPriority w:val="0"/>
    <w:rPr>
      <w:rFonts w:eastAsia="宋体"/>
      <w:b/>
      <w:kern w:val="2"/>
      <w:sz w:val="28"/>
      <w:szCs w:val="24"/>
      <w:lang w:val="en-US" w:eastAsia="zh-CN" w:bidi="ar-SA"/>
    </w:rPr>
  </w:style>
  <w:style w:type="paragraph" w:customStyle="1" w:styleId="1024">
    <w:name w:val="2级标题"/>
    <w:basedOn w:val="1"/>
    <w:link w:val="1023"/>
    <w:qFormat/>
    <w:uiPriority w:val="0"/>
    <w:pPr>
      <w:spacing w:before="60" w:line="460" w:lineRule="exact"/>
      <w:outlineLvl w:val="1"/>
    </w:pPr>
    <w:rPr>
      <w:b/>
    </w:rPr>
  </w:style>
  <w:style w:type="character" w:customStyle="1" w:styleId="1025">
    <w:name w:val="A3"/>
    <w:qFormat/>
    <w:uiPriority w:val="0"/>
    <w:rPr>
      <w:rFonts w:ascii="BankGothic Lt BT" w:hAnsi="BankGothic Lt BT" w:cs="BankGothic Lt BT"/>
      <w:color w:val="000000"/>
      <w:sz w:val="36"/>
      <w:szCs w:val="36"/>
    </w:rPr>
  </w:style>
  <w:style w:type="character" w:customStyle="1" w:styleId="1026">
    <w:name w:val="style621"/>
    <w:qFormat/>
    <w:uiPriority w:val="0"/>
    <w:rPr>
      <w:color w:val="335150"/>
    </w:rPr>
  </w:style>
  <w:style w:type="character" w:customStyle="1" w:styleId="1027">
    <w:name w:val="zy"/>
    <w:qFormat/>
    <w:uiPriority w:val="0"/>
  </w:style>
  <w:style w:type="character" w:customStyle="1" w:styleId="1028">
    <w:name w:val="td3"/>
    <w:qFormat/>
    <w:uiPriority w:val="0"/>
  </w:style>
  <w:style w:type="character" w:customStyle="1" w:styleId="1029">
    <w:name w:val="正文首行缩进1 Char Char"/>
    <w:qFormat/>
    <w:uiPriority w:val="0"/>
    <w:rPr>
      <w:sz w:val="28"/>
      <w:szCs w:val="24"/>
      <w:lang w:eastAsia="zh-CN"/>
    </w:rPr>
  </w:style>
  <w:style w:type="character" w:customStyle="1" w:styleId="1030">
    <w:name w:val="t_tag"/>
    <w:qFormat/>
    <w:uiPriority w:val="0"/>
  </w:style>
  <w:style w:type="character" w:customStyle="1" w:styleId="1031">
    <w:name w:val="21"/>
    <w:qFormat/>
    <w:uiPriority w:val="0"/>
    <w:rPr>
      <w:rFonts w:hint="default"/>
      <w:sz w:val="21"/>
      <w:szCs w:val="21"/>
    </w:rPr>
  </w:style>
  <w:style w:type="character" w:customStyle="1" w:styleId="1032">
    <w:name w:val="德胜表头 Char"/>
    <w:link w:val="1033"/>
    <w:uiPriority w:val="0"/>
    <w:rPr>
      <w:rFonts w:eastAsia="宋体" w:cs="宋体"/>
      <w:b/>
      <w:snapToGrid w:val="0"/>
      <w:color w:val="0000FF"/>
      <w:sz w:val="24"/>
      <w:szCs w:val="24"/>
      <w:lang w:val="en-US" w:eastAsia="zh-CN" w:bidi="ar-SA"/>
    </w:rPr>
  </w:style>
  <w:style w:type="paragraph" w:customStyle="1" w:styleId="1033">
    <w:name w:val="德胜表头"/>
    <w:basedOn w:val="1034"/>
    <w:link w:val="1032"/>
    <w:qFormat/>
    <w:uiPriority w:val="0"/>
    <w:pPr>
      <w:spacing w:line="240" w:lineRule="auto"/>
      <w:ind w:firstLine="0" w:firstLineChars="0"/>
      <w:jc w:val="center"/>
    </w:pPr>
    <w:rPr>
      <w:b/>
    </w:rPr>
  </w:style>
  <w:style w:type="paragraph" w:customStyle="1" w:styleId="1034">
    <w:name w:val="德胜正文"/>
    <w:basedOn w:val="1"/>
    <w:link w:val="1035"/>
    <w:qFormat/>
    <w:uiPriority w:val="0"/>
    <w:pPr>
      <w:spacing w:line="360" w:lineRule="auto"/>
    </w:pPr>
    <w:rPr>
      <w:rFonts w:cs="宋体"/>
      <w:snapToGrid w:val="0"/>
      <w:color w:val="0000FF"/>
      <w:kern w:val="0"/>
      <w:sz w:val="24"/>
    </w:rPr>
  </w:style>
  <w:style w:type="character" w:customStyle="1" w:styleId="1035">
    <w:name w:val="德胜正文 Char"/>
    <w:link w:val="1034"/>
    <w:qFormat/>
    <w:uiPriority w:val="0"/>
    <w:rPr>
      <w:rFonts w:eastAsia="宋体" w:cs="宋体"/>
      <w:snapToGrid w:val="0"/>
      <w:color w:val="0000FF"/>
      <w:sz w:val="24"/>
      <w:szCs w:val="24"/>
      <w:lang w:val="en-US" w:eastAsia="zh-CN" w:bidi="ar-SA"/>
    </w:rPr>
  </w:style>
  <w:style w:type="character" w:customStyle="1" w:styleId="1036">
    <w:name w:val="德胜表格内容 Char"/>
    <w:link w:val="1037"/>
    <w:qFormat/>
    <w:uiPriority w:val="0"/>
    <w:rPr>
      <w:rFonts w:eastAsia="宋体" w:cs="宋体"/>
      <w:snapToGrid w:val="0"/>
      <w:color w:val="0000FF"/>
      <w:sz w:val="21"/>
      <w:szCs w:val="21"/>
      <w:lang w:val="en-US" w:eastAsia="zh-CN" w:bidi="ar-SA"/>
    </w:rPr>
  </w:style>
  <w:style w:type="paragraph" w:customStyle="1" w:styleId="1037">
    <w:name w:val="德胜表格内容"/>
    <w:basedOn w:val="1"/>
    <w:link w:val="1036"/>
    <w:qFormat/>
    <w:uiPriority w:val="0"/>
    <w:pPr>
      <w:jc w:val="center"/>
    </w:pPr>
    <w:rPr>
      <w:rFonts w:cs="宋体"/>
      <w:snapToGrid w:val="0"/>
      <w:color w:val="0000FF"/>
      <w:kern w:val="0"/>
      <w:szCs w:val="21"/>
    </w:rPr>
  </w:style>
  <w:style w:type="character" w:customStyle="1" w:styleId="1038">
    <w:name w:val="表内字 Char1"/>
    <w:qFormat/>
    <w:uiPriority w:val="0"/>
    <w:rPr>
      <w:rFonts w:ascii="Garamond" w:hAnsi="Garamond" w:eastAsia="宋体"/>
      <w:bCs/>
      <w:snapToGrid w:val="0"/>
      <w:kern w:val="21"/>
      <w:sz w:val="18"/>
      <w:szCs w:val="18"/>
      <w:lang w:val="en-US" w:eastAsia="zh-CN" w:bidi="ar-SA"/>
    </w:rPr>
  </w:style>
  <w:style w:type="character" w:customStyle="1" w:styleId="1039">
    <w:name w:val="4正文 Char"/>
    <w:qFormat/>
    <w:locked/>
    <w:uiPriority w:val="0"/>
    <w:rPr>
      <w:rFonts w:ascii="Times New Roman" w:hAnsi="Times New Roman"/>
      <w:kern w:val="2"/>
      <w:sz w:val="24"/>
    </w:rPr>
  </w:style>
  <w:style w:type="character" w:customStyle="1" w:styleId="1040">
    <w:name w:val="标题3 Char"/>
    <w:qFormat/>
    <w:uiPriority w:val="0"/>
  </w:style>
  <w:style w:type="character" w:customStyle="1" w:styleId="1041">
    <w:name w:val="表格文字居中 Char1"/>
    <w:link w:val="1042"/>
    <w:qFormat/>
    <w:locked/>
    <w:uiPriority w:val="0"/>
    <w:rPr>
      <w:rFonts w:hAnsi="宋体" w:eastAsia="宋体"/>
      <w:color w:val="FF0000"/>
      <w:kern w:val="2"/>
      <w:sz w:val="21"/>
      <w:szCs w:val="21"/>
      <w:lang w:val="en-US" w:eastAsia="zh-CN" w:bidi="ar-SA"/>
    </w:rPr>
  </w:style>
  <w:style w:type="paragraph" w:customStyle="1" w:styleId="1042">
    <w:name w:val="表格文字居中"/>
    <w:basedOn w:val="1"/>
    <w:next w:val="1"/>
    <w:link w:val="1041"/>
    <w:uiPriority w:val="0"/>
    <w:pPr>
      <w:keepNext/>
      <w:spacing w:line="0" w:lineRule="atLeast"/>
      <w:jc w:val="center"/>
    </w:pPr>
    <w:rPr>
      <w:rFonts w:hAnsi="宋体"/>
      <w:color w:val="FF0000"/>
      <w:szCs w:val="21"/>
    </w:rPr>
  </w:style>
  <w:style w:type="character" w:customStyle="1" w:styleId="1043">
    <w:name w:val="正文文本缩进 2 Char"/>
    <w:qFormat/>
    <w:uiPriority w:val="0"/>
    <w:rPr>
      <w:rFonts w:ascii="宋体" w:hAnsi="Times New Roman" w:eastAsia="宋体" w:cs="Times New Roman"/>
      <w:color w:val="000000"/>
      <w:kern w:val="0"/>
      <w:sz w:val="36"/>
      <w:szCs w:val="20"/>
    </w:rPr>
  </w:style>
  <w:style w:type="character" w:customStyle="1" w:styleId="1044">
    <w:name w:val="style91"/>
    <w:qFormat/>
    <w:uiPriority w:val="0"/>
    <w:rPr>
      <w:b/>
      <w:bCs/>
      <w:color w:val="187CC8"/>
    </w:rPr>
  </w:style>
  <w:style w:type="character" w:customStyle="1" w:styleId="1045">
    <w:name w:val="标题 42"/>
    <w:qFormat/>
    <w:uiPriority w:val="0"/>
    <w:rPr>
      <w:rFonts w:eastAsia="黑体"/>
      <w:b/>
      <w:bCs/>
      <w:kern w:val="2"/>
      <w:sz w:val="24"/>
      <w:szCs w:val="28"/>
      <w:lang w:eastAsia="zh-CN"/>
    </w:rPr>
  </w:style>
  <w:style w:type="character" w:customStyle="1" w:styleId="1046">
    <w:name w:val="a-图件 Char"/>
    <w:link w:val="1047"/>
    <w:qFormat/>
    <w:uiPriority w:val="0"/>
    <w:rPr>
      <w:b/>
      <w:color w:val="000000"/>
      <w:sz w:val="24"/>
      <w:szCs w:val="21"/>
      <w:lang w:val="en-US" w:eastAsia="zh-CN" w:bidi="ar-SA"/>
    </w:rPr>
  </w:style>
  <w:style w:type="paragraph" w:customStyle="1" w:styleId="1047">
    <w:name w:val="a-图件"/>
    <w:link w:val="1046"/>
    <w:uiPriority w:val="0"/>
    <w:pPr>
      <w:adjustRightInd w:val="0"/>
      <w:snapToGrid w:val="0"/>
      <w:spacing w:line="360" w:lineRule="auto"/>
      <w:jc w:val="center"/>
    </w:pPr>
    <w:rPr>
      <w:rFonts w:ascii="Calibri" w:hAnsi="Calibri" w:eastAsia="宋体" w:cs="Times New Roman"/>
      <w:b/>
      <w:color w:val="000000"/>
      <w:sz w:val="24"/>
      <w:szCs w:val="21"/>
      <w:lang w:val="en-US" w:eastAsia="zh-CN" w:bidi="ar-SA"/>
    </w:rPr>
  </w:style>
  <w:style w:type="character" w:customStyle="1" w:styleId="1048">
    <w:name w:val="表格正文 Char"/>
    <w:link w:val="1049"/>
    <w:qFormat/>
    <w:uiPriority w:val="0"/>
    <w:rPr>
      <w:rFonts w:eastAsia="宋体"/>
      <w:sz w:val="24"/>
      <w:lang w:val="en-US" w:eastAsia="zh-CN" w:bidi="ar-SA"/>
    </w:rPr>
  </w:style>
  <w:style w:type="paragraph" w:customStyle="1" w:styleId="1049">
    <w:name w:val="表格正文"/>
    <w:basedOn w:val="1"/>
    <w:link w:val="1048"/>
    <w:qFormat/>
    <w:uiPriority w:val="0"/>
    <w:pPr>
      <w:spacing w:line="460" w:lineRule="exact"/>
      <w:jc w:val="left"/>
      <w:textAlignment w:val="baseline"/>
    </w:pPr>
    <w:rPr>
      <w:kern w:val="0"/>
      <w:sz w:val="24"/>
      <w:szCs w:val="20"/>
    </w:rPr>
  </w:style>
  <w:style w:type="character" w:customStyle="1" w:styleId="1050">
    <w:name w:val="标题 2 Char Char Char Char Char Char Char1"/>
    <w:qFormat/>
    <w:uiPriority w:val="0"/>
    <w:rPr>
      <w:rFonts w:eastAsia="黑体"/>
      <w:b/>
      <w:kern w:val="2"/>
      <w:sz w:val="32"/>
      <w:lang w:val="en-US" w:eastAsia="zh-CN" w:bidi="ar-SA"/>
    </w:rPr>
  </w:style>
  <w:style w:type="character" w:customStyle="1" w:styleId="1051">
    <w:name w:val="Char Char37"/>
    <w:qFormat/>
    <w:uiPriority w:val="0"/>
    <w:rPr>
      <w:b/>
      <w:bCs/>
      <w:kern w:val="44"/>
      <w:sz w:val="44"/>
      <w:szCs w:val="44"/>
    </w:rPr>
  </w:style>
  <w:style w:type="character" w:customStyle="1" w:styleId="1052">
    <w:name w:val="正文文 Char"/>
    <w:link w:val="1053"/>
    <w:qFormat/>
    <w:uiPriority w:val="0"/>
    <w:rPr>
      <w:rFonts w:eastAsia="宋体" w:cs="宋体"/>
      <w:kern w:val="2"/>
      <w:sz w:val="24"/>
      <w:lang w:val="en-US" w:eastAsia="zh-CN" w:bidi="ar-SA"/>
    </w:rPr>
  </w:style>
  <w:style w:type="paragraph" w:customStyle="1" w:styleId="1053">
    <w:name w:val="正文文1"/>
    <w:basedOn w:val="1"/>
    <w:next w:val="1"/>
    <w:link w:val="1052"/>
    <w:qFormat/>
    <w:uiPriority w:val="0"/>
    <w:pPr>
      <w:spacing w:beforeLines="25" w:afterLines="25" w:line="440" w:lineRule="exact"/>
    </w:pPr>
    <w:rPr>
      <w:rFonts w:cs="宋体"/>
      <w:sz w:val="24"/>
      <w:szCs w:val="20"/>
    </w:rPr>
  </w:style>
  <w:style w:type="character" w:customStyle="1" w:styleId="1054">
    <w:name w:val="14p"/>
    <w:qFormat/>
    <w:uiPriority w:val="0"/>
  </w:style>
  <w:style w:type="character" w:customStyle="1" w:styleId="1055">
    <w:name w:val="正式段落 Char"/>
    <w:link w:val="1056"/>
    <w:qFormat/>
    <w:locked/>
    <w:uiPriority w:val="0"/>
    <w:rPr>
      <w:rFonts w:eastAsia="宋体"/>
      <w:kern w:val="2"/>
      <w:sz w:val="24"/>
      <w:szCs w:val="24"/>
      <w:lang w:val="en-US" w:eastAsia="zh-CN" w:bidi="ar-SA"/>
    </w:rPr>
  </w:style>
  <w:style w:type="paragraph" w:customStyle="1" w:styleId="1056">
    <w:name w:val="正式段落"/>
    <w:basedOn w:val="1"/>
    <w:link w:val="1055"/>
    <w:qFormat/>
    <w:uiPriority w:val="0"/>
    <w:pPr>
      <w:spacing w:beforeLines="10" w:afterLines="10" w:line="312" w:lineRule="auto"/>
    </w:pPr>
    <w:rPr>
      <w:sz w:val="24"/>
    </w:rPr>
  </w:style>
  <w:style w:type="character" w:customStyle="1" w:styleId="1057">
    <w:name w:val="样式 样式 标题 5 + 黑色 + Char"/>
    <w:link w:val="1058"/>
    <w:uiPriority w:val="0"/>
    <w:rPr>
      <w:rFonts w:ascii="Verdana" w:hAnsi="Verdana" w:eastAsia="宋体"/>
      <w:snapToGrid w:val="0"/>
      <w:color w:val="000000"/>
      <w:kern w:val="2"/>
      <w:sz w:val="28"/>
      <w:lang w:val="en-US" w:eastAsia="zh-CN" w:bidi="ar-SA"/>
    </w:rPr>
  </w:style>
  <w:style w:type="paragraph" w:customStyle="1" w:styleId="1058">
    <w:name w:val="样式 样式 标题 5 + 黑色 +"/>
    <w:basedOn w:val="1059"/>
    <w:link w:val="1057"/>
    <w:qFormat/>
    <w:uiPriority w:val="0"/>
    <w:pPr>
      <w:tabs>
        <w:tab w:val="left" w:pos="1008"/>
      </w:tabs>
    </w:pPr>
    <w:rPr>
      <w:kern w:val="2"/>
    </w:rPr>
  </w:style>
  <w:style w:type="paragraph" w:customStyle="1" w:styleId="1059">
    <w:name w:val="样式 标题 5 + 黑色"/>
    <w:basedOn w:val="11"/>
    <w:link w:val="1060"/>
    <w:qFormat/>
    <w:uiPriority w:val="0"/>
    <w:pPr>
      <w:keepNext w:val="0"/>
      <w:keepLines w:val="0"/>
      <w:tabs>
        <w:tab w:val="left" w:pos="1008"/>
        <w:tab w:val="clear" w:pos="992"/>
      </w:tabs>
      <w:spacing w:before="0" w:after="0" w:line="300" w:lineRule="auto"/>
      <w:ind w:left="0" w:firstLine="560"/>
    </w:pPr>
    <w:rPr>
      <w:rFonts w:ascii="Verdana" w:hAnsi="Verdana"/>
      <w:b w:val="0"/>
      <w:snapToGrid w:val="0"/>
      <w:kern w:val="0"/>
    </w:rPr>
  </w:style>
  <w:style w:type="character" w:customStyle="1" w:styleId="1060">
    <w:name w:val="样式 标题 5 + 黑色 Char"/>
    <w:link w:val="1059"/>
    <w:qFormat/>
    <w:uiPriority w:val="0"/>
    <w:rPr>
      <w:rFonts w:ascii="Verdana" w:hAnsi="Verdana" w:eastAsia="宋体"/>
      <w:snapToGrid w:val="0"/>
      <w:color w:val="000000"/>
      <w:sz w:val="28"/>
      <w:lang w:val="en-US" w:eastAsia="zh-CN" w:bidi="ar-SA"/>
    </w:rPr>
  </w:style>
  <w:style w:type="character" w:customStyle="1" w:styleId="1061">
    <w:name w:val="正文文本 Char1"/>
    <w:qFormat/>
    <w:uiPriority w:val="0"/>
    <w:rPr>
      <w:rFonts w:eastAsia="宋体"/>
      <w:kern w:val="2"/>
      <w:sz w:val="21"/>
      <w:szCs w:val="24"/>
      <w:lang w:val="en-US" w:eastAsia="zh-CN" w:bidi="ar-SA"/>
    </w:rPr>
  </w:style>
  <w:style w:type="character" w:customStyle="1" w:styleId="1062">
    <w:name w:val="批注文字 Char"/>
    <w:qFormat/>
    <w:uiPriority w:val="99"/>
    <w:rPr>
      <w:rFonts w:ascii="Times New Roman" w:hAnsi="Times New Roman"/>
      <w:b/>
      <w:kern w:val="2"/>
      <w:sz w:val="28"/>
      <w:szCs w:val="24"/>
    </w:rPr>
  </w:style>
  <w:style w:type="character" w:customStyle="1" w:styleId="1063">
    <w:name w:val="zw1"/>
    <w:qFormat/>
    <w:uiPriority w:val="0"/>
    <w:rPr>
      <w:rFonts w:hint="eastAsia" w:ascii="宋体" w:hAnsi="宋体" w:eastAsia="宋体"/>
      <w:sz w:val="22"/>
      <w:szCs w:val="22"/>
    </w:rPr>
  </w:style>
  <w:style w:type="character" w:customStyle="1" w:styleId="1064">
    <w:name w:val="表内字 Char Char"/>
    <w:uiPriority w:val="0"/>
    <w:rPr>
      <w:sz w:val="21"/>
      <w:szCs w:val="21"/>
      <w:lang w:val="en-US" w:eastAsia="zh-CN" w:bidi="ar-SA"/>
    </w:rPr>
  </w:style>
  <w:style w:type="character" w:customStyle="1" w:styleId="1065">
    <w:name w:val="文本框五号 Char Char Char"/>
    <w:semiHidden/>
    <w:uiPriority w:val="0"/>
    <w:rPr>
      <w:rFonts w:ascii="宋体" w:hAnsi="宋体" w:eastAsia="仿宋_GB2312" w:cs="Courier New"/>
      <w:kern w:val="2"/>
      <w:sz w:val="21"/>
      <w:szCs w:val="21"/>
      <w:lang w:val="en-US" w:eastAsia="zh-CN" w:bidi="ar-SA"/>
    </w:rPr>
  </w:style>
  <w:style w:type="character" w:customStyle="1" w:styleId="1066">
    <w:name w:val="正文首行缩进 Char2"/>
    <w:qFormat/>
    <w:uiPriority w:val="0"/>
    <w:rPr>
      <w:rFonts w:ascii="宋体" w:hAnsi="宋体"/>
      <w:sz w:val="24"/>
      <w:szCs w:val="24"/>
      <w:lang w:eastAsia="zh-CN"/>
    </w:rPr>
  </w:style>
  <w:style w:type="character" w:customStyle="1" w:styleId="1067">
    <w:name w:val="标题 2 Char Char Char Char Char"/>
    <w:qFormat/>
    <w:uiPriority w:val="0"/>
    <w:rPr>
      <w:rFonts w:ascii="Arial" w:hAnsi="Arial" w:eastAsia="黑体"/>
      <w:b/>
      <w:bCs/>
      <w:kern w:val="2"/>
      <w:sz w:val="32"/>
      <w:szCs w:val="32"/>
      <w:lang w:val="en-US" w:eastAsia="zh-CN" w:bidi="ar-SA"/>
    </w:rPr>
  </w:style>
  <w:style w:type="character" w:customStyle="1" w:styleId="1068">
    <w:name w:val="p21"/>
    <w:qFormat/>
    <w:uiPriority w:val="0"/>
    <w:rPr>
      <w:rFonts w:hint="default"/>
      <w:color w:val="0000A0"/>
    </w:rPr>
  </w:style>
  <w:style w:type="character" w:customStyle="1" w:styleId="1069">
    <w:name w:val="正文首行缩进1 Char"/>
    <w:link w:val="1070"/>
    <w:qFormat/>
    <w:uiPriority w:val="0"/>
    <w:rPr>
      <w:rFonts w:eastAsia="宋体"/>
      <w:sz w:val="28"/>
      <w:szCs w:val="24"/>
      <w:lang w:val="en-US" w:eastAsia="zh-CN" w:bidi="ar-SA"/>
    </w:rPr>
  </w:style>
  <w:style w:type="paragraph" w:customStyle="1" w:styleId="1070">
    <w:name w:val="正文首行缩进1"/>
    <w:basedOn w:val="1"/>
    <w:next w:val="1"/>
    <w:link w:val="1069"/>
    <w:qFormat/>
    <w:uiPriority w:val="0"/>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spacing w:line="300" w:lineRule="auto"/>
      <w:ind w:firstLine="561"/>
      <w:textAlignment w:val="baseline"/>
    </w:pPr>
    <w:rPr>
      <w:kern w:val="0"/>
    </w:rPr>
  </w:style>
  <w:style w:type="character" w:customStyle="1" w:styleId="1071">
    <w:name w:val="Char Char34"/>
    <w:uiPriority w:val="0"/>
    <w:rPr>
      <w:rFonts w:eastAsia="宋体"/>
      <w:b/>
      <w:bCs/>
      <w:kern w:val="44"/>
      <w:sz w:val="44"/>
      <w:szCs w:val="44"/>
      <w:lang w:val="en-US" w:eastAsia="zh-CN" w:bidi="ar-SA"/>
    </w:rPr>
  </w:style>
  <w:style w:type="character" w:customStyle="1" w:styleId="1072">
    <w:name w:val="正文文字 3 Char Char"/>
    <w:uiPriority w:val="0"/>
    <w:rPr>
      <w:rFonts w:hAnsi="Arial Narrow"/>
      <w:spacing w:val="6"/>
      <w:kern w:val="2"/>
      <w:sz w:val="16"/>
      <w:szCs w:val="16"/>
    </w:rPr>
  </w:style>
  <w:style w:type="character" w:customStyle="1" w:styleId="1073">
    <w:name w:val="样式 标题 3 + 黑色 Char"/>
    <w:link w:val="1074"/>
    <w:qFormat/>
    <w:uiPriority w:val="0"/>
    <w:rPr>
      <w:rFonts w:ascii="Verdana" w:hAnsi="Verdana" w:eastAsia="宋体"/>
      <w:b/>
      <w:snapToGrid w:val="0"/>
      <w:color w:val="000000"/>
      <w:kern w:val="2"/>
      <w:sz w:val="28"/>
      <w:szCs w:val="32"/>
      <w:lang w:val="en-US" w:eastAsia="zh-CN" w:bidi="ar-SA"/>
    </w:rPr>
  </w:style>
  <w:style w:type="paragraph" w:customStyle="1" w:styleId="1074">
    <w:name w:val="样式 标题 3 + 黑色"/>
    <w:basedOn w:val="7"/>
    <w:link w:val="1073"/>
    <w:qFormat/>
    <w:uiPriority w:val="0"/>
    <w:pPr>
      <w:keepNext w:val="0"/>
      <w:keepLines w:val="0"/>
      <w:tabs>
        <w:tab w:val="clear" w:pos="1440"/>
      </w:tabs>
      <w:spacing w:before="0" w:after="0" w:line="300" w:lineRule="auto"/>
      <w:ind w:left="1" w:firstLine="0"/>
    </w:pPr>
    <w:rPr>
      <w:rFonts w:ascii="Verdana" w:hAnsi="Verdana" w:eastAsia="宋体"/>
      <w:snapToGrid w:val="0"/>
      <w:color w:val="000000"/>
      <w:kern w:val="2"/>
      <w:szCs w:val="32"/>
    </w:rPr>
  </w:style>
  <w:style w:type="character" w:customStyle="1" w:styleId="1075">
    <w:name w:val="正文（首行缩进两字） Char Char Char Char Char Char Char Char1"/>
    <w:qFormat/>
    <w:uiPriority w:val="0"/>
    <w:rPr>
      <w:rFonts w:ascii="Times New Roman" w:hAnsi="Times New Roman" w:eastAsia="宋体" w:cs="Times New Roman"/>
      <w:szCs w:val="21"/>
    </w:rPr>
  </w:style>
  <w:style w:type="character" w:customStyle="1" w:styleId="1076">
    <w:name w:val="表标题 Char"/>
    <w:link w:val="1077"/>
    <w:qFormat/>
    <w:uiPriority w:val="0"/>
    <w:rPr>
      <w:rFonts w:ascii="仿宋_GB2312" w:hAnsi="Arial" w:eastAsia="仿宋_GB2312" w:cs="Arial"/>
      <w:bCs/>
      <w:color w:val="000000"/>
      <w:spacing w:val="-6"/>
      <w:kern w:val="2"/>
      <w:sz w:val="28"/>
      <w:szCs w:val="28"/>
      <w:lang w:val="en-US" w:eastAsia="zh-CN" w:bidi="ar-SA"/>
    </w:rPr>
  </w:style>
  <w:style w:type="paragraph" w:customStyle="1" w:styleId="1077">
    <w:name w:val="表标题"/>
    <w:basedOn w:val="1"/>
    <w:next w:val="1"/>
    <w:link w:val="1076"/>
    <w:qFormat/>
    <w:uiPriority w:val="0"/>
    <w:pPr>
      <w:tabs>
        <w:tab w:val="left" w:pos="3220"/>
      </w:tabs>
      <w:jc w:val="center"/>
    </w:pPr>
    <w:rPr>
      <w:rFonts w:ascii="仿宋_GB2312" w:hAnsi="Arial" w:cs="Arial"/>
      <w:bCs/>
      <w:color w:val="000000"/>
      <w:spacing w:val="-6"/>
      <w:szCs w:val="28"/>
    </w:rPr>
  </w:style>
  <w:style w:type="character" w:customStyle="1" w:styleId="1078">
    <w:name w:val="表正文 Char1 Char Char"/>
    <w:qFormat/>
    <w:uiPriority w:val="0"/>
    <w:rPr>
      <w:rFonts w:eastAsia="宋体"/>
      <w:sz w:val="28"/>
      <w:lang w:val="en-US" w:eastAsia="zh-CN" w:bidi="ar-SA"/>
    </w:rPr>
  </w:style>
  <w:style w:type="character" w:customStyle="1" w:styleId="1079">
    <w:name w:val="注释标题 Char"/>
    <w:qFormat/>
    <w:uiPriority w:val="0"/>
    <w:rPr>
      <w:rFonts w:ascii="Times New Roman" w:hAnsi="Times New Roman" w:eastAsia="宋体" w:cs="Times New Roman"/>
      <w:szCs w:val="20"/>
    </w:rPr>
  </w:style>
  <w:style w:type="character" w:customStyle="1" w:styleId="1080">
    <w:name w:val="a1"/>
    <w:qFormat/>
    <w:uiPriority w:val="0"/>
    <w:rPr>
      <w:rFonts w:hint="eastAsia" w:ascii="新宋体" w:hAnsi="新宋体" w:eastAsia="新宋体"/>
      <w:color w:val="000000"/>
      <w:sz w:val="18"/>
      <w:szCs w:val="18"/>
      <w:u w:val="none"/>
    </w:rPr>
  </w:style>
  <w:style w:type="character" w:customStyle="1" w:styleId="1081">
    <w:name w:val="表头 Char Char"/>
    <w:qFormat/>
    <w:uiPriority w:val="0"/>
    <w:rPr>
      <w:sz w:val="21"/>
      <w:szCs w:val="21"/>
      <w:lang w:bidi="ar-SA"/>
    </w:rPr>
  </w:style>
  <w:style w:type="character" w:customStyle="1" w:styleId="1082">
    <w:name w:val="样式 德胜表格内容 + 紧缩量  0.6 磅 Char"/>
    <w:link w:val="1083"/>
    <w:qFormat/>
    <w:uiPriority w:val="0"/>
    <w:rPr>
      <w:lang w:val="en-US" w:eastAsia="zh-CN" w:bidi="ar-SA"/>
    </w:rPr>
  </w:style>
  <w:style w:type="paragraph" w:customStyle="1" w:styleId="1083">
    <w:name w:val="样式 德胜表格内容 + 紧缩量  0.6 磅"/>
    <w:basedOn w:val="1037"/>
    <w:link w:val="1082"/>
    <w:qFormat/>
    <w:uiPriority w:val="0"/>
  </w:style>
  <w:style w:type="character" w:customStyle="1" w:styleId="1084">
    <w:name w:val="Re Char1"/>
    <w:uiPriority w:val="0"/>
    <w:rPr>
      <w:rFonts w:eastAsia="黑体"/>
      <w:b/>
      <w:bCs/>
      <w:kern w:val="2"/>
      <w:sz w:val="24"/>
      <w:szCs w:val="32"/>
      <w:lang w:val="en-US" w:eastAsia="zh-CN"/>
    </w:rPr>
  </w:style>
  <w:style w:type="character" w:customStyle="1" w:styleId="1085">
    <w:name w:val="表 Char Char Char"/>
    <w:link w:val="1086"/>
    <w:qFormat/>
    <w:uiPriority w:val="0"/>
    <w:rPr>
      <w:rFonts w:eastAsia="黑体"/>
      <w:sz w:val="24"/>
      <w:lang w:val="en-US" w:eastAsia="zh-CN" w:bidi="ar-SA"/>
    </w:rPr>
  </w:style>
  <w:style w:type="paragraph" w:customStyle="1" w:styleId="1086">
    <w:name w:val="表 Char"/>
    <w:link w:val="1085"/>
    <w:qFormat/>
    <w:uiPriority w:val="0"/>
    <w:pPr>
      <w:spacing w:line="300" w:lineRule="auto"/>
      <w:ind w:left="286"/>
      <w:jc w:val="center"/>
    </w:pPr>
    <w:rPr>
      <w:rFonts w:ascii="Calibri" w:hAnsi="Calibri" w:eastAsia="黑体" w:cs="Times New Roman"/>
      <w:sz w:val="24"/>
      <w:lang w:val="en-US" w:eastAsia="zh-CN" w:bidi="ar-SA"/>
    </w:rPr>
  </w:style>
  <w:style w:type="character" w:customStyle="1" w:styleId="1087">
    <w:name w:val="表头 Char"/>
    <w:link w:val="3"/>
    <w:qFormat/>
    <w:uiPriority w:val="0"/>
    <w:rPr>
      <w:rFonts w:ascii="Times" w:hAnsi="Times" w:eastAsia="黑体"/>
      <w:b/>
      <w:snapToGrid w:val="0"/>
      <w:spacing w:val="16"/>
      <w:sz w:val="24"/>
      <w:szCs w:val="24"/>
    </w:rPr>
  </w:style>
  <w:style w:type="character" w:customStyle="1" w:styleId="1088">
    <w:name w:val="表1 Char"/>
    <w:link w:val="536"/>
    <w:qFormat/>
    <w:uiPriority w:val="0"/>
    <w:rPr>
      <w:sz w:val="21"/>
      <w:lang w:val="en-US" w:eastAsia="zh-CN" w:bidi="ar-SA"/>
    </w:rPr>
  </w:style>
  <w:style w:type="character" w:customStyle="1" w:styleId="1089">
    <w:name w:val="f241"/>
    <w:qFormat/>
    <w:uiPriority w:val="0"/>
    <w:rPr>
      <w:sz w:val="36"/>
      <w:szCs w:val="36"/>
    </w:rPr>
  </w:style>
  <w:style w:type="character" w:customStyle="1" w:styleId="1090">
    <w:name w:val="%三级标题 Char Char"/>
    <w:link w:val="1091"/>
    <w:qFormat/>
    <w:uiPriority w:val="0"/>
    <w:rPr>
      <w:rFonts w:ascii="宋体" w:hAnsi="宋体" w:eastAsia="仿宋_GB2312"/>
      <w:kern w:val="2"/>
      <w:sz w:val="24"/>
      <w:szCs w:val="24"/>
      <w:lang w:val="en-US" w:eastAsia="zh-CN" w:bidi="ar-SA"/>
    </w:rPr>
  </w:style>
  <w:style w:type="paragraph" w:customStyle="1" w:styleId="1091">
    <w:name w:val="%三级标题"/>
    <w:link w:val="1090"/>
    <w:uiPriority w:val="0"/>
    <w:pPr>
      <w:spacing w:line="400" w:lineRule="exact"/>
      <w:jc w:val="center"/>
    </w:pPr>
    <w:rPr>
      <w:rFonts w:ascii="宋体" w:hAnsi="宋体" w:eastAsia="仿宋_GB2312" w:cs="Times New Roman"/>
      <w:kern w:val="2"/>
      <w:sz w:val="24"/>
      <w:szCs w:val="24"/>
      <w:lang w:val="en-US" w:eastAsia="zh-CN" w:bidi="ar-SA"/>
    </w:rPr>
  </w:style>
  <w:style w:type="character" w:customStyle="1" w:styleId="1092">
    <w:name w:val="普通(网站) Char"/>
    <w:uiPriority w:val="0"/>
    <w:rPr>
      <w:rFonts w:ascii="宋体" w:hAnsi="宋体" w:eastAsia="宋体"/>
      <w:color w:val="000000"/>
      <w:sz w:val="28"/>
      <w:lang w:val="en-US" w:eastAsia="zh-CN" w:bidi="ar-SA"/>
    </w:rPr>
  </w:style>
  <w:style w:type="character" w:customStyle="1" w:styleId="1093">
    <w:name w:val="规划正文样式 Char"/>
    <w:qFormat/>
    <w:uiPriority w:val="0"/>
    <w:rPr>
      <w:rFonts w:eastAsia="宋体"/>
      <w:kern w:val="2"/>
      <w:sz w:val="24"/>
      <w:szCs w:val="24"/>
      <w:lang w:val="en-US" w:eastAsia="zh-CN" w:bidi="ar-SA"/>
    </w:rPr>
  </w:style>
  <w:style w:type="character" w:customStyle="1" w:styleId="1094">
    <w:name w:val="content"/>
    <w:qFormat/>
    <w:uiPriority w:val="0"/>
    <w:rPr>
      <w:rFonts w:ascii="Verdana" w:hAnsi="Verdana" w:eastAsia="宋体"/>
      <w:kern w:val="2"/>
      <w:sz w:val="28"/>
      <w:szCs w:val="28"/>
      <w:lang w:val="en-US" w:eastAsia="zh-CN" w:bidi="ar-SA"/>
    </w:rPr>
  </w:style>
  <w:style w:type="character" w:customStyle="1" w:styleId="1095">
    <w:name w:val="H6 Char"/>
    <w:qFormat/>
    <w:uiPriority w:val="0"/>
    <w:rPr>
      <w:rFonts w:ascii="Arial" w:hAnsi="Arial" w:eastAsia="黑体"/>
      <w:b/>
      <w:color w:val="000000"/>
      <w:kern w:val="28"/>
      <w:sz w:val="24"/>
      <w:lang w:val="en-US" w:eastAsia="zh-CN" w:bidi="ar-SA"/>
    </w:rPr>
  </w:style>
  <w:style w:type="character" w:customStyle="1" w:styleId="1096">
    <w:name w:val="style101"/>
    <w:qFormat/>
    <w:uiPriority w:val="0"/>
    <w:rPr>
      <w:sz w:val="21"/>
      <w:szCs w:val="21"/>
    </w:rPr>
  </w:style>
  <w:style w:type="character" w:customStyle="1" w:styleId="1097">
    <w:name w:val="3级标题 Char Char"/>
    <w:link w:val="1098"/>
    <w:qFormat/>
    <w:locked/>
    <w:uiPriority w:val="0"/>
    <w:rPr>
      <w:rFonts w:eastAsia="宋体"/>
      <w:b/>
      <w:kern w:val="2"/>
      <w:sz w:val="24"/>
      <w:szCs w:val="24"/>
      <w:lang w:val="en-US" w:eastAsia="zh-CN" w:bidi="ar-SA"/>
    </w:rPr>
  </w:style>
  <w:style w:type="paragraph" w:customStyle="1" w:styleId="1098">
    <w:name w:val="3级标题"/>
    <w:basedOn w:val="1"/>
    <w:link w:val="1097"/>
    <w:qFormat/>
    <w:uiPriority w:val="0"/>
    <w:pPr>
      <w:spacing w:before="300" w:line="460" w:lineRule="exact"/>
      <w:outlineLvl w:val="2"/>
    </w:pPr>
    <w:rPr>
      <w:b/>
      <w:sz w:val="24"/>
    </w:rPr>
  </w:style>
  <w:style w:type="character" w:customStyle="1" w:styleId="1099">
    <w:name w:val="style16 style57"/>
    <w:uiPriority w:val="0"/>
  </w:style>
  <w:style w:type="character" w:customStyle="1" w:styleId="1100">
    <w:name w:val="正文---------------- Char"/>
    <w:link w:val="1101"/>
    <w:qFormat/>
    <w:uiPriority w:val="0"/>
    <w:rPr>
      <w:rFonts w:ascii="Times New Roman" w:hAnsi="Times New Roman" w:eastAsia="宋体" w:cs="宋体"/>
      <w:spacing w:val="16"/>
      <w:sz w:val="24"/>
      <w:szCs w:val="20"/>
    </w:rPr>
  </w:style>
  <w:style w:type="paragraph" w:customStyle="1" w:styleId="1101">
    <w:name w:val="正文----------------"/>
    <w:basedOn w:val="1"/>
    <w:link w:val="1100"/>
    <w:qFormat/>
    <w:uiPriority w:val="0"/>
    <w:pPr>
      <w:spacing w:line="440" w:lineRule="exact"/>
      <w:ind w:firstLine="544"/>
    </w:pPr>
    <w:rPr>
      <w:spacing w:val="16"/>
      <w:kern w:val="0"/>
      <w:sz w:val="24"/>
      <w:szCs w:val="20"/>
    </w:rPr>
  </w:style>
  <w:style w:type="character" w:customStyle="1" w:styleId="1102">
    <w:name w:val="博泵1 Char"/>
    <w:link w:val="1103"/>
    <w:qFormat/>
    <w:uiPriority w:val="0"/>
    <w:rPr>
      <w:rFonts w:hAnsi="宋体"/>
      <w:color w:val="000000"/>
      <w:sz w:val="24"/>
      <w:lang w:bidi="ar-SA"/>
    </w:rPr>
  </w:style>
  <w:style w:type="paragraph" w:customStyle="1" w:styleId="1103">
    <w:name w:val="博泵1"/>
    <w:basedOn w:val="1"/>
    <w:link w:val="1102"/>
    <w:qFormat/>
    <w:uiPriority w:val="0"/>
    <w:pPr>
      <w:spacing w:line="480" w:lineRule="exact"/>
      <w:jc w:val="left"/>
      <w:textAlignment w:val="baseline"/>
    </w:pPr>
    <w:rPr>
      <w:rFonts w:hAnsi="宋体"/>
      <w:color w:val="000000"/>
      <w:kern w:val="0"/>
      <w:sz w:val="24"/>
      <w:szCs w:val="20"/>
    </w:rPr>
  </w:style>
  <w:style w:type="character" w:customStyle="1" w:styleId="1104">
    <w:name w:val="表格1 Char Char"/>
    <w:semiHidden/>
    <w:qFormat/>
    <w:uiPriority w:val="0"/>
    <w:rPr>
      <w:kern w:val="2"/>
      <w:sz w:val="21"/>
      <w:szCs w:val="24"/>
      <w:shd w:val="clear" w:color="auto" w:fill="000080"/>
    </w:rPr>
  </w:style>
  <w:style w:type="character" w:customStyle="1" w:styleId="1105">
    <w:name w:val="正文首行缩进 Char Char Char Char Char Char Char Char Char Char"/>
    <w:qFormat/>
    <w:uiPriority w:val="0"/>
    <w:rPr>
      <w:snapToGrid/>
      <w:sz w:val="28"/>
      <w:lang w:val="en-US" w:eastAsia="zh-CN" w:bidi="ar-SA"/>
    </w:rPr>
  </w:style>
  <w:style w:type="character" w:customStyle="1" w:styleId="1106">
    <w:name w:val="正文1 Char"/>
    <w:link w:val="1107"/>
    <w:qFormat/>
    <w:uiPriority w:val="0"/>
    <w:rPr>
      <w:rFonts w:ascii="宋体"/>
      <w:sz w:val="24"/>
      <w:lang w:val="en-US" w:eastAsia="zh-CN" w:bidi="ar-SA"/>
    </w:rPr>
  </w:style>
  <w:style w:type="paragraph" w:customStyle="1" w:styleId="1107">
    <w:name w:val="正文11"/>
    <w:link w:val="1106"/>
    <w:qFormat/>
    <w:uiPriority w:val="0"/>
    <w:pPr>
      <w:widowControl w:val="0"/>
      <w:adjustRightInd w:val="0"/>
      <w:spacing w:line="360" w:lineRule="atLeast"/>
      <w:jc w:val="center"/>
    </w:pPr>
    <w:rPr>
      <w:rFonts w:ascii="宋体" w:hAnsi="Calibri" w:eastAsia="宋体" w:cs="Times New Roman"/>
      <w:sz w:val="24"/>
      <w:lang w:val="en-US" w:eastAsia="zh-CN" w:bidi="ar-SA"/>
    </w:rPr>
  </w:style>
  <w:style w:type="character" w:customStyle="1" w:styleId="1108">
    <w:name w:val="样式 样式 样式 正文首行缩进 + 首行缩进:  2 字符 + 首行缩进:  2 字符 + 宋体 Char"/>
    <w:qFormat/>
    <w:uiPriority w:val="0"/>
    <w:rPr>
      <w:rFonts w:ascii="宋体" w:hAnsi="宋体" w:cs="宋体"/>
      <w:snapToGrid/>
      <w:sz w:val="24"/>
      <w:szCs w:val="24"/>
      <w:lang w:val="en-US" w:eastAsia="zh-CN" w:bidi="ar-SA"/>
    </w:rPr>
  </w:style>
  <w:style w:type="character" w:customStyle="1" w:styleId="1109">
    <w:name w:val="textz1"/>
    <w:qFormat/>
    <w:uiPriority w:val="0"/>
    <w:rPr>
      <w:rFonts w:hint="eastAsia" w:ascii="宋体" w:hAnsi="宋体" w:eastAsia="宋体"/>
      <w:sz w:val="28"/>
      <w:szCs w:val="28"/>
    </w:rPr>
  </w:style>
  <w:style w:type="character" w:customStyle="1" w:styleId="1110">
    <w:name w:val="unnamed11"/>
    <w:uiPriority w:val="0"/>
    <w:rPr>
      <w:sz w:val="18"/>
      <w:szCs w:val="18"/>
    </w:rPr>
  </w:style>
  <w:style w:type="character" w:customStyle="1" w:styleId="1111">
    <w:name w:val="pt9"/>
    <w:qFormat/>
    <w:uiPriority w:val="0"/>
  </w:style>
  <w:style w:type="character" w:customStyle="1" w:styleId="1112">
    <w:name w:val="MSG_EN_FONT_STYLE_NAME_TEMPLATE_ROLE MSG_EN_FONT_STYLE_NAME_BY_ROLE_TEXT + MSG_EN_FONT_STYLE_MODIFER_NAME Times New Roman"/>
    <w:qFormat/>
    <w:uiPriority w:val="0"/>
    <w:rPr>
      <w:rFonts w:ascii="Times New Roman" w:hAnsi="Times New Roman" w:eastAsia="宋体" w:cs="Times New Roman"/>
      <w:color w:val="000000"/>
      <w:spacing w:val="0"/>
      <w:w w:val="100"/>
      <w:position w:val="0"/>
      <w:sz w:val="21"/>
      <w:szCs w:val="21"/>
      <w:u w:val="none"/>
      <w:lang w:val="zh-CN"/>
    </w:rPr>
  </w:style>
  <w:style w:type="character" w:customStyle="1" w:styleId="1113">
    <w:name w:val="bodyfont1"/>
    <w:qFormat/>
    <w:uiPriority w:val="0"/>
    <w:rPr>
      <w:sz w:val="17"/>
      <w:szCs w:val="17"/>
    </w:rPr>
  </w:style>
  <w:style w:type="character" w:customStyle="1" w:styleId="1114">
    <w:name w:val="正文00 Char Char"/>
    <w:link w:val="1115"/>
    <w:qFormat/>
    <w:uiPriority w:val="0"/>
    <w:rPr>
      <w:rFonts w:eastAsia="宋体"/>
      <w:sz w:val="24"/>
      <w:szCs w:val="21"/>
      <w:lang w:bidi="ar-SA"/>
    </w:rPr>
  </w:style>
  <w:style w:type="paragraph" w:customStyle="1" w:styleId="1115">
    <w:name w:val="正文00"/>
    <w:basedOn w:val="1"/>
    <w:link w:val="1114"/>
    <w:qFormat/>
    <w:uiPriority w:val="0"/>
    <w:pPr>
      <w:spacing w:line="360" w:lineRule="auto"/>
      <w:ind w:firstLine="480"/>
    </w:pPr>
    <w:rPr>
      <w:kern w:val="0"/>
      <w:sz w:val="24"/>
      <w:szCs w:val="21"/>
    </w:rPr>
  </w:style>
  <w:style w:type="character" w:customStyle="1" w:styleId="1116">
    <w:name w:val="css1"/>
    <w:qFormat/>
    <w:uiPriority w:val="0"/>
    <w:rPr>
      <w:rFonts w:hint="default"/>
      <w:sz w:val="18"/>
      <w:szCs w:val="18"/>
    </w:rPr>
  </w:style>
  <w:style w:type="character" w:customStyle="1" w:styleId="1117">
    <w:name w:val="正文 Char"/>
    <w:qFormat/>
    <w:uiPriority w:val="0"/>
    <w:rPr>
      <w:rFonts w:eastAsia="宋体"/>
      <w:kern w:val="2"/>
      <w:sz w:val="24"/>
      <w:szCs w:val="24"/>
      <w:lang w:val="en-US" w:eastAsia="zh-CN" w:bidi="ar-SA"/>
    </w:rPr>
  </w:style>
  <w:style w:type="character" w:customStyle="1" w:styleId="1118">
    <w:name w:val="detailtitle1"/>
    <w:uiPriority w:val="0"/>
    <w:rPr>
      <w:rFonts w:ascii="Verdana" w:hAnsi="Verdana" w:eastAsia="宋体"/>
      <w:b/>
      <w:bCs/>
      <w:kern w:val="2"/>
      <w:sz w:val="39"/>
      <w:szCs w:val="39"/>
      <w:lang w:val="en-US" w:eastAsia="zh-CN" w:bidi="ar-SA"/>
    </w:rPr>
  </w:style>
  <w:style w:type="character" w:customStyle="1" w:styleId="1119">
    <w:name w:val="正文（首行缩进两字） Char"/>
    <w:qFormat/>
    <w:uiPriority w:val="0"/>
    <w:rPr>
      <w:kern w:val="2"/>
      <w:sz w:val="21"/>
      <w:szCs w:val="24"/>
      <w:lang w:eastAsia="zh-CN"/>
    </w:rPr>
  </w:style>
  <w:style w:type="character" w:customStyle="1" w:styleId="1120">
    <w:name w:val="style11"/>
    <w:qFormat/>
    <w:uiPriority w:val="0"/>
    <w:rPr>
      <w:sz w:val="20"/>
      <w:szCs w:val="20"/>
    </w:rPr>
  </w:style>
  <w:style w:type="character" w:customStyle="1" w:styleId="1121">
    <w:name w:val="样式 标题 3H3 + 黑色 Char"/>
    <w:link w:val="1122"/>
    <w:qFormat/>
    <w:uiPriority w:val="0"/>
    <w:rPr>
      <w:rFonts w:eastAsia="宋体"/>
      <w:bCs/>
      <w:snapToGrid w:val="0"/>
      <w:color w:val="000000"/>
      <w:sz w:val="28"/>
      <w:szCs w:val="32"/>
      <w:lang w:val="en-US" w:eastAsia="zh-CN" w:bidi="ar-SA"/>
    </w:rPr>
  </w:style>
  <w:style w:type="paragraph" w:customStyle="1" w:styleId="1122">
    <w:name w:val="样式 标题 3H3 + 黑色"/>
    <w:basedOn w:val="7"/>
    <w:link w:val="1121"/>
    <w:qFormat/>
    <w:uiPriority w:val="0"/>
    <w:pPr>
      <w:keepNext w:val="0"/>
      <w:keepLines w:val="0"/>
      <w:tabs>
        <w:tab w:val="clear" w:pos="1440"/>
      </w:tabs>
      <w:spacing w:before="0" w:after="0" w:line="300" w:lineRule="auto"/>
      <w:ind w:left="0" w:firstLine="0"/>
    </w:pPr>
    <w:rPr>
      <w:rFonts w:eastAsia="宋体"/>
      <w:b w:val="0"/>
      <w:bCs/>
      <w:snapToGrid w:val="0"/>
      <w:color w:val="000000"/>
      <w:szCs w:val="32"/>
    </w:rPr>
  </w:style>
  <w:style w:type="character" w:customStyle="1" w:styleId="1123">
    <w:name w:val="表格标题居中 Char"/>
    <w:link w:val="1124"/>
    <w:qFormat/>
    <w:uiPriority w:val="0"/>
    <w:rPr>
      <w:rFonts w:eastAsia="黑体"/>
      <w:sz w:val="24"/>
      <w:lang w:val="en-US" w:eastAsia="zh-CN" w:bidi="ar-SA"/>
    </w:rPr>
  </w:style>
  <w:style w:type="paragraph" w:customStyle="1" w:styleId="1124">
    <w:name w:val="表格标题居中"/>
    <w:basedOn w:val="1"/>
    <w:link w:val="1123"/>
    <w:qFormat/>
    <w:uiPriority w:val="0"/>
    <w:pPr>
      <w:spacing w:line="240" w:lineRule="atLeast"/>
      <w:jc w:val="center"/>
    </w:pPr>
    <w:rPr>
      <w:rFonts w:eastAsia="黑体"/>
      <w:kern w:val="0"/>
      <w:sz w:val="24"/>
      <w:szCs w:val="20"/>
    </w:rPr>
  </w:style>
  <w:style w:type="character" w:customStyle="1" w:styleId="1125">
    <w:name w:val="节标题 Char Char"/>
    <w:qFormat/>
    <w:uiPriority w:val="0"/>
    <w:rPr>
      <w:rFonts w:ascii="黑体" w:eastAsia="黑体"/>
      <w:b/>
      <w:bCs/>
      <w:smallCaps/>
      <w:kern w:val="2"/>
      <w:sz w:val="28"/>
      <w:szCs w:val="32"/>
      <w:lang w:eastAsia="zh-CN"/>
    </w:rPr>
  </w:style>
  <w:style w:type="character" w:customStyle="1" w:styleId="1126">
    <w:name w:val="H9 Char"/>
    <w:qFormat/>
    <w:uiPriority w:val="0"/>
    <w:rPr>
      <w:rFonts w:ascii="Arial" w:hAnsi="Arial" w:eastAsia="黑体"/>
      <w:kern w:val="2"/>
      <w:sz w:val="24"/>
    </w:rPr>
  </w:style>
  <w:style w:type="character" w:customStyle="1" w:styleId="1127">
    <w:name w:val="标题1.1.1.1.1.1 Char1"/>
    <w:qFormat/>
    <w:uiPriority w:val="0"/>
    <w:rPr>
      <w:rFonts w:ascii="Arial" w:hAnsi="Arial" w:eastAsia="宋体"/>
      <w:sz w:val="24"/>
      <w:lang w:val="en-US" w:eastAsia="zh-CN" w:bidi="ar-SA"/>
    </w:rPr>
  </w:style>
  <w:style w:type="character" w:customStyle="1" w:styleId="1128">
    <w:name w:val="表内字 Char"/>
    <w:link w:val="617"/>
    <w:qFormat/>
    <w:uiPriority w:val="0"/>
    <w:rPr>
      <w:color w:val="000000"/>
      <w:sz w:val="21"/>
      <w:lang w:val="en-US" w:eastAsia="zh-CN" w:bidi="ar-SA"/>
    </w:rPr>
  </w:style>
  <w:style w:type="character" w:customStyle="1" w:styleId="1129">
    <w:name w:val="￥正文 Char Char"/>
    <w:link w:val="1130"/>
    <w:qFormat/>
    <w:uiPriority w:val="0"/>
    <w:rPr>
      <w:rFonts w:ascii="宋体" w:hAnsi="宋体" w:eastAsia="仿宋_GB2312"/>
      <w:kern w:val="2"/>
      <w:sz w:val="24"/>
      <w:szCs w:val="28"/>
      <w:lang w:bidi="ar-SA"/>
    </w:rPr>
  </w:style>
  <w:style w:type="paragraph" w:customStyle="1" w:styleId="1130">
    <w:name w:val="￥正文"/>
    <w:basedOn w:val="1"/>
    <w:link w:val="1129"/>
    <w:qFormat/>
    <w:uiPriority w:val="0"/>
    <w:pPr>
      <w:spacing w:after="120" w:line="440" w:lineRule="atLeast"/>
      <w:ind w:firstLine="560"/>
    </w:pPr>
    <w:rPr>
      <w:rFonts w:ascii="宋体" w:hAnsi="宋体"/>
      <w:sz w:val="24"/>
      <w:szCs w:val="28"/>
    </w:rPr>
  </w:style>
  <w:style w:type="character" w:customStyle="1" w:styleId="1131">
    <w:name w:val="【标题3】 Char"/>
    <w:link w:val="1132"/>
    <w:qFormat/>
    <w:uiPriority w:val="0"/>
    <w:rPr>
      <w:rFonts w:eastAsia="Times New Roman"/>
      <w:b/>
      <w:bCs/>
      <w:sz w:val="28"/>
      <w:szCs w:val="22"/>
      <w:lang w:val="en-US" w:eastAsia="zh-CN" w:bidi="ar-SA"/>
    </w:rPr>
  </w:style>
  <w:style w:type="paragraph" w:customStyle="1" w:styleId="1132">
    <w:name w:val="【标题3】"/>
    <w:next w:val="77"/>
    <w:link w:val="1131"/>
    <w:qFormat/>
    <w:uiPriority w:val="0"/>
    <w:pPr>
      <w:keepLines/>
      <w:widowControl w:val="0"/>
      <w:spacing w:line="360" w:lineRule="auto"/>
      <w:jc w:val="center"/>
      <w:outlineLvl w:val="2"/>
    </w:pPr>
    <w:rPr>
      <w:rFonts w:ascii="Calibri" w:hAnsi="Calibri" w:eastAsia="Times New Roman" w:cs="Times New Roman"/>
      <w:b/>
      <w:bCs/>
      <w:sz w:val="28"/>
      <w:szCs w:val="22"/>
      <w:lang w:val="en-US" w:eastAsia="zh-CN" w:bidi="ar-SA"/>
    </w:rPr>
  </w:style>
  <w:style w:type="character" w:customStyle="1" w:styleId="1133">
    <w:name w:val="页脚1 Char Char"/>
    <w:qFormat/>
    <w:uiPriority w:val="0"/>
    <w:rPr>
      <w:rFonts w:ascii="Calibri" w:hAnsi="Calibri" w:eastAsia="宋体"/>
      <w:kern w:val="2"/>
      <w:sz w:val="18"/>
      <w:szCs w:val="18"/>
      <w:lang w:val="en-US" w:eastAsia="zh-CN" w:bidi="ar-SA"/>
    </w:rPr>
  </w:style>
  <w:style w:type="character" w:customStyle="1" w:styleId="1134">
    <w:name w:val="样式 宋体 四号"/>
    <w:qFormat/>
    <w:uiPriority w:val="0"/>
    <w:rPr>
      <w:rFonts w:ascii="宋体" w:hAnsi="宋体"/>
      <w:sz w:val="28"/>
    </w:rPr>
  </w:style>
  <w:style w:type="character" w:customStyle="1" w:styleId="1135">
    <w:name w:val="正文文本缩进 2 Char1"/>
    <w:qFormat/>
    <w:uiPriority w:val="99"/>
    <w:rPr>
      <w:rFonts w:ascii="Calibri" w:hAnsi="Calibri" w:eastAsia="宋体" w:cs="Times New Roman"/>
      <w:sz w:val="24"/>
    </w:rPr>
  </w:style>
  <w:style w:type="character" w:customStyle="1" w:styleId="1136">
    <w:name w:val="正文文本 2 Char"/>
    <w:qFormat/>
    <w:uiPriority w:val="0"/>
    <w:rPr>
      <w:rFonts w:ascii="Times New Roman" w:hAnsi="Times New Roman" w:eastAsia="宋体" w:cs="Times New Roman"/>
      <w:spacing w:val="16"/>
      <w:sz w:val="24"/>
      <w:szCs w:val="24"/>
    </w:rPr>
  </w:style>
  <w:style w:type="character" w:customStyle="1" w:styleId="1137">
    <w:name w:val="环保表内字（小五） Char"/>
    <w:link w:val="1138"/>
    <w:qFormat/>
    <w:uiPriority w:val="0"/>
    <w:rPr>
      <w:rFonts w:eastAsia="宋体"/>
      <w:snapToGrid w:val="0"/>
      <w:sz w:val="18"/>
      <w:lang w:val="en-US" w:eastAsia="zh-CN" w:bidi="ar-SA"/>
    </w:rPr>
  </w:style>
  <w:style w:type="paragraph" w:customStyle="1" w:styleId="1138">
    <w:name w:val="环保表内字（小五）"/>
    <w:basedOn w:val="1"/>
    <w:link w:val="1137"/>
    <w:qFormat/>
    <w:uiPriority w:val="0"/>
    <w:pPr>
      <w:spacing w:line="0" w:lineRule="atLeast"/>
    </w:pPr>
    <w:rPr>
      <w:snapToGrid w:val="0"/>
      <w:kern w:val="0"/>
      <w:sz w:val="18"/>
      <w:szCs w:val="20"/>
    </w:rPr>
  </w:style>
  <w:style w:type="character" w:customStyle="1" w:styleId="1139">
    <w:name w:val="正文首行缩进 Char1 Char Char"/>
    <w:qFormat/>
    <w:uiPriority w:val="0"/>
    <w:rPr>
      <w:rFonts w:ascii="宋体"/>
      <w:kern w:val="2"/>
      <w:sz w:val="28"/>
      <w:szCs w:val="28"/>
      <w:lang w:eastAsia="zh-CN"/>
    </w:rPr>
  </w:style>
  <w:style w:type="character" w:customStyle="1" w:styleId="1140">
    <w:name w:val="可研表头22 Char"/>
    <w:link w:val="1141"/>
    <w:qFormat/>
    <w:uiPriority w:val="0"/>
    <w:rPr>
      <w:rFonts w:eastAsia="黑体"/>
      <w:kern w:val="2"/>
      <w:sz w:val="24"/>
      <w:szCs w:val="24"/>
      <w:lang w:val="en-US" w:eastAsia="zh-CN" w:bidi="ar-SA"/>
    </w:rPr>
  </w:style>
  <w:style w:type="paragraph" w:customStyle="1" w:styleId="1141">
    <w:name w:val="可研表头22"/>
    <w:basedOn w:val="70"/>
    <w:link w:val="1140"/>
    <w:qFormat/>
    <w:uiPriority w:val="0"/>
    <w:pPr>
      <w:ind w:left="480" w:hanging="480" w:hangingChars="200"/>
      <w:jc w:val="center"/>
    </w:pPr>
    <w:rPr>
      <w:rFonts w:ascii="Times New Roman"/>
      <w:szCs w:val="24"/>
    </w:rPr>
  </w:style>
  <w:style w:type="character" w:customStyle="1" w:styleId="1142">
    <w:name w:val="words-outer-wrap"/>
    <w:qFormat/>
    <w:uiPriority w:val="0"/>
    <w:rPr>
      <w:rFonts w:cs="Times New Roman"/>
    </w:rPr>
  </w:style>
  <w:style w:type="character" w:customStyle="1" w:styleId="1143">
    <w:name w:val="Char Char142"/>
    <w:qFormat/>
    <w:uiPriority w:val="0"/>
    <w:rPr>
      <w:sz w:val="18"/>
      <w:szCs w:val="18"/>
    </w:rPr>
  </w:style>
  <w:style w:type="character" w:customStyle="1" w:styleId="1144">
    <w:name w:val="图件 Char"/>
    <w:link w:val="1145"/>
    <w:qFormat/>
    <w:uiPriority w:val="0"/>
    <w:rPr>
      <w:b/>
      <w:color w:val="000000"/>
      <w:sz w:val="24"/>
      <w:lang w:val="en-US" w:eastAsia="zh-CN" w:bidi="ar-SA"/>
    </w:rPr>
  </w:style>
  <w:style w:type="paragraph" w:customStyle="1" w:styleId="1145">
    <w:name w:val="图件"/>
    <w:link w:val="1144"/>
    <w:qFormat/>
    <w:uiPriority w:val="0"/>
    <w:pPr>
      <w:adjustRightInd w:val="0"/>
      <w:snapToGrid w:val="0"/>
      <w:spacing w:line="360" w:lineRule="auto"/>
      <w:jc w:val="center"/>
    </w:pPr>
    <w:rPr>
      <w:rFonts w:ascii="Calibri" w:hAnsi="Calibri" w:eastAsia="宋体" w:cs="Times New Roman"/>
      <w:b/>
      <w:color w:val="000000"/>
      <w:sz w:val="24"/>
      <w:lang w:val="en-US" w:eastAsia="zh-CN" w:bidi="ar-SA"/>
    </w:rPr>
  </w:style>
  <w:style w:type="character" w:customStyle="1" w:styleId="1146">
    <w:name w:val="表格内容 Char"/>
    <w:link w:val="254"/>
    <w:qFormat/>
    <w:uiPriority w:val="0"/>
    <w:rPr>
      <w:rFonts w:eastAsia="宋体"/>
      <w:kern w:val="2"/>
      <w:sz w:val="18"/>
      <w:lang w:val="en-US" w:eastAsia="zh-CN" w:bidi="ar-SA"/>
    </w:rPr>
  </w:style>
  <w:style w:type="character" w:customStyle="1" w:styleId="1147">
    <w:name w:val="正文文本缩进 3 Char"/>
    <w:qFormat/>
    <w:uiPriority w:val="0"/>
    <w:rPr>
      <w:rFonts w:ascii="Times New Roman" w:hAnsi="Times New Roman" w:eastAsia="宋体" w:cs="Times New Roman"/>
      <w:sz w:val="24"/>
      <w:szCs w:val="20"/>
    </w:rPr>
  </w:style>
  <w:style w:type="character" w:customStyle="1" w:styleId="1148">
    <w:name w:val="重点引导"/>
    <w:semiHidden/>
    <w:qFormat/>
    <w:uiPriority w:val="0"/>
    <w:rPr>
      <w:b/>
      <w:i/>
    </w:rPr>
  </w:style>
  <w:style w:type="character" w:customStyle="1" w:styleId="1149">
    <w:name w:val="c1"/>
    <w:qFormat/>
    <w:uiPriority w:val="0"/>
    <w:rPr>
      <w:rFonts w:hint="default" w:ascii="ˎ̥" w:hAnsi="ˎ̥"/>
      <w:color w:val="000000"/>
      <w:sz w:val="21"/>
      <w:szCs w:val="21"/>
      <w:u w:val="none"/>
    </w:rPr>
  </w:style>
  <w:style w:type="character" w:customStyle="1" w:styleId="1150">
    <w:name w:val="样式 正文首行缩进 + 黑色1 Char"/>
    <w:link w:val="1151"/>
    <w:qFormat/>
    <w:uiPriority w:val="0"/>
    <w:rPr>
      <w:rFonts w:eastAsia="宋体"/>
      <w:snapToGrid w:val="0"/>
      <w:color w:val="000000"/>
      <w:kern w:val="2"/>
      <w:sz w:val="28"/>
      <w:szCs w:val="24"/>
      <w:lang w:val="en-US" w:eastAsia="zh-CN" w:bidi="ar-SA"/>
    </w:rPr>
  </w:style>
  <w:style w:type="paragraph" w:customStyle="1" w:styleId="1151">
    <w:name w:val="样式 正文首行缩进 + 黑色1"/>
    <w:basedOn w:val="89"/>
    <w:link w:val="1150"/>
    <w:qFormat/>
    <w:uiPriority w:val="0"/>
    <w:pPr>
      <w:spacing w:line="300" w:lineRule="auto"/>
      <w:ind w:firstLine="200" w:firstLineChars="200"/>
    </w:pPr>
    <w:rPr>
      <w:snapToGrid w:val="0"/>
      <w:color w:val="000000"/>
    </w:rPr>
  </w:style>
  <w:style w:type="character" w:customStyle="1" w:styleId="1152">
    <w:name w:val="6666661"/>
    <w:qFormat/>
    <w:uiPriority w:val="0"/>
    <w:rPr>
      <w:color w:val="666666"/>
      <w:sz w:val="18"/>
      <w:szCs w:val="18"/>
      <w:u w:val="none"/>
    </w:rPr>
  </w:style>
  <w:style w:type="character" w:customStyle="1" w:styleId="1153">
    <w:name w:val="正文文本 Char"/>
    <w:qFormat/>
    <w:uiPriority w:val="0"/>
    <w:rPr>
      <w:rFonts w:eastAsia="宋体"/>
      <w:kern w:val="2"/>
      <w:sz w:val="21"/>
      <w:szCs w:val="24"/>
      <w:lang w:val="en-US" w:eastAsia="zh-CN" w:bidi="ar-SA"/>
    </w:rPr>
  </w:style>
  <w:style w:type="character" w:customStyle="1" w:styleId="1154">
    <w:name w:val="ss"/>
    <w:qFormat/>
    <w:uiPriority w:val="0"/>
  </w:style>
  <w:style w:type="character" w:customStyle="1" w:styleId="1155">
    <w:name w:val="表格文字2004"/>
    <w:qFormat/>
    <w:uiPriority w:val="0"/>
    <w:rPr>
      <w:rFonts w:eastAsia="宋体"/>
      <w:sz w:val="24"/>
    </w:rPr>
  </w:style>
  <w:style w:type="character" w:customStyle="1" w:styleId="1156">
    <w:name w:val="Normal Char Char"/>
    <w:qFormat/>
    <w:uiPriority w:val="0"/>
    <w:rPr>
      <w:rFonts w:ascii="宋体" w:hAnsi="Times New Roman" w:eastAsia="宋体"/>
      <w:kern w:val="2"/>
      <w:sz w:val="24"/>
      <w:szCs w:val="28"/>
      <w:lang w:val="en-US" w:eastAsia="zh-CN" w:bidi="ar-SA"/>
    </w:rPr>
  </w:style>
  <w:style w:type="character" w:customStyle="1" w:styleId="1157">
    <w:name w:val="表格 Char Char"/>
    <w:qFormat/>
    <w:uiPriority w:val="0"/>
    <w:rPr>
      <w:sz w:val="21"/>
      <w:szCs w:val="21"/>
      <w:lang w:bidi="ar-SA"/>
    </w:rPr>
  </w:style>
  <w:style w:type="character" w:customStyle="1" w:styleId="1158">
    <w:name w:val="表格标题-- Char"/>
    <w:link w:val="1159"/>
    <w:qFormat/>
    <w:uiPriority w:val="0"/>
    <w:rPr>
      <w:rFonts w:ascii="黑体" w:hAnsi="黑体" w:eastAsia="黑体"/>
      <w:snapToGrid w:val="0"/>
      <w:color w:val="0000FF"/>
      <w:sz w:val="24"/>
      <w:szCs w:val="24"/>
      <w:lang w:val="en-US" w:eastAsia="zh-CN" w:bidi="ar-SA"/>
    </w:rPr>
  </w:style>
  <w:style w:type="paragraph" w:customStyle="1" w:styleId="1159">
    <w:name w:val="表格标题--"/>
    <w:basedOn w:val="89"/>
    <w:link w:val="1158"/>
    <w:qFormat/>
    <w:uiPriority w:val="0"/>
    <w:pPr>
      <w:ind w:firstLine="0" w:firstLineChars="0"/>
      <w:jc w:val="center"/>
    </w:pPr>
    <w:rPr>
      <w:rFonts w:ascii="黑体" w:hAnsi="黑体" w:eastAsia="黑体"/>
      <w:snapToGrid w:val="0"/>
      <w:color w:val="0000FF"/>
      <w:kern w:val="0"/>
      <w:sz w:val="24"/>
    </w:rPr>
  </w:style>
  <w:style w:type="character" w:customStyle="1" w:styleId="1160">
    <w:name w:val="报告正文 Char Char Char"/>
    <w:qFormat/>
    <w:uiPriority w:val="0"/>
    <w:rPr>
      <w:rFonts w:cs="宋体"/>
      <w:snapToGrid/>
      <w:kern w:val="24"/>
      <w:sz w:val="24"/>
      <w:szCs w:val="21"/>
      <w:lang w:eastAsia="zh-CN"/>
    </w:rPr>
  </w:style>
  <w:style w:type="character" w:customStyle="1" w:styleId="1161">
    <w:name w:val="样式 样式 样式 正文首行缩进 + 首行缩进:  2 字符 + 首行缩进:  2 字符 + (中文) 宋体 (符号) Time... Char"/>
    <w:qFormat/>
    <w:uiPriority w:val="0"/>
    <w:rPr>
      <w:rFonts w:ascii="宋体" w:hAnsi="宋体" w:cs="宋体"/>
      <w:snapToGrid/>
      <w:color w:val="000000"/>
      <w:sz w:val="24"/>
      <w:szCs w:val="24"/>
      <w:lang w:val="en-US" w:eastAsia="zh-CN" w:bidi="ar-SA"/>
    </w:rPr>
  </w:style>
  <w:style w:type="character" w:customStyle="1" w:styleId="1162">
    <w:name w:val="表正文 Char"/>
    <w:qFormat/>
    <w:uiPriority w:val="0"/>
    <w:rPr>
      <w:rFonts w:ascii="Verdana" w:hAnsi="Verdana" w:eastAsia="宋体"/>
      <w:kern w:val="28"/>
      <w:sz w:val="28"/>
      <w:lang w:val="en-US" w:eastAsia="zh-CN" w:bidi="ar-SA"/>
    </w:rPr>
  </w:style>
  <w:style w:type="character" w:customStyle="1" w:styleId="1163">
    <w:name w:val="yyp Char Char"/>
    <w:qFormat/>
    <w:uiPriority w:val="0"/>
    <w:rPr>
      <w:rFonts w:eastAsia="宋体"/>
      <w:kern w:val="2"/>
      <w:sz w:val="24"/>
      <w:szCs w:val="24"/>
      <w:lang w:val="en-US" w:eastAsia="zh-CN" w:bidi="ar-SA"/>
    </w:rPr>
  </w:style>
  <w:style w:type="character" w:customStyle="1" w:styleId="1164">
    <w:name w:val="日期 Char"/>
    <w:qFormat/>
    <w:uiPriority w:val="0"/>
    <w:rPr>
      <w:rFonts w:ascii="Times New Roman" w:hAnsi="Times New Roman" w:eastAsia="宋体" w:cs="Times New Roman"/>
      <w:sz w:val="24"/>
      <w:szCs w:val="20"/>
    </w:rPr>
  </w:style>
  <w:style w:type="character" w:customStyle="1" w:styleId="1165">
    <w:name w:val="A表内容 Char Char"/>
    <w:qFormat/>
    <w:uiPriority w:val="0"/>
    <w:rPr>
      <w:szCs w:val="21"/>
    </w:rPr>
  </w:style>
  <w:style w:type="character" w:customStyle="1" w:styleId="1166">
    <w:name w:val="三级标题 Char"/>
    <w:link w:val="1167"/>
    <w:qFormat/>
    <w:uiPriority w:val="0"/>
    <w:rPr>
      <w:rFonts w:ascii="Times New Roman" w:hAnsi="Times New Roman" w:eastAsia="仿宋_GB2312"/>
      <w:b/>
      <w:kern w:val="2"/>
      <w:sz w:val="28"/>
      <w:szCs w:val="28"/>
    </w:rPr>
  </w:style>
  <w:style w:type="paragraph" w:customStyle="1" w:styleId="1167">
    <w:name w:val="三级标题"/>
    <w:basedOn w:val="1"/>
    <w:next w:val="1"/>
    <w:link w:val="1166"/>
    <w:qFormat/>
    <w:uiPriority w:val="0"/>
    <w:pPr>
      <w:ind w:firstLine="0" w:firstLineChars="0"/>
      <w:outlineLvl w:val="2"/>
    </w:pPr>
    <w:rPr>
      <w:b/>
      <w:szCs w:val="28"/>
    </w:rPr>
  </w:style>
  <w:style w:type="character" w:customStyle="1" w:styleId="1168">
    <w:name w:val="article1"/>
    <w:qFormat/>
    <w:uiPriority w:val="0"/>
    <w:rPr>
      <w:color w:val="000000"/>
      <w:sz w:val="25"/>
      <w:szCs w:val="25"/>
    </w:rPr>
  </w:style>
  <w:style w:type="character" w:customStyle="1" w:styleId="1169">
    <w:name w:val="style12"/>
    <w:qFormat/>
    <w:uiPriority w:val="0"/>
  </w:style>
  <w:style w:type="character" w:customStyle="1" w:styleId="1170">
    <w:name w:val="CPE正文 Char"/>
    <w:link w:val="1171"/>
    <w:qFormat/>
    <w:uiPriority w:val="0"/>
    <w:rPr>
      <w:rFonts w:eastAsia="宋体"/>
      <w:kern w:val="2"/>
      <w:sz w:val="28"/>
      <w:szCs w:val="28"/>
      <w:lang w:val="en-US" w:eastAsia="zh-CN" w:bidi="ar-SA"/>
    </w:rPr>
  </w:style>
  <w:style w:type="paragraph" w:customStyle="1" w:styleId="1171">
    <w:name w:val="CPE正文"/>
    <w:basedOn w:val="1"/>
    <w:link w:val="1170"/>
    <w:qFormat/>
    <w:uiPriority w:val="0"/>
    <w:pPr>
      <w:spacing w:line="300" w:lineRule="auto"/>
    </w:pPr>
    <w:rPr>
      <w:szCs w:val="28"/>
    </w:rPr>
  </w:style>
  <w:style w:type="character" w:customStyle="1" w:styleId="1172">
    <w:name w:val="节标题 Char1"/>
    <w:qFormat/>
    <w:uiPriority w:val="0"/>
    <w:rPr>
      <w:rFonts w:ascii="黑体" w:eastAsia="黑体"/>
      <w:b/>
      <w:bCs/>
      <w:smallCaps/>
      <w:kern w:val="2"/>
      <w:sz w:val="28"/>
      <w:szCs w:val="32"/>
      <w:lang w:eastAsia="zh-CN"/>
    </w:rPr>
  </w:style>
  <w:style w:type="character" w:customStyle="1" w:styleId="1173">
    <w:name w:val="样式 首行缩进:  2 字符 Char"/>
    <w:qFormat/>
    <w:uiPriority w:val="0"/>
    <w:rPr>
      <w:rFonts w:ascii="宋体" w:eastAsia="宋体" w:cs="宋体"/>
      <w:kern w:val="2"/>
      <w:sz w:val="28"/>
      <w:szCs w:val="28"/>
      <w:lang w:val="en-US" w:eastAsia="zh-CN" w:bidi="ar-SA"/>
    </w:rPr>
  </w:style>
  <w:style w:type="character" w:customStyle="1" w:styleId="1174">
    <w:name w:val="标题 3 Char1 Char Char"/>
    <w:qFormat/>
    <w:uiPriority w:val="0"/>
    <w:rPr>
      <w:rFonts w:eastAsia="宋体"/>
      <w:spacing w:val="-2"/>
      <w:sz w:val="28"/>
      <w:szCs w:val="28"/>
      <w:lang w:val="en-US" w:eastAsia="zh-CN" w:bidi="ar-SA"/>
    </w:rPr>
  </w:style>
  <w:style w:type="character" w:customStyle="1" w:styleId="1175">
    <w:name w:val="Char Char43"/>
    <w:qFormat/>
    <w:uiPriority w:val="0"/>
    <w:rPr>
      <w:rFonts w:eastAsia="宋体"/>
      <w:b/>
      <w:bCs/>
      <w:kern w:val="2"/>
      <w:sz w:val="30"/>
      <w:szCs w:val="32"/>
      <w:lang w:val="en-US" w:eastAsia="zh-CN" w:bidi="ar-SA"/>
    </w:rPr>
  </w:style>
  <w:style w:type="character" w:customStyle="1" w:styleId="1176">
    <w:name w:val="样式 样式 正文首行缩进 + 首行缩进:  2 字符 + 首行缩进:  2 字符 Char1"/>
    <w:qFormat/>
    <w:uiPriority w:val="0"/>
    <w:rPr>
      <w:rFonts w:ascii="宋体" w:hAnsi="宋体" w:cs="宋体"/>
      <w:sz w:val="24"/>
      <w:szCs w:val="24"/>
      <w:lang w:eastAsia="zh-CN"/>
    </w:rPr>
  </w:style>
  <w:style w:type="character" w:customStyle="1" w:styleId="1177">
    <w:name w:val="Char Char2"/>
    <w:qFormat/>
    <w:uiPriority w:val="0"/>
    <w:rPr>
      <w:bCs/>
      <w:snapToGrid/>
      <w:sz w:val="28"/>
      <w:szCs w:val="28"/>
    </w:rPr>
  </w:style>
  <w:style w:type="character" w:customStyle="1" w:styleId="1178">
    <w:name w:val="注 Char"/>
    <w:link w:val="1179"/>
    <w:qFormat/>
    <w:uiPriority w:val="0"/>
    <w:rPr>
      <w:rFonts w:eastAsia="黑体"/>
      <w:sz w:val="21"/>
      <w:lang w:val="en-US" w:eastAsia="zh-CN" w:bidi="ar-SA"/>
    </w:rPr>
  </w:style>
  <w:style w:type="paragraph" w:customStyle="1" w:styleId="1179">
    <w:name w:val="注"/>
    <w:basedOn w:val="1"/>
    <w:next w:val="1"/>
    <w:link w:val="1178"/>
    <w:qFormat/>
    <w:uiPriority w:val="0"/>
    <w:pPr>
      <w:spacing w:before="60" w:after="60" w:line="312" w:lineRule="auto"/>
    </w:pPr>
    <w:rPr>
      <w:rFonts w:eastAsia="黑体"/>
      <w:kern w:val="0"/>
      <w:szCs w:val="20"/>
    </w:rPr>
  </w:style>
  <w:style w:type="character" w:customStyle="1" w:styleId="1180">
    <w:name w:val="mainfont21"/>
    <w:qFormat/>
    <w:uiPriority w:val="0"/>
    <w:rPr>
      <w:color w:val="666666"/>
      <w:sz w:val="18"/>
      <w:szCs w:val="18"/>
      <w:u w:val="none"/>
    </w:rPr>
  </w:style>
  <w:style w:type="character" w:customStyle="1" w:styleId="1181">
    <w:name w:val="表内文字 Char"/>
    <w:link w:val="1182"/>
    <w:qFormat/>
    <w:uiPriority w:val="0"/>
    <w:rPr>
      <w:bCs/>
      <w:sz w:val="21"/>
      <w:lang w:val="en-US" w:eastAsia="zh-CN" w:bidi="ar-SA"/>
    </w:rPr>
  </w:style>
  <w:style w:type="paragraph" w:customStyle="1" w:styleId="1182">
    <w:name w:val="表内文字"/>
    <w:link w:val="1181"/>
    <w:qFormat/>
    <w:uiPriority w:val="0"/>
    <w:pPr>
      <w:adjustRightInd w:val="0"/>
      <w:snapToGrid w:val="0"/>
      <w:spacing w:line="320" w:lineRule="exact"/>
      <w:jc w:val="center"/>
    </w:pPr>
    <w:rPr>
      <w:rFonts w:ascii="Calibri" w:hAnsi="Calibri" w:eastAsia="宋体" w:cs="Times New Roman"/>
      <w:bCs/>
      <w:sz w:val="21"/>
      <w:lang w:val="en-US" w:eastAsia="zh-CN" w:bidi="ar-SA"/>
    </w:rPr>
  </w:style>
  <w:style w:type="character" w:customStyle="1" w:styleId="1183">
    <w:name w:val="141"/>
    <w:qFormat/>
    <w:uiPriority w:val="0"/>
    <w:rPr>
      <w:color w:val="000000"/>
      <w:sz w:val="21"/>
      <w:szCs w:val="21"/>
    </w:rPr>
  </w:style>
  <w:style w:type="character" w:customStyle="1" w:styleId="1184">
    <w:name w:val="表格文字 Char Char"/>
    <w:qFormat/>
    <w:uiPriority w:val="0"/>
    <w:rPr>
      <w:rFonts w:ascii="宋体" w:hAnsi="宋体"/>
      <w:snapToGrid/>
      <w:sz w:val="21"/>
      <w:szCs w:val="24"/>
      <w:lang w:val="en-US" w:eastAsia="zh-CN" w:bidi="ar-SA"/>
    </w:rPr>
  </w:style>
  <w:style w:type="character" w:customStyle="1" w:styleId="1185">
    <w:name w:val="表文字居中 Char"/>
    <w:link w:val="1186"/>
    <w:qFormat/>
    <w:uiPriority w:val="0"/>
    <w:rPr>
      <w:rFonts w:ascii="Arial" w:hAnsi="Arial"/>
      <w:kern w:val="2"/>
      <w:sz w:val="21"/>
      <w:szCs w:val="24"/>
      <w:lang w:val="en-US" w:eastAsia="zh-CN" w:bidi="ar-SA"/>
    </w:rPr>
  </w:style>
  <w:style w:type="paragraph" w:customStyle="1" w:styleId="1186">
    <w:name w:val="表文字居中"/>
    <w:link w:val="1185"/>
    <w:qFormat/>
    <w:uiPriority w:val="0"/>
    <w:pPr>
      <w:adjustRightInd w:val="0"/>
      <w:spacing w:line="360" w:lineRule="auto"/>
      <w:jc w:val="center"/>
    </w:pPr>
    <w:rPr>
      <w:rFonts w:ascii="Arial" w:hAnsi="Arial" w:eastAsia="宋体" w:cs="Times New Roman"/>
      <w:kern w:val="2"/>
      <w:sz w:val="21"/>
      <w:szCs w:val="24"/>
      <w:lang w:val="en-US" w:eastAsia="zh-CN" w:bidi="ar-SA"/>
    </w:rPr>
  </w:style>
  <w:style w:type="character" w:customStyle="1" w:styleId="1187">
    <w:name w:val="页眉zxl Char4"/>
    <w:qFormat/>
    <w:uiPriority w:val="0"/>
    <w:rPr>
      <w:rFonts w:eastAsia="宋体"/>
      <w:color w:val="800000"/>
      <w:spacing w:val="20"/>
      <w:kern w:val="2"/>
      <w:sz w:val="18"/>
      <w:szCs w:val="18"/>
      <w:lang w:val="en-US" w:eastAsia="zh-CN" w:bidi="ar-SA"/>
    </w:rPr>
  </w:style>
  <w:style w:type="character" w:customStyle="1" w:styleId="1188">
    <w:name w:val="font31"/>
    <w:qFormat/>
    <w:uiPriority w:val="0"/>
    <w:rPr>
      <w:rFonts w:hint="default" w:ascii="Times New Roman" w:hAnsi="Times New Roman" w:cs="Times New Roman"/>
      <w:color w:val="000000"/>
      <w:sz w:val="21"/>
      <w:szCs w:val="21"/>
      <w:u w:val="none"/>
      <w:vertAlign w:val="subscript"/>
    </w:rPr>
  </w:style>
  <w:style w:type="character" w:customStyle="1" w:styleId="1189">
    <w:name w:val="样式 (符号) 宋体 13 磅"/>
    <w:qFormat/>
    <w:uiPriority w:val="0"/>
    <w:rPr>
      <w:rFonts w:ascii="宋体" w:eastAsia="宋体"/>
      <w:sz w:val="27"/>
      <w:szCs w:val="27"/>
    </w:rPr>
  </w:style>
  <w:style w:type="character" w:customStyle="1" w:styleId="1190">
    <w:name w:val="表格 Char"/>
    <w:link w:val="208"/>
    <w:qFormat/>
    <w:uiPriority w:val="0"/>
    <w:rPr>
      <w:rFonts w:ascii="Times New Roman" w:hAnsi="Times New Roman" w:eastAsia="宋体" w:cs="Times New Roman"/>
      <w:kern w:val="0"/>
      <w:szCs w:val="21"/>
    </w:rPr>
  </w:style>
  <w:style w:type="character" w:customStyle="1" w:styleId="1191">
    <w:name w:val="正文样式100 Char"/>
    <w:qFormat/>
    <w:uiPriority w:val="0"/>
    <w:rPr>
      <w:rFonts w:ascii="宋体" w:hAnsi="宋体" w:eastAsia="宋体" w:cs="Courier New"/>
      <w:color w:val="000000"/>
      <w:kern w:val="2"/>
      <w:sz w:val="24"/>
      <w:szCs w:val="24"/>
      <w:lang w:val="en-US" w:eastAsia="zh-CN" w:bidi="ar-SA"/>
    </w:rPr>
  </w:style>
  <w:style w:type="character" w:customStyle="1" w:styleId="1192">
    <w:name w:val="样式 列表项目符号 2 + 五号 Char"/>
    <w:qFormat/>
    <w:uiPriority w:val="0"/>
    <w:rPr>
      <w:sz w:val="21"/>
      <w:szCs w:val="21"/>
      <w:lang w:eastAsia="zh-CN"/>
    </w:rPr>
  </w:style>
  <w:style w:type="character" w:customStyle="1" w:styleId="1193">
    <w:name w:val="标题 2 Char Char Char"/>
    <w:qFormat/>
    <w:uiPriority w:val="0"/>
    <w:rPr>
      <w:rFonts w:ascii="黑体" w:eastAsia="黑体"/>
      <w:b/>
      <w:bCs/>
      <w:smallCaps/>
      <w:kern w:val="2"/>
      <w:sz w:val="28"/>
      <w:szCs w:val="32"/>
      <w:lang w:eastAsia="zh-CN"/>
    </w:rPr>
  </w:style>
  <w:style w:type="character" w:customStyle="1" w:styleId="1194">
    <w:name w:val="无节条 Char"/>
    <w:qFormat/>
    <w:uiPriority w:val="0"/>
    <w:rPr>
      <w:b/>
      <w:bCs/>
      <w:color w:val="0000FF"/>
      <w:kern w:val="2"/>
      <w:sz w:val="21"/>
      <w:szCs w:val="24"/>
    </w:rPr>
  </w:style>
  <w:style w:type="character" w:customStyle="1" w:styleId="1195">
    <w:name w:val="纯文本 Char"/>
    <w:qFormat/>
    <w:uiPriority w:val="0"/>
    <w:rPr>
      <w:rFonts w:ascii="宋体" w:hAnsi="Courier New" w:eastAsia="宋体" w:cs="Courier New"/>
      <w:szCs w:val="21"/>
    </w:rPr>
  </w:style>
  <w:style w:type="character" w:customStyle="1" w:styleId="1196">
    <w:name w:val="正文首行缩进 Char Char Char Char Char Char Char Char Char Char Char"/>
    <w:qFormat/>
    <w:uiPriority w:val="0"/>
    <w:rPr>
      <w:rFonts w:ascii="宋体"/>
      <w:kern w:val="2"/>
      <w:sz w:val="28"/>
      <w:szCs w:val="28"/>
      <w:lang w:eastAsia="zh-CN"/>
    </w:rPr>
  </w:style>
  <w:style w:type="character" w:customStyle="1" w:styleId="1197">
    <w:name w:val="fs121"/>
    <w:qFormat/>
    <w:uiPriority w:val="0"/>
    <w:rPr>
      <w:sz w:val="18"/>
      <w:szCs w:val="18"/>
    </w:rPr>
  </w:style>
  <w:style w:type="character" w:customStyle="1" w:styleId="1198">
    <w:name w:val="图表名称 Char"/>
    <w:link w:val="1199"/>
    <w:qFormat/>
    <w:uiPriority w:val="0"/>
    <w:rPr>
      <w:rFonts w:eastAsia="黑体"/>
      <w:b/>
      <w:bCs/>
      <w:kern w:val="2"/>
      <w:sz w:val="24"/>
      <w:szCs w:val="21"/>
      <w:lang w:val="en-US" w:eastAsia="zh-CN" w:bidi="ar-SA"/>
    </w:rPr>
  </w:style>
  <w:style w:type="paragraph" w:customStyle="1" w:styleId="1199">
    <w:name w:val="图表名称"/>
    <w:next w:val="1"/>
    <w:link w:val="1198"/>
    <w:qFormat/>
    <w:uiPriority w:val="0"/>
    <w:pPr>
      <w:spacing w:before="25" w:after="25" w:line="360" w:lineRule="auto"/>
      <w:jc w:val="center"/>
    </w:pPr>
    <w:rPr>
      <w:rFonts w:ascii="Calibri" w:hAnsi="Calibri" w:eastAsia="黑体" w:cs="Times New Roman"/>
      <w:b/>
      <w:bCs/>
      <w:kern w:val="2"/>
      <w:sz w:val="24"/>
      <w:szCs w:val="21"/>
      <w:lang w:val="en-US" w:eastAsia="zh-CN" w:bidi="ar-SA"/>
    </w:rPr>
  </w:style>
  <w:style w:type="character" w:customStyle="1" w:styleId="1200">
    <w:name w:val="样式 正文首行缩进 + 黑色 Char"/>
    <w:link w:val="1201"/>
    <w:qFormat/>
    <w:uiPriority w:val="0"/>
    <w:rPr>
      <w:rFonts w:eastAsia="宋体"/>
      <w:snapToGrid w:val="0"/>
      <w:color w:val="000000"/>
      <w:sz w:val="28"/>
      <w:szCs w:val="24"/>
      <w:lang w:val="en-US" w:eastAsia="zh-CN" w:bidi="ar-SA"/>
    </w:rPr>
  </w:style>
  <w:style w:type="paragraph" w:customStyle="1" w:styleId="1201">
    <w:name w:val="样式 正文首行缩进 + 黑色"/>
    <w:basedOn w:val="89"/>
    <w:link w:val="1200"/>
    <w:qFormat/>
    <w:uiPriority w:val="0"/>
    <w:pPr>
      <w:spacing w:line="300" w:lineRule="auto"/>
      <w:ind w:firstLine="200" w:firstLineChars="200"/>
    </w:pPr>
    <w:rPr>
      <w:snapToGrid w:val="0"/>
      <w:color w:val="000000"/>
      <w:kern w:val="0"/>
    </w:rPr>
  </w:style>
  <w:style w:type="character" w:customStyle="1" w:styleId="1202">
    <w:name w:val="txt"/>
    <w:qFormat/>
    <w:uiPriority w:val="0"/>
  </w:style>
  <w:style w:type="character" w:customStyle="1" w:styleId="1203">
    <w:name w:val="题注1"/>
    <w:qFormat/>
    <w:uiPriority w:val="0"/>
    <w:rPr>
      <w:rFonts w:ascii="Arial" w:hAnsi="Arial" w:cs="Arial"/>
      <w:kern w:val="2"/>
      <w:sz w:val="24"/>
      <w:szCs w:val="24"/>
      <w:lang w:eastAsia="zh-CN"/>
    </w:rPr>
  </w:style>
  <w:style w:type="character" w:customStyle="1" w:styleId="1204">
    <w:name w:val="【标题2】 Char"/>
    <w:link w:val="1205"/>
    <w:qFormat/>
    <w:uiPriority w:val="0"/>
    <w:rPr>
      <w:rFonts w:eastAsia="仿宋_GB2312"/>
      <w:b/>
      <w:bCs/>
      <w:sz w:val="32"/>
      <w:szCs w:val="22"/>
      <w:lang w:val="en-US" w:eastAsia="zh-CN" w:bidi="ar-SA"/>
    </w:rPr>
  </w:style>
  <w:style w:type="paragraph" w:customStyle="1" w:styleId="1205">
    <w:name w:val="【标题2】"/>
    <w:next w:val="66"/>
    <w:link w:val="1204"/>
    <w:qFormat/>
    <w:uiPriority w:val="0"/>
    <w:pPr>
      <w:keepLines/>
      <w:widowControl w:val="0"/>
      <w:spacing w:before="120" w:after="120" w:line="320" w:lineRule="exact"/>
      <w:jc w:val="both"/>
      <w:outlineLvl w:val="1"/>
    </w:pPr>
    <w:rPr>
      <w:rFonts w:ascii="Calibri" w:hAnsi="Calibri" w:eastAsia="仿宋_GB2312" w:cs="Times New Roman"/>
      <w:b/>
      <w:bCs/>
      <w:sz w:val="32"/>
      <w:szCs w:val="22"/>
      <w:lang w:val="en-US" w:eastAsia="zh-CN" w:bidi="ar-SA"/>
    </w:rPr>
  </w:style>
  <w:style w:type="character" w:customStyle="1" w:styleId="1206">
    <w:name w:val="font51"/>
    <w:qFormat/>
    <w:uiPriority w:val="0"/>
    <w:rPr>
      <w:rFonts w:hint="eastAsia" w:ascii="宋体" w:hAnsi="宋体" w:eastAsia="宋体"/>
      <w:color w:val="0000FF"/>
      <w:sz w:val="28"/>
      <w:szCs w:val="28"/>
      <w:u w:val="none"/>
    </w:rPr>
  </w:style>
  <w:style w:type="character" w:customStyle="1" w:styleId="1207">
    <w:name w:val="p51"/>
    <w:qFormat/>
    <w:uiPriority w:val="0"/>
    <w:rPr>
      <w:rFonts w:hint="default" w:eastAsia="宋体"/>
      <w:kern w:val="2"/>
      <w:sz w:val="21"/>
      <w:szCs w:val="21"/>
      <w:lang w:val="en-US" w:eastAsia="zh-CN" w:bidi="ar-SA"/>
    </w:rPr>
  </w:style>
  <w:style w:type="character" w:customStyle="1" w:styleId="1208">
    <w:name w:val="网格型c Char"/>
    <w:qFormat/>
    <w:uiPriority w:val="0"/>
    <w:rPr>
      <w:rFonts w:eastAsia="宋体"/>
      <w:kern w:val="2"/>
      <w:sz w:val="21"/>
      <w:szCs w:val="21"/>
      <w:lang w:val="en-US" w:eastAsia="zh-CN" w:bidi="ar-SA"/>
    </w:rPr>
  </w:style>
  <w:style w:type="character" w:customStyle="1" w:styleId="1209">
    <w:name w:val="表头1 Char"/>
    <w:link w:val="1210"/>
    <w:qFormat/>
    <w:uiPriority w:val="0"/>
    <w:rPr>
      <w:rFonts w:ascii="Times New Roman" w:hAnsi="Times New Roman" w:eastAsia="黑体" w:cs="Times New Roman"/>
      <w:kern w:val="0"/>
      <w:szCs w:val="28"/>
      <w:lang w:val="en-US" w:eastAsia="zh-CN"/>
    </w:rPr>
  </w:style>
  <w:style w:type="paragraph" w:customStyle="1" w:styleId="1210">
    <w:name w:val="表头1"/>
    <w:basedOn w:val="1"/>
    <w:next w:val="1"/>
    <w:link w:val="1209"/>
    <w:qFormat/>
    <w:uiPriority w:val="0"/>
    <w:pPr>
      <w:tabs>
        <w:tab w:val="left" w:pos="605"/>
      </w:tabs>
      <w:jc w:val="center"/>
    </w:pPr>
    <w:rPr>
      <w:rFonts w:eastAsia="黑体"/>
      <w:kern w:val="0"/>
      <w:sz w:val="20"/>
      <w:szCs w:val="28"/>
    </w:rPr>
  </w:style>
  <w:style w:type="character" w:customStyle="1" w:styleId="1211">
    <w:name w:val="标题样式2 Char"/>
    <w:qFormat/>
    <w:uiPriority w:val="0"/>
    <w:rPr>
      <w:rFonts w:ascii="黑体" w:hAnsi="Arial" w:eastAsia="黑体"/>
      <w:b/>
      <w:sz w:val="24"/>
      <w:szCs w:val="24"/>
      <w:lang w:val="en-US" w:eastAsia="zh-CN" w:bidi="ar-SA"/>
    </w:rPr>
  </w:style>
  <w:style w:type="character" w:customStyle="1" w:styleId="1212">
    <w:name w:val="样式 标题 3 + 首行缩进:  2 字符7 Char"/>
    <w:link w:val="1213"/>
    <w:qFormat/>
    <w:uiPriority w:val="0"/>
    <w:rPr>
      <w:rFonts w:ascii="宋体" w:eastAsia="宋体" w:cs="宋体"/>
      <w:snapToGrid w:val="0"/>
      <w:kern w:val="28"/>
      <w:sz w:val="28"/>
      <w:lang w:val="en-US" w:eastAsia="zh-CN" w:bidi="ar-SA"/>
    </w:rPr>
  </w:style>
  <w:style w:type="paragraph" w:customStyle="1" w:styleId="1213">
    <w:name w:val="样式 标题 3 + 首行缩进:  2 字符7"/>
    <w:basedOn w:val="7"/>
    <w:link w:val="1212"/>
    <w:qFormat/>
    <w:uiPriority w:val="0"/>
    <w:pPr>
      <w:keepNext w:val="0"/>
      <w:keepLines w:val="0"/>
      <w:tabs>
        <w:tab w:val="clear" w:pos="1440"/>
      </w:tabs>
      <w:spacing w:before="0" w:after="0" w:line="360" w:lineRule="auto"/>
      <w:ind w:left="0" w:firstLine="0"/>
      <w:jc w:val="left"/>
      <w:textAlignment w:val="baseline"/>
    </w:pPr>
    <w:rPr>
      <w:rFonts w:ascii="宋体" w:eastAsia="宋体" w:cs="宋体"/>
      <w:b w:val="0"/>
      <w:snapToGrid w:val="0"/>
      <w:kern w:val="28"/>
    </w:rPr>
  </w:style>
  <w:style w:type="character" w:customStyle="1" w:styleId="1214">
    <w:name w:val="段落 Char"/>
    <w:qFormat/>
    <w:uiPriority w:val="0"/>
    <w:rPr>
      <w:rFonts w:ascii="宋体" w:hAnsi="宋体" w:eastAsia="宋体"/>
      <w:color w:val="000000"/>
      <w:kern w:val="24"/>
      <w:sz w:val="24"/>
      <w:lang w:val="en-US" w:eastAsia="zh-CN" w:bidi="ar-SA"/>
    </w:rPr>
  </w:style>
  <w:style w:type="character" w:customStyle="1" w:styleId="1215">
    <w:name w:val="标题 2 Char1"/>
    <w:qFormat/>
    <w:uiPriority w:val="0"/>
    <w:rPr>
      <w:rFonts w:ascii="Arial" w:hAnsi="Arial" w:eastAsia="黑体" w:cs="Arial"/>
      <w:b/>
      <w:bCs/>
      <w:kern w:val="2"/>
      <w:sz w:val="32"/>
      <w:szCs w:val="32"/>
      <w:lang w:val="en-US" w:eastAsia="zh-CN"/>
    </w:rPr>
  </w:style>
  <w:style w:type="character" w:customStyle="1" w:styleId="1216">
    <w:name w:val="题注 Char Char Char Char Char"/>
    <w:qFormat/>
    <w:uiPriority w:val="0"/>
    <w:rPr>
      <w:rFonts w:ascii="Arial" w:hAnsi="Arial" w:cs="Arial"/>
      <w:kern w:val="2"/>
      <w:sz w:val="24"/>
      <w:szCs w:val="24"/>
      <w:lang w:val="en-US" w:eastAsia="zh-CN"/>
    </w:rPr>
  </w:style>
  <w:style w:type="character" w:customStyle="1" w:styleId="1217">
    <w:name w:val="unnamed3"/>
    <w:qFormat/>
    <w:uiPriority w:val="0"/>
  </w:style>
  <w:style w:type="character" w:customStyle="1" w:styleId="1218">
    <w:name w:val="表格题注 Char"/>
    <w:link w:val="1219"/>
    <w:qFormat/>
    <w:uiPriority w:val="0"/>
    <w:rPr>
      <w:rFonts w:ascii="宋体" w:hAnsi="宋体" w:eastAsia="宋体"/>
      <w:snapToGrid w:val="0"/>
      <w:kern w:val="24"/>
      <w:sz w:val="24"/>
      <w:szCs w:val="24"/>
      <w:lang w:val="en-US" w:eastAsia="zh-CN" w:bidi="ar-SA"/>
    </w:rPr>
  </w:style>
  <w:style w:type="paragraph" w:customStyle="1" w:styleId="1219">
    <w:name w:val="表格题注"/>
    <w:basedOn w:val="1"/>
    <w:link w:val="1218"/>
    <w:qFormat/>
    <w:uiPriority w:val="0"/>
    <w:pPr>
      <w:spacing w:before="152" w:after="160"/>
      <w:jc w:val="center"/>
      <w:textAlignment w:val="baseline"/>
    </w:pPr>
    <w:rPr>
      <w:rFonts w:ascii="宋体" w:hAnsi="宋体"/>
      <w:snapToGrid w:val="0"/>
      <w:kern w:val="24"/>
      <w:sz w:val="24"/>
    </w:rPr>
  </w:style>
  <w:style w:type="character" w:customStyle="1" w:styleId="1220">
    <w:name w:val="可研列表 Char Char"/>
    <w:qFormat/>
    <w:uiPriority w:val="0"/>
    <w:rPr>
      <w:kern w:val="2"/>
      <w:sz w:val="21"/>
      <w:szCs w:val="24"/>
      <w:lang w:eastAsia="zh-CN"/>
    </w:rPr>
  </w:style>
  <w:style w:type="character" w:customStyle="1" w:styleId="1221">
    <w:name w:val="注释标题1 Char Char"/>
    <w:qFormat/>
    <w:uiPriority w:val="0"/>
    <w:rPr>
      <w:kern w:val="2"/>
      <w:sz w:val="21"/>
    </w:rPr>
  </w:style>
  <w:style w:type="character" w:customStyle="1" w:styleId="1222">
    <w:name w:val="题注 Char Char"/>
    <w:qFormat/>
    <w:uiPriority w:val="0"/>
    <w:rPr>
      <w:rFonts w:ascii="Arial" w:hAnsi="Arial" w:cs="Arial"/>
      <w:kern w:val="2"/>
      <w:sz w:val="24"/>
      <w:szCs w:val="24"/>
      <w:lang w:eastAsia="zh-CN"/>
    </w:rPr>
  </w:style>
  <w:style w:type="character" w:customStyle="1" w:styleId="1223">
    <w:name w:val="规划正文样式 Char Char"/>
    <w:qFormat/>
    <w:uiPriority w:val="0"/>
    <w:rPr>
      <w:rFonts w:eastAsia="宋体"/>
      <w:kern w:val="2"/>
      <w:sz w:val="24"/>
      <w:szCs w:val="24"/>
      <w:lang w:val="en-US" w:eastAsia="zh-CN" w:bidi="ar-SA"/>
    </w:rPr>
  </w:style>
  <w:style w:type="character" w:customStyle="1" w:styleId="1224">
    <w:name w:val="Default Char Char"/>
    <w:link w:val="2"/>
    <w:qFormat/>
    <w:uiPriority w:val="0"/>
    <w:rPr>
      <w:rFonts w:ascii="宋体 ..." w:eastAsia="宋体 ..." w:cs="宋体 ..."/>
      <w:color w:val="000000"/>
      <w:sz w:val="24"/>
      <w:szCs w:val="24"/>
      <w:lang w:val="en-US" w:eastAsia="zh-CN" w:bidi="ar-SA"/>
    </w:rPr>
  </w:style>
  <w:style w:type="character" w:customStyle="1" w:styleId="1225">
    <w:name w:val="Char Char Char"/>
    <w:qFormat/>
    <w:uiPriority w:val="0"/>
    <w:rPr>
      <w:rFonts w:ascii="宋体" w:hAnsi="宋体"/>
      <w:bCs/>
      <w:kern w:val="2"/>
      <w:sz w:val="28"/>
      <w:szCs w:val="28"/>
      <w:lang w:eastAsia="zh-CN"/>
    </w:rPr>
  </w:style>
  <w:style w:type="character" w:customStyle="1" w:styleId="1226">
    <w:name w:val="样式 标题 3H3 + 黑色1 Char"/>
    <w:link w:val="1227"/>
    <w:qFormat/>
    <w:uiPriority w:val="0"/>
    <w:rPr>
      <w:rFonts w:eastAsia="宋体"/>
      <w:bCs/>
      <w:snapToGrid w:val="0"/>
      <w:color w:val="000000"/>
      <w:sz w:val="28"/>
      <w:szCs w:val="32"/>
      <w:lang w:val="en-US" w:eastAsia="zh-CN" w:bidi="ar-SA"/>
    </w:rPr>
  </w:style>
  <w:style w:type="paragraph" w:customStyle="1" w:styleId="1227">
    <w:name w:val="样式 标题 3H3 + 黑色1"/>
    <w:basedOn w:val="7"/>
    <w:link w:val="1226"/>
    <w:qFormat/>
    <w:uiPriority w:val="0"/>
    <w:pPr>
      <w:keepNext w:val="0"/>
      <w:keepLines w:val="0"/>
      <w:tabs>
        <w:tab w:val="clear" w:pos="1440"/>
      </w:tabs>
      <w:spacing w:before="0" w:after="0" w:line="300" w:lineRule="auto"/>
      <w:ind w:left="0" w:firstLine="0"/>
      <w:jc w:val="left"/>
    </w:pPr>
    <w:rPr>
      <w:rFonts w:eastAsia="宋体"/>
      <w:b w:val="0"/>
      <w:bCs/>
      <w:snapToGrid w:val="0"/>
      <w:color w:val="000000"/>
      <w:szCs w:val="32"/>
    </w:rPr>
  </w:style>
  <w:style w:type="character" w:customStyle="1" w:styleId="1228">
    <w:name w:val="unnamed1"/>
    <w:qFormat/>
    <w:uiPriority w:val="0"/>
  </w:style>
  <w:style w:type="character" w:customStyle="1" w:styleId="1229">
    <w:name w:val="新正文 Char"/>
    <w:link w:val="1230"/>
    <w:qFormat/>
    <w:uiPriority w:val="0"/>
    <w:rPr>
      <w:rFonts w:ascii="宋体" w:hAnsi="宋体"/>
      <w:sz w:val="24"/>
      <w:szCs w:val="24"/>
      <w:lang w:bidi="ar-SA"/>
    </w:rPr>
  </w:style>
  <w:style w:type="paragraph" w:customStyle="1" w:styleId="1230">
    <w:name w:val="新正文"/>
    <w:basedOn w:val="1"/>
    <w:link w:val="1229"/>
    <w:qFormat/>
    <w:uiPriority w:val="0"/>
    <w:pPr>
      <w:spacing w:line="500" w:lineRule="exact"/>
    </w:pPr>
    <w:rPr>
      <w:rFonts w:ascii="宋体" w:hAnsi="宋体"/>
      <w:kern w:val="0"/>
      <w:sz w:val="24"/>
    </w:rPr>
  </w:style>
  <w:style w:type="character" w:customStyle="1" w:styleId="1231">
    <w:name w:val="环保表内字（五号） Char"/>
    <w:link w:val="1232"/>
    <w:qFormat/>
    <w:uiPriority w:val="0"/>
    <w:rPr>
      <w:rFonts w:eastAsia="宋体"/>
      <w:snapToGrid w:val="0"/>
      <w:kern w:val="2"/>
      <w:sz w:val="18"/>
      <w:szCs w:val="18"/>
      <w:lang w:val="en-US" w:eastAsia="zh-CN" w:bidi="ar-SA"/>
    </w:rPr>
  </w:style>
  <w:style w:type="paragraph" w:customStyle="1" w:styleId="1232">
    <w:name w:val="环保表内字（五号）"/>
    <w:basedOn w:val="1"/>
    <w:link w:val="1231"/>
    <w:qFormat/>
    <w:uiPriority w:val="0"/>
    <w:pPr>
      <w:spacing w:line="240" w:lineRule="exact"/>
      <w:jc w:val="center"/>
    </w:pPr>
    <w:rPr>
      <w:snapToGrid w:val="0"/>
      <w:sz w:val="18"/>
      <w:szCs w:val="18"/>
    </w:rPr>
  </w:style>
  <w:style w:type="character" w:customStyle="1" w:styleId="1233">
    <w:name w:val="默认段落字体1"/>
    <w:qFormat/>
    <w:uiPriority w:val="0"/>
    <w:rPr>
      <w:rFonts w:ascii="Times New Roman"/>
      <w:sz w:val="21"/>
    </w:rPr>
  </w:style>
  <w:style w:type="character" w:customStyle="1" w:styleId="1234">
    <w:name w:val="tpc_content1"/>
    <w:qFormat/>
    <w:uiPriority w:val="0"/>
    <w:rPr>
      <w:sz w:val="17"/>
      <w:szCs w:val="17"/>
    </w:rPr>
  </w:style>
  <w:style w:type="character" w:customStyle="1" w:styleId="1235">
    <w:name w:val="px14"/>
    <w:qFormat/>
    <w:uiPriority w:val="0"/>
    <w:rPr>
      <w:rFonts w:ascii="Verdana" w:hAnsi="Verdana" w:eastAsia="宋体"/>
      <w:kern w:val="2"/>
      <w:sz w:val="28"/>
      <w:szCs w:val="28"/>
      <w:lang w:val="en-US" w:eastAsia="zh-CN" w:bidi="ar-SA"/>
    </w:rPr>
  </w:style>
  <w:style w:type="character" w:customStyle="1" w:styleId="1236">
    <w:name w:val="燕山正文 Char"/>
    <w:link w:val="1237"/>
    <w:qFormat/>
    <w:uiPriority w:val="0"/>
    <w:rPr>
      <w:rFonts w:ascii="宋体" w:hAnsi="宋体" w:eastAsia="宋体"/>
      <w:color w:val="000000"/>
      <w:kern w:val="2"/>
      <w:sz w:val="24"/>
      <w:szCs w:val="24"/>
      <w:lang w:val="en-US" w:eastAsia="zh-CN" w:bidi="ar-SA"/>
    </w:rPr>
  </w:style>
  <w:style w:type="paragraph" w:customStyle="1" w:styleId="1237">
    <w:name w:val="燕山正文"/>
    <w:basedOn w:val="1"/>
    <w:link w:val="1236"/>
    <w:qFormat/>
    <w:uiPriority w:val="0"/>
    <w:pPr>
      <w:tabs>
        <w:tab w:val="left" w:pos="2340"/>
        <w:tab w:val="left" w:pos="4680"/>
      </w:tabs>
      <w:spacing w:line="360" w:lineRule="auto"/>
      <w:ind w:firstLine="480"/>
    </w:pPr>
    <w:rPr>
      <w:rFonts w:ascii="宋体" w:hAnsi="宋体"/>
      <w:color w:val="000000"/>
      <w:sz w:val="24"/>
    </w:rPr>
  </w:style>
  <w:style w:type="character" w:customStyle="1" w:styleId="1238">
    <w:name w:val="15"/>
    <w:qFormat/>
    <w:uiPriority w:val="0"/>
    <w:rPr>
      <w:rFonts w:hint="default" w:ascii="Times New Roman" w:hAnsi="Times New Roman" w:cs="Times New Roman"/>
    </w:rPr>
  </w:style>
  <w:style w:type="character" w:customStyle="1" w:styleId="1239">
    <w:name w:val="5 Char"/>
    <w:link w:val="1240"/>
    <w:qFormat/>
    <w:uiPriority w:val="0"/>
    <w:rPr>
      <w:rFonts w:eastAsia="宋体"/>
      <w:kern w:val="2"/>
      <w:sz w:val="21"/>
      <w:szCs w:val="21"/>
      <w:lang w:val="en-US" w:eastAsia="zh-CN" w:bidi="ar-SA"/>
    </w:rPr>
  </w:style>
  <w:style w:type="paragraph" w:customStyle="1" w:styleId="1240">
    <w:name w:val="5"/>
    <w:basedOn w:val="1"/>
    <w:next w:val="25"/>
    <w:link w:val="1239"/>
    <w:qFormat/>
    <w:uiPriority w:val="0"/>
    <w:pPr>
      <w:ind w:firstLine="420"/>
    </w:pPr>
    <w:rPr>
      <w:szCs w:val="21"/>
    </w:rPr>
  </w:style>
  <w:style w:type="character" w:customStyle="1" w:styleId="1241">
    <w:name w:val="文章正文 Char"/>
    <w:link w:val="1242"/>
    <w:qFormat/>
    <w:uiPriority w:val="0"/>
    <w:rPr>
      <w:rFonts w:eastAsia="宋体"/>
      <w:kern w:val="2"/>
      <w:sz w:val="24"/>
      <w:szCs w:val="24"/>
      <w:lang w:bidi="ar-SA"/>
    </w:rPr>
  </w:style>
  <w:style w:type="paragraph" w:customStyle="1" w:styleId="1242">
    <w:name w:val="文章正文"/>
    <w:basedOn w:val="1"/>
    <w:link w:val="1241"/>
    <w:qFormat/>
    <w:uiPriority w:val="0"/>
    <w:pPr>
      <w:spacing w:line="360" w:lineRule="auto"/>
      <w:jc w:val="center"/>
    </w:pPr>
    <w:rPr>
      <w:sz w:val="24"/>
    </w:rPr>
  </w:style>
  <w:style w:type="character" w:customStyle="1" w:styleId="1243">
    <w:name w:val="正文文本 Char Char"/>
    <w:qFormat/>
    <w:uiPriority w:val="0"/>
    <w:rPr>
      <w:kern w:val="2"/>
      <w:sz w:val="28"/>
      <w:szCs w:val="28"/>
    </w:rPr>
  </w:style>
  <w:style w:type="character" w:customStyle="1" w:styleId="1244">
    <w:name w:val="标题 4 Char1"/>
    <w:qFormat/>
    <w:uiPriority w:val="0"/>
    <w:rPr>
      <w:rFonts w:ascii="Verdana" w:hAnsi="Verdana" w:eastAsia="楷体_GB2312"/>
      <w:kern w:val="2"/>
      <w:sz w:val="30"/>
      <w:szCs w:val="28"/>
      <w:lang w:val="en-US" w:eastAsia="zh-CN" w:bidi="ar-SA"/>
    </w:rPr>
  </w:style>
  <w:style w:type="character" w:customStyle="1" w:styleId="1245">
    <w:name w:val="样式 正文首行缩进 + Times New Roman Char Char"/>
    <w:qFormat/>
    <w:uiPriority w:val="0"/>
    <w:rPr>
      <w:rFonts w:ascii="宋体" w:hAnsi="宋体"/>
      <w:snapToGrid/>
      <w:sz w:val="24"/>
      <w:szCs w:val="24"/>
      <w:lang w:val="en-US" w:eastAsia="zh-CN" w:bidi="ar-SA"/>
    </w:rPr>
  </w:style>
  <w:style w:type="character" w:customStyle="1" w:styleId="1246">
    <w:name w:val="报告样式 Char"/>
    <w:link w:val="1247"/>
    <w:qFormat/>
    <w:uiPriority w:val="0"/>
    <w:rPr>
      <w:rFonts w:eastAsia="宋体"/>
      <w:spacing w:val="20"/>
      <w:kern w:val="2"/>
      <w:sz w:val="24"/>
      <w:szCs w:val="24"/>
      <w:lang w:val="en-US" w:eastAsia="zh-CN" w:bidi="ar-SA"/>
    </w:rPr>
  </w:style>
  <w:style w:type="paragraph" w:customStyle="1" w:styleId="1247">
    <w:name w:val="报告样式"/>
    <w:basedOn w:val="1"/>
    <w:link w:val="1246"/>
    <w:qFormat/>
    <w:uiPriority w:val="0"/>
    <w:pPr>
      <w:spacing w:line="460" w:lineRule="exact"/>
      <w:jc w:val="left"/>
    </w:pPr>
    <w:rPr>
      <w:spacing w:val="20"/>
      <w:sz w:val="24"/>
    </w:rPr>
  </w:style>
  <w:style w:type="character" w:customStyle="1" w:styleId="1248">
    <w:name w:val="Char Char26"/>
    <w:qFormat/>
    <w:uiPriority w:val="0"/>
    <w:rPr>
      <w:rFonts w:ascii="Times New Roman" w:hAnsi="Times New Roman" w:eastAsia="黑体" w:cs="Times New Roman"/>
      <w:b/>
      <w:sz w:val="28"/>
      <w:szCs w:val="20"/>
    </w:rPr>
  </w:style>
  <w:style w:type="character" w:customStyle="1" w:styleId="1249">
    <w:name w:val="style9 style60"/>
    <w:qFormat/>
    <w:uiPriority w:val="0"/>
  </w:style>
  <w:style w:type="character" w:customStyle="1" w:styleId="1250">
    <w:name w:val="表标题 Char Char Char"/>
    <w:qFormat/>
    <w:uiPriority w:val="0"/>
    <w:rPr>
      <w:rFonts w:ascii="宋体" w:eastAsia="黑体"/>
      <w:kern w:val="2"/>
      <w:sz w:val="24"/>
      <w:szCs w:val="24"/>
      <w:lang w:eastAsia="zh-CN"/>
    </w:rPr>
  </w:style>
  <w:style w:type="character" w:customStyle="1" w:styleId="1251">
    <w:name w:val="【表中文字】 Char"/>
    <w:link w:val="1252"/>
    <w:qFormat/>
    <w:uiPriority w:val="0"/>
    <w:rPr>
      <w:rFonts w:eastAsia="宋体"/>
      <w:kern w:val="2"/>
      <w:sz w:val="21"/>
      <w:lang w:val="en-US" w:eastAsia="zh-CN" w:bidi="ar-SA"/>
    </w:rPr>
  </w:style>
  <w:style w:type="paragraph" w:customStyle="1" w:styleId="1252">
    <w:name w:val="【表中文字】"/>
    <w:basedOn w:val="1"/>
    <w:link w:val="1251"/>
    <w:qFormat/>
    <w:uiPriority w:val="0"/>
    <w:pPr>
      <w:jc w:val="center"/>
    </w:pPr>
    <w:rPr>
      <w:szCs w:val="20"/>
    </w:rPr>
  </w:style>
  <w:style w:type="character" w:customStyle="1" w:styleId="1253">
    <w:name w:val="重要 Char"/>
    <w:link w:val="1254"/>
    <w:qFormat/>
    <w:locked/>
    <w:uiPriority w:val="0"/>
    <w:rPr>
      <w:rFonts w:eastAsia="黑体"/>
      <w:b/>
      <w:kern w:val="2"/>
      <w:sz w:val="24"/>
      <w:szCs w:val="24"/>
      <w:lang w:val="en-US" w:eastAsia="zh-CN" w:bidi="ar-SA"/>
    </w:rPr>
  </w:style>
  <w:style w:type="paragraph" w:customStyle="1" w:styleId="1254">
    <w:name w:val="重要"/>
    <w:basedOn w:val="1"/>
    <w:link w:val="1253"/>
    <w:qFormat/>
    <w:uiPriority w:val="0"/>
    <w:pPr>
      <w:spacing w:beforeLines="10" w:afterLines="10" w:line="312" w:lineRule="auto"/>
    </w:pPr>
    <w:rPr>
      <w:rFonts w:eastAsia="黑体"/>
      <w:b/>
      <w:sz w:val="24"/>
    </w:rPr>
  </w:style>
  <w:style w:type="character" w:customStyle="1" w:styleId="1255">
    <w:name w:val="样式 正文首行缩进 + 首行缩进:  2 字符 Char1"/>
    <w:qFormat/>
    <w:uiPriority w:val="0"/>
    <w:rPr>
      <w:rFonts w:ascii="宋体" w:hAnsi="宋体" w:cs="宋体"/>
      <w:sz w:val="24"/>
      <w:szCs w:val="24"/>
      <w:lang w:eastAsia="zh-CN"/>
    </w:rPr>
  </w:style>
  <w:style w:type="character" w:customStyle="1" w:styleId="1256">
    <w:name w:val="章标题(无序号) Char Char"/>
    <w:qFormat/>
    <w:uiPriority w:val="0"/>
    <w:rPr>
      <w:rFonts w:ascii="仿宋_GB2312" w:eastAsia="仿宋_GB2312"/>
      <w:color w:val="000000"/>
      <w:kern w:val="2"/>
      <w:sz w:val="28"/>
      <w:szCs w:val="28"/>
    </w:rPr>
  </w:style>
  <w:style w:type="character" w:customStyle="1" w:styleId="1257">
    <w:name w:val="样式 样式 样式 样式 (符号) 宋体 13 磅 首行缩进:  2 字符 行距: 1.5 倍行距 + 首行缩进:  2 字符 +... Char"/>
    <w:link w:val="1258"/>
    <w:qFormat/>
    <w:uiPriority w:val="0"/>
    <w:rPr>
      <w:rFonts w:ascii="宋体" w:hAnsi="宋体" w:cs="宋体"/>
      <w:kern w:val="2"/>
      <w:sz w:val="26"/>
    </w:rPr>
  </w:style>
  <w:style w:type="paragraph" w:customStyle="1" w:styleId="1258">
    <w:name w:val="样式 样式 样式 样式 (符号) 宋体 13 磅 首行缩进:  2 字符 行距: 1.5 倍行距 + 首行缩进:  2 字符 +..."/>
    <w:basedOn w:val="1"/>
    <w:link w:val="1257"/>
    <w:qFormat/>
    <w:uiPriority w:val="0"/>
    <w:pPr>
      <w:ind w:firstLine="563"/>
    </w:pPr>
    <w:rPr>
      <w:rFonts w:ascii="宋体" w:hAnsi="宋体"/>
      <w:sz w:val="26"/>
      <w:szCs w:val="20"/>
    </w:rPr>
  </w:style>
  <w:style w:type="character" w:customStyle="1" w:styleId="1259">
    <w:name w:val="9dpi1"/>
    <w:qFormat/>
    <w:uiPriority w:val="0"/>
    <w:rPr>
      <w:spacing w:val="30"/>
      <w:sz w:val="18"/>
      <w:szCs w:val="18"/>
    </w:rPr>
  </w:style>
  <w:style w:type="character" w:customStyle="1" w:styleId="1260">
    <w:name w:val="标题 2 Char"/>
    <w:qFormat/>
    <w:uiPriority w:val="0"/>
    <w:rPr>
      <w:rFonts w:ascii="黑体" w:hAnsi="Verdana" w:eastAsia="黑体"/>
      <w:bCs/>
      <w:snapToGrid w:val="0"/>
      <w:sz w:val="28"/>
      <w:szCs w:val="32"/>
      <w:lang w:val="en-US" w:eastAsia="zh-CN" w:bidi="ar-SA"/>
    </w:rPr>
  </w:style>
  <w:style w:type="character" w:customStyle="1" w:styleId="1261">
    <w:name w:val="正文部分 Char"/>
    <w:link w:val="1262"/>
    <w:qFormat/>
    <w:uiPriority w:val="0"/>
    <w:rPr>
      <w:rFonts w:ascii="宋体" w:hAnsi="宋体" w:eastAsia="宋体" w:cs="宋体"/>
      <w:bCs/>
      <w:sz w:val="28"/>
      <w:szCs w:val="32"/>
      <w:lang w:val="en-US" w:eastAsia="zh-CN" w:bidi="ar-SA"/>
    </w:rPr>
  </w:style>
  <w:style w:type="paragraph" w:customStyle="1" w:styleId="1262">
    <w:name w:val="正文部分"/>
    <w:basedOn w:val="1"/>
    <w:link w:val="1261"/>
    <w:qFormat/>
    <w:uiPriority w:val="0"/>
    <w:pPr>
      <w:spacing w:line="500" w:lineRule="exact"/>
      <w:jc w:val="left"/>
    </w:pPr>
    <w:rPr>
      <w:rFonts w:ascii="宋体" w:hAnsi="宋体" w:cs="宋体"/>
      <w:bCs/>
      <w:kern w:val="0"/>
      <w:szCs w:val="32"/>
    </w:rPr>
  </w:style>
  <w:style w:type="character" w:customStyle="1" w:styleId="1263">
    <w:name w:val="中远正文 Char"/>
    <w:qFormat/>
    <w:uiPriority w:val="0"/>
    <w:rPr>
      <w:rFonts w:cs="宋体"/>
      <w:snapToGrid/>
      <w:spacing w:val="-4"/>
      <w:kern w:val="24"/>
      <w:sz w:val="24"/>
      <w:lang w:eastAsia="zh-CN"/>
    </w:rPr>
  </w:style>
  <w:style w:type="character" w:customStyle="1" w:styleId="1264">
    <w:name w:val="标题 1 Char"/>
    <w:qFormat/>
    <w:uiPriority w:val="0"/>
    <w:rPr>
      <w:rFonts w:eastAsia="宋体"/>
      <w:b/>
      <w:bCs/>
      <w:kern w:val="44"/>
      <w:sz w:val="44"/>
      <w:szCs w:val="44"/>
      <w:lang w:val="en-US" w:eastAsia="zh-CN" w:bidi="ar-SA"/>
    </w:rPr>
  </w:style>
  <w:style w:type="character" w:customStyle="1" w:styleId="1265">
    <w:name w:val="mytext1"/>
    <w:qFormat/>
    <w:uiPriority w:val="0"/>
  </w:style>
  <w:style w:type="character" w:customStyle="1" w:styleId="1266">
    <w:name w:val="EI渣A Char Char"/>
    <w:link w:val="1267"/>
    <w:qFormat/>
    <w:uiPriority w:val="0"/>
    <w:rPr>
      <w:rFonts w:eastAsia="宋体" w:cs="宋体"/>
      <w:w w:val="101"/>
      <w:kern w:val="2"/>
      <w:sz w:val="24"/>
      <w:lang w:val="en-US" w:eastAsia="zh-CN" w:bidi="ar-SA"/>
    </w:rPr>
  </w:style>
  <w:style w:type="paragraph" w:customStyle="1" w:styleId="1267">
    <w:name w:val="EI渣A"/>
    <w:basedOn w:val="1"/>
    <w:link w:val="1266"/>
    <w:qFormat/>
    <w:uiPriority w:val="0"/>
    <w:pPr>
      <w:spacing w:before="125" w:after="125" w:line="360" w:lineRule="auto"/>
    </w:pPr>
    <w:rPr>
      <w:rFonts w:cs="宋体"/>
      <w:w w:val="101"/>
      <w:sz w:val="24"/>
      <w:szCs w:val="20"/>
    </w:rPr>
  </w:style>
  <w:style w:type="character" w:customStyle="1" w:styleId="1268">
    <w:name w:val="列表项目符号 2 Char"/>
    <w:qFormat/>
    <w:uiPriority w:val="0"/>
    <w:rPr>
      <w:sz w:val="21"/>
      <w:szCs w:val="21"/>
      <w:lang w:eastAsia="zh-CN"/>
    </w:rPr>
  </w:style>
  <w:style w:type="character" w:customStyle="1" w:styleId="1269">
    <w:name w:val="Normal Char"/>
    <w:link w:val="1270"/>
    <w:qFormat/>
    <w:uiPriority w:val="0"/>
    <w:rPr>
      <w:rFonts w:ascii="宋体"/>
      <w:sz w:val="24"/>
      <w:lang w:val="en-US" w:eastAsia="zh-CN" w:bidi="ar-SA"/>
    </w:rPr>
  </w:style>
  <w:style w:type="paragraph" w:customStyle="1" w:styleId="1270">
    <w:name w:val="正文1"/>
    <w:link w:val="1269"/>
    <w:qFormat/>
    <w:uiPriority w:val="0"/>
    <w:pPr>
      <w:widowControl w:val="0"/>
      <w:adjustRightInd w:val="0"/>
      <w:spacing w:line="360" w:lineRule="atLeast"/>
      <w:jc w:val="center"/>
    </w:pPr>
    <w:rPr>
      <w:rFonts w:ascii="宋体" w:hAnsi="Calibri" w:eastAsia="宋体" w:cs="Times New Roman"/>
      <w:sz w:val="24"/>
      <w:lang w:val="en-US" w:eastAsia="zh-CN" w:bidi="ar-SA"/>
    </w:rPr>
  </w:style>
  <w:style w:type="character" w:customStyle="1" w:styleId="1271">
    <w:name w:val="项标题(1) Char Char"/>
    <w:qFormat/>
    <w:uiPriority w:val="0"/>
    <w:rPr>
      <w:rFonts w:eastAsia="宋体"/>
      <w:sz w:val="24"/>
      <w:lang w:val="en-US" w:eastAsia="zh-CN" w:bidi="ar-SA"/>
    </w:rPr>
  </w:style>
  <w:style w:type="character" w:customStyle="1" w:styleId="1272">
    <w:name w:val="表文字 Char"/>
    <w:link w:val="1273"/>
    <w:qFormat/>
    <w:uiPriority w:val="0"/>
    <w:rPr>
      <w:rFonts w:ascii="Times New Roman" w:hAnsi="Times New Roman"/>
      <w:kern w:val="2"/>
      <w:sz w:val="21"/>
    </w:rPr>
  </w:style>
  <w:style w:type="paragraph" w:customStyle="1" w:styleId="1273">
    <w:name w:val="表文字"/>
    <w:basedOn w:val="1"/>
    <w:link w:val="1272"/>
    <w:qFormat/>
    <w:uiPriority w:val="0"/>
    <w:pPr>
      <w:spacing w:line="320" w:lineRule="exact"/>
    </w:pPr>
    <w:rPr>
      <w:szCs w:val="20"/>
    </w:rPr>
  </w:style>
  <w:style w:type="character" w:customStyle="1" w:styleId="1274">
    <w:name w:val="Char Char36"/>
    <w:qFormat/>
    <w:uiPriority w:val="0"/>
    <w:rPr>
      <w:rFonts w:ascii="Times New Roman" w:hAnsi="Times New Roman" w:eastAsia="黑体" w:cs="Times New Roman"/>
      <w:b/>
      <w:sz w:val="32"/>
      <w:szCs w:val="20"/>
    </w:rPr>
  </w:style>
  <w:style w:type="character" w:customStyle="1" w:styleId="1275">
    <w:name w:val="正文格式 Char"/>
    <w:link w:val="154"/>
    <w:qFormat/>
    <w:uiPriority w:val="0"/>
    <w:rPr>
      <w:rFonts w:eastAsia="宋体" w:cs="宋体"/>
      <w:sz w:val="24"/>
      <w:lang w:val="en-US" w:eastAsia="zh-CN" w:bidi="ar-SA"/>
    </w:rPr>
  </w:style>
  <w:style w:type="character" w:customStyle="1" w:styleId="1276">
    <w:name w:val="正文首行缩进 2 Char"/>
    <w:qFormat/>
    <w:uiPriority w:val="0"/>
    <w:rPr>
      <w:rFonts w:ascii="宋体"/>
      <w:kern w:val="2"/>
      <w:sz w:val="24"/>
      <w:szCs w:val="28"/>
      <w:lang w:eastAsia="zh-CN"/>
    </w:rPr>
  </w:style>
  <w:style w:type="character" w:customStyle="1" w:styleId="1277">
    <w:name w:val="标1 Char"/>
    <w:qFormat/>
    <w:uiPriority w:val="0"/>
    <w:rPr>
      <w:rFonts w:eastAsia="黑体"/>
      <w:b/>
      <w:kern w:val="44"/>
      <w:sz w:val="32"/>
      <w:lang w:eastAsia="zh-CN"/>
    </w:rPr>
  </w:style>
  <w:style w:type="character" w:customStyle="1" w:styleId="1278">
    <w:name w:val="项 Char"/>
    <w:qFormat/>
    <w:uiPriority w:val="0"/>
    <w:rPr>
      <w:rFonts w:eastAsia="宋体"/>
      <w:b/>
      <w:color w:val="000000"/>
      <w:kern w:val="28"/>
      <w:sz w:val="24"/>
      <w:lang w:val="en-US" w:eastAsia="zh-CN" w:bidi="ar-SA"/>
    </w:rPr>
  </w:style>
  <w:style w:type="character" w:customStyle="1" w:styleId="1279">
    <w:name w:val="正文样式 Char"/>
    <w:qFormat/>
    <w:uiPriority w:val="0"/>
    <w:rPr>
      <w:rFonts w:ascii="宋体" w:hAnsi="宋体" w:eastAsia="宋体"/>
      <w:kern w:val="2"/>
      <w:sz w:val="24"/>
      <w:szCs w:val="24"/>
      <w:lang w:val="en-US" w:eastAsia="zh-CN" w:bidi="ar-SA"/>
    </w:rPr>
  </w:style>
  <w:style w:type="character" w:customStyle="1" w:styleId="1280">
    <w:name w:val="javascript"/>
    <w:qFormat/>
    <w:uiPriority w:val="0"/>
  </w:style>
  <w:style w:type="character" w:customStyle="1" w:styleId="1281">
    <w:name w:val="yyp Char"/>
    <w:link w:val="1282"/>
    <w:qFormat/>
    <w:uiPriority w:val="0"/>
    <w:rPr>
      <w:kern w:val="2"/>
      <w:sz w:val="24"/>
      <w:lang w:bidi="ar-SA"/>
    </w:rPr>
  </w:style>
  <w:style w:type="paragraph" w:customStyle="1" w:styleId="1282">
    <w:name w:val="yyp"/>
    <w:basedOn w:val="89"/>
    <w:link w:val="1281"/>
    <w:qFormat/>
    <w:uiPriority w:val="0"/>
    <w:pPr>
      <w:spacing w:line="360" w:lineRule="auto"/>
      <w:ind w:firstLine="480" w:firstLineChars="200"/>
    </w:pPr>
    <w:rPr>
      <w:sz w:val="24"/>
      <w:szCs w:val="20"/>
    </w:rPr>
  </w:style>
  <w:style w:type="character" w:customStyle="1" w:styleId="1283">
    <w:name w:val="aa1"/>
    <w:qFormat/>
    <w:uiPriority w:val="0"/>
    <w:rPr>
      <w:rFonts w:hint="eastAsia" w:ascii="宋体" w:hAnsi="宋体" w:eastAsia="宋体"/>
      <w:sz w:val="24"/>
      <w:szCs w:val="24"/>
    </w:rPr>
  </w:style>
  <w:style w:type="character" w:customStyle="1" w:styleId="1284">
    <w:name w:val="纯文本 Char Char Char Char2"/>
    <w:qFormat/>
    <w:uiPriority w:val="0"/>
    <w:rPr>
      <w:rFonts w:ascii="宋体" w:hAnsi="Courier New" w:cs="Courier New"/>
      <w:kern w:val="2"/>
      <w:sz w:val="21"/>
      <w:szCs w:val="21"/>
    </w:rPr>
  </w:style>
  <w:style w:type="character" w:customStyle="1" w:styleId="1285">
    <w:name w:val="Char Char321"/>
    <w:qFormat/>
    <w:uiPriority w:val="0"/>
    <w:rPr>
      <w:rFonts w:eastAsia="宋体"/>
      <w:b/>
      <w:bCs/>
      <w:kern w:val="2"/>
      <w:sz w:val="30"/>
      <w:szCs w:val="32"/>
      <w:lang w:val="en-US" w:eastAsia="zh-CN" w:bidi="ar-SA"/>
    </w:rPr>
  </w:style>
  <w:style w:type="character" w:customStyle="1" w:styleId="1286">
    <w:name w:val="3zw1"/>
    <w:qFormat/>
    <w:uiPriority w:val="0"/>
    <w:rPr>
      <w:color w:val="000000"/>
      <w:sz w:val="21"/>
      <w:szCs w:val="21"/>
    </w:rPr>
  </w:style>
  <w:style w:type="character" w:customStyle="1" w:styleId="1287">
    <w:name w:val="页眉1 Char"/>
    <w:qFormat/>
    <w:uiPriority w:val="0"/>
    <w:rPr>
      <w:rFonts w:eastAsia="宋体"/>
      <w:kern w:val="2"/>
      <w:sz w:val="18"/>
      <w:szCs w:val="18"/>
      <w:lang w:val="en-US" w:eastAsia="zh-CN" w:bidi="ar-SA"/>
    </w:rPr>
  </w:style>
  <w:style w:type="character" w:customStyle="1" w:styleId="1288">
    <w:name w:val="正文样式1 Char"/>
    <w:qFormat/>
    <w:uiPriority w:val="0"/>
    <w:rPr>
      <w:rFonts w:ascii="宋体" w:eastAsia="宋体"/>
      <w:kern w:val="2"/>
      <w:sz w:val="24"/>
      <w:szCs w:val="24"/>
      <w:lang w:val="en-US" w:eastAsia="zh-CN" w:bidi="ar-SA"/>
    </w:rPr>
  </w:style>
  <w:style w:type="character" w:customStyle="1" w:styleId="1289">
    <w:name w:val="H1 Char"/>
    <w:qFormat/>
    <w:uiPriority w:val="0"/>
    <w:rPr>
      <w:rFonts w:eastAsia="黑体"/>
      <w:bCs/>
      <w:snapToGrid/>
      <w:sz w:val="28"/>
      <w:szCs w:val="44"/>
    </w:rPr>
  </w:style>
  <w:style w:type="character" w:customStyle="1" w:styleId="1290">
    <w:name w:val="报告标题2 Char"/>
    <w:link w:val="1291"/>
    <w:qFormat/>
    <w:uiPriority w:val="0"/>
    <w:rPr>
      <w:rFonts w:ascii="Arial" w:hAnsi="Arial" w:eastAsia="宋体"/>
      <w:b/>
      <w:color w:val="000000"/>
      <w:kern w:val="2"/>
      <w:sz w:val="28"/>
      <w:szCs w:val="32"/>
      <w:lang w:val="en-US" w:eastAsia="zh-CN" w:bidi="ar-SA"/>
    </w:rPr>
  </w:style>
  <w:style w:type="paragraph" w:customStyle="1" w:styleId="1291">
    <w:name w:val="报告标题2"/>
    <w:basedOn w:val="6"/>
    <w:link w:val="1290"/>
    <w:qFormat/>
    <w:uiPriority w:val="0"/>
    <w:pPr>
      <w:tabs>
        <w:tab w:val="left" w:pos="0"/>
        <w:tab w:val="clear" w:pos="1080"/>
      </w:tabs>
      <w:spacing w:beforeLines="50" w:after="0" w:line="360" w:lineRule="auto"/>
      <w:ind w:left="0" w:firstLine="0"/>
      <w:jc w:val="left"/>
    </w:pPr>
    <w:rPr>
      <w:rFonts w:ascii="Arial" w:hAnsi="Arial" w:eastAsia="宋体"/>
      <w:color w:val="000000"/>
      <w:kern w:val="2"/>
      <w:sz w:val="28"/>
      <w:szCs w:val="32"/>
    </w:rPr>
  </w:style>
  <w:style w:type="character" w:customStyle="1" w:styleId="1292">
    <w:name w:val="列出段落 Char"/>
    <w:link w:val="1293"/>
    <w:qFormat/>
    <w:uiPriority w:val="0"/>
    <w:rPr>
      <w:rFonts w:ascii="Times New Roman" w:hAnsi="Times New Roman" w:eastAsia="仿宋_GB2312"/>
      <w:kern w:val="2"/>
      <w:sz w:val="28"/>
      <w:szCs w:val="24"/>
    </w:rPr>
  </w:style>
  <w:style w:type="paragraph" w:styleId="1293">
    <w:name w:val="List Paragraph"/>
    <w:basedOn w:val="1"/>
    <w:link w:val="1292"/>
    <w:qFormat/>
    <w:uiPriority w:val="1"/>
    <w:pPr>
      <w:ind w:firstLine="420"/>
    </w:pPr>
  </w:style>
  <w:style w:type="character" w:customStyle="1" w:styleId="1294">
    <w:name w:val="5文章(治) Char"/>
    <w:link w:val="1295"/>
    <w:qFormat/>
    <w:uiPriority w:val="0"/>
    <w:rPr>
      <w:rFonts w:ascii="宋体" w:hAnsi="宋体" w:eastAsia="仿宋_GB2312"/>
      <w:bCs/>
      <w:color w:val="0000FF"/>
      <w:sz w:val="24"/>
      <w:szCs w:val="24"/>
    </w:rPr>
  </w:style>
  <w:style w:type="paragraph" w:customStyle="1" w:styleId="1295">
    <w:name w:val="5文章(治)"/>
    <w:basedOn w:val="1"/>
    <w:link w:val="1294"/>
    <w:qFormat/>
    <w:uiPriority w:val="0"/>
    <w:pPr>
      <w:spacing w:line="360" w:lineRule="auto"/>
      <w:ind w:firstLine="480"/>
    </w:pPr>
    <w:rPr>
      <w:rFonts w:ascii="宋体" w:hAnsi="宋体"/>
      <w:bCs/>
      <w:color w:val="0000FF"/>
      <w:kern w:val="0"/>
      <w:sz w:val="24"/>
    </w:rPr>
  </w:style>
  <w:style w:type="character" w:customStyle="1" w:styleId="1296">
    <w:name w:val="四级标题 Char"/>
    <w:link w:val="1297"/>
    <w:qFormat/>
    <w:uiPriority w:val="0"/>
    <w:rPr>
      <w:rFonts w:ascii="Times New Roman" w:hAnsi="Times New Roman" w:eastAsia="仿宋_GB2312"/>
      <w:kern w:val="2"/>
      <w:sz w:val="28"/>
      <w:szCs w:val="24"/>
    </w:rPr>
  </w:style>
  <w:style w:type="paragraph" w:customStyle="1" w:styleId="1297">
    <w:name w:val="四级标题"/>
    <w:basedOn w:val="1"/>
    <w:next w:val="1"/>
    <w:link w:val="1296"/>
    <w:qFormat/>
    <w:uiPriority w:val="0"/>
    <w:pPr>
      <w:ind w:firstLine="0" w:firstLineChars="0"/>
      <w:outlineLvl w:val="3"/>
    </w:pPr>
  </w:style>
  <w:style w:type="character" w:customStyle="1" w:styleId="1298">
    <w:name w:val="表体 Char"/>
    <w:link w:val="1299"/>
    <w:qFormat/>
    <w:uiPriority w:val="0"/>
    <w:rPr>
      <w:rFonts w:ascii="Times New Roman" w:hAnsi="Times New Roman" w:eastAsia="仿宋_GB2312"/>
      <w:kern w:val="2"/>
      <w:sz w:val="28"/>
      <w:szCs w:val="24"/>
    </w:rPr>
  </w:style>
  <w:style w:type="paragraph" w:customStyle="1" w:styleId="1299">
    <w:name w:val="表体"/>
    <w:basedOn w:val="1"/>
    <w:link w:val="1298"/>
    <w:qFormat/>
    <w:uiPriority w:val="0"/>
    <w:pPr>
      <w:spacing w:beforeLines="20" w:afterLines="20"/>
      <w:jc w:val="center"/>
    </w:pPr>
  </w:style>
  <w:style w:type="character" w:customStyle="1" w:styleId="1300">
    <w:name w:val="正文文本缩进一 Char"/>
    <w:link w:val="1301"/>
    <w:qFormat/>
    <w:locked/>
    <w:uiPriority w:val="0"/>
    <w:rPr>
      <w:kern w:val="2"/>
      <w:sz w:val="21"/>
      <w:szCs w:val="22"/>
    </w:rPr>
  </w:style>
  <w:style w:type="paragraph" w:customStyle="1" w:styleId="1301">
    <w:name w:val="正文文本缩进一"/>
    <w:link w:val="1300"/>
    <w:qFormat/>
    <w:uiPriority w:val="0"/>
    <w:pPr>
      <w:spacing w:line="320" w:lineRule="exact"/>
      <w:jc w:val="center"/>
    </w:pPr>
    <w:rPr>
      <w:rFonts w:ascii="Calibri" w:hAnsi="Calibri" w:eastAsia="宋体" w:cs="Times New Roman"/>
      <w:kern w:val="2"/>
      <w:sz w:val="21"/>
      <w:szCs w:val="22"/>
      <w:lang w:val="en-US" w:eastAsia="zh-CN" w:bidi="ar-SA"/>
    </w:rPr>
  </w:style>
  <w:style w:type="character" w:customStyle="1" w:styleId="1302">
    <w:name w:val="表名 Char"/>
    <w:link w:val="1303"/>
    <w:qFormat/>
    <w:uiPriority w:val="0"/>
    <w:rPr>
      <w:rFonts w:ascii="Arial" w:hAnsi="Arial" w:eastAsia="黑体"/>
      <w:kern w:val="2"/>
      <w:sz w:val="24"/>
    </w:rPr>
  </w:style>
  <w:style w:type="paragraph" w:customStyle="1" w:styleId="1303">
    <w:name w:val="表名"/>
    <w:basedOn w:val="1"/>
    <w:link w:val="1302"/>
    <w:qFormat/>
    <w:uiPriority w:val="0"/>
    <w:pPr>
      <w:overflowPunct w:val="0"/>
      <w:spacing w:before="120"/>
      <w:textAlignment w:val="baseline"/>
    </w:pPr>
    <w:rPr>
      <w:rFonts w:ascii="Arial" w:hAnsi="Arial" w:eastAsia="黑体"/>
      <w:sz w:val="24"/>
      <w:szCs w:val="20"/>
    </w:rPr>
  </w:style>
  <w:style w:type="character" w:customStyle="1" w:styleId="1304">
    <w:name w:val="MTDisplayEquation Char"/>
    <w:link w:val="1305"/>
    <w:qFormat/>
    <w:uiPriority w:val="0"/>
    <w:rPr>
      <w:rFonts w:ascii="方正宋三简体" w:hAnsi="Times New Roman" w:eastAsia="仿宋_GB2312"/>
      <w:kern w:val="2"/>
      <w:sz w:val="28"/>
      <w:szCs w:val="24"/>
    </w:rPr>
  </w:style>
  <w:style w:type="paragraph" w:customStyle="1" w:styleId="1305">
    <w:name w:val="MTDisplayEquation"/>
    <w:basedOn w:val="1"/>
    <w:next w:val="1"/>
    <w:link w:val="1304"/>
    <w:qFormat/>
    <w:uiPriority w:val="0"/>
    <w:pPr>
      <w:tabs>
        <w:tab w:val="center" w:pos="4160"/>
        <w:tab w:val="right" w:pos="8320"/>
      </w:tabs>
      <w:spacing w:line="460" w:lineRule="exact"/>
      <w:ind w:firstLine="420"/>
    </w:pPr>
    <w:rPr>
      <w:rFonts w:ascii="方正宋三简体"/>
    </w:rPr>
  </w:style>
  <w:style w:type="character" w:customStyle="1" w:styleId="1306">
    <w:name w:val="表、图名 Char"/>
    <w:link w:val="1307"/>
    <w:qFormat/>
    <w:uiPriority w:val="0"/>
    <w:rPr>
      <w:rFonts w:ascii="仿宋_GB2312" w:hAnsi="宋体" w:eastAsia="仿宋_GB2312"/>
      <w:color w:val="000000"/>
      <w:spacing w:val="-12"/>
      <w:kern w:val="2"/>
      <w:sz w:val="24"/>
      <w:szCs w:val="24"/>
      <w:lang w:val="en-US" w:eastAsia="zh-CN"/>
    </w:rPr>
  </w:style>
  <w:style w:type="paragraph" w:customStyle="1" w:styleId="1307">
    <w:name w:val="表、图名"/>
    <w:basedOn w:val="1"/>
    <w:link w:val="1306"/>
    <w:qFormat/>
    <w:uiPriority w:val="0"/>
    <w:pPr>
      <w:spacing w:line="360" w:lineRule="atLeast"/>
      <w:jc w:val="center"/>
      <w:textAlignment w:val="baseline"/>
    </w:pPr>
    <w:rPr>
      <w:rFonts w:ascii="仿宋_GB2312" w:hAnsi="宋体"/>
      <w:color w:val="000000"/>
      <w:spacing w:val="-12"/>
      <w:sz w:val="24"/>
    </w:rPr>
  </w:style>
  <w:style w:type="character" w:customStyle="1" w:styleId="1308">
    <w:name w:val="样式6 Char"/>
    <w:link w:val="1309"/>
    <w:qFormat/>
    <w:uiPriority w:val="0"/>
    <w:rPr>
      <w:rFonts w:ascii="Times New Roman" w:hAnsi="Times New Roman" w:eastAsia="黑体"/>
      <w:sz w:val="28"/>
    </w:rPr>
  </w:style>
  <w:style w:type="paragraph" w:customStyle="1" w:styleId="1309">
    <w:name w:val="样式6"/>
    <w:basedOn w:val="7"/>
    <w:link w:val="1308"/>
    <w:qFormat/>
    <w:uiPriority w:val="0"/>
    <w:pPr>
      <w:spacing w:before="140" w:after="0"/>
      <w:ind w:left="3459" w:hanging="720" w:firstLineChars="0"/>
      <w:jc w:val="left"/>
    </w:pPr>
    <w:rPr>
      <w:b w:val="0"/>
    </w:rPr>
  </w:style>
  <w:style w:type="character" w:customStyle="1" w:styleId="1310">
    <w:name w:val="条标题 Char"/>
    <w:qFormat/>
    <w:uiPriority w:val="0"/>
    <w:rPr>
      <w:rFonts w:ascii="Times New Roman" w:hAnsi="Times New Roman" w:eastAsia="仿宋_GB2312"/>
      <w:b/>
      <w:bCs/>
      <w:kern w:val="2"/>
      <w:sz w:val="30"/>
      <w:szCs w:val="32"/>
    </w:rPr>
  </w:style>
  <w:style w:type="character" w:customStyle="1" w:styleId="1311">
    <w:name w:val="style421"/>
    <w:qFormat/>
    <w:uiPriority w:val="0"/>
    <w:rPr>
      <w:rFonts w:hint="eastAsia" w:ascii="楷体_GB2312" w:eastAsia="楷体_GB2312"/>
      <w:b/>
      <w:bCs/>
      <w:color w:val="FFFFFF"/>
      <w:sz w:val="24"/>
      <w:szCs w:val="24"/>
    </w:rPr>
  </w:style>
  <w:style w:type="character" w:customStyle="1" w:styleId="1312">
    <w:name w:val="表格标题 Char Char Char Char"/>
    <w:link w:val="1313"/>
    <w:qFormat/>
    <w:uiPriority w:val="0"/>
    <w:rPr>
      <w:rFonts w:ascii="仿宋_GB2312" w:hAnsi="Arial" w:eastAsia="仿宋_GB2312"/>
      <w:kern w:val="24"/>
      <w:sz w:val="24"/>
      <w:szCs w:val="24"/>
    </w:rPr>
  </w:style>
  <w:style w:type="paragraph" w:customStyle="1" w:styleId="1313">
    <w:name w:val="表格标题"/>
    <w:basedOn w:val="1"/>
    <w:link w:val="1312"/>
    <w:qFormat/>
    <w:uiPriority w:val="0"/>
    <w:pPr>
      <w:tabs>
        <w:tab w:val="left" w:pos="1120"/>
      </w:tabs>
      <w:spacing w:before="120" w:after="60" w:line="290" w:lineRule="auto"/>
      <w:ind w:right="-108"/>
      <w:jc w:val="center"/>
    </w:pPr>
    <w:rPr>
      <w:rFonts w:ascii="仿宋_GB2312" w:hAnsi="Arial"/>
      <w:kern w:val="24"/>
      <w:sz w:val="24"/>
    </w:rPr>
  </w:style>
  <w:style w:type="character" w:customStyle="1" w:styleId="1314">
    <w:name w:val="text_l1"/>
    <w:qFormat/>
    <w:uiPriority w:val="0"/>
    <w:rPr>
      <w:color w:val="000066"/>
      <w:sz w:val="18"/>
      <w:szCs w:val="18"/>
    </w:rPr>
  </w:style>
  <w:style w:type="character" w:customStyle="1" w:styleId="1315">
    <w:name w:val="正文样式10 Char"/>
    <w:link w:val="1316"/>
    <w:qFormat/>
    <w:uiPriority w:val="0"/>
    <w:rPr>
      <w:rFonts w:ascii="宋体" w:hAnsi="宋体" w:cs="宋体"/>
      <w:bCs/>
      <w:color w:val="000000"/>
      <w:sz w:val="24"/>
      <w:szCs w:val="24"/>
      <w:lang w:val="zh-CN"/>
    </w:rPr>
  </w:style>
  <w:style w:type="paragraph" w:customStyle="1" w:styleId="1316">
    <w:name w:val="正文样式10"/>
    <w:basedOn w:val="1"/>
    <w:link w:val="1315"/>
    <w:qFormat/>
    <w:uiPriority w:val="0"/>
    <w:pPr>
      <w:spacing w:line="500" w:lineRule="exact"/>
      <w:ind w:firstLine="480"/>
    </w:pPr>
    <w:rPr>
      <w:rFonts w:ascii="宋体" w:hAnsi="宋体" w:eastAsia="宋体" w:cs="宋体"/>
      <w:bCs/>
      <w:color w:val="000000"/>
      <w:kern w:val="0"/>
      <w:sz w:val="24"/>
      <w:lang w:val="zh-CN"/>
    </w:rPr>
  </w:style>
  <w:style w:type="character" w:customStyle="1" w:styleId="1317">
    <w:name w:val="样式 仪征正文 + 黑色 Char"/>
    <w:link w:val="1318"/>
    <w:qFormat/>
    <w:uiPriority w:val="0"/>
    <w:rPr>
      <w:rFonts w:ascii="Arial" w:hAnsi="Arial" w:eastAsia="仿宋_GB2312"/>
      <w:color w:val="000000"/>
      <w:sz w:val="24"/>
    </w:rPr>
  </w:style>
  <w:style w:type="paragraph" w:customStyle="1" w:styleId="1318">
    <w:name w:val="样式 仪征正文 + 黑色"/>
    <w:basedOn w:val="1"/>
    <w:link w:val="1317"/>
    <w:qFormat/>
    <w:uiPriority w:val="0"/>
    <w:pPr>
      <w:spacing w:before="120" w:after="120" w:line="360" w:lineRule="exact"/>
      <w:ind w:firstLine="480"/>
    </w:pPr>
    <w:rPr>
      <w:rFonts w:ascii="Arial" w:hAnsi="Arial"/>
      <w:color w:val="000000"/>
      <w:kern w:val="0"/>
      <w:sz w:val="24"/>
      <w:szCs w:val="20"/>
    </w:rPr>
  </w:style>
  <w:style w:type="character" w:customStyle="1" w:styleId="1319">
    <w:name w:val="样式 正文文本 + Char"/>
    <w:link w:val="1320"/>
    <w:qFormat/>
    <w:uiPriority w:val="0"/>
    <w:rPr>
      <w:rFonts w:eastAsia="仿宋_GB2312"/>
      <w:snapToGrid/>
      <w:spacing w:val="-6"/>
      <w:sz w:val="18"/>
    </w:rPr>
  </w:style>
  <w:style w:type="paragraph" w:customStyle="1" w:styleId="1320">
    <w:name w:val="样式 正文文本 +"/>
    <w:basedOn w:val="38"/>
    <w:link w:val="1319"/>
    <w:qFormat/>
    <w:uiPriority w:val="0"/>
    <w:pPr>
      <w:spacing w:before="60" w:after="60" w:line="264" w:lineRule="auto"/>
      <w:textAlignment w:val="baseline"/>
    </w:pPr>
    <w:rPr>
      <w:rFonts w:ascii="Calibri" w:hAnsi="Calibri"/>
      <w:snapToGrid w:val="0"/>
      <w:spacing w:val="-6"/>
      <w:kern w:val="0"/>
      <w:sz w:val="18"/>
      <w:szCs w:val="20"/>
    </w:rPr>
  </w:style>
  <w:style w:type="character" w:customStyle="1" w:styleId="1321">
    <w:name w:val="样式 正文文字 + Char1"/>
    <w:qFormat/>
    <w:uiPriority w:val="0"/>
    <w:rPr>
      <w:rFonts w:eastAsia="仿宋_GB2312"/>
      <w:sz w:val="24"/>
      <w:lang w:val="en-US" w:eastAsia="zh-CN"/>
    </w:rPr>
  </w:style>
  <w:style w:type="character" w:customStyle="1" w:styleId="1322">
    <w:name w:val="mn_school"/>
    <w:qFormat/>
    <w:uiPriority w:val="0"/>
  </w:style>
  <w:style w:type="character" w:customStyle="1" w:styleId="1323">
    <w:name w:val="f121"/>
    <w:qFormat/>
    <w:uiPriority w:val="0"/>
    <w:rPr>
      <w:sz w:val="18"/>
      <w:szCs w:val="18"/>
      <w:u w:val="none"/>
    </w:rPr>
  </w:style>
  <w:style w:type="character" w:customStyle="1" w:styleId="1324">
    <w:name w:val="表格文字统一样式 Char"/>
    <w:link w:val="1325"/>
    <w:qFormat/>
    <w:uiPriority w:val="0"/>
    <w:rPr>
      <w:rFonts w:eastAsia="仿宋_GB2312"/>
    </w:rPr>
  </w:style>
  <w:style w:type="paragraph" w:customStyle="1" w:styleId="1325">
    <w:name w:val="表格文字统一样式"/>
    <w:basedOn w:val="1"/>
    <w:link w:val="1324"/>
    <w:qFormat/>
    <w:uiPriority w:val="0"/>
    <w:pPr>
      <w:autoSpaceDE w:val="0"/>
      <w:autoSpaceDN w:val="0"/>
      <w:jc w:val="center"/>
      <w:textAlignment w:val="bottom"/>
    </w:pPr>
    <w:rPr>
      <w:rFonts w:ascii="Calibri" w:hAnsi="Calibri"/>
      <w:kern w:val="0"/>
      <w:sz w:val="20"/>
      <w:szCs w:val="20"/>
    </w:rPr>
  </w:style>
  <w:style w:type="character" w:customStyle="1" w:styleId="1326">
    <w:name w:val="尾注文本 Char1"/>
    <w:qFormat/>
    <w:uiPriority w:val="0"/>
    <w:rPr>
      <w:kern w:val="2"/>
      <w:sz w:val="21"/>
      <w:szCs w:val="24"/>
    </w:rPr>
  </w:style>
  <w:style w:type="character" w:customStyle="1" w:styleId="1327">
    <w:name w:val="正文000 Char"/>
    <w:link w:val="1328"/>
    <w:qFormat/>
    <w:uiPriority w:val="0"/>
    <w:rPr>
      <w:sz w:val="24"/>
    </w:rPr>
  </w:style>
  <w:style w:type="paragraph" w:customStyle="1" w:styleId="1328">
    <w:name w:val="正文000"/>
    <w:basedOn w:val="1"/>
    <w:link w:val="1327"/>
    <w:qFormat/>
    <w:uiPriority w:val="0"/>
    <w:pPr>
      <w:spacing w:afterLines="50" w:line="288" w:lineRule="auto"/>
      <w:ind w:firstLine="480"/>
    </w:pPr>
    <w:rPr>
      <w:rFonts w:ascii="Calibri" w:hAnsi="Calibri" w:eastAsia="宋体"/>
      <w:kern w:val="0"/>
      <w:sz w:val="24"/>
      <w:szCs w:val="20"/>
    </w:rPr>
  </w:style>
  <w:style w:type="character" w:customStyle="1" w:styleId="1329">
    <w:name w:val="样式 样式 仪征正文 + 黑色 + 红色 Char"/>
    <w:link w:val="1330"/>
    <w:qFormat/>
    <w:uiPriority w:val="0"/>
  </w:style>
  <w:style w:type="paragraph" w:customStyle="1" w:styleId="1330">
    <w:name w:val="样式 样式 仪征正文 + 黑色 + 红色"/>
    <w:basedOn w:val="1318"/>
    <w:link w:val="1329"/>
    <w:qFormat/>
    <w:uiPriority w:val="0"/>
    <w:rPr>
      <w:rFonts w:ascii="Calibri" w:hAnsi="Calibri" w:eastAsia="宋体"/>
      <w:color w:val="auto"/>
      <w:sz w:val="20"/>
    </w:rPr>
  </w:style>
  <w:style w:type="character" w:customStyle="1" w:styleId="1331">
    <w:name w:val="正 Char"/>
    <w:qFormat/>
    <w:uiPriority w:val="0"/>
    <w:rPr>
      <w:sz w:val="24"/>
    </w:rPr>
  </w:style>
  <w:style w:type="character" w:customStyle="1" w:styleId="1332">
    <w:name w:val="dash6b636587char"/>
    <w:qFormat/>
    <w:uiPriority w:val="0"/>
  </w:style>
  <w:style w:type="character" w:customStyle="1" w:styleId="1333">
    <w:name w:val="链接"/>
    <w:qFormat/>
    <w:uiPriority w:val="0"/>
    <w:rPr>
      <w:color w:val="0000FF"/>
      <w:u w:val="single" w:color="0000FF"/>
    </w:rPr>
  </w:style>
  <w:style w:type="character" w:customStyle="1" w:styleId="1334">
    <w:name w:val="缩2字 Char"/>
    <w:link w:val="974"/>
    <w:qFormat/>
    <w:uiPriority w:val="0"/>
    <w:rPr>
      <w:sz w:val="28"/>
      <w:szCs w:val="24"/>
    </w:rPr>
  </w:style>
  <w:style w:type="character" w:customStyle="1" w:styleId="1335">
    <w:name w:val="gray1"/>
    <w:qFormat/>
    <w:uiPriority w:val="0"/>
    <w:rPr>
      <w:color w:val="666666"/>
      <w:sz w:val="24"/>
      <w:szCs w:val="24"/>
    </w:rPr>
  </w:style>
  <w:style w:type="character" w:customStyle="1" w:styleId="1336">
    <w:name w:val="明显强调3"/>
    <w:qFormat/>
    <w:uiPriority w:val="0"/>
    <w:rPr>
      <w:b/>
      <w:bCs/>
      <w:i/>
      <w:iCs/>
      <w:color w:val="4F81BD"/>
    </w:rPr>
  </w:style>
  <w:style w:type="character" w:customStyle="1" w:styleId="1337">
    <w:name w:val="txt41"/>
    <w:qFormat/>
    <w:uiPriority w:val="0"/>
    <w:rPr>
      <w:color w:val="000000"/>
      <w:sz w:val="23"/>
      <w:szCs w:val="23"/>
      <w:bdr w:val="single" w:color="000000" w:sz="4" w:space="0"/>
    </w:rPr>
  </w:style>
  <w:style w:type="character" w:customStyle="1" w:styleId="1338">
    <w:name w:val="t_tag hover"/>
    <w:qFormat/>
    <w:uiPriority w:val="0"/>
  </w:style>
  <w:style w:type="character" w:customStyle="1" w:styleId="1339">
    <w:name w:val="样式 标题 2标题2二级 标题 2H2h2第一层条标题 2 Char节标题节11 Char标题 2 Cha...3 Char"/>
    <w:link w:val="1340"/>
    <w:qFormat/>
    <w:uiPriority w:val="0"/>
    <w:rPr>
      <w:rFonts w:ascii="Arial" w:hAnsi="Arial"/>
      <w:b/>
    </w:rPr>
  </w:style>
  <w:style w:type="paragraph" w:customStyle="1" w:styleId="1340">
    <w:name w:val="样式 标题 2标题2二级 标题 2H2h2第一层条标题 2 Char节标题节11 Char标题 2 Cha...3"/>
    <w:basedOn w:val="6"/>
    <w:link w:val="1339"/>
    <w:qFormat/>
    <w:uiPriority w:val="0"/>
    <w:rPr>
      <w:rFonts w:ascii="Arial" w:hAnsi="Arial" w:eastAsia="宋体"/>
      <w:sz w:val="20"/>
    </w:rPr>
  </w:style>
  <w:style w:type="character" w:customStyle="1" w:styleId="1341">
    <w:name w:val="dfgdfg Char"/>
    <w:qFormat/>
    <w:uiPriority w:val="0"/>
    <w:rPr>
      <w:rFonts w:ascii="Arial" w:hAnsi="Arial" w:eastAsia="黑体"/>
      <w:kern w:val="2"/>
      <w:sz w:val="24"/>
      <w:lang w:val="en-US" w:eastAsia="zh-CN"/>
    </w:rPr>
  </w:style>
  <w:style w:type="character" w:customStyle="1" w:styleId="1342">
    <w:name w:val="headline-content2"/>
    <w:qFormat/>
    <w:uiPriority w:val="0"/>
  </w:style>
  <w:style w:type="character" w:customStyle="1" w:styleId="1343">
    <w:name w:val="标题 Char Char"/>
    <w:qFormat/>
    <w:uiPriority w:val="0"/>
    <w:rPr>
      <w:rFonts w:ascii="Cambria" w:hAnsi="Cambria" w:cs="Times New Roman"/>
      <w:b/>
      <w:bCs/>
      <w:kern w:val="2"/>
      <w:sz w:val="32"/>
      <w:szCs w:val="32"/>
    </w:rPr>
  </w:style>
  <w:style w:type="character" w:customStyle="1" w:styleId="1344">
    <w:name w:val="晓丹 Char"/>
    <w:link w:val="1345"/>
    <w:qFormat/>
    <w:uiPriority w:val="0"/>
    <w:rPr>
      <w:rFonts w:ascii="宋体" w:hAnsi="宋体" w:eastAsia="仿宋_GB2312"/>
      <w:color w:val="000000"/>
      <w:spacing w:val="6"/>
      <w:sz w:val="24"/>
      <w:szCs w:val="24"/>
    </w:rPr>
  </w:style>
  <w:style w:type="paragraph" w:customStyle="1" w:styleId="1345">
    <w:name w:val="晓丹"/>
    <w:basedOn w:val="89"/>
    <w:link w:val="1344"/>
    <w:qFormat/>
    <w:uiPriority w:val="0"/>
    <w:pPr>
      <w:spacing w:line="360" w:lineRule="auto"/>
      <w:ind w:firstLine="200" w:firstLineChars="200"/>
      <w:textAlignment w:val="baseline"/>
    </w:pPr>
    <w:rPr>
      <w:rFonts w:ascii="宋体" w:hAnsi="宋体"/>
      <w:color w:val="000000"/>
      <w:spacing w:val="6"/>
      <w:kern w:val="0"/>
      <w:sz w:val="24"/>
    </w:rPr>
  </w:style>
  <w:style w:type="character" w:customStyle="1" w:styleId="1346">
    <w:name w:val="正文 小丹 Char"/>
    <w:link w:val="1347"/>
    <w:semiHidden/>
    <w:qFormat/>
    <w:uiPriority w:val="0"/>
    <w:rPr>
      <w:rFonts w:ascii="宋体" w:hAnsi="宋体" w:eastAsia="仿宋_GB2312"/>
      <w:color w:val="000000"/>
      <w:spacing w:val="6"/>
      <w:sz w:val="24"/>
      <w:szCs w:val="24"/>
    </w:rPr>
  </w:style>
  <w:style w:type="paragraph" w:customStyle="1" w:styleId="1347">
    <w:name w:val="正文 小丹"/>
    <w:basedOn w:val="89"/>
    <w:link w:val="1346"/>
    <w:semiHidden/>
    <w:qFormat/>
    <w:uiPriority w:val="0"/>
    <w:pPr>
      <w:spacing w:line="360" w:lineRule="auto"/>
      <w:ind w:firstLine="200" w:firstLineChars="200"/>
      <w:textAlignment w:val="baseline"/>
    </w:pPr>
    <w:rPr>
      <w:rFonts w:ascii="宋体" w:hAnsi="宋体"/>
      <w:color w:val="000000"/>
      <w:spacing w:val="6"/>
      <w:kern w:val="0"/>
      <w:sz w:val="24"/>
    </w:rPr>
  </w:style>
  <w:style w:type="character" w:customStyle="1" w:styleId="1348">
    <w:name w:val="dectext1"/>
    <w:qFormat/>
    <w:uiPriority w:val="0"/>
    <w:rPr>
      <w:rFonts w:hint="eastAsia" w:ascii="宋体" w:hAnsi="宋体" w:eastAsia="宋体"/>
      <w:color w:val="333333"/>
      <w:sz w:val="21"/>
      <w:szCs w:val="21"/>
      <w:u w:val="none"/>
    </w:rPr>
  </w:style>
  <w:style w:type="character" w:customStyle="1" w:styleId="1349">
    <w:name w:val="ZW1 Char Char"/>
    <w:qFormat/>
    <w:uiPriority w:val="0"/>
    <w:rPr>
      <w:rFonts w:ascii="宋体" w:hAnsi="宋体" w:eastAsia="宋体"/>
      <w:sz w:val="24"/>
      <w:szCs w:val="24"/>
      <w:lang w:val="en-US" w:eastAsia="zh-CN" w:bidi="ar-SA"/>
    </w:rPr>
  </w:style>
  <w:style w:type="character" w:customStyle="1" w:styleId="1350">
    <w:name w:val="小五"/>
    <w:qFormat/>
    <w:uiPriority w:val="0"/>
    <w:rPr>
      <w:sz w:val="18"/>
      <w:szCs w:val="18"/>
    </w:rPr>
  </w:style>
  <w:style w:type="character" w:customStyle="1" w:styleId="1351">
    <w:name w:val="h31"/>
    <w:qFormat/>
    <w:uiPriority w:val="0"/>
    <w:rPr>
      <w:sz w:val="23"/>
      <w:szCs w:val="23"/>
    </w:rPr>
  </w:style>
  <w:style w:type="character" w:customStyle="1" w:styleId="1352">
    <w:name w:val="样式 四号 首行缩进:  0.99 厘米 行距: 固定值 25 磅1 Char"/>
    <w:link w:val="1353"/>
    <w:qFormat/>
    <w:uiPriority w:val="0"/>
    <w:rPr>
      <w:rFonts w:ascii="Times New Roman" w:hAnsi="Times New Roman" w:eastAsia="仿宋_GB2312" w:cs="宋体"/>
      <w:kern w:val="2"/>
      <w:sz w:val="28"/>
    </w:rPr>
  </w:style>
  <w:style w:type="paragraph" w:customStyle="1" w:styleId="1353">
    <w:name w:val="样式 四号 首行缩进:  0.99 厘米 行距: 固定值 25 磅1"/>
    <w:basedOn w:val="1"/>
    <w:link w:val="1352"/>
    <w:qFormat/>
    <w:uiPriority w:val="0"/>
    <w:pPr>
      <w:spacing w:line="500" w:lineRule="exact"/>
      <w:ind w:firstLine="560"/>
    </w:pPr>
    <w:rPr>
      <w:rFonts w:cs="宋体"/>
      <w:szCs w:val="20"/>
    </w:rPr>
  </w:style>
  <w:style w:type="character" w:customStyle="1" w:styleId="1354">
    <w:name w:val="正文(首行缩进2字） Char"/>
    <w:link w:val="1355"/>
    <w:qFormat/>
    <w:uiPriority w:val="0"/>
    <w:rPr>
      <w:rFonts w:ascii="Arial" w:hAnsi="Arial" w:eastAsia="仿宋_GB2312" w:cs="Arial"/>
      <w:kern w:val="2"/>
      <w:sz w:val="24"/>
      <w:szCs w:val="24"/>
    </w:rPr>
  </w:style>
  <w:style w:type="paragraph" w:customStyle="1" w:styleId="1355">
    <w:name w:val="正文(首行缩进2字）"/>
    <w:basedOn w:val="1"/>
    <w:link w:val="1354"/>
    <w:qFormat/>
    <w:uiPriority w:val="0"/>
    <w:pPr>
      <w:spacing w:line="480" w:lineRule="exact"/>
    </w:pPr>
    <w:rPr>
      <w:rFonts w:ascii="Arial" w:hAnsi="Arial" w:cs="Arial"/>
      <w:sz w:val="24"/>
    </w:rPr>
  </w:style>
  <w:style w:type="character" w:customStyle="1" w:styleId="1356">
    <w:name w:val="ovb1"/>
    <w:qFormat/>
    <w:uiPriority w:val="0"/>
    <w:rPr>
      <w:rFonts w:hint="eastAsia" w:ascii="宋体" w:hAnsi="宋体" w:eastAsia="宋体"/>
      <w:color w:val="000000"/>
      <w:sz w:val="21"/>
      <w:szCs w:val="21"/>
    </w:rPr>
  </w:style>
  <w:style w:type="character" w:customStyle="1" w:styleId="1357">
    <w:name w:val="页眉1 Char2"/>
    <w:qFormat/>
    <w:uiPriority w:val="0"/>
    <w:rPr>
      <w:rFonts w:eastAsia="宋体"/>
      <w:kern w:val="2"/>
      <w:sz w:val="18"/>
      <w:szCs w:val="18"/>
      <w:lang w:val="en-US" w:eastAsia="zh-CN" w:bidi="ar-SA"/>
    </w:rPr>
  </w:style>
  <w:style w:type="character" w:customStyle="1" w:styleId="1358">
    <w:name w:val="页脚1 Char Char1"/>
    <w:qFormat/>
    <w:uiPriority w:val="0"/>
    <w:rPr>
      <w:rFonts w:eastAsia="宋体"/>
      <w:kern w:val="2"/>
      <w:sz w:val="18"/>
      <w:szCs w:val="18"/>
      <w:lang w:val="en-US" w:eastAsia="zh-CN" w:bidi="ar-SA"/>
    </w:rPr>
  </w:style>
  <w:style w:type="character" w:customStyle="1" w:styleId="1359">
    <w:name w:val="页眉1 Char1"/>
    <w:qFormat/>
    <w:uiPriority w:val="0"/>
    <w:rPr>
      <w:rFonts w:ascii="Calibri" w:hAnsi="Calibri" w:eastAsia="宋体"/>
      <w:kern w:val="2"/>
      <w:sz w:val="18"/>
      <w:szCs w:val="18"/>
      <w:lang w:val="en-US" w:eastAsia="zh-CN" w:bidi="ar-SA"/>
    </w:rPr>
  </w:style>
  <w:style w:type="character" w:customStyle="1" w:styleId="1360">
    <w:name w:val="Char Char201"/>
    <w:qFormat/>
    <w:uiPriority w:val="0"/>
    <w:rPr>
      <w:rFonts w:eastAsia="宋体"/>
      <w:kern w:val="2"/>
      <w:sz w:val="21"/>
      <w:szCs w:val="24"/>
      <w:lang w:val="en-US" w:eastAsia="zh-CN" w:bidi="ar-SA"/>
    </w:rPr>
  </w:style>
  <w:style w:type="character" w:customStyle="1" w:styleId="1361">
    <w:name w:val="副标题 Char2"/>
    <w:qFormat/>
    <w:uiPriority w:val="0"/>
    <w:rPr>
      <w:rFonts w:ascii="宋体" w:hAnsi="宋体" w:eastAsia="文鼎CS大隶书"/>
      <w:bCs/>
      <w:color w:val="008000"/>
      <w:kern w:val="28"/>
      <w:sz w:val="32"/>
      <w:szCs w:val="32"/>
      <w:lang w:val="en-US" w:eastAsia="zh-CN" w:bidi="he-IL"/>
    </w:rPr>
  </w:style>
  <w:style w:type="character" w:customStyle="1" w:styleId="1362">
    <w:name w:val="Char Char136"/>
    <w:semiHidden/>
    <w:qFormat/>
    <w:uiPriority w:val="0"/>
    <w:rPr>
      <w:rFonts w:eastAsia="宋体"/>
      <w:kern w:val="2"/>
      <w:sz w:val="21"/>
      <w:szCs w:val="24"/>
      <w:lang w:val="en-US" w:eastAsia="zh-CN" w:bidi="ar-SA"/>
    </w:rPr>
  </w:style>
  <w:style w:type="character" w:customStyle="1" w:styleId="1363">
    <w:name w:val="WW-纯文本 Char"/>
    <w:link w:val="1364"/>
    <w:qFormat/>
    <w:uiPriority w:val="0"/>
    <w:rPr>
      <w:rFonts w:ascii="宋体" w:hAnsi="宋体" w:eastAsia="楷体_GB2312" w:cs="Courier New"/>
      <w:sz w:val="28"/>
      <w:szCs w:val="21"/>
    </w:rPr>
  </w:style>
  <w:style w:type="paragraph" w:customStyle="1" w:styleId="1364">
    <w:name w:val="WW-纯文本"/>
    <w:basedOn w:val="1"/>
    <w:link w:val="1363"/>
    <w:qFormat/>
    <w:uiPriority w:val="0"/>
    <w:pPr>
      <w:suppressAutoHyphens/>
      <w:spacing w:line="312" w:lineRule="atLeast"/>
      <w:textAlignment w:val="baseline"/>
    </w:pPr>
    <w:rPr>
      <w:rFonts w:ascii="宋体" w:hAnsi="宋体" w:eastAsia="楷体_GB2312" w:cs="Courier New"/>
      <w:kern w:val="0"/>
      <w:szCs w:val="21"/>
    </w:rPr>
  </w:style>
  <w:style w:type="character" w:customStyle="1" w:styleId="1365">
    <w:name w:val="样式 样式 标题 1章标题 1h11st levelSection Headl1标题yjm1featureheadH1... +..."/>
    <w:qFormat/>
    <w:uiPriority w:val="0"/>
    <w:rPr>
      <w:rFonts w:ascii="Times New Roman" w:hAnsi="Times New Roman" w:eastAsia="宋体" w:cs="Arial"/>
      <w:b/>
      <w:sz w:val="30"/>
      <w:szCs w:val="28"/>
    </w:rPr>
  </w:style>
  <w:style w:type="character" w:customStyle="1" w:styleId="1366">
    <w:name w:val="Char Char27"/>
    <w:qFormat/>
    <w:uiPriority w:val="0"/>
    <w:rPr>
      <w:rFonts w:eastAsia="宋体"/>
      <w:kern w:val="2"/>
      <w:sz w:val="21"/>
      <w:szCs w:val="24"/>
      <w:lang w:val="en-US" w:eastAsia="zh-CN" w:bidi="ar-SA"/>
    </w:rPr>
  </w:style>
  <w:style w:type="character" w:customStyle="1" w:styleId="1367">
    <w:name w:val="Char Char10"/>
    <w:qFormat/>
    <w:uiPriority w:val="0"/>
    <w:rPr>
      <w:rFonts w:eastAsia="宋体"/>
      <w:kern w:val="2"/>
      <w:sz w:val="18"/>
      <w:szCs w:val="18"/>
      <w:lang w:val="en-US" w:eastAsia="zh-CN" w:bidi="ar-SA"/>
    </w:rPr>
  </w:style>
  <w:style w:type="character" w:customStyle="1" w:styleId="1368">
    <w:name w:val="2 Char Char"/>
    <w:qFormat/>
    <w:uiPriority w:val="0"/>
    <w:rPr>
      <w:rFonts w:eastAsia="宋体"/>
      <w:b/>
      <w:bCs/>
      <w:kern w:val="2"/>
      <w:sz w:val="30"/>
      <w:szCs w:val="24"/>
    </w:rPr>
  </w:style>
  <w:style w:type="character" w:customStyle="1" w:styleId="1369">
    <w:name w:val="报告表  段 Char Char Char"/>
    <w:qFormat/>
    <w:uiPriority w:val="0"/>
    <w:rPr>
      <w:rFonts w:ascii="宋体" w:eastAsia="宋体"/>
      <w:sz w:val="24"/>
      <w:lang w:val="en-US" w:eastAsia="zh-CN" w:bidi="ar-SA"/>
    </w:rPr>
  </w:style>
  <w:style w:type="character" w:customStyle="1" w:styleId="1370">
    <w:name w:val="正文文本缩进 3 Char Char"/>
    <w:qFormat/>
    <w:uiPriority w:val="0"/>
    <w:rPr>
      <w:rFonts w:eastAsia="宋体"/>
      <w:spacing w:val="20"/>
      <w:kern w:val="2"/>
      <w:sz w:val="16"/>
      <w:szCs w:val="16"/>
      <w:lang w:val="en-US" w:eastAsia="zh-CN" w:bidi="ar-SA"/>
    </w:rPr>
  </w:style>
  <w:style w:type="character" w:customStyle="1" w:styleId="1371">
    <w:name w:val="2 Char Char Char"/>
    <w:qFormat/>
    <w:uiPriority w:val="0"/>
    <w:rPr>
      <w:rFonts w:eastAsia="宋体"/>
      <w:b/>
      <w:bCs/>
      <w:kern w:val="2"/>
      <w:sz w:val="30"/>
      <w:szCs w:val="24"/>
      <w:lang w:val="en-US" w:eastAsia="zh-CN" w:bidi="ar-SA"/>
    </w:rPr>
  </w:style>
  <w:style w:type="character" w:customStyle="1" w:styleId="1372">
    <w:name w:val="Char Char25"/>
    <w:qFormat/>
    <w:uiPriority w:val="0"/>
    <w:rPr>
      <w:rFonts w:eastAsia="宋体"/>
      <w:kern w:val="2"/>
      <w:sz w:val="18"/>
      <w:szCs w:val="18"/>
      <w:lang w:val="en-US" w:eastAsia="zh-CN" w:bidi="ar-SA"/>
    </w:rPr>
  </w:style>
  <w:style w:type="character" w:customStyle="1" w:styleId="1373">
    <w:name w:val="样式 标题 1 + (中文) 仿宋_GB2312 Char"/>
    <w:link w:val="1374"/>
    <w:qFormat/>
    <w:uiPriority w:val="0"/>
    <w:rPr>
      <w:rFonts w:eastAsia="仿宋_GB2312"/>
      <w:b/>
      <w:bCs/>
      <w:kern w:val="44"/>
      <w:sz w:val="44"/>
      <w:szCs w:val="44"/>
    </w:rPr>
  </w:style>
  <w:style w:type="paragraph" w:customStyle="1" w:styleId="1374">
    <w:name w:val="样式 标题 1 + (中文) 仿宋_GB2312"/>
    <w:basedOn w:val="5"/>
    <w:link w:val="1373"/>
    <w:qFormat/>
    <w:uiPriority w:val="0"/>
    <w:pPr>
      <w:spacing w:before="0" w:after="0" w:line="240" w:lineRule="auto"/>
      <w:ind w:left="0" w:firstLine="0" w:firstLineChars="0"/>
      <w:jc w:val="center"/>
      <w:outlineLvl w:val="9"/>
    </w:pPr>
    <w:rPr>
      <w:rFonts w:ascii="Calibri" w:hAnsi="Calibri"/>
    </w:rPr>
  </w:style>
  <w:style w:type="character" w:customStyle="1" w:styleId="1375">
    <w:name w:val="表头样式1 Char1"/>
    <w:link w:val="1376"/>
    <w:qFormat/>
    <w:uiPriority w:val="0"/>
    <w:rPr>
      <w:rFonts w:ascii="Times New Roman" w:hAnsi="Times New Roman" w:eastAsia="黑体"/>
      <w:b/>
      <w:sz w:val="24"/>
    </w:rPr>
  </w:style>
  <w:style w:type="paragraph" w:customStyle="1" w:styleId="1376">
    <w:name w:val="表头样式1"/>
    <w:basedOn w:val="1"/>
    <w:link w:val="1375"/>
    <w:qFormat/>
    <w:uiPriority w:val="0"/>
    <w:pPr>
      <w:spacing w:beforeLines="50"/>
      <w:jc w:val="center"/>
    </w:pPr>
    <w:rPr>
      <w:rFonts w:eastAsia="黑体"/>
      <w:b/>
      <w:kern w:val="0"/>
      <w:sz w:val="24"/>
      <w:szCs w:val="20"/>
    </w:rPr>
  </w:style>
  <w:style w:type="character" w:customStyle="1" w:styleId="1377">
    <w:name w:val="font01"/>
    <w:qFormat/>
    <w:uiPriority w:val="0"/>
    <w:rPr>
      <w:rFonts w:hint="eastAsia" w:ascii="宋体" w:hAnsi="宋体" w:eastAsia="宋体" w:cs="宋体"/>
      <w:color w:val="000000"/>
      <w:sz w:val="21"/>
      <w:szCs w:val="21"/>
      <w:u w:val="none"/>
      <w:vertAlign w:val="superscript"/>
    </w:rPr>
  </w:style>
  <w:style w:type="character" w:customStyle="1" w:styleId="1378">
    <w:name w:val="hover27"/>
    <w:qFormat/>
    <w:uiPriority w:val="0"/>
  </w:style>
  <w:style w:type="character" w:customStyle="1" w:styleId="1379">
    <w:name w:val="正文文字 3 Char2"/>
    <w:qFormat/>
    <w:uiPriority w:val="0"/>
    <w:rPr>
      <w:sz w:val="16"/>
      <w:szCs w:val="16"/>
    </w:rPr>
  </w:style>
  <w:style w:type="character" w:customStyle="1" w:styleId="1380">
    <w:name w:val="样式 黑体 居中 行距: 1.5 倍行距 Char"/>
    <w:link w:val="1381"/>
    <w:qFormat/>
    <w:uiPriority w:val="0"/>
    <w:rPr>
      <w:rFonts w:ascii="黑体" w:hAnsi="黑体" w:eastAsia="黑体" w:cs="宋体"/>
      <w:sz w:val="24"/>
    </w:rPr>
  </w:style>
  <w:style w:type="paragraph" w:customStyle="1" w:styleId="1381">
    <w:name w:val="样式 黑体 居中 行距: 1.5 倍行距"/>
    <w:basedOn w:val="1"/>
    <w:link w:val="1380"/>
    <w:qFormat/>
    <w:uiPriority w:val="0"/>
    <w:pPr>
      <w:spacing w:line="360" w:lineRule="auto"/>
      <w:jc w:val="center"/>
    </w:pPr>
    <w:rPr>
      <w:rFonts w:ascii="黑体" w:hAnsi="黑体" w:eastAsia="黑体" w:cs="宋体"/>
      <w:kern w:val="0"/>
      <w:sz w:val="24"/>
      <w:szCs w:val="20"/>
    </w:rPr>
  </w:style>
  <w:style w:type="character" w:customStyle="1" w:styleId="1382">
    <w:name w:val="标题 32"/>
    <w:qFormat/>
    <w:uiPriority w:val="0"/>
    <w:rPr>
      <w:rFonts w:ascii="宋体" w:hAnsi="宋体" w:eastAsia="楷体_GB2312"/>
      <w:b/>
      <w:spacing w:val="10"/>
      <w:kern w:val="2"/>
      <w:sz w:val="24"/>
      <w:lang w:val="en-US" w:eastAsia="zh-CN"/>
    </w:rPr>
  </w:style>
  <w:style w:type="character" w:customStyle="1" w:styleId="1383">
    <w:name w:val="样式 标题 8图表名称 + 首行缩进:  0.99 厘米 Char Char Char Char"/>
    <w:link w:val="1384"/>
    <w:qFormat/>
    <w:uiPriority w:val="0"/>
    <w:rPr>
      <w:rFonts w:ascii="Arial" w:hAnsi="Arial" w:cs="宋体"/>
      <w:b/>
      <w:bCs/>
      <w:kern w:val="2"/>
      <w:sz w:val="28"/>
      <w:szCs w:val="28"/>
      <w:u w:val="thick"/>
    </w:rPr>
  </w:style>
  <w:style w:type="paragraph" w:customStyle="1" w:styleId="1384">
    <w:name w:val="样式 标题 8图表名称 + 首行缩进:  0.99 厘米 Char Char Char"/>
    <w:basedOn w:val="14"/>
    <w:link w:val="1383"/>
    <w:qFormat/>
    <w:uiPriority w:val="0"/>
    <w:pPr>
      <w:keepLines w:val="0"/>
      <w:autoSpaceDE/>
      <w:autoSpaceDN/>
      <w:spacing w:before="0" w:after="0" w:line="520" w:lineRule="exact"/>
      <w:ind w:left="0" w:firstLine="200"/>
      <w:textAlignment w:val="auto"/>
    </w:pPr>
    <w:rPr>
      <w:rFonts w:eastAsia="宋体" w:cs="宋体"/>
      <w:b/>
      <w:bCs/>
      <w:color w:val="auto"/>
      <w:kern w:val="2"/>
      <w:sz w:val="28"/>
      <w:szCs w:val="28"/>
      <w:u w:val="thick"/>
    </w:rPr>
  </w:style>
  <w:style w:type="character" w:customStyle="1" w:styleId="1385">
    <w:name w:val="正文文字缩进 3 Char Char Char Char"/>
    <w:qFormat/>
    <w:uiPriority w:val="0"/>
    <w:rPr>
      <w:sz w:val="16"/>
      <w:szCs w:val="16"/>
    </w:rPr>
  </w:style>
  <w:style w:type="character" w:customStyle="1" w:styleId="1386">
    <w:name w:val="正文文本1 Char1 Char Char Char Char Char Char Char3"/>
    <w:qFormat/>
    <w:uiPriority w:val="0"/>
    <w:rPr>
      <w:sz w:val="18"/>
    </w:rPr>
  </w:style>
  <w:style w:type="character" w:customStyle="1" w:styleId="1387">
    <w:name w:val="样式 表格11 + 居中 Char"/>
    <w:link w:val="1388"/>
    <w:qFormat/>
    <w:uiPriority w:val="0"/>
    <w:rPr>
      <w:rFonts w:ascii="Times New Roman" w:hAnsi="Times New Roman" w:cs="宋体"/>
      <w:sz w:val="21"/>
      <w:szCs w:val="21"/>
    </w:rPr>
  </w:style>
  <w:style w:type="paragraph" w:customStyle="1" w:styleId="1388">
    <w:name w:val="样式 表格11 + 居中"/>
    <w:basedOn w:val="910"/>
    <w:link w:val="1387"/>
    <w:qFormat/>
    <w:uiPriority w:val="0"/>
    <w:pPr>
      <w:spacing w:line="240" w:lineRule="exact"/>
    </w:pPr>
    <w:rPr>
      <w:rFonts w:eastAsia="宋体" w:cs="宋体"/>
      <w:kern w:val="0"/>
      <w:sz w:val="21"/>
      <w:szCs w:val="21"/>
    </w:rPr>
  </w:style>
  <w:style w:type="character" w:customStyle="1" w:styleId="1389">
    <w:name w:val="样式 表头11 + 自动设置 Char"/>
    <w:link w:val="1390"/>
    <w:qFormat/>
    <w:uiPriority w:val="0"/>
    <w:rPr>
      <w:rFonts w:ascii="宋体" w:hAnsi="宋体"/>
      <w:b/>
      <w:bCs/>
      <w:color w:val="000000"/>
      <w:kern w:val="2"/>
      <w:sz w:val="24"/>
      <w:szCs w:val="21"/>
    </w:rPr>
  </w:style>
  <w:style w:type="paragraph" w:customStyle="1" w:styleId="1390">
    <w:name w:val="样式 表头11 + 自动设置"/>
    <w:basedOn w:val="1391"/>
    <w:link w:val="1389"/>
    <w:qFormat/>
    <w:uiPriority w:val="0"/>
    <w:pPr>
      <w:spacing w:line="240" w:lineRule="auto"/>
    </w:pPr>
    <w:rPr>
      <w:rFonts w:eastAsia="宋体"/>
      <w:bCs/>
      <w:color w:val="000000"/>
      <w:szCs w:val="21"/>
    </w:rPr>
  </w:style>
  <w:style w:type="paragraph" w:customStyle="1" w:styleId="1391">
    <w:name w:val="表头11"/>
    <w:basedOn w:val="1"/>
    <w:link w:val="1392"/>
    <w:qFormat/>
    <w:uiPriority w:val="0"/>
    <w:pPr>
      <w:spacing w:line="480" w:lineRule="exact"/>
      <w:jc w:val="center"/>
    </w:pPr>
    <w:rPr>
      <w:rFonts w:ascii="宋体" w:hAnsi="宋体"/>
      <w:b/>
      <w:color w:val="FF0000"/>
      <w:sz w:val="24"/>
    </w:rPr>
  </w:style>
  <w:style w:type="character" w:customStyle="1" w:styleId="1392">
    <w:name w:val="表头11 Char"/>
    <w:link w:val="1391"/>
    <w:qFormat/>
    <w:uiPriority w:val="0"/>
    <w:rPr>
      <w:rFonts w:ascii="宋体" w:hAnsi="宋体" w:eastAsia="仿宋_GB2312"/>
      <w:b/>
      <w:color w:val="FF0000"/>
      <w:kern w:val="2"/>
      <w:sz w:val="24"/>
      <w:szCs w:val="24"/>
    </w:rPr>
  </w:style>
  <w:style w:type="character" w:customStyle="1" w:styleId="1393">
    <w:name w:val="样式1 Char Char Char Char Char Char Char Char"/>
    <w:link w:val="1394"/>
    <w:qFormat/>
    <w:uiPriority w:val="0"/>
    <w:rPr>
      <w:rFonts w:ascii="宋体" w:hAnsi="宋体"/>
      <w:kern w:val="2"/>
      <w:sz w:val="24"/>
      <w:szCs w:val="24"/>
    </w:rPr>
  </w:style>
  <w:style w:type="paragraph" w:customStyle="1" w:styleId="1394">
    <w:name w:val="样式1 Char Char Char Char Char Char Char"/>
    <w:basedOn w:val="1"/>
    <w:link w:val="1393"/>
    <w:qFormat/>
    <w:uiPriority w:val="0"/>
    <w:pPr>
      <w:spacing w:line="560" w:lineRule="atLeast"/>
      <w:ind w:firstLine="480"/>
    </w:pPr>
    <w:rPr>
      <w:rFonts w:ascii="宋体" w:hAnsi="宋体" w:eastAsia="宋体"/>
      <w:sz w:val="24"/>
    </w:rPr>
  </w:style>
  <w:style w:type="character" w:customStyle="1" w:styleId="1395">
    <w:name w:val="Char Char172"/>
    <w:qFormat/>
    <w:uiPriority w:val="0"/>
    <w:rPr>
      <w:rFonts w:ascii="Arial" w:hAnsi="Arial" w:eastAsia="黑体"/>
      <w:b/>
      <w:bCs/>
    </w:rPr>
  </w:style>
  <w:style w:type="character" w:customStyle="1" w:styleId="1396">
    <w:name w:val="Char9 Char Char1"/>
    <w:qFormat/>
    <w:uiPriority w:val="0"/>
    <w:rPr>
      <w:sz w:val="18"/>
      <w:szCs w:val="18"/>
    </w:rPr>
  </w:style>
  <w:style w:type="character" w:customStyle="1" w:styleId="1397">
    <w:name w:val="正文(首行缩进) Char Char"/>
    <w:qFormat/>
    <w:uiPriority w:val="0"/>
    <w:rPr>
      <w:bCs/>
      <w:snapToGrid/>
    </w:rPr>
  </w:style>
  <w:style w:type="character" w:customStyle="1" w:styleId="1398">
    <w:name w:val="正文首行缩进 2 Char1"/>
    <w:qFormat/>
    <w:uiPriority w:val="0"/>
    <w:rPr>
      <w:rFonts w:ascii="Times New Roman" w:hAnsi="Times New Roman"/>
      <w:sz w:val="21"/>
    </w:rPr>
  </w:style>
  <w:style w:type="character" w:customStyle="1" w:styleId="1399">
    <w:name w:val="Char Char3"/>
    <w:qFormat/>
    <w:uiPriority w:val="0"/>
    <w:rPr>
      <w:rFonts w:eastAsia="华康简宋"/>
      <w:kern w:val="2"/>
      <w:sz w:val="24"/>
      <w:lang w:val="en-US" w:eastAsia="zh-CN" w:bidi="ar-SA"/>
    </w:rPr>
  </w:style>
  <w:style w:type="character" w:customStyle="1" w:styleId="1400">
    <w:name w:val="表头11 Char Char Char Char"/>
    <w:link w:val="521"/>
    <w:qFormat/>
    <w:uiPriority w:val="0"/>
    <w:rPr>
      <w:rFonts w:ascii="宋体" w:hAnsi="宋体" w:eastAsia="仿宋_GB2312"/>
      <w:b/>
      <w:color w:val="FF0000"/>
      <w:kern w:val="2"/>
      <w:sz w:val="24"/>
      <w:szCs w:val="24"/>
    </w:rPr>
  </w:style>
  <w:style w:type="character" w:customStyle="1" w:styleId="1401">
    <w:name w:val="Char10 Char Char"/>
    <w:qFormat/>
    <w:uiPriority w:val="0"/>
    <w:rPr>
      <w:sz w:val="21"/>
      <w:shd w:val="clear" w:color="auto" w:fill="000080"/>
    </w:rPr>
  </w:style>
  <w:style w:type="character" w:customStyle="1" w:styleId="1402">
    <w:name w:val="样式 段前: 0.5 行 Char Char1"/>
    <w:qFormat/>
    <w:uiPriority w:val="0"/>
  </w:style>
  <w:style w:type="character" w:customStyle="1" w:styleId="1403">
    <w:name w:val="heading1 Char"/>
    <w:qFormat/>
    <w:uiPriority w:val="0"/>
    <w:rPr>
      <w:rFonts w:eastAsia="宋体"/>
      <w:b/>
      <w:bCs/>
      <w:kern w:val="44"/>
      <w:sz w:val="44"/>
      <w:szCs w:val="44"/>
      <w:lang w:val="en-US" w:eastAsia="zh-CN" w:bidi="ar-SA"/>
    </w:rPr>
  </w:style>
  <w:style w:type="character" w:customStyle="1" w:styleId="1404">
    <w:name w:val="Char Char84"/>
    <w:qFormat/>
    <w:uiPriority w:val="0"/>
    <w:rPr>
      <w:rFonts w:eastAsia="华文细黑" w:cs="宋体"/>
      <w:b/>
      <w:bCs/>
      <w:color w:val="000000"/>
      <w:kern w:val="2"/>
      <w:sz w:val="28"/>
      <w:szCs w:val="28"/>
      <w:lang w:val="en-US" w:eastAsia="zh-CN" w:bidi="ar-SA"/>
    </w:rPr>
  </w:style>
  <w:style w:type="character" w:customStyle="1" w:styleId="1405">
    <w:name w:val="表头 Char2"/>
    <w:qFormat/>
    <w:uiPriority w:val="0"/>
    <w:rPr>
      <w:rFonts w:ascii="Times New Roman" w:hAnsi="Times New Roman" w:eastAsia="黑体"/>
      <w:bCs/>
      <w:color w:val="FF0000"/>
      <w:sz w:val="18"/>
      <w:szCs w:val="18"/>
      <w:lang w:val="en-US" w:eastAsia="zh-CN"/>
    </w:rPr>
  </w:style>
  <w:style w:type="character" w:customStyle="1" w:styleId="1406">
    <w:name w:val="title1"/>
    <w:qFormat/>
    <w:uiPriority w:val="0"/>
  </w:style>
  <w:style w:type="character" w:customStyle="1" w:styleId="1407">
    <w:name w:val="样式 标题 3标题 3 CharH3B Head + 宋体 小三 Char Char Char Char Char Char"/>
    <w:qFormat/>
    <w:uiPriority w:val="0"/>
    <w:rPr>
      <w:rFonts w:eastAsia="黑体"/>
      <w:bCs/>
      <w:sz w:val="30"/>
      <w:szCs w:val="28"/>
    </w:rPr>
  </w:style>
  <w:style w:type="character" w:customStyle="1" w:styleId="1408">
    <w:name w:val="样式 样式 样式 宋体 段前: 0.5 行 行距: 固定值 18 磅 + 首行缩进:  2 字符 + (西文) 宋体 Char"/>
    <w:link w:val="719"/>
    <w:qFormat/>
    <w:uiPriority w:val="0"/>
    <w:rPr>
      <w:rFonts w:ascii="Times New Roman" w:hAnsi="Times New Roman" w:eastAsia="Times New Roman" w:cs="宋体"/>
      <w:snapToGrid/>
      <w:color w:val="000000"/>
      <w:kern w:val="2"/>
      <w:sz w:val="24"/>
      <w:szCs w:val="18"/>
      <w:lang w:val="en-GB"/>
    </w:rPr>
  </w:style>
  <w:style w:type="character" w:customStyle="1" w:styleId="1409">
    <w:name w:val="样式 样式 宋体 段前: 0.5 行 行距: 固定值 18 磅 + 首行缩进:  2 字符 Char"/>
    <w:link w:val="720"/>
    <w:qFormat/>
    <w:uiPriority w:val="0"/>
    <w:rPr>
      <w:rFonts w:ascii="宋体" w:hAnsi="宋体" w:eastAsia="仿宋_GB2312"/>
      <w:snapToGrid/>
      <w:color w:val="000000"/>
      <w:kern w:val="2"/>
      <w:sz w:val="24"/>
      <w:szCs w:val="24"/>
      <w:lang w:val="en-GB"/>
    </w:rPr>
  </w:style>
  <w:style w:type="character" w:customStyle="1" w:styleId="1410">
    <w:name w:val="q21"/>
    <w:qFormat/>
    <w:uiPriority w:val="0"/>
    <w:rPr>
      <w:rFonts w:hint="default" w:ascii="Arial" w:hAnsi="Arial" w:cs="Arial"/>
      <w:color w:val="000000"/>
      <w:sz w:val="18"/>
      <w:szCs w:val="18"/>
      <w:u w:val="none"/>
    </w:rPr>
  </w:style>
  <w:style w:type="character" w:customStyle="1" w:styleId="1411">
    <w:name w:val="style6"/>
    <w:qFormat/>
    <w:uiPriority w:val="0"/>
  </w:style>
  <w:style w:type="character" w:customStyle="1" w:styleId="1412">
    <w:name w:val="HZZH表头 Char"/>
    <w:link w:val="1413"/>
    <w:qFormat/>
    <w:uiPriority w:val="0"/>
    <w:rPr>
      <w:b/>
      <w:bCs/>
      <w:sz w:val="21"/>
      <w:szCs w:val="21"/>
    </w:rPr>
  </w:style>
  <w:style w:type="paragraph" w:customStyle="1" w:styleId="1413">
    <w:name w:val="HZZH表头"/>
    <w:basedOn w:val="1"/>
    <w:link w:val="1412"/>
    <w:qFormat/>
    <w:uiPriority w:val="0"/>
    <w:pPr>
      <w:ind w:firstLine="482"/>
      <w:jc w:val="center"/>
    </w:pPr>
    <w:rPr>
      <w:rFonts w:ascii="Calibri" w:hAnsi="Calibri" w:eastAsia="宋体"/>
      <w:b/>
      <w:bCs/>
      <w:kern w:val="0"/>
      <w:sz w:val="21"/>
      <w:szCs w:val="21"/>
    </w:rPr>
  </w:style>
  <w:style w:type="character" w:customStyle="1" w:styleId="1414">
    <w:name w:val="ca-11"/>
    <w:qFormat/>
    <w:uiPriority w:val="0"/>
    <w:rPr>
      <w:rFonts w:hint="eastAsia"/>
      <w:color w:val="000000"/>
      <w:sz w:val="28"/>
      <w:szCs w:val="28"/>
    </w:rPr>
  </w:style>
  <w:style w:type="character" w:customStyle="1" w:styleId="1415">
    <w:name w:val="正文文字缩进 3 Char4"/>
    <w:qFormat/>
    <w:uiPriority w:val="0"/>
    <w:rPr>
      <w:rFonts w:ascii="Times New Roman" w:hAnsi="Times New Roman"/>
      <w:spacing w:val="6"/>
    </w:rPr>
  </w:style>
  <w:style w:type="character" w:customStyle="1" w:styleId="1416">
    <w:name w:val="HTML 预先格式化 Char4"/>
    <w:qFormat/>
    <w:uiPriority w:val="0"/>
    <w:rPr>
      <w:rFonts w:ascii="Courier New" w:hAnsi="Courier New" w:cs="Courier New"/>
    </w:rPr>
  </w:style>
  <w:style w:type="character" w:customStyle="1" w:styleId="1417">
    <w:name w:val="newsbody3"/>
    <w:qFormat/>
    <w:uiPriority w:val="0"/>
    <w:rPr>
      <w:sz w:val="21"/>
    </w:rPr>
  </w:style>
  <w:style w:type="character" w:customStyle="1" w:styleId="1418">
    <w:name w:val="报告书正文 Char Char Char Char Char Char Char Char Char Char Char Char Char Char Char"/>
    <w:link w:val="1419"/>
    <w:qFormat/>
    <w:uiPriority w:val="0"/>
    <w:rPr>
      <w:rFonts w:ascii="Times New Roman" w:hAnsi="Times New Roman"/>
      <w:color w:val="000000"/>
      <w:kern w:val="2"/>
      <w:sz w:val="24"/>
      <w:szCs w:val="24"/>
    </w:rPr>
  </w:style>
  <w:style w:type="paragraph" w:customStyle="1" w:styleId="1419">
    <w:name w:val="报告书正文 Char Char Char Char Char Char Char Char Char Char Char Char Char Char"/>
    <w:basedOn w:val="1"/>
    <w:link w:val="1418"/>
    <w:qFormat/>
    <w:uiPriority w:val="0"/>
    <w:pPr>
      <w:spacing w:line="300" w:lineRule="auto"/>
      <w:ind w:firstLine="480"/>
    </w:pPr>
    <w:rPr>
      <w:rFonts w:eastAsia="宋体"/>
      <w:color w:val="000000"/>
      <w:sz w:val="24"/>
    </w:rPr>
  </w:style>
  <w:style w:type="character" w:customStyle="1" w:styleId="1420">
    <w:name w:val="Char Char152"/>
    <w:qFormat/>
    <w:uiPriority w:val="0"/>
    <w:rPr>
      <w:sz w:val="18"/>
    </w:rPr>
  </w:style>
  <w:style w:type="character" w:customStyle="1" w:styleId="1421">
    <w:name w:val="自定义正文 Char Char Char Char Char Char Char Char Char Char Char"/>
    <w:link w:val="1422"/>
    <w:qFormat/>
    <w:uiPriority w:val="0"/>
    <w:rPr>
      <w:kern w:val="2"/>
      <w:position w:val="-28"/>
      <w:sz w:val="28"/>
      <w:szCs w:val="28"/>
    </w:rPr>
  </w:style>
  <w:style w:type="paragraph" w:customStyle="1" w:styleId="1422">
    <w:name w:val="自定义正文 Char Char Char Char Char Char Char Char Char Char"/>
    <w:link w:val="1421"/>
    <w:qFormat/>
    <w:uiPriority w:val="0"/>
    <w:pPr>
      <w:widowControl w:val="0"/>
      <w:topLinePunct/>
      <w:adjustRightInd w:val="0"/>
      <w:snapToGrid w:val="0"/>
      <w:spacing w:line="360" w:lineRule="auto"/>
      <w:ind w:firstLine="510"/>
      <w:jc w:val="both"/>
    </w:pPr>
    <w:rPr>
      <w:rFonts w:ascii="Calibri" w:hAnsi="Calibri" w:eastAsia="宋体" w:cs="Times New Roman"/>
      <w:kern w:val="2"/>
      <w:position w:val="-28"/>
      <w:sz w:val="28"/>
      <w:szCs w:val="28"/>
      <w:lang w:val="en-US" w:eastAsia="zh-CN" w:bidi="ar-SA"/>
    </w:rPr>
  </w:style>
  <w:style w:type="character" w:customStyle="1" w:styleId="1423">
    <w:name w:val="样式 标题 3标题 3 CharH3B Head + 宋体 小三 Char Char Char Char Char Char Char Char Char"/>
    <w:link w:val="1424"/>
    <w:qFormat/>
    <w:uiPriority w:val="0"/>
    <w:rPr>
      <w:rFonts w:ascii="宋体" w:hAnsi="宋体" w:eastAsia="黑体"/>
      <w:bCs/>
      <w:sz w:val="30"/>
      <w:szCs w:val="28"/>
    </w:rPr>
  </w:style>
  <w:style w:type="paragraph" w:customStyle="1" w:styleId="1424">
    <w:name w:val="样式 标题 3标题 3 CharH3B Head + 宋体 小三 Char Char Char Char Char Char Char Char"/>
    <w:basedOn w:val="7"/>
    <w:link w:val="1423"/>
    <w:qFormat/>
    <w:uiPriority w:val="0"/>
    <w:pPr>
      <w:keepLines w:val="0"/>
      <w:tabs>
        <w:tab w:val="left" w:pos="1412"/>
        <w:tab w:val="clear" w:pos="1440"/>
      </w:tabs>
      <w:spacing w:before="240"/>
    </w:pPr>
    <w:rPr>
      <w:rFonts w:ascii="宋体" w:hAnsi="宋体"/>
      <w:b w:val="0"/>
      <w:bCs/>
      <w:sz w:val="30"/>
      <w:szCs w:val="28"/>
    </w:rPr>
  </w:style>
  <w:style w:type="character" w:customStyle="1" w:styleId="1425">
    <w:name w:val="样式 样式 宋体 段前: 0.5 行 行距: 固定值 18 磅 + 首行缩进:  2 字符 Char Char"/>
    <w:qFormat/>
    <w:uiPriority w:val="0"/>
    <w:rPr>
      <w:snapToGrid/>
      <w:color w:val="000000"/>
      <w:lang w:val="en-GB"/>
    </w:rPr>
  </w:style>
  <w:style w:type="character" w:customStyle="1" w:styleId="1426">
    <w:name w:val="Char Char64"/>
    <w:qFormat/>
    <w:uiPriority w:val="0"/>
    <w:rPr>
      <w:rFonts w:eastAsia="宋体"/>
      <w:b/>
      <w:kern w:val="44"/>
      <w:sz w:val="36"/>
      <w:lang w:val="en-US" w:eastAsia="zh-CN" w:bidi="ar-SA"/>
    </w:rPr>
  </w:style>
  <w:style w:type="character" w:customStyle="1" w:styleId="1427">
    <w:name w:val="孙普文字 Char1"/>
    <w:qFormat/>
    <w:uiPriority w:val="0"/>
    <w:rPr>
      <w:rFonts w:hAnsi="Courier New" w:cs="Times New Roman"/>
    </w:rPr>
  </w:style>
  <w:style w:type="character" w:customStyle="1" w:styleId="1428">
    <w:name w:val="unnamed6"/>
    <w:qFormat/>
    <w:uiPriority w:val="0"/>
  </w:style>
  <w:style w:type="character" w:customStyle="1" w:styleId="1429">
    <w:name w:val="报告书正文 Char Char Char Char1"/>
    <w:qFormat/>
    <w:uiPriority w:val="0"/>
  </w:style>
  <w:style w:type="character" w:customStyle="1" w:styleId="1430">
    <w:name w:val="样式 标题 4 + 宋体 Char Char Char Char Char2"/>
    <w:qFormat/>
    <w:uiPriority w:val="0"/>
    <w:rPr>
      <w:bCs/>
    </w:rPr>
  </w:style>
  <w:style w:type="character" w:customStyle="1" w:styleId="1431">
    <w:name w:val="123YJ Char5"/>
    <w:qFormat/>
    <w:uiPriority w:val="0"/>
    <w:rPr>
      <w:sz w:val="18"/>
    </w:rPr>
  </w:style>
  <w:style w:type="character" w:customStyle="1" w:styleId="1432">
    <w:name w:val="样式 郝家梁正文 + 宋体 Char"/>
    <w:link w:val="1433"/>
    <w:qFormat/>
    <w:uiPriority w:val="0"/>
    <w:rPr>
      <w:rFonts w:ascii="宋体" w:hAnsi="宋体"/>
      <w:color w:val="000000"/>
      <w:kern w:val="2"/>
      <w:sz w:val="24"/>
    </w:rPr>
  </w:style>
  <w:style w:type="paragraph" w:customStyle="1" w:styleId="1433">
    <w:name w:val="样式 郝家梁正文 + 宋体"/>
    <w:basedOn w:val="1"/>
    <w:link w:val="1432"/>
    <w:qFormat/>
    <w:uiPriority w:val="0"/>
    <w:pPr>
      <w:spacing w:line="360" w:lineRule="auto"/>
      <w:ind w:firstLine="482"/>
    </w:pPr>
    <w:rPr>
      <w:rFonts w:ascii="宋体" w:hAnsi="宋体" w:eastAsia="宋体"/>
      <w:color w:val="000000"/>
      <w:sz w:val="24"/>
      <w:szCs w:val="20"/>
    </w:rPr>
  </w:style>
  <w:style w:type="character" w:customStyle="1" w:styleId="1434">
    <w:name w:val="Char Char95"/>
    <w:qFormat/>
    <w:uiPriority w:val="0"/>
    <w:rPr>
      <w:rFonts w:eastAsia="黑体"/>
      <w:b/>
      <w:bCs/>
      <w:kern w:val="44"/>
      <w:sz w:val="52"/>
      <w:szCs w:val="44"/>
      <w:lang w:val="en-US" w:eastAsia="zh-CN" w:bidi="ar-SA"/>
    </w:rPr>
  </w:style>
  <w:style w:type="character" w:customStyle="1" w:styleId="1435">
    <w:name w:val="正文文本1 Char1 Char Char Char Char Char Char Char"/>
    <w:qFormat/>
    <w:uiPriority w:val="0"/>
    <w:rPr>
      <w:color w:val="000000"/>
      <w:sz w:val="18"/>
      <w:szCs w:val="18"/>
    </w:rPr>
  </w:style>
  <w:style w:type="character" w:customStyle="1" w:styleId="1436">
    <w:name w:val="123YJ Char1"/>
    <w:qFormat/>
    <w:uiPriority w:val="0"/>
    <w:rPr>
      <w:color w:val="000000"/>
      <w:sz w:val="18"/>
      <w:szCs w:val="18"/>
    </w:rPr>
  </w:style>
  <w:style w:type="character" w:customStyle="1" w:styleId="1437">
    <w:name w:val="自定义正文 Char Char Char Char Char"/>
    <w:qFormat/>
    <w:uiPriority w:val="0"/>
    <w:rPr>
      <w:position w:val="-28"/>
      <w:sz w:val="28"/>
      <w:szCs w:val="28"/>
    </w:rPr>
  </w:style>
  <w:style w:type="character" w:customStyle="1" w:styleId="1438">
    <w:name w:val="3dfont"/>
    <w:qFormat/>
    <w:uiPriority w:val="0"/>
  </w:style>
  <w:style w:type="character" w:customStyle="1" w:styleId="1439">
    <w:name w:val="普通文字 Char Char Char Char Char Char Char Char Char Char Char Char Char Char Char Char Char Char Char Char Char Char Char Char1 Char Char Char Char1"/>
    <w:qFormat/>
    <w:uiPriority w:val="0"/>
    <w:rPr>
      <w:rFonts w:hAnsi="Courier New" w:cs="Courier New"/>
      <w:sz w:val="21"/>
      <w:szCs w:val="21"/>
    </w:rPr>
  </w:style>
  <w:style w:type="character" w:customStyle="1" w:styleId="1440">
    <w:name w:val="样式 标题 3标题 3 CharH3B Head + 宋体 小三 Char Char Char Char Char Char Char"/>
    <w:qFormat/>
    <w:uiPriority w:val="0"/>
    <w:rPr>
      <w:rFonts w:eastAsia="黑体"/>
      <w:bCs/>
      <w:sz w:val="30"/>
      <w:szCs w:val="28"/>
    </w:rPr>
  </w:style>
  <w:style w:type="character" w:customStyle="1" w:styleId="1441">
    <w:name w:val="Char10 Char Char2"/>
    <w:qFormat/>
    <w:uiPriority w:val="0"/>
    <w:rPr>
      <w:sz w:val="21"/>
    </w:rPr>
  </w:style>
  <w:style w:type="character" w:customStyle="1" w:styleId="1442">
    <w:name w:val="正文文本1 Char1 Char Char Char Char Char Char Char5"/>
    <w:qFormat/>
    <w:uiPriority w:val="0"/>
    <w:rPr>
      <w:sz w:val="18"/>
      <w:szCs w:val="18"/>
    </w:rPr>
  </w:style>
  <w:style w:type="character" w:customStyle="1" w:styleId="1443">
    <w:name w:val="样式 纯文本孙普文字Plain Text普通文字 Char Char普通文字 Char + 紧缩量  0.2 磅 Char"/>
    <w:link w:val="1444"/>
    <w:qFormat/>
    <w:uiPriority w:val="0"/>
    <w:rPr>
      <w:rFonts w:ascii="Times New Roman" w:hAnsi="Times New Roman"/>
      <w:kern w:val="2"/>
      <w:sz w:val="24"/>
      <w:szCs w:val="24"/>
    </w:rPr>
  </w:style>
  <w:style w:type="paragraph" w:customStyle="1" w:styleId="1444">
    <w:name w:val="样式 纯文本孙普文字Plain Text普通文字 Char Char普通文字 Char + 紧缩量  0.2 磅"/>
    <w:basedOn w:val="49"/>
    <w:link w:val="1443"/>
    <w:qFormat/>
    <w:uiPriority w:val="0"/>
    <w:pPr>
      <w:ind w:firstLine="487"/>
    </w:pPr>
    <w:rPr>
      <w:rFonts w:ascii="Times New Roman" w:hAnsi="Times New Roman" w:eastAsia="宋体"/>
      <w:kern w:val="2"/>
      <w:sz w:val="24"/>
      <w:szCs w:val="24"/>
    </w:rPr>
  </w:style>
  <w:style w:type="character" w:customStyle="1" w:styleId="1445">
    <w:name w:val="普通文字 Char Char1 Char Char"/>
    <w:qFormat/>
    <w:uiPriority w:val="0"/>
    <w:rPr>
      <w:rFonts w:hAnsi="Courier New"/>
      <w:sz w:val="21"/>
    </w:rPr>
  </w:style>
  <w:style w:type="character" w:customStyle="1" w:styleId="1446">
    <w:name w:val="样式1-正文z Char Char"/>
    <w:link w:val="1447"/>
    <w:qFormat/>
    <w:uiPriority w:val="0"/>
    <w:rPr>
      <w:rFonts w:ascii="Times New Roman" w:hAnsi="Times New Roman"/>
      <w:snapToGrid/>
      <w:kern w:val="2"/>
      <w:sz w:val="24"/>
      <w:szCs w:val="24"/>
    </w:rPr>
  </w:style>
  <w:style w:type="paragraph" w:customStyle="1" w:styleId="1447">
    <w:name w:val="样式1-正文z Char"/>
    <w:basedOn w:val="1"/>
    <w:link w:val="1446"/>
    <w:qFormat/>
    <w:uiPriority w:val="0"/>
    <w:pPr>
      <w:spacing w:line="380" w:lineRule="exact"/>
      <w:ind w:firstLine="482"/>
      <w:textAlignment w:val="center"/>
    </w:pPr>
    <w:rPr>
      <w:rFonts w:eastAsia="宋体"/>
      <w:snapToGrid w:val="0"/>
      <w:sz w:val="24"/>
    </w:rPr>
  </w:style>
  <w:style w:type="character" w:customStyle="1" w:styleId="1448">
    <w:name w:val="样式 标题 3标题 3 CharH3B Head + 宋体 小三 Char Char Char Char Char Char Char Char Char1"/>
    <w:qFormat/>
    <w:uiPriority w:val="0"/>
    <w:rPr>
      <w:rFonts w:eastAsia="黑体"/>
      <w:bCs/>
      <w:sz w:val="30"/>
      <w:szCs w:val="28"/>
    </w:rPr>
  </w:style>
  <w:style w:type="character" w:customStyle="1" w:styleId="1449">
    <w:name w:val="正文文本1 Char1 Char Char Char Char Char Char Char6"/>
    <w:qFormat/>
    <w:uiPriority w:val="0"/>
    <w:rPr>
      <w:sz w:val="18"/>
      <w:szCs w:val="18"/>
    </w:rPr>
  </w:style>
  <w:style w:type="character" w:customStyle="1" w:styleId="1450">
    <w:name w:val="5文章(治) Char Char"/>
    <w:qFormat/>
    <w:uiPriority w:val="0"/>
    <w:rPr>
      <w:color w:val="000000"/>
    </w:rPr>
  </w:style>
  <w:style w:type="character" w:customStyle="1" w:styleId="1451">
    <w:name w:val="环小四表内容 Char"/>
    <w:link w:val="1452"/>
    <w:qFormat/>
    <w:uiPriority w:val="0"/>
    <w:rPr>
      <w:rFonts w:ascii="宋体" w:hAnsi="宋体"/>
      <w:kern w:val="2"/>
      <w:sz w:val="18"/>
      <w:szCs w:val="18"/>
    </w:rPr>
  </w:style>
  <w:style w:type="paragraph" w:customStyle="1" w:styleId="1452">
    <w:name w:val="环小四表内容"/>
    <w:basedOn w:val="1"/>
    <w:link w:val="1451"/>
    <w:qFormat/>
    <w:uiPriority w:val="0"/>
    <w:pPr>
      <w:spacing w:line="240" w:lineRule="exact"/>
      <w:jc w:val="center"/>
    </w:pPr>
    <w:rPr>
      <w:rFonts w:ascii="宋体" w:hAnsi="宋体" w:eastAsia="宋体"/>
      <w:sz w:val="18"/>
      <w:szCs w:val="18"/>
    </w:rPr>
  </w:style>
  <w:style w:type="character" w:customStyle="1" w:styleId="1453">
    <w:name w:val="Char Char131"/>
    <w:qFormat/>
    <w:uiPriority w:val="0"/>
    <w:rPr>
      <w:rFonts w:ascii="Arial" w:hAnsi="Arial" w:eastAsia="黑体"/>
      <w:b/>
      <w:bCs/>
    </w:rPr>
  </w:style>
  <w:style w:type="character" w:customStyle="1" w:styleId="1454">
    <w:name w:val="报告书正文 Char Char1"/>
    <w:qFormat/>
    <w:uiPriority w:val="0"/>
  </w:style>
  <w:style w:type="character" w:customStyle="1" w:styleId="1455">
    <w:name w:val="ch中文正文 Char"/>
    <w:link w:val="1456"/>
    <w:qFormat/>
    <w:uiPriority w:val="0"/>
    <w:rPr>
      <w:sz w:val="24"/>
    </w:rPr>
  </w:style>
  <w:style w:type="paragraph" w:customStyle="1" w:styleId="1456">
    <w:name w:val="ch中文正文"/>
    <w:link w:val="1455"/>
    <w:qFormat/>
    <w:uiPriority w:val="0"/>
    <w:pPr>
      <w:spacing w:beforeLines="50" w:afterLines="50" w:line="360" w:lineRule="auto"/>
      <w:ind w:firstLine="200" w:firstLineChars="200"/>
      <w:jc w:val="center"/>
    </w:pPr>
    <w:rPr>
      <w:rFonts w:ascii="Calibri" w:hAnsi="Calibri" w:eastAsia="宋体" w:cs="Times New Roman"/>
      <w:sz w:val="24"/>
      <w:lang w:val="en-US" w:eastAsia="zh-CN" w:bidi="ar-SA"/>
    </w:rPr>
  </w:style>
  <w:style w:type="character" w:customStyle="1" w:styleId="1457">
    <w:name w:val="自定义正文 Char Char Char Char"/>
    <w:qFormat/>
    <w:uiPriority w:val="0"/>
    <w:rPr>
      <w:position w:val="-28"/>
      <w:sz w:val="28"/>
      <w:szCs w:val="28"/>
    </w:rPr>
  </w:style>
  <w:style w:type="character" w:customStyle="1" w:styleId="1458">
    <w:name w:val="样式 样式 段前: 0.5 行 + 首行缩进:  2 字符 段前: 0.5 行 Char Char"/>
    <w:qFormat/>
    <w:uiPriority w:val="0"/>
  </w:style>
  <w:style w:type="character" w:customStyle="1" w:styleId="1459">
    <w:name w:val="Char6 Char Char"/>
    <w:qFormat/>
    <w:uiPriority w:val="0"/>
    <w:rPr>
      <w:sz w:val="21"/>
    </w:rPr>
  </w:style>
  <w:style w:type="character" w:customStyle="1" w:styleId="1460">
    <w:name w:val="Char10 Char Char1"/>
    <w:qFormat/>
    <w:uiPriority w:val="0"/>
    <w:rPr>
      <w:sz w:val="21"/>
    </w:rPr>
  </w:style>
  <w:style w:type="character" w:customStyle="1" w:styleId="1461">
    <w:name w:val="grame"/>
    <w:qFormat/>
    <w:uiPriority w:val="0"/>
  </w:style>
  <w:style w:type="character" w:customStyle="1" w:styleId="1462">
    <w:name w:val="txt141"/>
    <w:qFormat/>
    <w:uiPriority w:val="0"/>
    <w:rPr>
      <w:sz w:val="21"/>
      <w:szCs w:val="21"/>
      <w:u w:val="none"/>
    </w:rPr>
  </w:style>
  <w:style w:type="character" w:customStyle="1" w:styleId="1463">
    <w:name w:val="环小四表题 Char"/>
    <w:link w:val="1464"/>
    <w:qFormat/>
    <w:uiPriority w:val="0"/>
    <w:rPr>
      <w:rFonts w:ascii="宋体" w:hAnsi="Times New Roman"/>
      <w:b/>
      <w:kern w:val="2"/>
      <w:sz w:val="24"/>
      <w:szCs w:val="24"/>
    </w:rPr>
  </w:style>
  <w:style w:type="paragraph" w:customStyle="1" w:styleId="1464">
    <w:name w:val="环小四表题"/>
    <w:basedOn w:val="1"/>
    <w:link w:val="1463"/>
    <w:qFormat/>
    <w:uiPriority w:val="0"/>
    <w:pPr>
      <w:wordWrap w:val="0"/>
      <w:jc w:val="right"/>
    </w:pPr>
    <w:rPr>
      <w:rFonts w:ascii="宋体" w:eastAsia="宋体"/>
      <w:b/>
      <w:sz w:val="24"/>
    </w:rPr>
  </w:style>
  <w:style w:type="character" w:customStyle="1" w:styleId="1465">
    <w:name w:val="z-窗体底端 Char"/>
    <w:link w:val="1466"/>
    <w:qFormat/>
    <w:uiPriority w:val="0"/>
    <w:rPr>
      <w:rFonts w:ascii="Arial" w:hAnsi="Arial" w:cs="Arial"/>
      <w:vanish/>
      <w:kern w:val="2"/>
      <w:sz w:val="16"/>
      <w:szCs w:val="16"/>
    </w:rPr>
  </w:style>
  <w:style w:type="paragraph" w:customStyle="1" w:styleId="1466">
    <w:name w:val="z-窗体底端11"/>
    <w:basedOn w:val="1"/>
    <w:next w:val="1"/>
    <w:link w:val="1465"/>
    <w:qFormat/>
    <w:uiPriority w:val="0"/>
    <w:pPr>
      <w:pBdr>
        <w:top w:val="single" w:color="auto" w:sz="6" w:space="1"/>
      </w:pBdr>
      <w:jc w:val="center"/>
    </w:pPr>
    <w:rPr>
      <w:rFonts w:ascii="Arial" w:hAnsi="Arial" w:eastAsia="宋体" w:cs="Arial"/>
      <w:vanish/>
      <w:sz w:val="16"/>
      <w:szCs w:val="16"/>
    </w:rPr>
  </w:style>
  <w:style w:type="character" w:customStyle="1" w:styleId="1467">
    <w:name w:val="样式 样式 宋体 段前: 0.5 行 行距: 固定值 18 磅 + 首行缩进:  2 字符 Char Char1"/>
    <w:qFormat/>
    <w:uiPriority w:val="0"/>
    <w:rPr>
      <w:snapToGrid/>
      <w:color w:val="000000"/>
      <w:lang w:val="en-GB"/>
    </w:rPr>
  </w:style>
  <w:style w:type="character" w:customStyle="1" w:styleId="1468">
    <w:name w:val="style131"/>
    <w:qFormat/>
    <w:uiPriority w:val="0"/>
    <w:rPr>
      <w:sz w:val="18"/>
      <w:szCs w:val="18"/>
    </w:rPr>
  </w:style>
  <w:style w:type="character" w:customStyle="1" w:styleId="1469">
    <w:name w:val="9p1"/>
    <w:qFormat/>
    <w:uiPriority w:val="0"/>
    <w:rPr>
      <w:sz w:val="18"/>
      <w:szCs w:val="18"/>
    </w:rPr>
  </w:style>
  <w:style w:type="character" w:customStyle="1" w:styleId="1470">
    <w:name w:val="Char Char102"/>
    <w:qFormat/>
    <w:uiPriority w:val="0"/>
  </w:style>
  <w:style w:type="character" w:customStyle="1" w:styleId="1471">
    <w:name w:val="ourfont2"/>
    <w:qFormat/>
    <w:uiPriority w:val="0"/>
  </w:style>
  <w:style w:type="character" w:customStyle="1" w:styleId="1472">
    <w:name w:val="Char4 Char Char"/>
    <w:qFormat/>
    <w:uiPriority w:val="0"/>
    <w:rPr>
      <w:b/>
      <w:bCs/>
      <w:sz w:val="21"/>
    </w:rPr>
  </w:style>
  <w:style w:type="character" w:customStyle="1" w:styleId="1473">
    <w:name w:val="加粗正文 Char Char Char Char"/>
    <w:qFormat/>
    <w:uiPriority w:val="0"/>
    <w:rPr>
      <w:rFonts w:hAnsi="Courier New" w:cs="Courier New"/>
      <w:sz w:val="21"/>
      <w:szCs w:val="21"/>
    </w:rPr>
  </w:style>
  <w:style w:type="character" w:customStyle="1" w:styleId="1474">
    <w:name w:val="表格内容 Char Char Char Char1"/>
    <w:qFormat/>
    <w:uiPriority w:val="0"/>
    <w:rPr>
      <w:sz w:val="21"/>
      <w:szCs w:val="21"/>
    </w:rPr>
  </w:style>
  <w:style w:type="character" w:customStyle="1" w:styleId="1475">
    <w:name w:val="f14b1"/>
    <w:qFormat/>
    <w:uiPriority w:val="0"/>
    <w:rPr>
      <w:b/>
      <w:bCs/>
      <w:sz w:val="21"/>
      <w:szCs w:val="21"/>
    </w:rPr>
  </w:style>
  <w:style w:type="character" w:customStyle="1" w:styleId="1476">
    <w:name w:val="title_span3"/>
    <w:qFormat/>
    <w:uiPriority w:val="0"/>
    <w:rPr>
      <w:rFonts w:hint="default"/>
    </w:rPr>
  </w:style>
  <w:style w:type="character" w:customStyle="1" w:styleId="1477">
    <w:name w:val="正文文字缩进 2 Char1"/>
    <w:qFormat/>
    <w:uiPriority w:val="0"/>
  </w:style>
  <w:style w:type="character" w:customStyle="1" w:styleId="1478">
    <w:name w:val="样式 样式 样式 标题 1 + 黑体 三号 黑色 居中 段前: 0.5 行 段后: 0 磅 行距: 单倍行距 + 居中 + Ti... Char"/>
    <w:link w:val="1479"/>
    <w:qFormat/>
    <w:uiPriority w:val="0"/>
    <w:rPr>
      <w:rFonts w:ascii="Times New Roman" w:hAnsi="Times New Roman" w:eastAsia="黑体" w:cs="宋体"/>
      <w:bCs/>
      <w:color w:val="000000"/>
      <w:sz w:val="36"/>
      <w:szCs w:val="32"/>
    </w:rPr>
  </w:style>
  <w:style w:type="paragraph" w:customStyle="1" w:styleId="1479">
    <w:name w:val="样式 样式 样式 标题 1 + 黑体 三号 黑色 居中 段前: 0.5 行 段后: 0 磅 行距: 单倍行距 + 居中 + Ti..."/>
    <w:basedOn w:val="210"/>
    <w:link w:val="1478"/>
    <w:qFormat/>
    <w:uiPriority w:val="0"/>
    <w:pPr>
      <w:spacing w:beforeLines="0"/>
    </w:pPr>
    <w:rPr>
      <w:bCs/>
    </w:rPr>
  </w:style>
  <w:style w:type="character" w:customStyle="1" w:styleId="1480">
    <w:name w:val="样式 标题 1 + 黑体 三号 黑色 居中 段前: 0.5 行 段后: 0 磅 行距: 单倍行距 Char"/>
    <w:link w:val="211"/>
    <w:qFormat/>
    <w:uiPriority w:val="0"/>
    <w:rPr>
      <w:rFonts w:ascii="Times New Roman" w:hAnsi="Times New Roman" w:eastAsia="黑体" w:cs="宋体"/>
      <w:bCs/>
      <w:color w:val="000000"/>
      <w:sz w:val="36"/>
      <w:szCs w:val="32"/>
    </w:rPr>
  </w:style>
  <w:style w:type="character" w:customStyle="1" w:styleId="1481">
    <w:name w:val="BG5 Char Char Char Char Char Char"/>
    <w:link w:val="1482"/>
    <w:qFormat/>
    <w:uiPriority w:val="0"/>
    <w:rPr>
      <w:rFonts w:ascii="@宋体" w:hAnsi="Times New Roman"/>
      <w:kern w:val="2"/>
      <w:sz w:val="21"/>
      <w:szCs w:val="24"/>
    </w:rPr>
  </w:style>
  <w:style w:type="paragraph" w:customStyle="1" w:styleId="1482">
    <w:name w:val="BG5 Char Char Char Char Char"/>
    <w:basedOn w:val="1"/>
    <w:link w:val="1481"/>
    <w:qFormat/>
    <w:uiPriority w:val="0"/>
    <w:pPr>
      <w:autoSpaceDE w:val="0"/>
      <w:autoSpaceDN w:val="0"/>
      <w:spacing w:line="200" w:lineRule="atLeast"/>
      <w:jc w:val="center"/>
    </w:pPr>
    <w:rPr>
      <w:rFonts w:ascii="@宋体" w:eastAsia="宋体"/>
      <w:sz w:val="21"/>
    </w:rPr>
  </w:style>
  <w:style w:type="character" w:customStyle="1" w:styleId="1483">
    <w:name w:val="HTML 预先格式化 Char1"/>
    <w:qFormat/>
    <w:uiPriority w:val="0"/>
    <w:rPr>
      <w:rFonts w:ascii="Courier New" w:hAnsi="Courier New" w:cs="Courier New"/>
    </w:rPr>
  </w:style>
  <w:style w:type="character" w:customStyle="1" w:styleId="1484">
    <w:name w:val="april标题3 Char"/>
    <w:link w:val="225"/>
    <w:qFormat/>
    <w:uiPriority w:val="0"/>
    <w:rPr>
      <w:rFonts w:ascii="Times New Roman" w:hAnsi="华文中宋"/>
      <w:bCs/>
      <w:spacing w:val="6"/>
      <w:sz w:val="24"/>
      <w:szCs w:val="24"/>
    </w:rPr>
  </w:style>
  <w:style w:type="character" w:customStyle="1" w:styleId="1485">
    <w:name w:val="表格正文 Char Char Char Char Char"/>
    <w:qFormat/>
    <w:uiPriority w:val="0"/>
    <w:rPr>
      <w:sz w:val="21"/>
    </w:rPr>
  </w:style>
  <w:style w:type="character" w:customStyle="1" w:styleId="1486">
    <w:name w:val="样式 段前: 0.5 行 Char"/>
    <w:link w:val="1487"/>
    <w:qFormat/>
    <w:uiPriority w:val="0"/>
    <w:rPr>
      <w:rFonts w:ascii="Times New Roman" w:hAnsi="Times New Roman" w:cs="宋体"/>
      <w:kern w:val="2"/>
      <w:sz w:val="24"/>
    </w:rPr>
  </w:style>
  <w:style w:type="paragraph" w:customStyle="1" w:styleId="1487">
    <w:name w:val="样式 段前: 0.5 行"/>
    <w:basedOn w:val="1"/>
    <w:link w:val="1486"/>
    <w:qFormat/>
    <w:uiPriority w:val="0"/>
    <w:pPr>
      <w:spacing w:beforeLines="50" w:line="360" w:lineRule="exact"/>
    </w:pPr>
    <w:rPr>
      <w:rFonts w:eastAsia="宋体" w:cs="宋体"/>
      <w:sz w:val="24"/>
      <w:szCs w:val="20"/>
    </w:rPr>
  </w:style>
  <w:style w:type="character" w:customStyle="1" w:styleId="1488">
    <w:name w:val="报告 Char Char Char Char Char Char"/>
    <w:link w:val="1489"/>
    <w:qFormat/>
    <w:uiPriority w:val="0"/>
    <w:rPr>
      <w:rFonts w:ascii="Times New Roman" w:hAnsi="Times New Roman"/>
      <w:kern w:val="2"/>
      <w:sz w:val="24"/>
      <w:szCs w:val="24"/>
    </w:rPr>
  </w:style>
  <w:style w:type="paragraph" w:customStyle="1" w:styleId="1489">
    <w:name w:val="报告 Char Char Char Char Char"/>
    <w:basedOn w:val="1"/>
    <w:link w:val="1488"/>
    <w:qFormat/>
    <w:uiPriority w:val="0"/>
    <w:pPr>
      <w:spacing w:line="300" w:lineRule="auto"/>
      <w:ind w:firstLine="539"/>
    </w:pPr>
    <w:rPr>
      <w:rFonts w:eastAsia="宋体"/>
      <w:sz w:val="24"/>
    </w:rPr>
  </w:style>
  <w:style w:type="character" w:customStyle="1" w:styleId="1490">
    <w:name w:val="样式 样式 标题 1 + 黑体 三号 黑色 居中 段前: 0.5 行 段后: 0 磅 行距: 单倍行距 + 居中 Char Char1"/>
    <w:qFormat/>
    <w:uiPriority w:val="0"/>
    <w:rPr>
      <w:rFonts w:eastAsia="黑体"/>
      <w:color w:val="000000"/>
      <w:kern w:val="44"/>
      <w:sz w:val="36"/>
      <w:szCs w:val="32"/>
    </w:rPr>
  </w:style>
  <w:style w:type="character" w:customStyle="1" w:styleId="1491">
    <w:name w:val="样式 标题 1 + 黑体 三号 黑色 居中 段前: 0.5 行 段后: 0 磅 行距: 单倍行距 Char Char1"/>
    <w:qFormat/>
    <w:uiPriority w:val="0"/>
    <w:rPr>
      <w:rFonts w:eastAsia="黑体"/>
      <w:b/>
      <w:bCs/>
      <w:color w:val="000000"/>
      <w:kern w:val="44"/>
      <w:sz w:val="36"/>
      <w:szCs w:val="32"/>
    </w:rPr>
  </w:style>
  <w:style w:type="character" w:customStyle="1" w:styleId="1492">
    <w:name w:val="图表名称 Char2"/>
    <w:qFormat/>
    <w:uiPriority w:val="0"/>
    <w:rPr>
      <w:rFonts w:ascii="Arial" w:hAnsi="Arial" w:eastAsia="黑体"/>
    </w:rPr>
  </w:style>
  <w:style w:type="character" w:customStyle="1" w:styleId="1493">
    <w:name w:val="样式 样式 宋体 段前: 0.5 行 行距: 固定值 18 磅 + 首行缩进:  2 字符 Char Char Char Char"/>
    <w:link w:val="440"/>
    <w:qFormat/>
    <w:uiPriority w:val="0"/>
    <w:rPr>
      <w:rFonts w:ascii="宋体" w:hAnsi="宋体" w:cs="宋体"/>
      <w:snapToGrid/>
      <w:color w:val="000000"/>
      <w:kern w:val="2"/>
      <w:sz w:val="24"/>
      <w:szCs w:val="24"/>
      <w:lang w:val="en-GB"/>
    </w:rPr>
  </w:style>
  <w:style w:type="character" w:customStyle="1" w:styleId="1494">
    <w:name w:val="报告书正文 Char Char Char Char Char Char Char Char"/>
    <w:link w:val="1495"/>
    <w:qFormat/>
    <w:uiPriority w:val="0"/>
    <w:rPr>
      <w:rFonts w:ascii="Times New Roman" w:hAnsi="Times New Roman"/>
      <w:color w:val="000000"/>
      <w:kern w:val="2"/>
      <w:sz w:val="24"/>
      <w:szCs w:val="24"/>
    </w:rPr>
  </w:style>
  <w:style w:type="paragraph" w:customStyle="1" w:styleId="1495">
    <w:name w:val="报告书正文 Char Char Char Char Char Char Char"/>
    <w:basedOn w:val="1"/>
    <w:link w:val="1494"/>
    <w:qFormat/>
    <w:uiPriority w:val="0"/>
    <w:pPr>
      <w:spacing w:line="300" w:lineRule="auto"/>
      <w:ind w:firstLine="480"/>
    </w:pPr>
    <w:rPr>
      <w:rFonts w:eastAsia="宋体"/>
      <w:color w:val="000000"/>
      <w:sz w:val="24"/>
    </w:rPr>
  </w:style>
  <w:style w:type="character" w:customStyle="1" w:styleId="1496">
    <w:name w:val="title7"/>
    <w:qFormat/>
    <w:uiPriority w:val="0"/>
  </w:style>
  <w:style w:type="character" w:customStyle="1" w:styleId="1497">
    <w:name w:val="B Head Char Char"/>
    <w:qFormat/>
    <w:uiPriority w:val="0"/>
    <w:rPr>
      <w:rFonts w:ascii="黑体" w:eastAsia="黑体"/>
      <w:b/>
      <w:bCs/>
      <w:szCs w:val="32"/>
    </w:rPr>
  </w:style>
  <w:style w:type="character" w:customStyle="1" w:styleId="1498">
    <w:name w:val="p"/>
    <w:qFormat/>
    <w:uiPriority w:val="0"/>
  </w:style>
  <w:style w:type="character" w:customStyle="1" w:styleId="1499">
    <w:name w:val="正文文本1 Char1 Char Char Char Char Char Char Char2"/>
    <w:qFormat/>
    <w:uiPriority w:val="0"/>
    <w:rPr>
      <w:sz w:val="18"/>
      <w:szCs w:val="18"/>
    </w:rPr>
  </w:style>
  <w:style w:type="character" w:customStyle="1" w:styleId="1500">
    <w:name w:val="Char6 Char Char1"/>
    <w:qFormat/>
    <w:uiPriority w:val="0"/>
    <w:rPr>
      <w:sz w:val="21"/>
    </w:rPr>
  </w:style>
  <w:style w:type="character" w:customStyle="1" w:styleId="1501">
    <w:name w:val="表格11 Char Char Char Char"/>
    <w:link w:val="262"/>
    <w:qFormat/>
    <w:uiPriority w:val="0"/>
    <w:rPr>
      <w:rFonts w:ascii="宋体" w:hAnsi="宋体" w:cs="宋体"/>
      <w:sz w:val="21"/>
      <w:szCs w:val="21"/>
    </w:rPr>
  </w:style>
  <w:style w:type="character" w:customStyle="1" w:styleId="1502">
    <w:name w:val="正文格式111 Char Char"/>
    <w:qFormat/>
    <w:uiPriority w:val="0"/>
    <w:rPr>
      <w:rFonts w:ascii="宋体" w:hAnsi="宋体" w:eastAsia="宋体"/>
      <w:kern w:val="2"/>
      <w:sz w:val="24"/>
      <w:lang w:val="en-US" w:eastAsia="zh-CN"/>
    </w:rPr>
  </w:style>
  <w:style w:type="character" w:customStyle="1" w:styleId="1503">
    <w:name w:val="小四 C"/>
    <w:qFormat/>
    <w:uiPriority w:val="0"/>
    <w:rPr>
      <w:rFonts w:ascii="Arial" w:hAnsi="Arial" w:eastAsia="黑体"/>
      <w:b/>
      <w:bCs/>
      <w:sz w:val="28"/>
      <w:szCs w:val="28"/>
    </w:rPr>
  </w:style>
  <w:style w:type="character" w:customStyle="1" w:styleId="1504">
    <w:name w:val="干标题(a) Char Char"/>
    <w:qFormat/>
    <w:uiPriority w:val="0"/>
    <w:rPr>
      <w:rFonts w:ascii="Arial" w:hAnsi="Arial" w:eastAsia="黑体"/>
      <w:sz w:val="21"/>
      <w:szCs w:val="21"/>
    </w:rPr>
  </w:style>
  <w:style w:type="character" w:customStyle="1" w:styleId="1505">
    <w:name w:val="HTML 预先格式化 Char Char Char Char"/>
    <w:qFormat/>
    <w:uiPriority w:val="0"/>
    <w:rPr>
      <w:rFonts w:ascii="Courier New" w:hAnsi="Courier New" w:cs="Courier New"/>
    </w:rPr>
  </w:style>
  <w:style w:type="character" w:customStyle="1" w:styleId="1506">
    <w:name w:val="表格内容 Char Char Char Char"/>
    <w:link w:val="1507"/>
    <w:qFormat/>
    <w:uiPriority w:val="0"/>
    <w:rPr>
      <w:rFonts w:ascii="宋体" w:hAnsi="宋体"/>
      <w:kern w:val="2"/>
      <w:sz w:val="21"/>
      <w:szCs w:val="21"/>
    </w:rPr>
  </w:style>
  <w:style w:type="paragraph" w:customStyle="1" w:styleId="1507">
    <w:name w:val="表格内容 Char Char Char"/>
    <w:basedOn w:val="1"/>
    <w:link w:val="1506"/>
    <w:qFormat/>
    <w:uiPriority w:val="0"/>
    <w:rPr>
      <w:rFonts w:ascii="宋体" w:hAnsi="宋体" w:eastAsia="宋体"/>
      <w:sz w:val="21"/>
      <w:szCs w:val="21"/>
    </w:rPr>
  </w:style>
  <w:style w:type="character" w:customStyle="1" w:styleId="1508">
    <w:name w:val="bak"/>
    <w:qFormat/>
    <w:uiPriority w:val="0"/>
  </w:style>
  <w:style w:type="character" w:customStyle="1" w:styleId="1509">
    <w:name w:val="报告书正文 Char Char Char Char Char Char Char Char Char Char Char Char Char Char Char1"/>
    <w:qFormat/>
    <w:uiPriority w:val="0"/>
    <w:rPr>
      <w:color w:val="000000"/>
    </w:rPr>
  </w:style>
  <w:style w:type="character" w:customStyle="1" w:styleId="1510">
    <w:name w:val="Char2 Char Char2"/>
    <w:qFormat/>
    <w:uiPriority w:val="0"/>
    <w:rPr>
      <w:rFonts w:ascii="Arial" w:hAnsi="Arial" w:eastAsia="黑体" w:cs="Arial"/>
      <w:b/>
      <w:bCs/>
      <w:sz w:val="44"/>
      <w:szCs w:val="32"/>
    </w:rPr>
  </w:style>
  <w:style w:type="character" w:customStyle="1" w:styleId="1511">
    <w:name w:val="正文文字缩进 3 Char2"/>
    <w:qFormat/>
    <w:uiPriority w:val="0"/>
    <w:rPr>
      <w:spacing w:val="6"/>
    </w:rPr>
  </w:style>
  <w:style w:type="character" w:customStyle="1" w:styleId="1512">
    <w:name w:val="Char Char16"/>
    <w:qFormat/>
    <w:uiPriority w:val="0"/>
    <w:rPr>
      <w:sz w:val="21"/>
      <w:shd w:val="clear" w:color="auto" w:fill="000080"/>
    </w:rPr>
  </w:style>
  <w:style w:type="character" w:customStyle="1" w:styleId="1513">
    <w:name w:val="line-height"/>
    <w:qFormat/>
    <w:uiPriority w:val="0"/>
  </w:style>
  <w:style w:type="character" w:customStyle="1" w:styleId="1514">
    <w:name w:val="样式 样式 段前: 0.5 行 + 首行缩进:  2 字符 段前: 0.5 行 Char Char1"/>
    <w:qFormat/>
    <w:uiPriority w:val="0"/>
  </w:style>
  <w:style w:type="character" w:customStyle="1" w:styleId="1515">
    <w:name w:val="aa11"/>
    <w:qFormat/>
    <w:uiPriority w:val="0"/>
  </w:style>
  <w:style w:type="character" w:customStyle="1" w:styleId="1516">
    <w:name w:val="Char Char12"/>
    <w:qFormat/>
    <w:uiPriority w:val="0"/>
    <w:rPr>
      <w:sz w:val="21"/>
    </w:rPr>
  </w:style>
  <w:style w:type="character" w:customStyle="1" w:styleId="1517">
    <w:name w:val="目标题 1) Char Char"/>
    <w:qFormat/>
    <w:uiPriority w:val="0"/>
    <w:rPr>
      <w:rFonts w:ascii="Arial" w:hAnsi="Arial" w:eastAsia="黑体"/>
    </w:rPr>
  </w:style>
  <w:style w:type="character" w:customStyle="1" w:styleId="1518">
    <w:name w:val="正文文本最新 Char Char Char Char1 Char Char Char Char Char Char1 Char"/>
    <w:link w:val="1519"/>
    <w:qFormat/>
    <w:uiPriority w:val="0"/>
    <w:rPr>
      <w:rFonts w:ascii="Times New Roman" w:hAnsi="Times New Roman"/>
      <w:bCs/>
      <w:kern w:val="2"/>
      <w:sz w:val="28"/>
      <w:szCs w:val="24"/>
    </w:rPr>
  </w:style>
  <w:style w:type="paragraph" w:customStyle="1" w:styleId="1519">
    <w:name w:val="正文文本最新 Char Char Char Char1 Char Char Char Char Char Char1"/>
    <w:basedOn w:val="1"/>
    <w:link w:val="1518"/>
    <w:qFormat/>
    <w:uiPriority w:val="0"/>
    <w:pPr>
      <w:spacing w:line="360" w:lineRule="auto"/>
    </w:pPr>
    <w:rPr>
      <w:rFonts w:eastAsia="宋体"/>
      <w:bCs/>
    </w:rPr>
  </w:style>
  <w:style w:type="character" w:customStyle="1" w:styleId="1520">
    <w:name w:val="size13"/>
    <w:qFormat/>
    <w:uiPriority w:val="0"/>
  </w:style>
  <w:style w:type="character" w:customStyle="1" w:styleId="1521">
    <w:name w:val="正文文字缩进 Char2"/>
    <w:qFormat/>
    <w:uiPriority w:val="0"/>
  </w:style>
  <w:style w:type="character" w:customStyle="1" w:styleId="1522">
    <w:name w:val="HTML 预设格式 Char1"/>
    <w:qFormat/>
    <w:uiPriority w:val="0"/>
    <w:rPr>
      <w:rFonts w:ascii="Courier New" w:hAnsi="Courier New" w:cs="Courier New"/>
    </w:rPr>
  </w:style>
  <w:style w:type="character" w:customStyle="1" w:styleId="1523">
    <w:name w:val="样式 样式 标题 1 + 黑体 三号 黑色 居中 段前: 0.5 行 段后: 0 磅 行距: 单倍行距 + 居中 Char Char Char Char"/>
    <w:link w:val="1524"/>
    <w:qFormat/>
    <w:uiPriority w:val="0"/>
    <w:rPr>
      <w:rFonts w:ascii="Times New Roman" w:hAnsi="Times New Roman" w:eastAsia="黑体" w:cs="宋体"/>
      <w:color w:val="000000"/>
      <w:kern w:val="44"/>
      <w:sz w:val="36"/>
      <w:szCs w:val="32"/>
    </w:rPr>
  </w:style>
  <w:style w:type="paragraph" w:customStyle="1" w:styleId="1524">
    <w:name w:val="样式 样式 标题 1 + 黑体 三号 黑色 居中 段前: 0.5 行 段后: 0 磅 行距: 单倍行距 + 居中 Char Char Char"/>
    <w:basedOn w:val="710"/>
    <w:link w:val="1523"/>
    <w:qFormat/>
    <w:uiPriority w:val="0"/>
    <w:pPr>
      <w:spacing w:beforeLines="50"/>
    </w:pPr>
    <w:rPr>
      <w:bCs w:val="0"/>
    </w:rPr>
  </w:style>
  <w:style w:type="character" w:customStyle="1" w:styleId="1525">
    <w:name w:val="样式 z + Times New Roman Char Char1"/>
    <w:qFormat/>
    <w:uiPriority w:val="0"/>
    <w:rPr>
      <w:position w:val="2"/>
    </w:rPr>
  </w:style>
  <w:style w:type="character" w:customStyle="1" w:styleId="1526">
    <w:name w:val="国电正文 Char"/>
    <w:link w:val="1527"/>
    <w:qFormat/>
    <w:uiPriority w:val="0"/>
    <w:rPr>
      <w:color w:val="000000"/>
      <w:kern w:val="2"/>
      <w:sz w:val="24"/>
    </w:rPr>
  </w:style>
  <w:style w:type="paragraph" w:customStyle="1" w:styleId="1527">
    <w:name w:val="国电正文"/>
    <w:basedOn w:val="1"/>
    <w:link w:val="1526"/>
    <w:qFormat/>
    <w:uiPriority w:val="0"/>
    <w:pPr>
      <w:spacing w:line="360" w:lineRule="auto"/>
      <w:ind w:firstLine="480"/>
    </w:pPr>
    <w:rPr>
      <w:rFonts w:ascii="Calibri" w:hAnsi="Calibri" w:eastAsia="宋体"/>
      <w:color w:val="000000"/>
      <w:sz w:val="24"/>
      <w:szCs w:val="20"/>
    </w:rPr>
  </w:style>
  <w:style w:type="character" w:customStyle="1" w:styleId="1528">
    <w:name w:val="样式 样式 样式 标题 1 + 黑体 三号 黑色 居中 段前: 0.5 行 段后: 0 磅 行距: 单倍行距 + 居中 + Ti... Char Char Char Char"/>
    <w:link w:val="1529"/>
    <w:qFormat/>
    <w:uiPriority w:val="0"/>
    <w:rPr>
      <w:rFonts w:ascii="Times New Roman" w:hAnsi="Times New Roman" w:eastAsia="黑体" w:cs="宋体"/>
      <w:bCs/>
      <w:color w:val="000000"/>
      <w:kern w:val="44"/>
      <w:sz w:val="36"/>
      <w:szCs w:val="32"/>
    </w:rPr>
  </w:style>
  <w:style w:type="paragraph" w:customStyle="1" w:styleId="1529">
    <w:name w:val="样式 样式 样式 标题 1 + 黑体 三号 黑色 居中 段前: 0.5 行 段后: 0 磅 行距: 单倍行距 + 居中 + Ti... Char Char Char"/>
    <w:basedOn w:val="1524"/>
    <w:link w:val="1528"/>
    <w:qFormat/>
    <w:uiPriority w:val="0"/>
    <w:pPr>
      <w:spacing w:beforeLines="0"/>
    </w:pPr>
    <w:rPr>
      <w:bCs/>
    </w:rPr>
  </w:style>
  <w:style w:type="character" w:customStyle="1" w:styleId="1530">
    <w:name w:val=". Char Char"/>
    <w:qFormat/>
    <w:uiPriority w:val="0"/>
    <w:rPr>
      <w:rFonts w:eastAsia="黑体"/>
      <w:bCs/>
      <w:snapToGrid/>
      <w:sz w:val="28"/>
      <w:szCs w:val="32"/>
    </w:rPr>
  </w:style>
  <w:style w:type="character" w:customStyle="1" w:styleId="1531">
    <w:name w:val="neiyetest1"/>
    <w:qFormat/>
    <w:uiPriority w:val="0"/>
    <w:rPr>
      <w:rFonts w:hint="default" w:ascii="ˎ̥" w:hAnsi="ˎ̥"/>
      <w:color w:val="000000"/>
      <w:sz w:val="20"/>
      <w:szCs w:val="20"/>
    </w:rPr>
  </w:style>
  <w:style w:type="character" w:customStyle="1" w:styleId="1532">
    <w:name w:val="样式 标题 3标题 3 CharH3B Head + 宋体 小三 Char Char Char Char Char Char Char1"/>
    <w:qFormat/>
    <w:uiPriority w:val="0"/>
    <w:rPr>
      <w:rFonts w:eastAsia="黑体"/>
      <w:bCs/>
      <w:sz w:val="30"/>
      <w:szCs w:val="28"/>
    </w:rPr>
  </w:style>
  <w:style w:type="character" w:customStyle="1" w:styleId="1533">
    <w:name w:val="样式 标题 4 + 宋体 Char Char Char Char Char"/>
    <w:link w:val="1534"/>
    <w:qFormat/>
    <w:uiPriority w:val="0"/>
    <w:rPr>
      <w:rFonts w:ascii="Times New Roman" w:hAnsi="Times New Roman" w:eastAsia="楷体_GB2312"/>
      <w:kern w:val="2"/>
      <w:sz w:val="24"/>
      <w:szCs w:val="24"/>
      <w:lang w:val="zh-CN"/>
    </w:rPr>
  </w:style>
  <w:style w:type="paragraph" w:customStyle="1" w:styleId="1534">
    <w:name w:val="样式 标题 4 + 宋体 Char Char Char Char"/>
    <w:basedOn w:val="10"/>
    <w:link w:val="1533"/>
    <w:qFormat/>
    <w:uiPriority w:val="0"/>
    <w:pPr>
      <w:spacing w:line="300" w:lineRule="auto"/>
      <w:ind w:left="1680" w:hanging="420"/>
    </w:pPr>
    <w:rPr>
      <w:rFonts w:ascii="Times New Roman" w:hAnsi="Times New Roman" w:eastAsia="楷体_GB2312"/>
      <w:b w:val="0"/>
      <w:bCs w:val="0"/>
      <w:sz w:val="24"/>
      <w:szCs w:val="24"/>
      <w:lang w:val="zh-CN"/>
    </w:rPr>
  </w:style>
  <w:style w:type="character" w:customStyle="1" w:styleId="1535">
    <w:name w:val="正文文字缩进 2 Char2"/>
    <w:qFormat/>
    <w:uiPriority w:val="0"/>
    <w:rPr>
      <w:spacing w:val="4"/>
    </w:rPr>
  </w:style>
  <w:style w:type="character" w:customStyle="1" w:styleId="1536">
    <w:name w:val="样式 标题 4 + 宋体 Char Char Char Char Char Char Char"/>
    <w:qFormat/>
    <w:uiPriority w:val="0"/>
    <w:rPr>
      <w:bCs/>
    </w:rPr>
  </w:style>
  <w:style w:type="character" w:customStyle="1" w:styleId="1537">
    <w:name w:val="content1"/>
    <w:qFormat/>
    <w:uiPriority w:val="0"/>
    <w:rPr>
      <w:rFonts w:hint="default" w:ascii="Tahoma" w:hAnsi="Tahoma" w:cs="Tahoma"/>
    </w:rPr>
  </w:style>
  <w:style w:type="character" w:customStyle="1" w:styleId="1538">
    <w:name w:val="H-4 Char"/>
    <w:qFormat/>
    <w:uiPriority w:val="0"/>
    <w:rPr>
      <w:rFonts w:ascii="Arial" w:hAnsi="Arial" w:eastAsia="黑体"/>
      <w:b/>
      <w:bCs/>
      <w:sz w:val="28"/>
      <w:szCs w:val="28"/>
    </w:rPr>
  </w:style>
  <w:style w:type="character" w:customStyle="1" w:styleId="1539">
    <w:name w:val="样式 首行缩进:  1 字符 Char"/>
    <w:link w:val="1540"/>
    <w:qFormat/>
    <w:uiPriority w:val="0"/>
    <w:rPr>
      <w:rFonts w:ascii="宋体" w:hAnsi="Times New Roman" w:cs="宋体"/>
      <w:snapToGrid/>
      <w:sz w:val="24"/>
      <w:szCs w:val="24"/>
    </w:rPr>
  </w:style>
  <w:style w:type="paragraph" w:customStyle="1" w:styleId="1540">
    <w:name w:val="样式 首行缩进:  1 字符"/>
    <w:basedOn w:val="1"/>
    <w:link w:val="1539"/>
    <w:qFormat/>
    <w:uiPriority w:val="0"/>
    <w:pPr>
      <w:spacing w:line="360" w:lineRule="auto"/>
    </w:pPr>
    <w:rPr>
      <w:rFonts w:ascii="宋体" w:eastAsia="宋体" w:cs="宋体"/>
      <w:snapToGrid w:val="0"/>
      <w:kern w:val="0"/>
      <w:sz w:val="24"/>
    </w:rPr>
  </w:style>
  <w:style w:type="character" w:customStyle="1" w:styleId="1541">
    <w:name w:val="sh141"/>
    <w:qFormat/>
    <w:uiPriority w:val="0"/>
    <w:rPr>
      <w:color w:val="2B2B2B"/>
      <w:sz w:val="21"/>
      <w:szCs w:val="21"/>
    </w:rPr>
  </w:style>
  <w:style w:type="character" w:customStyle="1" w:styleId="1542">
    <w:name w:val="自定义正文 Char Char Char Char Char Char Char Char Char Char Char Char Char Char Char1"/>
    <w:qFormat/>
    <w:uiPriority w:val="0"/>
    <w:rPr>
      <w:position w:val="-28"/>
      <w:sz w:val="28"/>
      <w:szCs w:val="28"/>
    </w:rPr>
  </w:style>
  <w:style w:type="character" w:customStyle="1" w:styleId="1543">
    <w:name w:val="正文文字缩进 3 Char1"/>
    <w:qFormat/>
    <w:uiPriority w:val="0"/>
  </w:style>
  <w:style w:type="character" w:customStyle="1" w:styleId="1544">
    <w:name w:val="hs181"/>
    <w:qFormat/>
    <w:uiPriority w:val="0"/>
    <w:rPr>
      <w:rFonts w:hint="default" w:ascii="ˎ̥" w:hAnsi="ˎ̥"/>
      <w:b/>
      <w:bCs/>
      <w:color w:val="000000"/>
      <w:sz w:val="27"/>
      <w:szCs w:val="27"/>
      <w:u w:val="none"/>
    </w:rPr>
  </w:style>
  <w:style w:type="character" w:customStyle="1" w:styleId="1545">
    <w:name w:val="样式1-正文 Char"/>
    <w:link w:val="1546"/>
    <w:qFormat/>
    <w:uiPriority w:val="0"/>
    <w:rPr>
      <w:rFonts w:ascii="宋体" w:hAnsi="宋体"/>
      <w:spacing w:val="-1"/>
      <w:sz w:val="24"/>
      <w:szCs w:val="32"/>
    </w:rPr>
  </w:style>
  <w:style w:type="paragraph" w:customStyle="1" w:styleId="1546">
    <w:name w:val="样式1-正文"/>
    <w:basedOn w:val="1"/>
    <w:link w:val="1545"/>
    <w:qFormat/>
    <w:uiPriority w:val="0"/>
    <w:pPr>
      <w:topLinePunct/>
      <w:autoSpaceDN w:val="0"/>
      <w:spacing w:line="480" w:lineRule="auto"/>
      <w:ind w:firstLine="476"/>
    </w:pPr>
    <w:rPr>
      <w:rFonts w:ascii="宋体" w:hAnsi="宋体" w:eastAsia="宋体"/>
      <w:spacing w:val="-1"/>
      <w:kern w:val="0"/>
      <w:sz w:val="24"/>
      <w:szCs w:val="32"/>
    </w:rPr>
  </w:style>
  <w:style w:type="character" w:customStyle="1" w:styleId="1547">
    <w:name w:val="样式 样式 z + Times New Roman + (西文) Times New Roman Char"/>
    <w:link w:val="1548"/>
    <w:qFormat/>
    <w:uiPriority w:val="0"/>
    <w:rPr>
      <w:rFonts w:ascii="Times New Roman" w:hAnsi="Times New Roman"/>
      <w:position w:val="2"/>
      <w:sz w:val="24"/>
      <w:szCs w:val="24"/>
    </w:rPr>
  </w:style>
  <w:style w:type="paragraph" w:customStyle="1" w:styleId="1548">
    <w:name w:val="样式 样式 z + Times New Roman + (西文) Times New Roman"/>
    <w:basedOn w:val="1"/>
    <w:link w:val="1547"/>
    <w:qFormat/>
    <w:uiPriority w:val="0"/>
    <w:pPr>
      <w:spacing w:line="480" w:lineRule="exact"/>
      <w:ind w:firstLine="459"/>
    </w:pPr>
    <w:rPr>
      <w:rFonts w:eastAsia="宋体"/>
      <w:kern w:val="0"/>
      <w:position w:val="2"/>
      <w:sz w:val="24"/>
    </w:rPr>
  </w:style>
  <w:style w:type="character" w:customStyle="1" w:styleId="1549">
    <w:name w:val="正文(首行缩进)宋旭峰 Char Char"/>
    <w:link w:val="1550"/>
    <w:qFormat/>
    <w:uiPriority w:val="0"/>
    <w:rPr>
      <w:rFonts w:hAnsi="宋体"/>
      <w:snapToGrid/>
      <w:color w:val="FF00FF"/>
      <w:sz w:val="24"/>
      <w:szCs w:val="24"/>
      <w:lang w:val="zh-CN"/>
    </w:rPr>
  </w:style>
  <w:style w:type="paragraph" w:customStyle="1" w:styleId="1550">
    <w:name w:val="正文(首行缩进)宋旭峰"/>
    <w:basedOn w:val="1"/>
    <w:link w:val="1549"/>
    <w:qFormat/>
    <w:uiPriority w:val="0"/>
    <w:pPr>
      <w:spacing w:line="360" w:lineRule="auto"/>
      <w:ind w:firstLine="480"/>
    </w:pPr>
    <w:rPr>
      <w:rFonts w:ascii="Calibri" w:hAnsi="宋体" w:eastAsia="宋体"/>
      <w:snapToGrid w:val="0"/>
      <w:color w:val="FF00FF"/>
      <w:kern w:val="0"/>
      <w:sz w:val="24"/>
      <w:lang w:val="zh-CN"/>
    </w:rPr>
  </w:style>
  <w:style w:type="character" w:customStyle="1" w:styleId="1551">
    <w:name w:val="样式 Times New Roman"/>
    <w:qFormat/>
    <w:uiPriority w:val="0"/>
    <w:rPr>
      <w:rFonts w:ascii="Times New Roman" w:hAnsi="Times New Roman" w:eastAsia="宋体"/>
      <w:sz w:val="28"/>
    </w:rPr>
  </w:style>
  <w:style w:type="character" w:customStyle="1" w:styleId="1552">
    <w:name w:val="z-窗体顶端 Char"/>
    <w:link w:val="1553"/>
    <w:qFormat/>
    <w:uiPriority w:val="0"/>
    <w:rPr>
      <w:rFonts w:ascii="Arial" w:hAnsi="Arial" w:cs="Arial"/>
      <w:vanish/>
      <w:kern w:val="2"/>
      <w:sz w:val="16"/>
      <w:szCs w:val="16"/>
    </w:rPr>
  </w:style>
  <w:style w:type="paragraph" w:customStyle="1" w:styleId="1553">
    <w:name w:val="z-窗体顶端1"/>
    <w:basedOn w:val="1"/>
    <w:next w:val="1"/>
    <w:link w:val="1552"/>
    <w:qFormat/>
    <w:uiPriority w:val="0"/>
    <w:pPr>
      <w:pBdr>
        <w:bottom w:val="single" w:color="auto" w:sz="6" w:space="1"/>
      </w:pBdr>
      <w:jc w:val="center"/>
    </w:pPr>
    <w:rPr>
      <w:rFonts w:ascii="Arial" w:hAnsi="Arial" w:eastAsia="宋体" w:cs="Arial"/>
      <w:vanish/>
      <w:sz w:val="16"/>
      <w:szCs w:val="16"/>
    </w:rPr>
  </w:style>
  <w:style w:type="character" w:customStyle="1" w:styleId="1554">
    <w:name w:val="Char7 Char Char1"/>
    <w:qFormat/>
    <w:uiPriority w:val="0"/>
    <w:rPr>
      <w:snapToGrid/>
      <w:kern w:val="24"/>
    </w:rPr>
  </w:style>
  <w:style w:type="character" w:customStyle="1" w:styleId="1555">
    <w:name w:val="自定义正文 Char Char Char Char Char Char Char Char Char Char Char Char Char Char Char Char"/>
    <w:qFormat/>
    <w:uiPriority w:val="0"/>
    <w:rPr>
      <w:position w:val="-28"/>
      <w:sz w:val="28"/>
      <w:szCs w:val="28"/>
    </w:rPr>
  </w:style>
  <w:style w:type="character" w:customStyle="1" w:styleId="1556">
    <w:name w:val="报告书正文 Char Char Char Char Char Char1"/>
    <w:link w:val="1557"/>
    <w:qFormat/>
    <w:uiPriority w:val="0"/>
    <w:rPr>
      <w:rFonts w:ascii="宋体" w:hAnsi="宋体"/>
      <w:kern w:val="2"/>
      <w:sz w:val="24"/>
      <w:szCs w:val="24"/>
    </w:rPr>
  </w:style>
  <w:style w:type="paragraph" w:customStyle="1" w:styleId="1557">
    <w:name w:val="报告书正文 Char Char Char Char Char"/>
    <w:basedOn w:val="1"/>
    <w:link w:val="1556"/>
    <w:qFormat/>
    <w:uiPriority w:val="0"/>
    <w:pPr>
      <w:spacing w:line="300" w:lineRule="auto"/>
      <w:ind w:firstLine="480"/>
    </w:pPr>
    <w:rPr>
      <w:rFonts w:ascii="宋体" w:hAnsi="宋体" w:eastAsia="宋体"/>
      <w:sz w:val="24"/>
    </w:rPr>
  </w:style>
  <w:style w:type="character" w:customStyle="1" w:styleId="1558">
    <w:name w:val="标4 Char Char Char Char Char"/>
    <w:link w:val="1559"/>
    <w:qFormat/>
    <w:uiPriority w:val="0"/>
    <w:rPr>
      <w:rFonts w:ascii="宋体" w:hAnsi="宋体"/>
      <w:kern w:val="2"/>
      <w:sz w:val="24"/>
      <w:szCs w:val="30"/>
    </w:rPr>
  </w:style>
  <w:style w:type="paragraph" w:customStyle="1" w:styleId="1559">
    <w:name w:val="标4 Char Char Char Char"/>
    <w:link w:val="1558"/>
    <w:qFormat/>
    <w:uiPriority w:val="0"/>
    <w:pPr>
      <w:spacing w:line="560" w:lineRule="atLeast"/>
      <w:jc w:val="both"/>
      <w:outlineLvl w:val="3"/>
    </w:pPr>
    <w:rPr>
      <w:rFonts w:ascii="宋体" w:hAnsi="宋体" w:eastAsia="宋体" w:cs="Times New Roman"/>
      <w:kern w:val="2"/>
      <w:sz w:val="24"/>
      <w:szCs w:val="30"/>
      <w:lang w:val="en-US" w:eastAsia="zh-CN" w:bidi="ar-SA"/>
    </w:rPr>
  </w:style>
  <w:style w:type="character" w:customStyle="1" w:styleId="1560">
    <w:name w:val="样式 标题 6标题 6 Char Char Char Char Char Char Char Char Char + 加粗 Char Char Char Char Char Char Char Char Char Char Char Char Char Char Char Char Char Char Char Char Char Char Char Char Char Char Char Char Char Char Char Char Char Char Char Char Char   Char"/>
    <w:qFormat/>
    <w:uiPriority w:val="0"/>
    <w:rPr>
      <w:rFonts w:eastAsia="仿宋_GB2312"/>
      <w:b/>
      <w:bCs/>
    </w:rPr>
  </w:style>
  <w:style w:type="character" w:customStyle="1" w:styleId="1561">
    <w:name w:val="报告 Char Char Char Char1"/>
    <w:qFormat/>
    <w:uiPriority w:val="0"/>
  </w:style>
  <w:style w:type="character" w:customStyle="1" w:styleId="1562">
    <w:name w:val="Char7 Char Char2"/>
    <w:qFormat/>
    <w:uiPriority w:val="0"/>
    <w:rPr>
      <w:b/>
      <w:bCs/>
      <w:w w:val="90"/>
      <w:sz w:val="21"/>
    </w:rPr>
  </w:style>
  <w:style w:type="character" w:customStyle="1" w:styleId="1563">
    <w:name w:val="Char Char71"/>
    <w:qFormat/>
    <w:uiPriority w:val="0"/>
    <w:rPr>
      <w:rFonts w:eastAsia="宋体" w:cs="宋体"/>
      <w:kern w:val="2"/>
      <w:sz w:val="18"/>
      <w:szCs w:val="18"/>
      <w:lang w:val="en-US" w:eastAsia="zh-CN" w:bidi="ar-SA"/>
    </w:rPr>
  </w:style>
  <w:style w:type="character" w:customStyle="1" w:styleId="1564">
    <w:name w:val="样式 标题 3标题 3 CharH3B Head + 宋体 小三 Char Char Char Char Char"/>
    <w:link w:val="1565"/>
    <w:qFormat/>
    <w:uiPriority w:val="0"/>
    <w:rPr>
      <w:rFonts w:ascii="宋体" w:hAnsi="宋体" w:eastAsia="黑体"/>
      <w:bCs/>
      <w:sz w:val="30"/>
      <w:szCs w:val="28"/>
    </w:rPr>
  </w:style>
  <w:style w:type="paragraph" w:customStyle="1" w:styleId="1565">
    <w:name w:val="样式 标题 3标题 3 CharH3B Head + 宋体 小三 Char Char Char Char"/>
    <w:basedOn w:val="7"/>
    <w:link w:val="1564"/>
    <w:qFormat/>
    <w:uiPriority w:val="0"/>
    <w:pPr>
      <w:keepLines w:val="0"/>
      <w:tabs>
        <w:tab w:val="left" w:pos="1412"/>
        <w:tab w:val="clear" w:pos="1440"/>
      </w:tabs>
      <w:spacing w:before="240"/>
    </w:pPr>
    <w:rPr>
      <w:rFonts w:ascii="宋体" w:hAnsi="宋体"/>
      <w:b w:val="0"/>
      <w:bCs/>
      <w:sz w:val="30"/>
      <w:szCs w:val="28"/>
    </w:rPr>
  </w:style>
  <w:style w:type="character" w:customStyle="1" w:styleId="1566">
    <w:name w:val="word1"/>
    <w:qFormat/>
    <w:uiPriority w:val="0"/>
    <w:rPr>
      <w:rFonts w:hint="default" w:ascii="ˎ̥" w:hAnsi="ˎ̥"/>
      <w:color w:val="000000"/>
      <w:sz w:val="23"/>
      <w:szCs w:val="23"/>
      <w:u w:val="none"/>
    </w:rPr>
  </w:style>
  <w:style w:type="character" w:customStyle="1" w:styleId="1567">
    <w:name w:val="cj"/>
    <w:qFormat/>
    <w:uiPriority w:val="0"/>
  </w:style>
  <w:style w:type="character" w:customStyle="1" w:styleId="1568">
    <w:name w:val="报告书正文 Char Char Char Char Char Char Char Char Char Char Char Char Char Char Char2"/>
    <w:qFormat/>
    <w:uiPriority w:val="0"/>
    <w:rPr>
      <w:color w:val="000000"/>
    </w:rPr>
  </w:style>
  <w:style w:type="character" w:customStyle="1" w:styleId="1569">
    <w:name w:val="样式 样式 段前: 0.5 行 + 首行缩进:  2 字符 段前: 0.5 行 Char Char Char Char"/>
    <w:link w:val="1570"/>
    <w:qFormat/>
    <w:uiPriority w:val="0"/>
    <w:rPr>
      <w:rFonts w:ascii="Times New Roman" w:hAnsi="Times New Roman" w:cs="宋体"/>
      <w:kern w:val="2"/>
      <w:sz w:val="24"/>
      <w:szCs w:val="24"/>
    </w:rPr>
  </w:style>
  <w:style w:type="paragraph" w:customStyle="1" w:styleId="1570">
    <w:name w:val="样式 样式 段前: 0.5 行 + 首行缩进:  2 字符 段前: 0.5 行 Char Char Char"/>
    <w:basedOn w:val="697"/>
    <w:link w:val="1569"/>
    <w:qFormat/>
    <w:uiPriority w:val="0"/>
    <w:pPr>
      <w:ind w:left="420" w:leftChars="100" w:right="100" w:rightChars="100" w:firstLine="459"/>
    </w:pPr>
  </w:style>
  <w:style w:type="character" w:customStyle="1" w:styleId="1571">
    <w:name w:val="报告书正文 Char Char Char Char Char Char2"/>
    <w:qFormat/>
    <w:uiPriority w:val="0"/>
  </w:style>
  <w:style w:type="character" w:customStyle="1" w:styleId="1572">
    <w:name w:val="Char Char51"/>
    <w:qFormat/>
    <w:uiPriority w:val="0"/>
    <w:rPr>
      <w:rFonts w:eastAsia="宋体"/>
      <w:kern w:val="2"/>
      <w:sz w:val="28"/>
      <w:lang w:val="en-US" w:eastAsia="zh-CN" w:bidi="ar-SA"/>
    </w:rPr>
  </w:style>
  <w:style w:type="character" w:customStyle="1" w:styleId="1573">
    <w:name w:val="标题 1 Char Char Char Char Char Char Char Char"/>
    <w:qFormat/>
    <w:uiPriority w:val="0"/>
    <w:rPr>
      <w:rFonts w:ascii="宋体" w:hAnsi="宋体" w:eastAsia="宋体" w:cs="宋体"/>
      <w:kern w:val="44"/>
      <w:sz w:val="28"/>
      <w:szCs w:val="24"/>
      <w:lang w:val="en-US" w:eastAsia="zh-CN" w:bidi="ar-SA"/>
    </w:rPr>
  </w:style>
  <w:style w:type="character" w:customStyle="1" w:styleId="1574">
    <w:name w:val="段前: 8 磅2 Char C"/>
    <w:qFormat/>
    <w:uiPriority w:val="0"/>
    <w:rPr>
      <w:rFonts w:ascii="黑体" w:eastAsia="黑体"/>
      <w:b/>
      <w:bCs/>
      <w:spacing w:val="5"/>
      <w:szCs w:val="28"/>
    </w:rPr>
  </w:style>
  <w:style w:type="character" w:customStyle="1" w:styleId="1575">
    <w:name w:val="正文文本1 Char1 Char Char Char Char Char Char Char1"/>
    <w:qFormat/>
    <w:uiPriority w:val="0"/>
    <w:rPr>
      <w:sz w:val="18"/>
      <w:szCs w:val="18"/>
    </w:rPr>
  </w:style>
  <w:style w:type="character" w:customStyle="1" w:styleId="1576">
    <w:name w:val="样式 宋体 段前: 0.5 行 行距: 固定值 18 磅 Char Char Char Char"/>
    <w:link w:val="1577"/>
    <w:qFormat/>
    <w:uiPriority w:val="0"/>
    <w:rPr>
      <w:rFonts w:ascii="宋体" w:hAnsi="宋体" w:cs="宋体"/>
      <w:kern w:val="2"/>
      <w:sz w:val="24"/>
      <w:szCs w:val="24"/>
    </w:rPr>
  </w:style>
  <w:style w:type="paragraph" w:customStyle="1" w:styleId="1577">
    <w:name w:val="样式 宋体 段前: 0.5 行 行距: 固定值 18 磅 Char Char Char"/>
    <w:basedOn w:val="1"/>
    <w:link w:val="1576"/>
    <w:qFormat/>
    <w:uiPriority w:val="0"/>
    <w:pPr>
      <w:spacing w:line="360" w:lineRule="exact"/>
    </w:pPr>
    <w:rPr>
      <w:rFonts w:ascii="宋体" w:hAnsi="宋体" w:eastAsia="宋体" w:cs="宋体"/>
      <w:sz w:val="24"/>
    </w:rPr>
  </w:style>
  <w:style w:type="character" w:customStyle="1" w:styleId="1578">
    <w:name w:val="样式 样式 标题 1 + 黑体 三号 黑色 居中 段前: 0.5 行 段后: 0 磅 行距: 单倍行距 + 居中 Char Char"/>
    <w:qFormat/>
    <w:uiPriority w:val="0"/>
    <w:rPr>
      <w:rFonts w:eastAsia="黑体"/>
      <w:color w:val="000000"/>
      <w:kern w:val="44"/>
      <w:sz w:val="36"/>
      <w:szCs w:val="32"/>
    </w:rPr>
  </w:style>
  <w:style w:type="character" w:customStyle="1" w:styleId="1579">
    <w:name w:val="样式 样式 段前: 0.5 行 + 首行缩进:  2 字符 段前: 0.5 行 Char"/>
    <w:link w:val="1580"/>
    <w:qFormat/>
    <w:uiPriority w:val="0"/>
    <w:rPr>
      <w:rFonts w:ascii="Times New Roman" w:hAnsi="Times New Roman" w:cs="宋体"/>
      <w:kern w:val="2"/>
      <w:sz w:val="24"/>
    </w:rPr>
  </w:style>
  <w:style w:type="paragraph" w:customStyle="1" w:styleId="1580">
    <w:name w:val="样式 样式 段前: 0.5 行 + 首行缩进:  2 字符 段前: 0.5 行"/>
    <w:basedOn w:val="1487"/>
    <w:link w:val="1579"/>
    <w:qFormat/>
    <w:uiPriority w:val="0"/>
    <w:pPr>
      <w:ind w:left="420" w:leftChars="100" w:right="100" w:rightChars="100" w:firstLine="459"/>
    </w:pPr>
  </w:style>
  <w:style w:type="character" w:customStyle="1" w:styleId="1581">
    <w:name w:val="HZZH正文 Char"/>
    <w:link w:val="1582"/>
    <w:qFormat/>
    <w:uiPriority w:val="0"/>
    <w:rPr>
      <w:rFonts w:ascii="Times New Roman" w:hAnsi="Times New Roman" w:cs="宋体"/>
      <w:sz w:val="24"/>
      <w:szCs w:val="24"/>
    </w:rPr>
  </w:style>
  <w:style w:type="paragraph" w:customStyle="1" w:styleId="1582">
    <w:name w:val="HZZH正文"/>
    <w:basedOn w:val="1"/>
    <w:link w:val="1581"/>
    <w:qFormat/>
    <w:uiPriority w:val="0"/>
    <w:pPr>
      <w:overflowPunct w:val="0"/>
      <w:spacing w:line="300" w:lineRule="auto"/>
      <w:ind w:firstLine="480"/>
    </w:pPr>
    <w:rPr>
      <w:rFonts w:eastAsia="宋体" w:cs="宋体"/>
      <w:kern w:val="0"/>
      <w:sz w:val="24"/>
    </w:rPr>
  </w:style>
  <w:style w:type="character" w:customStyle="1" w:styleId="1583">
    <w:name w:val="Char Char123"/>
    <w:qFormat/>
    <w:uiPriority w:val="0"/>
    <w:rPr>
      <w:rFonts w:eastAsia="华文中宋"/>
      <w:b/>
      <w:bCs/>
      <w:kern w:val="2"/>
      <w:sz w:val="30"/>
      <w:szCs w:val="30"/>
      <w:lang w:val="en-US" w:eastAsia="zh-CN" w:bidi="ar-SA"/>
    </w:rPr>
  </w:style>
  <w:style w:type="character" w:customStyle="1" w:styleId="1584">
    <w:name w:val="书籍标题1"/>
    <w:qFormat/>
    <w:uiPriority w:val="0"/>
    <w:rPr>
      <w:rFonts w:ascii="Cambria" w:hAnsi="Cambria" w:eastAsia="宋体"/>
      <w:b/>
      <w:i/>
      <w:sz w:val="24"/>
      <w:szCs w:val="24"/>
    </w:rPr>
  </w:style>
  <w:style w:type="character" w:customStyle="1" w:styleId="1585">
    <w:name w:val="Char8 Char Char Char1"/>
    <w:qFormat/>
    <w:uiPriority w:val="0"/>
  </w:style>
  <w:style w:type="character" w:customStyle="1" w:styleId="1586">
    <w:name w:val="Char1 Char1"/>
    <w:link w:val="1587"/>
    <w:qFormat/>
    <w:uiPriority w:val="0"/>
    <w:rPr>
      <w:rFonts w:ascii="宋体" w:hAnsi="宋体" w:cs="宋体"/>
      <w:kern w:val="2"/>
      <w:sz w:val="24"/>
      <w:szCs w:val="24"/>
    </w:rPr>
  </w:style>
  <w:style w:type="paragraph" w:customStyle="1" w:styleId="1587">
    <w:name w:val="Char12"/>
    <w:basedOn w:val="1"/>
    <w:link w:val="1586"/>
    <w:qFormat/>
    <w:uiPriority w:val="0"/>
    <w:pPr>
      <w:spacing w:line="360" w:lineRule="auto"/>
    </w:pPr>
    <w:rPr>
      <w:rFonts w:ascii="宋体" w:hAnsi="宋体" w:eastAsia="宋体" w:cs="宋体"/>
      <w:sz w:val="24"/>
    </w:rPr>
  </w:style>
  <w:style w:type="character" w:customStyle="1" w:styleId="1588">
    <w:name w:val="ed11"/>
    <w:qFormat/>
    <w:uiPriority w:val="0"/>
    <w:rPr>
      <w:color w:val="CC0000"/>
      <w:sz w:val="21"/>
      <w:szCs w:val="21"/>
    </w:rPr>
  </w:style>
  <w:style w:type="character" w:customStyle="1" w:styleId="1589">
    <w:name w:val="dfgdfg Char Char"/>
    <w:qFormat/>
    <w:uiPriority w:val="0"/>
    <w:rPr>
      <w:rFonts w:ascii="Arial" w:hAnsi="Arial" w:eastAsia="黑体"/>
      <w:sz w:val="21"/>
      <w:szCs w:val="21"/>
    </w:rPr>
  </w:style>
  <w:style w:type="character" w:customStyle="1" w:styleId="1590">
    <w:name w:val="我的表头 Char"/>
    <w:link w:val="1591"/>
    <w:qFormat/>
    <w:uiPriority w:val="0"/>
    <w:rPr>
      <w:rFonts w:ascii="Times New Roman" w:hAnsi="Times New Roman" w:eastAsia="黑体"/>
      <w:kern w:val="2"/>
      <w:sz w:val="21"/>
      <w:szCs w:val="24"/>
    </w:rPr>
  </w:style>
  <w:style w:type="paragraph" w:customStyle="1" w:styleId="1591">
    <w:name w:val="我的表头"/>
    <w:basedOn w:val="1"/>
    <w:link w:val="1590"/>
    <w:qFormat/>
    <w:uiPriority w:val="0"/>
    <w:pPr>
      <w:spacing w:line="360" w:lineRule="auto"/>
      <w:jc w:val="center"/>
    </w:pPr>
    <w:rPr>
      <w:rFonts w:eastAsia="黑体"/>
      <w:sz w:val="21"/>
    </w:rPr>
  </w:style>
  <w:style w:type="character" w:customStyle="1" w:styleId="1592">
    <w:name w:val="正文文本 3 Char2"/>
    <w:semiHidden/>
    <w:qFormat/>
    <w:uiPriority w:val="99"/>
    <w:rPr>
      <w:rFonts w:ascii="Calibri" w:hAnsi="Calibri"/>
      <w:sz w:val="16"/>
      <w:szCs w:val="16"/>
    </w:rPr>
  </w:style>
  <w:style w:type="character" w:customStyle="1" w:styleId="1593">
    <w:name w:val="z-窗体顶端 Char1"/>
    <w:semiHidden/>
    <w:qFormat/>
    <w:uiPriority w:val="99"/>
    <w:rPr>
      <w:rFonts w:ascii="Arial" w:hAnsi="Arial" w:cs="Arial"/>
      <w:vanish/>
      <w:sz w:val="16"/>
      <w:szCs w:val="16"/>
    </w:rPr>
  </w:style>
  <w:style w:type="character" w:customStyle="1" w:styleId="1594">
    <w:name w:val="明显引用 Char1"/>
    <w:qFormat/>
    <w:uiPriority w:val="0"/>
    <w:rPr>
      <w:rFonts w:ascii="Calibri" w:hAnsi="Calibri"/>
      <w:b/>
      <w:bCs/>
      <w:i/>
      <w:iCs/>
      <w:color w:val="4F81BD"/>
      <w:sz w:val="21"/>
    </w:rPr>
  </w:style>
  <w:style w:type="character" w:customStyle="1" w:styleId="1595">
    <w:name w:val="批注文字 Char2"/>
    <w:semiHidden/>
    <w:qFormat/>
    <w:uiPriority w:val="99"/>
  </w:style>
  <w:style w:type="character" w:customStyle="1" w:styleId="1596">
    <w:name w:val="表格(小五) Char"/>
    <w:link w:val="1597"/>
    <w:qFormat/>
    <w:locked/>
    <w:uiPriority w:val="0"/>
    <w:rPr>
      <w:rFonts w:ascii="宋体"/>
      <w:kern w:val="2"/>
      <w:sz w:val="18"/>
      <w:szCs w:val="18"/>
    </w:rPr>
  </w:style>
  <w:style w:type="paragraph" w:customStyle="1" w:styleId="1597">
    <w:name w:val="表格(小五)"/>
    <w:next w:val="1"/>
    <w:link w:val="1596"/>
    <w:qFormat/>
    <w:uiPriority w:val="0"/>
    <w:pPr>
      <w:spacing w:line="320" w:lineRule="exact"/>
      <w:jc w:val="center"/>
    </w:pPr>
    <w:rPr>
      <w:rFonts w:ascii="宋体" w:hAnsi="Calibri" w:eastAsia="宋体" w:cs="Times New Roman"/>
      <w:kern w:val="2"/>
      <w:sz w:val="18"/>
      <w:szCs w:val="18"/>
      <w:lang w:val="en-US" w:eastAsia="zh-CN" w:bidi="ar-SA"/>
    </w:rPr>
  </w:style>
  <w:style w:type="character" w:customStyle="1" w:styleId="1598">
    <w:name w:val="Char Char82"/>
    <w:qFormat/>
    <w:uiPriority w:val="0"/>
    <w:rPr>
      <w:rFonts w:eastAsia="华文细黑" w:cs="宋体"/>
      <w:b/>
      <w:bCs/>
      <w:color w:val="000000"/>
      <w:kern w:val="2"/>
      <w:sz w:val="28"/>
      <w:szCs w:val="28"/>
      <w:lang w:val="en-US" w:eastAsia="zh-CN" w:bidi="ar-SA"/>
    </w:rPr>
  </w:style>
  <w:style w:type="character" w:customStyle="1" w:styleId="1599">
    <w:name w:val="引用 Char2"/>
    <w:semiHidden/>
    <w:qFormat/>
    <w:uiPriority w:val="99"/>
    <w:rPr>
      <w:rFonts w:ascii="Calibri" w:hAnsi="Calibri"/>
      <w:i/>
      <w:iCs/>
      <w:color w:val="000000"/>
      <w:sz w:val="21"/>
    </w:rPr>
  </w:style>
  <w:style w:type="character" w:customStyle="1" w:styleId="1600">
    <w:name w:val="不明显参考21"/>
    <w:qFormat/>
    <w:uiPriority w:val="0"/>
    <w:rPr>
      <w:sz w:val="24"/>
      <w:szCs w:val="24"/>
      <w:u w:val="single"/>
    </w:rPr>
  </w:style>
  <w:style w:type="character" w:customStyle="1" w:styleId="1601">
    <w:name w:val="样式 标题 8图表名称 + 首行缩进:  0.99 厘米 Char Char Char Char Char Char"/>
    <w:qFormat/>
    <w:uiPriority w:val="0"/>
    <w:rPr>
      <w:rFonts w:ascii="Arial" w:hAnsi="Arial"/>
      <w:b/>
      <w:bCs/>
      <w:kern w:val="2"/>
      <w:sz w:val="28"/>
      <w:szCs w:val="28"/>
      <w:u w:val="thick"/>
      <w:lang w:bidi="ar-SA"/>
    </w:rPr>
  </w:style>
  <w:style w:type="character" w:customStyle="1" w:styleId="1602">
    <w:name w:val="样式1-正文z Char Char Char Char Char Char Char Char"/>
    <w:qFormat/>
    <w:uiPriority w:val="0"/>
    <w:rPr>
      <w:snapToGrid/>
      <w:kern w:val="2"/>
      <w:sz w:val="24"/>
      <w:szCs w:val="24"/>
      <w:lang w:bidi="ar-SA"/>
    </w:rPr>
  </w:style>
  <w:style w:type="character" w:customStyle="1" w:styleId="1603">
    <w:name w:val="标准正文 Char Char Char Char Char Char"/>
    <w:qFormat/>
    <w:uiPriority w:val="0"/>
    <w:rPr>
      <w:kern w:val="2"/>
      <w:sz w:val="28"/>
      <w:szCs w:val="28"/>
      <w:lang w:bidi="ar-SA"/>
    </w:rPr>
  </w:style>
  <w:style w:type="character" w:customStyle="1" w:styleId="1604">
    <w:name w:val="样式 段前: 0.5 行 Char Char Char Char Char"/>
    <w:qFormat/>
    <w:uiPriority w:val="0"/>
    <w:rPr>
      <w:kern w:val="2"/>
      <w:sz w:val="24"/>
      <w:lang w:bidi="ar-SA"/>
    </w:rPr>
  </w:style>
  <w:style w:type="character" w:customStyle="1" w:styleId="1605">
    <w:name w:val="环小四表题 Char Char"/>
    <w:qFormat/>
    <w:uiPriority w:val="0"/>
    <w:rPr>
      <w:rFonts w:ascii="宋体"/>
      <w:b/>
      <w:kern w:val="2"/>
      <w:sz w:val="24"/>
      <w:szCs w:val="24"/>
      <w:lang w:bidi="ar-SA"/>
    </w:rPr>
  </w:style>
  <w:style w:type="character" w:customStyle="1" w:styleId="1606">
    <w:name w:val="april标题3 Char Char"/>
    <w:qFormat/>
    <w:uiPriority w:val="0"/>
    <w:rPr>
      <w:rFonts w:hAnsi="华文中宋"/>
      <w:bCs/>
      <w:spacing w:val="6"/>
      <w:sz w:val="24"/>
      <w:szCs w:val="24"/>
      <w:lang w:bidi="ar-SA"/>
    </w:rPr>
  </w:style>
  <w:style w:type="character" w:customStyle="1" w:styleId="1607">
    <w:name w:val="1-正文 Char Char"/>
    <w:qFormat/>
    <w:uiPriority w:val="0"/>
    <w:rPr>
      <w:rFonts w:ascii="宋体" w:hAnsi="宋体"/>
      <w:kern w:val="2"/>
      <w:sz w:val="24"/>
      <w:szCs w:val="24"/>
      <w:lang w:bidi="ar-SA"/>
    </w:rPr>
  </w:style>
  <w:style w:type="character" w:customStyle="1" w:styleId="1608">
    <w:name w:val="样式 标题 4 + 宋体 Char Char Char Char Char Char Char Char Char Char"/>
    <w:qFormat/>
    <w:uiPriority w:val="0"/>
    <w:rPr>
      <w:rFonts w:eastAsia="楷体_GB2312"/>
      <w:kern w:val="2"/>
      <w:sz w:val="24"/>
      <w:szCs w:val="24"/>
      <w:lang w:bidi="ar-SA"/>
    </w:rPr>
  </w:style>
  <w:style w:type="character" w:customStyle="1" w:styleId="1609">
    <w:name w:val="表格字 Char Char"/>
    <w:qFormat/>
    <w:uiPriority w:val="0"/>
    <w:rPr>
      <w:rFonts w:ascii="宋体" w:hAnsi="宋体"/>
      <w:sz w:val="18"/>
      <w:szCs w:val="21"/>
      <w:lang w:bidi="ar-SA"/>
    </w:rPr>
  </w:style>
  <w:style w:type="character" w:customStyle="1" w:styleId="1610">
    <w:name w:val="HZZH标题—4 Char Char"/>
    <w:qFormat/>
    <w:uiPriority w:val="0"/>
    <w:rPr>
      <w:rFonts w:eastAsia="楷体_GB2312"/>
      <w:bCs/>
      <w:kern w:val="2"/>
      <w:sz w:val="24"/>
      <w:szCs w:val="28"/>
      <w:lang w:bidi="ar-SA"/>
    </w:rPr>
  </w:style>
  <w:style w:type="character" w:customStyle="1" w:styleId="1611">
    <w:name w:val="国电正文 Char Char"/>
    <w:qFormat/>
    <w:uiPriority w:val="0"/>
    <w:rPr>
      <w:color w:val="000000"/>
      <w:kern w:val="2"/>
      <w:sz w:val="24"/>
      <w:lang w:bidi="ar-SA"/>
    </w:rPr>
  </w:style>
  <w:style w:type="character" w:customStyle="1" w:styleId="1612">
    <w:name w:val="正文(首行缩进) Char Char Char"/>
    <w:qFormat/>
    <w:uiPriority w:val="0"/>
    <w:rPr>
      <w:kern w:val="24"/>
      <w:sz w:val="24"/>
      <w:lang w:bidi="ar-SA"/>
    </w:rPr>
  </w:style>
  <w:style w:type="character" w:customStyle="1" w:styleId="1613">
    <w:name w:val="自定义正文 Char Char Char Char Char Char Char Char Char Char Char Char Char Char Char Char Char"/>
    <w:qFormat/>
    <w:uiPriority w:val="0"/>
    <w:rPr>
      <w:kern w:val="2"/>
      <w:position w:val="-28"/>
      <w:sz w:val="28"/>
      <w:szCs w:val="28"/>
      <w:lang w:val="en-US" w:eastAsia="zh-CN" w:bidi="ar-SA"/>
    </w:rPr>
  </w:style>
  <w:style w:type="character" w:customStyle="1" w:styleId="1614">
    <w:name w:val="【表中文字】 Char Char"/>
    <w:qFormat/>
    <w:uiPriority w:val="0"/>
  </w:style>
  <w:style w:type="character" w:customStyle="1" w:styleId="1615">
    <w:name w:val="样式 黑体 小三"/>
    <w:qFormat/>
    <w:uiPriority w:val="0"/>
    <w:rPr>
      <w:rFonts w:ascii="黑体" w:hAnsi="黑体" w:eastAsia="黑体"/>
      <w:sz w:val="30"/>
    </w:rPr>
  </w:style>
  <w:style w:type="character" w:customStyle="1" w:styleId="1616">
    <w:name w:val="正文格式 Char Char"/>
    <w:qFormat/>
    <w:uiPriority w:val="0"/>
    <w:rPr>
      <w:rFonts w:cs="宋体"/>
      <w:kern w:val="2"/>
      <w:sz w:val="24"/>
      <w:szCs w:val="24"/>
    </w:rPr>
  </w:style>
  <w:style w:type="character" w:customStyle="1" w:styleId="1617">
    <w:name w:val="z-窗体顶端 Char3"/>
    <w:link w:val="1618"/>
    <w:qFormat/>
    <w:uiPriority w:val="0"/>
    <w:rPr>
      <w:rFonts w:ascii="Arial" w:hAnsi="Arial"/>
      <w:vanish/>
      <w:sz w:val="16"/>
      <w:szCs w:val="16"/>
    </w:rPr>
  </w:style>
  <w:style w:type="paragraph" w:customStyle="1" w:styleId="1618">
    <w:name w:val="z-窗体顶端2"/>
    <w:basedOn w:val="1"/>
    <w:next w:val="1"/>
    <w:link w:val="1617"/>
    <w:qFormat/>
    <w:uiPriority w:val="0"/>
    <w:pPr>
      <w:pBdr>
        <w:bottom w:val="single" w:color="auto" w:sz="6" w:space="1"/>
      </w:pBdr>
      <w:adjustRightInd/>
      <w:snapToGrid/>
      <w:jc w:val="center"/>
    </w:pPr>
    <w:rPr>
      <w:rFonts w:ascii="Arial" w:hAnsi="Arial" w:eastAsia="宋体"/>
      <w:vanish/>
      <w:kern w:val="0"/>
      <w:sz w:val="16"/>
      <w:szCs w:val="16"/>
    </w:rPr>
  </w:style>
  <w:style w:type="character" w:customStyle="1" w:styleId="1619">
    <w:name w:val="引用 Char3"/>
    <w:semiHidden/>
    <w:qFormat/>
    <w:uiPriority w:val="99"/>
    <w:rPr>
      <w:rFonts w:ascii="Times New Roman" w:hAnsi="Times New Roman" w:eastAsia="仿宋_GB2312"/>
      <w:i/>
      <w:iCs/>
      <w:color w:val="000000"/>
      <w:kern w:val="2"/>
      <w:sz w:val="28"/>
      <w:szCs w:val="24"/>
    </w:rPr>
  </w:style>
  <w:style w:type="character" w:customStyle="1" w:styleId="1620">
    <w:name w:val="书籍标题3"/>
    <w:qFormat/>
    <w:uiPriority w:val="0"/>
    <w:rPr>
      <w:rFonts w:ascii="Cambria" w:hAnsi="Cambria" w:eastAsia="宋体"/>
      <w:b/>
      <w:i/>
      <w:sz w:val="24"/>
      <w:szCs w:val="24"/>
    </w:rPr>
  </w:style>
  <w:style w:type="character" w:customStyle="1" w:styleId="1621">
    <w:name w:val="dd1"/>
    <w:qFormat/>
    <w:uiPriority w:val="0"/>
    <w:rPr>
      <w:rFonts w:hint="default" w:ascii="ˎ̥" w:hAnsi="ˎ̥"/>
      <w:color w:val="000000"/>
      <w:sz w:val="18"/>
      <w:szCs w:val="18"/>
      <w:u w:val="none"/>
    </w:rPr>
  </w:style>
  <w:style w:type="character" w:customStyle="1" w:styleId="1622">
    <w:name w:val="Char Char241"/>
    <w:qFormat/>
    <w:uiPriority w:val="0"/>
    <w:rPr>
      <w:rFonts w:ascii="Arial" w:hAnsi="Arial" w:eastAsia="仿宋_GB2312" w:cs="Times New Roman"/>
      <w:spacing w:val="-6"/>
      <w:kern w:val="20"/>
      <w:sz w:val="18"/>
      <w:szCs w:val="20"/>
    </w:rPr>
  </w:style>
  <w:style w:type="character" w:customStyle="1" w:styleId="1623">
    <w:name w:val="Char Char222"/>
    <w:qFormat/>
    <w:uiPriority w:val="0"/>
    <w:rPr>
      <w:sz w:val="18"/>
      <w:szCs w:val="18"/>
    </w:rPr>
  </w:style>
  <w:style w:type="character" w:customStyle="1" w:styleId="1624">
    <w:name w:val="Char Char11"/>
    <w:qFormat/>
    <w:uiPriority w:val="0"/>
    <w:rPr>
      <w:rFonts w:ascii="Times New Roman" w:hAnsi="Times New Roman" w:eastAsia="宋体" w:cs="Times New Roman"/>
      <w:sz w:val="16"/>
      <w:szCs w:val="16"/>
    </w:rPr>
  </w:style>
  <w:style w:type="character" w:customStyle="1" w:styleId="1625">
    <w:name w:val="正文文本 Char3"/>
    <w:semiHidden/>
    <w:qFormat/>
    <w:uiPriority w:val="99"/>
    <w:rPr>
      <w:rFonts w:ascii="Times New Roman" w:hAnsi="Times New Roman" w:eastAsia="仿宋_GB2312" w:cs="Times New Roman"/>
      <w:kern w:val="2"/>
      <w:sz w:val="28"/>
      <w:szCs w:val="24"/>
    </w:rPr>
  </w:style>
  <w:style w:type="character" w:customStyle="1" w:styleId="1626">
    <w:name w:val="批注主题 Char2"/>
    <w:semiHidden/>
    <w:qFormat/>
    <w:uiPriority w:val="99"/>
    <w:rPr>
      <w:rFonts w:ascii="Times New Roman" w:hAnsi="Times New Roman" w:eastAsia="仿宋_GB2312" w:cs="Times New Roman"/>
      <w:b/>
      <w:bCs/>
      <w:kern w:val="2"/>
      <w:sz w:val="28"/>
      <w:szCs w:val="24"/>
    </w:rPr>
  </w:style>
  <w:style w:type="character" w:customStyle="1" w:styleId="1627">
    <w:name w:val="正文文本缩进 3 Char2"/>
    <w:semiHidden/>
    <w:qFormat/>
    <w:uiPriority w:val="99"/>
    <w:rPr>
      <w:rFonts w:ascii="Times New Roman" w:hAnsi="Times New Roman" w:eastAsia="仿宋_GB2312" w:cs="Times New Roman"/>
      <w:kern w:val="2"/>
      <w:sz w:val="16"/>
      <w:szCs w:val="16"/>
    </w:rPr>
  </w:style>
  <w:style w:type="character" w:customStyle="1" w:styleId="1628">
    <w:name w:val="正文缩进 字符"/>
    <w:qFormat/>
    <w:uiPriority w:val="0"/>
    <w:rPr>
      <w:rFonts w:eastAsia="宋体"/>
      <w:kern w:val="2"/>
      <w:sz w:val="28"/>
      <w:szCs w:val="24"/>
      <w:lang w:val="en-US" w:eastAsia="zh-CN" w:bidi="ar-SA"/>
    </w:rPr>
  </w:style>
  <w:style w:type="character" w:customStyle="1" w:styleId="1629">
    <w:name w:val="font41"/>
    <w:qFormat/>
    <w:uiPriority w:val="0"/>
    <w:rPr>
      <w:rFonts w:hint="eastAsia" w:ascii="宋体" w:hAnsi="宋体" w:eastAsia="宋体" w:cs="宋体"/>
      <w:color w:val="000000"/>
      <w:sz w:val="21"/>
      <w:szCs w:val="21"/>
      <w:u w:val="none"/>
    </w:rPr>
  </w:style>
  <w:style w:type="character" w:customStyle="1" w:styleId="1630">
    <w:name w:val="wz"/>
    <w:qFormat/>
    <w:uiPriority w:val="0"/>
  </w:style>
  <w:style w:type="character" w:customStyle="1" w:styleId="1631">
    <w:name w:val="f20b"/>
    <w:qFormat/>
    <w:uiPriority w:val="0"/>
    <w:rPr>
      <w:rFonts w:cs="Times New Roman"/>
    </w:rPr>
  </w:style>
  <w:style w:type="character" w:customStyle="1" w:styleId="1632">
    <w:name w:val="标题 3 Char3"/>
    <w:qFormat/>
    <w:uiPriority w:val="0"/>
    <w:rPr>
      <w:rFonts w:ascii="Times New Roman" w:hAnsi="Times New Roman" w:eastAsia="仿宋_GB2312"/>
      <w:b/>
      <w:bCs/>
      <w:kern w:val="2"/>
      <w:sz w:val="30"/>
      <w:szCs w:val="32"/>
    </w:rPr>
  </w:style>
  <w:style w:type="character" w:customStyle="1" w:styleId="1633">
    <w:name w:val="超链接11"/>
    <w:qFormat/>
    <w:uiPriority w:val="0"/>
    <w:rPr>
      <w:color w:val="auto"/>
      <w:sz w:val="18"/>
      <w:u w:val="none"/>
    </w:rPr>
  </w:style>
  <w:style w:type="character" w:customStyle="1" w:styleId="1634">
    <w:name w:val="Char Char191"/>
    <w:qFormat/>
    <w:uiPriority w:val="0"/>
    <w:rPr>
      <w:rFonts w:eastAsia="宋体"/>
      <w:kern w:val="2"/>
      <w:sz w:val="16"/>
      <w:szCs w:val="16"/>
      <w:lang w:val="en-US" w:eastAsia="zh-CN" w:bidi="ar-SA"/>
    </w:rPr>
  </w:style>
  <w:style w:type="character" w:customStyle="1" w:styleId="1635">
    <w:name w:val="Char Char271"/>
    <w:qFormat/>
    <w:uiPriority w:val="0"/>
    <w:rPr>
      <w:rFonts w:eastAsia="宋体"/>
      <w:kern w:val="2"/>
      <w:sz w:val="21"/>
      <w:szCs w:val="24"/>
      <w:lang w:val="en-US" w:eastAsia="zh-CN" w:bidi="ar-SA"/>
    </w:rPr>
  </w:style>
  <w:style w:type="character" w:customStyle="1" w:styleId="1636">
    <w:name w:val="Char Char83"/>
    <w:qFormat/>
    <w:uiPriority w:val="0"/>
    <w:rPr>
      <w:rFonts w:eastAsia="华文细黑" w:cs="宋体"/>
      <w:b/>
      <w:bCs/>
      <w:color w:val="000000"/>
      <w:kern w:val="2"/>
      <w:sz w:val="28"/>
      <w:szCs w:val="28"/>
      <w:lang w:val="en-US" w:eastAsia="zh-CN" w:bidi="ar-SA"/>
    </w:rPr>
  </w:style>
  <w:style w:type="character" w:customStyle="1" w:styleId="1637">
    <w:name w:val="Char Char53"/>
    <w:qFormat/>
    <w:uiPriority w:val="0"/>
    <w:rPr>
      <w:rFonts w:eastAsia="宋体"/>
      <w:kern w:val="2"/>
      <w:sz w:val="28"/>
      <w:lang w:val="en-US" w:eastAsia="zh-CN" w:bidi="ar-SA"/>
    </w:rPr>
  </w:style>
  <w:style w:type="character" w:customStyle="1" w:styleId="1638">
    <w:name w:val="Char12 Char Char21"/>
    <w:qFormat/>
    <w:uiPriority w:val="0"/>
    <w:rPr>
      <w:b/>
      <w:spacing w:val="4"/>
    </w:rPr>
  </w:style>
  <w:style w:type="character" w:customStyle="1" w:styleId="1639">
    <w:name w:val="Char Char141"/>
    <w:qFormat/>
    <w:uiPriority w:val="0"/>
    <w:rPr>
      <w:sz w:val="21"/>
    </w:rPr>
  </w:style>
  <w:style w:type="character" w:customStyle="1" w:styleId="1640">
    <w:name w:val="Char Char111"/>
    <w:qFormat/>
    <w:uiPriority w:val="0"/>
    <w:rPr>
      <w:rFonts w:ascii="Times New Roman" w:hAnsi="Times New Roman" w:eastAsia="宋体" w:cs="Times New Roman"/>
      <w:sz w:val="16"/>
      <w:szCs w:val="16"/>
    </w:rPr>
  </w:style>
  <w:style w:type="character" w:customStyle="1" w:styleId="1641">
    <w:name w:val="Char Char Char Char Char Char Char Char Char Char Char Char Char1"/>
    <w:link w:val="1642"/>
    <w:qFormat/>
    <w:uiPriority w:val="0"/>
    <w:rPr>
      <w:kern w:val="2"/>
      <w:sz w:val="21"/>
      <w:szCs w:val="24"/>
    </w:rPr>
  </w:style>
  <w:style w:type="paragraph" w:customStyle="1" w:styleId="1642">
    <w:name w:val="Char Char Char Char Char Char Char Char Char Char Char3"/>
    <w:basedOn w:val="1"/>
    <w:link w:val="1641"/>
    <w:qFormat/>
    <w:uiPriority w:val="0"/>
    <w:pPr>
      <w:widowControl w:val="0"/>
      <w:adjustRightInd/>
      <w:snapToGrid/>
    </w:pPr>
    <w:rPr>
      <w:rFonts w:ascii="Calibri" w:hAnsi="Calibri" w:eastAsia="宋体"/>
      <w:sz w:val="21"/>
    </w:rPr>
  </w:style>
  <w:style w:type="paragraph" w:customStyle="1" w:styleId="1643">
    <w:name w:val="文献分类号"/>
    <w:qFormat/>
    <w:uiPriority w:val="0"/>
    <w:pPr>
      <w:framePr w:hSpace="180" w:vSpace="180" w:wrap="around" w:vAnchor="margin" w:hAnchor="margin" w:y="1" w:anchorLock="1"/>
      <w:widowControl w:val="0"/>
      <w:spacing w:line="320" w:lineRule="exact"/>
      <w:jc w:val="center"/>
      <w:textAlignment w:val="center"/>
    </w:pPr>
    <w:rPr>
      <w:rFonts w:ascii="Calibri" w:hAnsi="Calibri" w:eastAsia="黑体" w:cs="Times New Roman"/>
      <w:sz w:val="21"/>
      <w:lang w:val="en-US" w:eastAsia="zh-CN" w:bidi="ar-SA"/>
    </w:rPr>
  </w:style>
  <w:style w:type="paragraph" w:customStyle="1" w:styleId="1644">
    <w:name w:val="正文缩进快"/>
    <w:basedOn w:val="1"/>
    <w:qFormat/>
    <w:uiPriority w:val="0"/>
    <w:pPr>
      <w:ind w:firstLine="539"/>
    </w:pPr>
    <w:rPr>
      <w:szCs w:val="20"/>
    </w:rPr>
  </w:style>
  <w:style w:type="paragraph" w:customStyle="1" w:styleId="1645">
    <w:name w:val="XCHG论文小节"/>
    <w:basedOn w:val="1"/>
    <w:qFormat/>
    <w:uiPriority w:val="0"/>
    <w:pPr>
      <w:spacing w:beforeLines="75" w:afterLines="75"/>
    </w:pPr>
    <w:rPr>
      <w:rFonts w:ascii="Arial" w:hAnsi="Arial" w:eastAsia="隶书" w:cs="Arial"/>
      <w:b/>
      <w:bCs/>
      <w:color w:val="000000"/>
      <w:sz w:val="32"/>
    </w:rPr>
  </w:style>
  <w:style w:type="paragraph" w:customStyle="1" w:styleId="1646">
    <w:name w:val="样式 正文首行缩进 + 首行缩进:  2 字符2"/>
    <w:basedOn w:val="89"/>
    <w:qFormat/>
    <w:uiPriority w:val="0"/>
    <w:pPr>
      <w:spacing w:line="300" w:lineRule="auto"/>
      <w:ind w:firstLine="560" w:firstLineChars="200"/>
    </w:pPr>
    <w:rPr>
      <w:rFonts w:cs="宋体"/>
      <w:szCs w:val="20"/>
    </w:rPr>
  </w:style>
  <w:style w:type="paragraph" w:customStyle="1" w:styleId="1647">
    <w:name w:val="正文(1)"/>
    <w:basedOn w:val="1"/>
    <w:qFormat/>
    <w:uiPriority w:val="0"/>
    <w:pPr>
      <w:jc w:val="center"/>
    </w:pPr>
    <w:rPr>
      <w:rFonts w:ascii="宋体"/>
      <w:snapToGrid w:val="0"/>
      <w:kern w:val="0"/>
      <w:szCs w:val="20"/>
    </w:rPr>
  </w:style>
  <w:style w:type="paragraph" w:customStyle="1" w:styleId="1648">
    <w:name w:val="lou"/>
    <w:basedOn w:val="1"/>
    <w:qFormat/>
    <w:uiPriority w:val="0"/>
    <w:pPr>
      <w:spacing w:before="100" w:beforeAutospacing="1" w:after="100" w:afterAutospacing="1"/>
      <w:jc w:val="left"/>
    </w:pPr>
    <w:rPr>
      <w:rFonts w:ascii="宋体" w:hAnsi="宋体" w:cs="宋体"/>
      <w:kern w:val="0"/>
      <w:sz w:val="24"/>
    </w:rPr>
  </w:style>
  <w:style w:type="paragraph" w:customStyle="1" w:styleId="1649">
    <w:name w:val="小标题(1)"/>
    <w:basedOn w:val="38"/>
    <w:qFormat/>
    <w:uiPriority w:val="0"/>
    <w:pPr>
      <w:spacing w:before="60" w:after="60" w:line="264" w:lineRule="auto"/>
      <w:ind w:firstLine="240" w:firstLineChars="100"/>
      <w:textAlignment w:val="baseline"/>
    </w:pPr>
    <w:rPr>
      <w:rFonts w:ascii="Calibri"/>
      <w:snapToGrid w:val="0"/>
      <w:kern w:val="0"/>
      <w:sz w:val="24"/>
      <w:szCs w:val="20"/>
    </w:rPr>
  </w:style>
  <w:style w:type="paragraph" w:customStyle="1" w:styleId="1650">
    <w:name w:val="普通(网站)1"/>
    <w:basedOn w:val="1"/>
    <w:qFormat/>
    <w:uiPriority w:val="0"/>
    <w:pPr>
      <w:spacing w:before="100" w:after="100"/>
      <w:jc w:val="left"/>
      <w:textAlignment w:val="baseline"/>
    </w:pPr>
    <w:rPr>
      <w:rFonts w:ascii="宋体" w:hAnsi="宋体"/>
      <w:color w:val="000000"/>
      <w:kern w:val="0"/>
      <w:sz w:val="24"/>
      <w:szCs w:val="20"/>
    </w:rPr>
  </w:style>
  <w:style w:type="paragraph" w:customStyle="1" w:styleId="1651">
    <w:name w:val="新标题样式"/>
    <w:basedOn w:val="1"/>
    <w:qFormat/>
    <w:uiPriority w:val="0"/>
    <w:pPr>
      <w:tabs>
        <w:tab w:val="left" w:pos="567"/>
      </w:tabs>
      <w:spacing w:line="360" w:lineRule="auto"/>
    </w:pPr>
    <w:rPr>
      <w:rFonts w:eastAsia="黑体"/>
      <w:b/>
      <w:spacing w:val="20"/>
      <w:sz w:val="24"/>
      <w:szCs w:val="20"/>
    </w:rPr>
  </w:style>
  <w:style w:type="paragraph" w:customStyle="1" w:styleId="1652">
    <w:name w:val="仪征表"/>
    <w:basedOn w:val="1"/>
    <w:qFormat/>
    <w:uiPriority w:val="0"/>
    <w:pPr>
      <w:spacing w:line="312" w:lineRule="atLeast"/>
      <w:jc w:val="center"/>
      <w:textAlignment w:val="baseline"/>
    </w:pPr>
    <w:rPr>
      <w:rFonts w:ascii="Arial" w:hAnsi="Arial"/>
      <w:b/>
      <w:color w:val="000000"/>
      <w:kern w:val="0"/>
      <w:szCs w:val="20"/>
    </w:rPr>
  </w:style>
  <w:style w:type="paragraph" w:customStyle="1" w:styleId="1653">
    <w:name w:val="正文首行缩进 2 + Times New Roman"/>
    <w:basedOn w:val="1"/>
    <w:qFormat/>
    <w:uiPriority w:val="0"/>
    <w:pPr>
      <w:tabs>
        <w:tab w:val="left" w:pos="0"/>
        <w:tab w:val="left" w:pos="870"/>
        <w:tab w:val="left" w:pos="3150"/>
      </w:tabs>
      <w:autoSpaceDE w:val="0"/>
      <w:autoSpaceDN w:val="0"/>
      <w:spacing w:line="312" w:lineRule="auto"/>
      <w:ind w:firstLine="480"/>
    </w:pPr>
    <w:rPr>
      <w:kern w:val="0"/>
      <w:sz w:val="24"/>
    </w:rPr>
  </w:style>
  <w:style w:type="paragraph" w:customStyle="1" w:styleId="1654">
    <w:name w:val="font21"/>
    <w:basedOn w:val="1"/>
    <w:qFormat/>
    <w:uiPriority w:val="0"/>
    <w:pPr>
      <w:spacing w:before="100" w:beforeAutospacing="1" w:after="100" w:afterAutospacing="1"/>
      <w:jc w:val="left"/>
    </w:pPr>
    <w:rPr>
      <w:rFonts w:ascii="仿宋_GB2312" w:hAnsi="宋体" w:cs="宋体"/>
      <w:kern w:val="0"/>
      <w:sz w:val="18"/>
      <w:szCs w:val="18"/>
    </w:rPr>
  </w:style>
  <w:style w:type="paragraph" w:customStyle="1" w:styleId="1655">
    <w:name w:val="列表引导"/>
    <w:basedOn w:val="70"/>
    <w:next w:val="70"/>
    <w:semiHidden/>
    <w:qFormat/>
    <w:uiPriority w:val="0"/>
    <w:pPr>
      <w:tabs>
        <w:tab w:val="left" w:pos="720"/>
      </w:tabs>
      <w:overflowPunct w:val="0"/>
      <w:autoSpaceDE w:val="0"/>
      <w:autoSpaceDN w:val="0"/>
      <w:spacing w:before="80" w:after="80"/>
      <w:ind w:left="720" w:hanging="360"/>
      <w:jc w:val="left"/>
      <w:textAlignment w:val="baseline"/>
    </w:pPr>
    <w:rPr>
      <w:rFonts w:ascii="Times New Roman" w:eastAsia="宋体"/>
      <w:kern w:val="0"/>
      <w:sz w:val="20"/>
    </w:rPr>
  </w:style>
  <w:style w:type="paragraph" w:customStyle="1" w:styleId="1656">
    <w:name w:val="cucd-B"/>
    <w:next w:val="680"/>
    <w:qFormat/>
    <w:uiPriority w:val="0"/>
    <w:pPr>
      <w:spacing w:line="360" w:lineRule="auto"/>
      <w:jc w:val="center"/>
      <w:outlineLvl w:val="1"/>
    </w:pPr>
    <w:rPr>
      <w:rFonts w:ascii="Calibri" w:hAnsi="Calibri" w:eastAsia="黑体" w:cs="Times New Roman"/>
      <w:color w:val="C00000"/>
      <w:kern w:val="2"/>
      <w:sz w:val="30"/>
      <w:szCs w:val="24"/>
      <w:lang w:val="en-US" w:eastAsia="zh-CN" w:bidi="ar-SA"/>
    </w:rPr>
  </w:style>
  <w:style w:type="paragraph" w:customStyle="1" w:styleId="1657">
    <w:name w:val="样式 标题 21.1标题 21.1_Heading 2标题 2 Char1节标2节标题 1.11.1标题2h..."/>
    <w:basedOn w:val="6"/>
    <w:qFormat/>
    <w:uiPriority w:val="0"/>
    <w:pPr>
      <w:keepNext w:val="0"/>
      <w:keepLines w:val="0"/>
      <w:tabs>
        <w:tab w:val="clear" w:pos="567"/>
        <w:tab w:val="clear" w:pos="1080"/>
      </w:tabs>
      <w:spacing w:before="0" w:after="0" w:line="360" w:lineRule="auto"/>
      <w:ind w:left="0" w:firstLine="0"/>
      <w:jc w:val="left"/>
    </w:pPr>
    <w:rPr>
      <w:b w:val="0"/>
      <w:color w:val="0000FF"/>
      <w:sz w:val="28"/>
      <w:szCs w:val="28"/>
    </w:rPr>
  </w:style>
  <w:style w:type="paragraph" w:customStyle="1" w:styleId="1658">
    <w:name w:val="Char Char Char Char Char Char Char Char Char Char Char Char1 Char Char Char Char Char Char Char Char Char Char Char Char Char Char Char Char Char Char Char"/>
    <w:basedOn w:val="1"/>
    <w:qFormat/>
    <w:uiPriority w:val="0"/>
    <w:pPr>
      <w:spacing w:line="360" w:lineRule="auto"/>
    </w:pPr>
    <w:rPr>
      <w:szCs w:val="20"/>
    </w:rPr>
  </w:style>
  <w:style w:type="paragraph" w:customStyle="1" w:styleId="1659">
    <w:name w:val="段落样式"/>
    <w:basedOn w:val="1660"/>
    <w:qFormat/>
    <w:uiPriority w:val="0"/>
    <w:pPr>
      <w:tabs>
        <w:tab w:val="left" w:pos="567"/>
      </w:tabs>
      <w:ind w:firstLine="567"/>
    </w:pPr>
    <w:rPr>
      <w:rFonts w:ascii="Times New Roman" w:eastAsia="宋体"/>
      <w:b w:val="0"/>
      <w:spacing w:val="20"/>
    </w:rPr>
  </w:style>
  <w:style w:type="paragraph" w:customStyle="1" w:styleId="1660">
    <w:name w:val="抚顺项目章节标题"/>
    <w:basedOn w:val="1"/>
    <w:qFormat/>
    <w:uiPriority w:val="0"/>
    <w:pPr>
      <w:tabs>
        <w:tab w:val="left" w:pos="567"/>
      </w:tabs>
      <w:spacing w:line="360" w:lineRule="auto"/>
    </w:pPr>
    <w:rPr>
      <w:rFonts w:ascii="黑体" w:eastAsia="黑体"/>
      <w:b/>
      <w:sz w:val="24"/>
      <w:szCs w:val="20"/>
    </w:rPr>
  </w:style>
  <w:style w:type="paragraph" w:customStyle="1" w:styleId="1661">
    <w:name w:val="Char Char1 Char Char Char Char Char Char Char Char Char Char Char Char"/>
    <w:basedOn w:val="1"/>
    <w:qFormat/>
    <w:uiPriority w:val="0"/>
    <w:pPr>
      <w:jc w:val="left"/>
    </w:pPr>
    <w:rPr>
      <w:sz w:val="32"/>
      <w:szCs w:val="20"/>
    </w:rPr>
  </w:style>
  <w:style w:type="paragraph" w:customStyle="1" w:styleId="1662">
    <w:name w:val="xl14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000000"/>
      <w:kern w:val="0"/>
      <w:sz w:val="18"/>
      <w:szCs w:val="18"/>
    </w:rPr>
  </w:style>
  <w:style w:type="paragraph" w:customStyle="1" w:styleId="1663">
    <w:name w:val="样式 表格文字统一样式 + Arial 小五 非加粗 自动设置 行距: 单倍行距1"/>
    <w:basedOn w:val="1325"/>
    <w:qFormat/>
    <w:uiPriority w:val="0"/>
    <w:rPr>
      <w:rFonts w:ascii="Arial" w:hAnsi="Arial"/>
    </w:rPr>
  </w:style>
  <w:style w:type="paragraph" w:customStyle="1" w:styleId="1664">
    <w:name w:val="列表项目"/>
    <w:basedOn w:val="28"/>
    <w:qFormat/>
    <w:uiPriority w:val="0"/>
    <w:pPr>
      <w:tabs>
        <w:tab w:val="clear" w:pos="360"/>
      </w:tabs>
      <w:spacing w:before="120" w:line="360" w:lineRule="auto"/>
      <w:ind w:left="-105" w:right="-107" w:firstLine="0" w:firstLineChars="0"/>
      <w:jc w:val="center"/>
      <w:outlineLvl w:val="0"/>
    </w:pPr>
    <w:rPr>
      <w:bCs/>
      <w:sz w:val="18"/>
      <w:szCs w:val="20"/>
    </w:rPr>
  </w:style>
  <w:style w:type="paragraph" w:customStyle="1" w:styleId="1665">
    <w:name w:val="样式 样式 标题 2标题2二级 标题 2H2h2第一层条标题 2 Char节标题节11 Char标题 2 Cha...1 +"/>
    <w:basedOn w:val="1666"/>
    <w:qFormat/>
    <w:uiPriority w:val="0"/>
    <w:pPr>
      <w:keepNext w:val="0"/>
      <w:keepLines w:val="0"/>
      <w:tabs>
        <w:tab w:val="left" w:pos="567"/>
        <w:tab w:val="left" w:pos="840"/>
        <w:tab w:val="left" w:pos="1080"/>
      </w:tabs>
      <w:spacing w:line="360" w:lineRule="exact"/>
      <w:ind w:left="578" w:hanging="578"/>
      <w:textAlignment w:val="baseline"/>
    </w:pPr>
    <w:rPr>
      <w:rFonts w:eastAsia="仿宋_GB2312"/>
      <w:kern w:val="2"/>
      <w:sz w:val="24"/>
    </w:rPr>
  </w:style>
  <w:style w:type="paragraph" w:customStyle="1" w:styleId="1666">
    <w:name w:val="样式 标题 2标题2二级 标题 2H2h2第一层条标题 2 Char节标题节11 Char标题 2 Cha...1"/>
    <w:basedOn w:val="6"/>
    <w:qFormat/>
    <w:uiPriority w:val="0"/>
  </w:style>
  <w:style w:type="paragraph" w:customStyle="1" w:styleId="1667">
    <w:name w:val="正文 + 首行缩进:  2 字符"/>
    <w:basedOn w:val="1"/>
    <w:qFormat/>
    <w:uiPriority w:val="0"/>
    <w:pPr>
      <w:spacing w:line="460" w:lineRule="atLeast"/>
      <w:ind w:firstLine="528"/>
    </w:pPr>
    <w:rPr>
      <w:spacing w:val="12"/>
      <w:sz w:val="24"/>
      <w:szCs w:val="20"/>
    </w:rPr>
  </w:style>
  <w:style w:type="paragraph" w:customStyle="1" w:styleId="1668">
    <w:name w:val="新正文样式"/>
    <w:basedOn w:val="1"/>
    <w:qFormat/>
    <w:uiPriority w:val="0"/>
    <w:pPr>
      <w:tabs>
        <w:tab w:val="left" w:pos="567"/>
      </w:tabs>
      <w:spacing w:line="360" w:lineRule="auto"/>
      <w:ind w:firstLine="567"/>
    </w:pPr>
    <w:rPr>
      <w:spacing w:val="20"/>
      <w:sz w:val="24"/>
      <w:szCs w:val="20"/>
    </w:rPr>
  </w:style>
  <w:style w:type="paragraph" w:customStyle="1" w:styleId="1669">
    <w:name w:val="a"/>
    <w:basedOn w:val="1"/>
    <w:qFormat/>
    <w:uiPriority w:val="0"/>
    <w:pPr>
      <w:jc w:val="center"/>
    </w:pPr>
    <w:rPr>
      <w:rFonts w:eastAsia="Arial Unicode MS"/>
      <w:color w:val="000000"/>
      <w:kern w:val="0"/>
      <w:szCs w:val="21"/>
    </w:rPr>
  </w:style>
  <w:style w:type="paragraph" w:customStyle="1" w:styleId="1670">
    <w:name w:val="样式 标题 2标题2二级 标题 2H2h2第一层条标题 2 Char节标题节11 Char标题 2 Cha...2"/>
    <w:basedOn w:val="6"/>
    <w:qFormat/>
    <w:uiPriority w:val="0"/>
  </w:style>
  <w:style w:type="paragraph" w:customStyle="1" w:styleId="1671">
    <w:name w:val="xl103"/>
    <w:basedOn w:val="1"/>
    <w:qFormat/>
    <w:uiPriority w:val="0"/>
    <w:pPr>
      <w:pBdr>
        <w:top w:val="single" w:color="auto" w:sz="4" w:space="0"/>
        <w:left w:val="single" w:color="auto" w:sz="8" w:space="0"/>
      </w:pBdr>
      <w:spacing w:before="100" w:beforeAutospacing="1" w:after="100" w:afterAutospacing="1"/>
      <w:jc w:val="left"/>
      <w:textAlignment w:val="center"/>
    </w:pPr>
    <w:rPr>
      <w:rFonts w:ascii="Arial Unicode MS" w:hAnsi="Arial Unicode MS" w:eastAsia="Arial Unicode MS" w:cs="Arial Unicode MS"/>
      <w:kern w:val="0"/>
      <w:sz w:val="16"/>
      <w:szCs w:val="16"/>
    </w:rPr>
  </w:style>
  <w:style w:type="paragraph" w:customStyle="1" w:styleId="1672">
    <w:name w:val="cucd-TB"/>
    <w:qFormat/>
    <w:uiPriority w:val="0"/>
    <w:pPr>
      <w:spacing w:line="360" w:lineRule="auto"/>
      <w:jc w:val="center"/>
    </w:pPr>
    <w:rPr>
      <w:rFonts w:ascii="Calibri" w:hAnsi="Calibri" w:eastAsia="宋体" w:cs="Times New Roman"/>
      <w:kern w:val="2"/>
      <w:sz w:val="21"/>
      <w:szCs w:val="24"/>
      <w:lang w:val="en-US" w:eastAsia="zh-CN" w:bidi="ar-SA"/>
    </w:rPr>
  </w:style>
  <w:style w:type="paragraph" w:customStyle="1" w:styleId="1673">
    <w:name w:val="xl167"/>
    <w:basedOn w:val="1"/>
    <w:qFormat/>
    <w:uiPriority w:val="0"/>
    <w:pPr>
      <w:pBdr>
        <w:left w:val="single" w:color="auto" w:sz="4" w:space="0"/>
        <w:right w:val="single" w:color="auto" w:sz="4" w:space="0"/>
      </w:pBdr>
      <w:spacing w:before="100" w:beforeAutospacing="1" w:after="100" w:afterAutospacing="1"/>
      <w:jc w:val="center"/>
      <w:textAlignment w:val="center"/>
    </w:pPr>
    <w:rPr>
      <w:b/>
      <w:bCs/>
      <w:kern w:val="0"/>
      <w:sz w:val="18"/>
      <w:szCs w:val="18"/>
    </w:rPr>
  </w:style>
  <w:style w:type="paragraph" w:customStyle="1" w:styleId="1674">
    <w:name w:val="样式 样式 标题 2标题2二级 标题 2H2h2第一层条标题 2 Char节标题节11 Char标题 2 Cha... +1"/>
    <w:basedOn w:val="1"/>
    <w:qFormat/>
    <w:uiPriority w:val="0"/>
    <w:pPr>
      <w:tabs>
        <w:tab w:val="left" w:pos="720"/>
      </w:tabs>
      <w:spacing w:before="240" w:after="160" w:line="312" w:lineRule="auto"/>
      <w:jc w:val="left"/>
      <w:textAlignment w:val="baseline"/>
      <w:outlineLvl w:val="1"/>
    </w:pPr>
    <w:rPr>
      <w:b/>
      <w:sz w:val="24"/>
      <w:szCs w:val="20"/>
    </w:rPr>
  </w:style>
  <w:style w:type="paragraph" w:customStyle="1" w:styleId="1675">
    <w:name w:val="报告书正文 Char Char"/>
    <w:basedOn w:val="1"/>
    <w:qFormat/>
    <w:uiPriority w:val="0"/>
    <w:pPr>
      <w:spacing w:line="300" w:lineRule="auto"/>
      <w:ind w:firstLine="480"/>
    </w:pPr>
    <w:rPr>
      <w:color w:val="000000"/>
      <w:sz w:val="24"/>
    </w:rPr>
  </w:style>
  <w:style w:type="paragraph" w:customStyle="1" w:styleId="1676">
    <w:name w:val="样式 标题 1一、 + (中文) 仿宋_GB2312 段前: 6 磅"/>
    <w:basedOn w:val="5"/>
    <w:qFormat/>
    <w:uiPriority w:val="0"/>
  </w:style>
  <w:style w:type="paragraph" w:customStyle="1" w:styleId="1677">
    <w:name w:val="Char Char Char Char Char Char Char Char Char Char Char Char Char Char Char Char"/>
    <w:basedOn w:val="1"/>
    <w:qFormat/>
    <w:uiPriority w:val="0"/>
    <w:pPr>
      <w:spacing w:line="360" w:lineRule="auto"/>
    </w:pPr>
    <w:rPr>
      <w:rFonts w:ascii="宋体" w:hAnsi="宋体" w:cs="宋体"/>
      <w:sz w:val="24"/>
    </w:rPr>
  </w:style>
  <w:style w:type="paragraph" w:customStyle="1" w:styleId="1678">
    <w:name w:val="样式 标题 2 + 两端对齐 段前: 12 磅 段后: 12 磅 行距: 多倍行距 1.3 字行"/>
    <w:basedOn w:val="6"/>
    <w:qFormat/>
    <w:uiPriority w:val="0"/>
  </w:style>
  <w:style w:type="paragraph" w:customStyle="1" w:styleId="1679">
    <w:name w:val="单位名称"/>
    <w:basedOn w:val="1"/>
    <w:semiHidden/>
    <w:qFormat/>
    <w:uiPriority w:val="0"/>
    <w:pPr>
      <w:overflowPunct w:val="0"/>
      <w:autoSpaceDE w:val="0"/>
      <w:autoSpaceDN w:val="0"/>
      <w:spacing w:before="120" w:after="80"/>
      <w:jc w:val="center"/>
      <w:textAlignment w:val="baseline"/>
    </w:pPr>
    <w:rPr>
      <w:b/>
      <w:szCs w:val="20"/>
    </w:rPr>
  </w:style>
  <w:style w:type="paragraph" w:customStyle="1" w:styleId="1680">
    <w:name w:val="正文 New New New New New New New New New New New New New New New New New New New New New New New New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仿宋_GB2312" w:hAnsi="Courier New" w:eastAsia="仿宋_GB2312" w:cs="Times New Roman"/>
      <w:sz w:val="28"/>
      <w:lang w:val="en-US" w:eastAsia="zh-CN" w:bidi="ar-SA"/>
    </w:rPr>
  </w:style>
  <w:style w:type="paragraph" w:customStyle="1" w:styleId="1681">
    <w:name w:val="样式 样式 标题 2 + 段后: 0.5 行 + (西文) Times New Roman (中文) 仿宋_GB2312 段..."/>
    <w:basedOn w:val="1682"/>
    <w:qFormat/>
    <w:uiPriority w:val="0"/>
    <w:pPr>
      <w:tabs>
        <w:tab w:val="left" w:pos="567"/>
        <w:tab w:val="left" w:pos="1080"/>
      </w:tabs>
    </w:pPr>
  </w:style>
  <w:style w:type="paragraph" w:customStyle="1" w:styleId="1682">
    <w:name w:val="样式 标题 2 + 段后: 0.5 行"/>
    <w:basedOn w:val="6"/>
    <w:qFormat/>
    <w:uiPriority w:val="0"/>
  </w:style>
  <w:style w:type="paragraph" w:customStyle="1" w:styleId="1683">
    <w:name w:val="cauc-C"/>
    <w:next w:val="887"/>
    <w:qFormat/>
    <w:uiPriority w:val="0"/>
    <w:pPr>
      <w:widowControl w:val="0"/>
      <w:spacing w:beforeLines="50" w:line="520" w:lineRule="atLeast"/>
      <w:ind w:firstLine="274" w:firstLineChars="98"/>
      <w:jc w:val="center"/>
      <w:outlineLvl w:val="2"/>
    </w:pPr>
    <w:rPr>
      <w:rFonts w:ascii="仿宋_GB2312" w:hAnsi="Calibri" w:eastAsia="仿宋_GB2312" w:cs="Times New Roman"/>
      <w:color w:val="000000"/>
      <w:kern w:val="2"/>
      <w:sz w:val="28"/>
      <w:szCs w:val="28"/>
      <w:lang w:val="en-US" w:eastAsia="zh-CN" w:bidi="ar-SA"/>
    </w:rPr>
  </w:style>
  <w:style w:type="paragraph" w:customStyle="1" w:styleId="1684">
    <w:name w:val="ZWWB"/>
    <w:basedOn w:val="1"/>
    <w:qFormat/>
    <w:uiPriority w:val="0"/>
    <w:pPr>
      <w:spacing w:line="300" w:lineRule="auto"/>
    </w:pPr>
    <w:rPr>
      <w:szCs w:val="28"/>
    </w:rPr>
  </w:style>
  <w:style w:type="paragraph" w:customStyle="1" w:styleId="1685">
    <w:name w:val="列图"/>
    <w:basedOn w:val="70"/>
    <w:next w:val="1"/>
    <w:qFormat/>
    <w:uiPriority w:val="0"/>
    <w:pPr>
      <w:keepLines/>
      <w:spacing w:before="120" w:after="120" w:line="300" w:lineRule="atLeast"/>
      <w:ind w:left="0" w:firstLine="0"/>
    </w:pPr>
    <w:rPr>
      <w:rFonts w:ascii="Times New Roman" w:eastAsia="仿宋_GB2312"/>
      <w:kern w:val="28"/>
      <w:sz w:val="21"/>
    </w:rPr>
  </w:style>
  <w:style w:type="paragraph" w:customStyle="1" w:styleId="1686">
    <w:name w:val="列表 5G"/>
    <w:basedOn w:val="73"/>
    <w:qFormat/>
    <w:uiPriority w:val="0"/>
    <w:pPr>
      <w:tabs>
        <w:tab w:val="left" w:pos="1134"/>
      </w:tabs>
      <w:ind w:left="1134" w:leftChars="0" w:hanging="425" w:firstLineChars="0"/>
    </w:pPr>
    <w:rPr>
      <w:rFonts w:ascii="Arial" w:hAnsi="Arial"/>
      <w:color w:val="99CCFF"/>
      <w:sz w:val="24"/>
      <w:szCs w:val="20"/>
    </w:rPr>
  </w:style>
  <w:style w:type="paragraph" w:customStyle="1" w:styleId="1687">
    <w:name w:val="样式 样式 样式 标题 2标题2二级 标题 2H2h2第一层条标题 2 Char节标题节11 Char标题 2 Cha...1 ..."/>
    <w:basedOn w:val="1665"/>
    <w:qFormat/>
    <w:uiPriority w:val="0"/>
  </w:style>
  <w:style w:type="paragraph" w:customStyle="1" w:styleId="1688">
    <w:name w:val="样式 标题 2_Heading 2标题2节_Heading 2 CharHEAD_2HEAD_21HEAD_22..."/>
    <w:basedOn w:val="6"/>
    <w:qFormat/>
    <w:uiPriority w:val="0"/>
    <w:pPr>
      <w:keepNext w:val="0"/>
      <w:keepLines w:val="0"/>
      <w:tabs>
        <w:tab w:val="clear" w:pos="1080"/>
      </w:tabs>
      <w:spacing w:before="0" w:after="0" w:line="300" w:lineRule="auto"/>
      <w:ind w:left="0" w:firstLine="0"/>
      <w:jc w:val="left"/>
      <w:textAlignment w:val="baseline"/>
      <w:outlineLvl w:val="0"/>
    </w:pPr>
    <w:rPr>
      <w:rFonts w:cs="宋体"/>
      <w:b w:val="0"/>
      <w:snapToGrid w:val="0"/>
      <w:kern w:val="28"/>
      <w:sz w:val="28"/>
    </w:rPr>
  </w:style>
  <w:style w:type="paragraph" w:customStyle="1" w:styleId="1689">
    <w:name w:val="Table Title"/>
    <w:basedOn w:val="1"/>
    <w:qFormat/>
    <w:uiPriority w:val="0"/>
    <w:pPr>
      <w:spacing w:line="360" w:lineRule="auto"/>
      <w:jc w:val="center"/>
    </w:pPr>
    <w:rPr>
      <w:rFonts w:ascii="Arial" w:hAnsi="Arial"/>
      <w:color w:val="000080"/>
      <w:kern w:val="0"/>
      <w:sz w:val="24"/>
      <w:szCs w:val="20"/>
      <w:lang w:eastAsia="en-US"/>
    </w:rPr>
  </w:style>
  <w:style w:type="paragraph" w:customStyle="1" w:styleId="1690">
    <w:name w:val="二级无标题条"/>
    <w:basedOn w:val="1"/>
    <w:qFormat/>
    <w:uiPriority w:val="0"/>
  </w:style>
  <w:style w:type="paragraph" w:customStyle="1" w:styleId="1691">
    <w:name w:val="样式 宋体 小四 左 首行缩进:  0.85 厘米 段后: 2.5 磅 行距: 固定值 20 磅"/>
    <w:basedOn w:val="1"/>
    <w:qFormat/>
    <w:uiPriority w:val="0"/>
    <w:pPr>
      <w:spacing w:after="50" w:line="400" w:lineRule="exact"/>
      <w:ind w:firstLine="480"/>
      <w:jc w:val="left"/>
    </w:pPr>
    <w:rPr>
      <w:rFonts w:ascii="宋体" w:hAnsi="宋体"/>
      <w:sz w:val="24"/>
      <w:szCs w:val="20"/>
    </w:rPr>
  </w:style>
  <w:style w:type="paragraph" w:customStyle="1" w:styleId="1692">
    <w:name w:val="Plain Text1"/>
    <w:basedOn w:val="1"/>
    <w:qFormat/>
    <w:uiPriority w:val="0"/>
    <w:pPr>
      <w:textAlignment w:val="baseline"/>
    </w:pPr>
    <w:rPr>
      <w:rFonts w:ascii="宋体" w:hAnsi="Courier New"/>
      <w:szCs w:val="20"/>
    </w:rPr>
  </w:style>
  <w:style w:type="paragraph" w:customStyle="1" w:styleId="1693">
    <w:name w:val="表格后标题"/>
    <w:basedOn w:val="1651"/>
    <w:qFormat/>
    <w:uiPriority w:val="0"/>
    <w:pPr>
      <w:spacing w:before="200"/>
    </w:pPr>
  </w:style>
  <w:style w:type="paragraph" w:customStyle="1" w:styleId="1694">
    <w:name w:val="xl12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18"/>
      <w:szCs w:val="18"/>
    </w:rPr>
  </w:style>
  <w:style w:type="paragraph" w:customStyle="1" w:styleId="1695">
    <w:name w:val="样式 样式 首行缩进:  1.69 厘米 + (中文) 宋体"/>
    <w:basedOn w:val="1"/>
    <w:qFormat/>
    <w:uiPriority w:val="0"/>
    <w:pPr>
      <w:tabs>
        <w:tab w:val="left" w:pos="-180"/>
      </w:tabs>
      <w:spacing w:before="60"/>
      <w:textAlignment w:val="baseline"/>
    </w:pPr>
    <w:rPr>
      <w:rFonts w:ascii="宋体"/>
      <w:sz w:val="24"/>
      <w:szCs w:val="20"/>
    </w:rPr>
  </w:style>
  <w:style w:type="paragraph" w:customStyle="1" w:styleId="1696">
    <w:name w:val="标题 4 + (西文) 宋体"/>
    <w:basedOn w:val="7"/>
    <w:qFormat/>
    <w:uiPriority w:val="0"/>
    <w:pPr>
      <w:keepLines w:val="0"/>
      <w:tabs>
        <w:tab w:val="clear" w:pos="1440"/>
      </w:tabs>
      <w:spacing w:before="240" w:after="60" w:line="300" w:lineRule="auto"/>
      <w:ind w:left="0" w:firstLine="200"/>
    </w:pPr>
    <w:rPr>
      <w:rFonts w:ascii="宋体" w:hAnsi="宋体"/>
      <w:bCs/>
      <w:kern w:val="2"/>
      <w:sz w:val="26"/>
      <w:szCs w:val="32"/>
    </w:rPr>
  </w:style>
  <w:style w:type="paragraph" w:customStyle="1" w:styleId="1697">
    <w:name w:val="文本正文"/>
    <w:basedOn w:val="1"/>
    <w:qFormat/>
    <w:uiPriority w:val="0"/>
    <w:pPr>
      <w:tabs>
        <w:tab w:val="left" w:pos="560"/>
      </w:tabs>
      <w:spacing w:line="500" w:lineRule="exact"/>
      <w:ind w:firstLine="560"/>
    </w:pPr>
    <w:rPr>
      <w:bCs/>
      <w:szCs w:val="28"/>
    </w:rPr>
  </w:style>
  <w:style w:type="paragraph" w:customStyle="1" w:styleId="1698">
    <w:name w:val="正文6"/>
    <w:qFormat/>
    <w:uiPriority w:val="0"/>
    <w:pPr>
      <w:widowControl w:val="0"/>
      <w:adjustRightInd w:val="0"/>
      <w:spacing w:line="360" w:lineRule="atLeast"/>
      <w:jc w:val="center"/>
    </w:pPr>
    <w:rPr>
      <w:rFonts w:hint="eastAsia" w:ascii="宋体" w:hAnsi="宋体" w:eastAsia="宋体" w:cs="Times New Roman"/>
      <w:kern w:val="2"/>
      <w:sz w:val="24"/>
      <w:szCs w:val="22"/>
      <w:lang w:val="en-US" w:eastAsia="zh-CN" w:bidi="ar-SA"/>
    </w:rPr>
  </w:style>
  <w:style w:type="paragraph" w:customStyle="1" w:styleId="1699">
    <w:name w:val="样式 正文首行缩进"/>
    <w:basedOn w:val="89"/>
    <w:qFormat/>
    <w:uiPriority w:val="0"/>
    <w:pPr>
      <w:spacing w:line="300" w:lineRule="auto"/>
      <w:ind w:firstLine="560" w:firstLineChars="200"/>
    </w:pPr>
    <w:rPr>
      <w:rFonts w:cs="宋体"/>
      <w:kern w:val="0"/>
      <w:szCs w:val="20"/>
    </w:rPr>
  </w:style>
  <w:style w:type="paragraph" w:customStyle="1" w:styleId="1700">
    <w:name w:val="表文2"/>
    <w:basedOn w:val="1"/>
    <w:qFormat/>
    <w:uiPriority w:val="0"/>
    <w:pPr>
      <w:spacing w:line="360" w:lineRule="exact"/>
      <w:jc w:val="center"/>
    </w:pPr>
    <w:rPr>
      <w:rFonts w:ascii="Arial" w:hAnsi="Arial"/>
      <w:color w:val="000000"/>
      <w:kern w:val="24"/>
      <w:szCs w:val="20"/>
    </w:rPr>
  </w:style>
  <w:style w:type="paragraph" w:customStyle="1" w:styleId="1701">
    <w:name w:val="样式 标题 2标题2.1标题 1.1 + 黑体 四号 非加粗 蓝色 段前: 15.6 磅 段后: 7.8 磅 行..."/>
    <w:basedOn w:val="6"/>
    <w:qFormat/>
    <w:uiPriority w:val="0"/>
  </w:style>
  <w:style w:type="paragraph" w:customStyle="1" w:styleId="1702">
    <w:name w:val="1级标题"/>
    <w:basedOn w:val="1"/>
    <w:qFormat/>
    <w:uiPriority w:val="0"/>
    <w:pPr>
      <w:spacing w:before="60" w:line="460" w:lineRule="exact"/>
      <w:outlineLvl w:val="0"/>
    </w:pPr>
    <w:rPr>
      <w:b/>
      <w:sz w:val="32"/>
    </w:rPr>
  </w:style>
  <w:style w:type="paragraph" w:customStyle="1" w:styleId="1703">
    <w:name w:val="样式 样式 标题 3标题3H3h33rd level第二层条头小标题小节标题标题 3 Char Char一海港标... +"/>
    <w:basedOn w:val="1704"/>
    <w:qFormat/>
    <w:uiPriority w:val="0"/>
    <w:pPr>
      <w:tabs>
        <w:tab w:val="left" w:pos="709"/>
        <w:tab w:val="left" w:pos="1440"/>
      </w:tabs>
    </w:pPr>
  </w:style>
  <w:style w:type="paragraph" w:customStyle="1" w:styleId="1704">
    <w:name w:val="样式 标题 3标题3H3h33rd level第二层条头小标题小节标题标题 3 Char Char一海港标..."/>
    <w:basedOn w:val="7"/>
    <w:qFormat/>
    <w:uiPriority w:val="0"/>
  </w:style>
  <w:style w:type="paragraph" w:customStyle="1" w:styleId="1705">
    <w:name w:val="样式 宋体 小四 首行缩进:  1.59 厘米 段后: 2.5 磅 行距: 固定值 20 磅"/>
    <w:basedOn w:val="1"/>
    <w:qFormat/>
    <w:uiPriority w:val="0"/>
    <w:pPr>
      <w:spacing w:after="50" w:line="400" w:lineRule="exact"/>
      <w:ind w:firstLine="900"/>
    </w:pPr>
    <w:rPr>
      <w:rFonts w:ascii="宋体" w:hAnsi="宋体"/>
      <w:sz w:val="24"/>
      <w:szCs w:val="20"/>
    </w:rPr>
  </w:style>
  <w:style w:type="paragraph" w:customStyle="1" w:styleId="1706">
    <w:name w:val="附表名称"/>
    <w:basedOn w:val="49"/>
    <w:qFormat/>
    <w:uiPriority w:val="0"/>
    <w:pPr>
      <w:spacing w:line="360" w:lineRule="auto"/>
      <w:jc w:val="center"/>
    </w:pPr>
    <w:rPr>
      <w:rFonts w:ascii="Arial Narrow" w:hAnsi="Arial Narrow" w:eastAsia="黑体"/>
      <w:szCs w:val="21"/>
    </w:rPr>
  </w:style>
  <w:style w:type="paragraph" w:customStyle="1" w:styleId="1707">
    <w:name w:val="节标题1"/>
    <w:basedOn w:val="1"/>
    <w:qFormat/>
    <w:uiPriority w:val="0"/>
    <w:pPr>
      <w:spacing w:line="360" w:lineRule="auto"/>
      <w:ind w:firstLine="560"/>
    </w:pPr>
    <w:rPr>
      <w:bCs/>
      <w:color w:val="000000"/>
    </w:rPr>
  </w:style>
  <w:style w:type="paragraph" w:customStyle="1" w:styleId="1708">
    <w:name w:val="xl20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kern w:val="0"/>
      <w:sz w:val="20"/>
      <w:szCs w:val="20"/>
    </w:rPr>
  </w:style>
  <w:style w:type="paragraph" w:customStyle="1" w:styleId="1709">
    <w:name w:val="样式 样式 标题 3标题3H3h33rd level第二层条头小标题小节标题标题 3 Char Char一海港标... +1"/>
    <w:basedOn w:val="1704"/>
    <w:qFormat/>
    <w:uiPriority w:val="0"/>
  </w:style>
  <w:style w:type="paragraph" w:customStyle="1" w:styleId="1710">
    <w:name w:val="标题004"/>
    <w:basedOn w:val="657"/>
    <w:qFormat/>
    <w:uiPriority w:val="0"/>
    <w:pPr>
      <w:spacing w:line="420" w:lineRule="exact"/>
      <w:ind w:firstLine="0"/>
      <w:outlineLvl w:val="3"/>
    </w:pPr>
    <w:rPr>
      <w:rFonts w:ascii="Times New Roman" w:hAnsi="Times New Roman"/>
      <w:b/>
      <w:color w:val="auto"/>
    </w:rPr>
  </w:style>
  <w:style w:type="paragraph" w:customStyle="1" w:styleId="1711">
    <w:name w:val="cauc-TB Char Char"/>
    <w:qFormat/>
    <w:uiPriority w:val="0"/>
    <w:pPr>
      <w:spacing w:line="320" w:lineRule="exact"/>
      <w:jc w:val="center"/>
    </w:pPr>
    <w:rPr>
      <w:rFonts w:ascii="Calibri" w:hAnsi="Calibri" w:eastAsia="宋体" w:cs="Times New Roman"/>
      <w:kern w:val="2"/>
      <w:sz w:val="21"/>
      <w:szCs w:val="24"/>
      <w:lang w:val="en-US" w:eastAsia="zh-CN" w:bidi="ar-SA"/>
    </w:rPr>
  </w:style>
  <w:style w:type="paragraph" w:customStyle="1" w:styleId="1712">
    <w:name w:val="Normal New New"/>
    <w:qFormat/>
    <w:uiPriority w:val="0"/>
    <w:pPr>
      <w:widowControl w:val="0"/>
      <w:spacing w:line="320" w:lineRule="exact"/>
      <w:jc w:val="both"/>
    </w:pPr>
    <w:rPr>
      <w:rFonts w:hint="eastAsia" w:ascii="Calibri" w:hAnsi="Calibri" w:eastAsia="宋体" w:cs="Times New Roman"/>
      <w:kern w:val="2"/>
      <w:sz w:val="21"/>
      <w:lang w:val="en-US" w:eastAsia="zh-CN" w:bidi="ar-SA"/>
    </w:rPr>
  </w:style>
  <w:style w:type="paragraph" w:customStyle="1" w:styleId="1713">
    <w:name w:val="cucd-C"/>
    <w:next w:val="680"/>
    <w:qFormat/>
    <w:uiPriority w:val="0"/>
    <w:pPr>
      <w:snapToGrid w:val="0"/>
      <w:spacing w:line="520" w:lineRule="atLeast"/>
      <w:ind w:firstLine="412" w:firstLineChars="147"/>
      <w:jc w:val="center"/>
      <w:outlineLvl w:val="2"/>
    </w:pPr>
    <w:rPr>
      <w:rFonts w:ascii="仿宋_GB2312" w:hAnsi="Calibri" w:eastAsia="仿宋_GB2312" w:cs="Times New Roman"/>
      <w:kern w:val="2"/>
      <w:sz w:val="28"/>
      <w:szCs w:val="28"/>
      <w:lang w:val="en-US" w:eastAsia="zh-CN" w:bidi="ar-SA"/>
    </w:rPr>
  </w:style>
  <w:style w:type="paragraph" w:customStyle="1" w:styleId="1714">
    <w:name w:val="标题4-lgf"/>
    <w:basedOn w:val="10"/>
    <w:qFormat/>
    <w:uiPriority w:val="0"/>
    <w:pPr>
      <w:spacing w:after="0" w:line="300" w:lineRule="auto"/>
    </w:pPr>
    <w:rPr>
      <w:b w:val="0"/>
      <w:color w:val="FF0000"/>
    </w:rPr>
  </w:style>
  <w:style w:type="paragraph" w:customStyle="1" w:styleId="1715">
    <w:name w:val="样式 正文文字 +"/>
    <w:basedOn w:val="38"/>
    <w:qFormat/>
    <w:uiPriority w:val="0"/>
    <w:pPr>
      <w:spacing w:before="60" w:after="60" w:line="264" w:lineRule="auto"/>
      <w:ind w:firstLine="110" w:firstLineChars="110"/>
      <w:textAlignment w:val="baseline"/>
    </w:pPr>
    <w:rPr>
      <w:rFonts w:ascii="Calibri"/>
      <w:kern w:val="0"/>
      <w:sz w:val="24"/>
      <w:szCs w:val="20"/>
    </w:rPr>
  </w:style>
  <w:style w:type="paragraph" w:customStyle="1" w:styleId="1716">
    <w:name w:val="样式 标题 4 + 段前: 7.8 磅"/>
    <w:basedOn w:val="10"/>
    <w:qFormat/>
    <w:uiPriority w:val="0"/>
  </w:style>
  <w:style w:type="paragraph" w:customStyle="1" w:styleId="1717">
    <w:name w:val="xl65"/>
    <w:basedOn w:val="1"/>
    <w:qFormat/>
    <w:uiPriority w:val="0"/>
    <w:pPr>
      <w:pBdr>
        <w:left w:val="single" w:color="auto" w:sz="8" w:space="0"/>
        <w:right w:val="single" w:color="auto" w:sz="4" w:space="0"/>
      </w:pBdr>
      <w:spacing w:before="100" w:beforeAutospacing="1" w:after="100" w:afterAutospacing="1"/>
      <w:jc w:val="center"/>
      <w:textAlignment w:val="center"/>
    </w:pPr>
    <w:rPr>
      <w:rFonts w:eastAsia="Arial Unicode MS"/>
      <w:kern w:val="0"/>
      <w:sz w:val="20"/>
      <w:szCs w:val="20"/>
    </w:rPr>
  </w:style>
  <w:style w:type="paragraph" w:customStyle="1" w:styleId="1718">
    <w:name w:val="样式 正文标准 + 首行缩进:  2 字符"/>
    <w:basedOn w:val="1"/>
    <w:qFormat/>
    <w:uiPriority w:val="0"/>
    <w:pPr>
      <w:tabs>
        <w:tab w:val="left" w:pos="547"/>
        <w:tab w:val="left" w:pos="1080"/>
      </w:tabs>
      <w:ind w:firstLine="560"/>
    </w:pPr>
    <w:rPr>
      <w:szCs w:val="20"/>
    </w:rPr>
  </w:style>
  <w:style w:type="paragraph" w:customStyle="1" w:styleId="1719">
    <w:name w:val="首行缩进:  2 字符"/>
    <w:basedOn w:val="1"/>
    <w:qFormat/>
    <w:uiPriority w:val="0"/>
    <w:pPr>
      <w:spacing w:line="300" w:lineRule="auto"/>
      <w:ind w:firstLine="480"/>
    </w:pPr>
    <w:rPr>
      <w:sz w:val="24"/>
      <w:szCs w:val="20"/>
    </w:rPr>
  </w:style>
  <w:style w:type="paragraph" w:customStyle="1" w:styleId="1720">
    <w:name w:val="样式 标题 4款标题1.1.1.1 南陵标题 4标题 4 CharH4PIM 4h4First Subheadin..."/>
    <w:basedOn w:val="10"/>
    <w:next w:val="1"/>
    <w:qFormat/>
    <w:uiPriority w:val="0"/>
  </w:style>
  <w:style w:type="paragraph" w:customStyle="1" w:styleId="1721">
    <w:name w:val="unnamed2"/>
    <w:basedOn w:val="1"/>
    <w:qFormat/>
    <w:uiPriority w:val="0"/>
    <w:pPr>
      <w:spacing w:before="100" w:beforeAutospacing="1" w:after="100" w:afterAutospacing="1"/>
      <w:jc w:val="left"/>
    </w:pPr>
    <w:rPr>
      <w:rFonts w:ascii="Arial Unicode MS" w:hAnsi="Arial Unicode MS" w:eastAsia="Arial Unicode MS" w:cs="Arial Unicode MS"/>
      <w:color w:val="000000"/>
      <w:kern w:val="0"/>
      <w:sz w:val="24"/>
    </w:rPr>
  </w:style>
  <w:style w:type="paragraph" w:customStyle="1" w:styleId="1722">
    <w:name w:val="样式 标题 3标题3H3h33rd level第二层条头标题 3 Char Char小标题小节标题标题 3 ...3"/>
    <w:basedOn w:val="7"/>
    <w:qFormat/>
    <w:uiPriority w:val="0"/>
  </w:style>
  <w:style w:type="paragraph" w:customStyle="1" w:styleId="1723">
    <w:name w:val="表加粗"/>
    <w:basedOn w:val="15"/>
    <w:qFormat/>
    <w:uiPriority w:val="0"/>
  </w:style>
  <w:style w:type="paragraph" w:customStyle="1" w:styleId="1724">
    <w:name w:val="jiu1"/>
    <w:basedOn w:val="1"/>
    <w:qFormat/>
    <w:uiPriority w:val="0"/>
    <w:pPr>
      <w:spacing w:before="100" w:beforeAutospacing="1" w:after="100" w:afterAutospacing="1"/>
      <w:jc w:val="left"/>
    </w:pPr>
    <w:rPr>
      <w:rFonts w:ascii="宋体" w:hAnsi="宋体" w:cs="宋体"/>
      <w:kern w:val="0"/>
      <w:sz w:val="24"/>
    </w:rPr>
  </w:style>
  <w:style w:type="paragraph" w:customStyle="1" w:styleId="1725">
    <w:name w:val="方块流程"/>
    <w:basedOn w:val="1"/>
    <w:qFormat/>
    <w:uiPriority w:val="0"/>
    <w:pPr>
      <w:tabs>
        <w:tab w:val="left" w:pos="0"/>
      </w:tabs>
      <w:topLinePunct/>
      <w:jc w:val="center"/>
      <w:textAlignment w:val="center"/>
    </w:pPr>
    <w:rPr>
      <w:snapToGrid w:val="0"/>
      <w:color w:val="000000"/>
      <w:kern w:val="0"/>
      <w:sz w:val="24"/>
      <w:szCs w:val="20"/>
    </w:rPr>
  </w:style>
  <w:style w:type="paragraph" w:customStyle="1" w:styleId="1726">
    <w:name w:val="xl19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kern w:val="0"/>
      <w:sz w:val="20"/>
      <w:szCs w:val="20"/>
    </w:rPr>
  </w:style>
  <w:style w:type="paragraph" w:customStyle="1" w:styleId="1727">
    <w:name w:val="cauc-TB-Head"/>
    <w:basedOn w:val="1"/>
    <w:next w:val="887"/>
    <w:qFormat/>
    <w:uiPriority w:val="0"/>
    <w:pPr>
      <w:jc w:val="center"/>
    </w:pPr>
    <w:rPr>
      <w:rFonts w:ascii="仿宋_GB2312" w:hAnsi="宋体"/>
      <w:szCs w:val="28"/>
    </w:rPr>
  </w:style>
  <w:style w:type="paragraph" w:customStyle="1" w:styleId="1728">
    <w:name w:val="样式 标题 1 + (中文) 黑体 三号 居中 行距: 单倍行距"/>
    <w:basedOn w:val="5"/>
    <w:semiHidden/>
    <w:qFormat/>
    <w:uiPriority w:val="0"/>
    <w:pPr>
      <w:topLinePunct/>
      <w:autoSpaceDE w:val="0"/>
      <w:autoSpaceDN w:val="0"/>
      <w:spacing w:line="240" w:lineRule="auto"/>
      <w:ind w:firstLine="538" w:firstLineChars="224"/>
      <w:jc w:val="left"/>
    </w:pPr>
    <w:rPr>
      <w:rFonts w:ascii="宋体" w:eastAsia="黑体" w:cs="宋体"/>
      <w:b w:val="0"/>
      <w:bCs w:val="0"/>
      <w:snapToGrid w:val="0"/>
      <w:sz w:val="32"/>
      <w:szCs w:val="20"/>
    </w:rPr>
  </w:style>
  <w:style w:type="paragraph" w:customStyle="1" w:styleId="1729">
    <w:name w:val="xl20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730">
    <w:name w:val="表格目录"/>
    <w:basedOn w:val="1"/>
    <w:next w:val="1"/>
    <w:qFormat/>
    <w:uiPriority w:val="0"/>
    <w:pPr>
      <w:jc w:val="center"/>
    </w:pPr>
    <w:rPr>
      <w:b/>
      <w:kern w:val="0"/>
      <w:sz w:val="22"/>
      <w:szCs w:val="20"/>
    </w:rPr>
  </w:style>
  <w:style w:type="paragraph" w:customStyle="1" w:styleId="1731">
    <w:name w:val="样式 样式 样式 标题 3标题3H3h33rd level第二层条头小标题小节标题标题 3 Char Char一海港标... + +"/>
    <w:basedOn w:val="1703"/>
    <w:qFormat/>
    <w:uiPriority w:val="0"/>
  </w:style>
  <w:style w:type="paragraph" w:customStyle="1" w:styleId="1732">
    <w:name w:val="列表 5M"/>
    <w:basedOn w:val="73"/>
    <w:qFormat/>
    <w:uiPriority w:val="0"/>
    <w:pPr>
      <w:tabs>
        <w:tab w:val="left" w:pos="1134"/>
      </w:tabs>
      <w:ind w:left="1134" w:leftChars="0" w:hanging="425" w:firstLineChars="0"/>
    </w:pPr>
    <w:rPr>
      <w:rFonts w:ascii="Arial" w:hAnsi="Arial"/>
      <w:color w:val="99CCFF"/>
      <w:sz w:val="24"/>
      <w:szCs w:val="20"/>
    </w:rPr>
  </w:style>
  <w:style w:type="paragraph" w:customStyle="1" w:styleId="1733">
    <w:name w:val="样式 样式 标题 3 + 首行缩进:  0.99 厘米 + 首行缩进:  2 字符"/>
    <w:basedOn w:val="1"/>
    <w:qFormat/>
    <w:uiPriority w:val="0"/>
    <w:pPr>
      <w:tabs>
        <w:tab w:val="left" w:pos="1200"/>
      </w:tabs>
      <w:spacing w:line="360" w:lineRule="auto"/>
      <w:ind w:firstLine="567"/>
      <w:jc w:val="left"/>
      <w:textAlignment w:val="baseline"/>
      <w:outlineLvl w:val="2"/>
    </w:pPr>
    <w:rPr>
      <w:rFonts w:ascii="宋体" w:hAnsi="宋体" w:cs="宋体"/>
      <w:snapToGrid w:val="0"/>
      <w:kern w:val="28"/>
      <w:szCs w:val="20"/>
    </w:rPr>
  </w:style>
  <w:style w:type="paragraph" w:customStyle="1" w:styleId="1734">
    <w:name w:val="样式 宋体 小四 首行缩进:  1.59 厘米 段后: 6 磅 行距: 固定值 20 磅"/>
    <w:basedOn w:val="1"/>
    <w:qFormat/>
    <w:uiPriority w:val="0"/>
    <w:pPr>
      <w:spacing w:after="120" w:line="400" w:lineRule="exact"/>
      <w:ind w:firstLine="900"/>
    </w:pPr>
    <w:rPr>
      <w:rFonts w:ascii="宋体" w:hAnsi="宋体"/>
      <w:sz w:val="24"/>
      <w:szCs w:val="20"/>
    </w:rPr>
  </w:style>
  <w:style w:type="paragraph" w:customStyle="1" w:styleId="1735">
    <w:name w:val="样式 标题 4 + (中文) 宋体 四号 行距: 1.5 倍行距"/>
    <w:basedOn w:val="10"/>
    <w:qFormat/>
    <w:uiPriority w:val="0"/>
    <w:pPr>
      <w:spacing w:after="0" w:line="360" w:lineRule="auto"/>
      <w:ind w:left="0" w:firstLine="0"/>
    </w:pPr>
    <w:rPr>
      <w:rFonts w:eastAsia="楷体_GB2312"/>
      <w:b w:val="0"/>
      <w:bCs w:val="0"/>
      <w:spacing w:val="-4"/>
    </w:rPr>
  </w:style>
  <w:style w:type="paragraph" w:customStyle="1" w:styleId="1736">
    <w:name w:val="样式 标题 2标题2H2h2第一层条 + 段前: 7.8 磅"/>
    <w:basedOn w:val="6"/>
    <w:qFormat/>
    <w:uiPriority w:val="0"/>
  </w:style>
  <w:style w:type="paragraph" w:customStyle="1" w:styleId="1737">
    <w:name w:val="redtext"/>
    <w:basedOn w:val="1"/>
    <w:qFormat/>
    <w:uiPriority w:val="0"/>
    <w:pPr>
      <w:spacing w:before="100" w:beforeAutospacing="1" w:after="100" w:afterAutospacing="1" w:line="400" w:lineRule="atLeast"/>
      <w:jc w:val="left"/>
    </w:pPr>
    <w:rPr>
      <w:rFonts w:ascii="Arial" w:hAnsi="Arial"/>
      <w:kern w:val="0"/>
      <w:sz w:val="20"/>
      <w:szCs w:val="20"/>
    </w:rPr>
  </w:style>
  <w:style w:type="paragraph" w:customStyle="1" w:styleId="1738">
    <w:name w:val="样式 标题 3 + 段前: 1 行"/>
    <w:basedOn w:val="7"/>
    <w:qFormat/>
    <w:uiPriority w:val="0"/>
  </w:style>
  <w:style w:type="paragraph" w:customStyle="1" w:styleId="1739">
    <w:name w:val="段"/>
    <w:qFormat/>
    <w:uiPriority w:val="0"/>
    <w:pPr>
      <w:autoSpaceDE w:val="0"/>
      <w:autoSpaceDN w:val="0"/>
      <w:spacing w:line="320" w:lineRule="exact"/>
      <w:ind w:firstLine="200" w:firstLineChars="200"/>
      <w:jc w:val="both"/>
    </w:pPr>
    <w:rPr>
      <w:rFonts w:ascii="宋体" w:hAnsi="Calibri" w:eastAsia="宋体" w:cs="Times New Roman"/>
      <w:sz w:val="21"/>
      <w:lang w:val="en-US" w:eastAsia="zh-CN" w:bidi="ar-SA"/>
    </w:rPr>
  </w:style>
  <w:style w:type="paragraph" w:customStyle="1" w:styleId="1740">
    <w:name w:val="列表 2F"/>
    <w:basedOn w:val="41"/>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1741">
    <w:name w:val="±í"/>
    <w:basedOn w:val="1"/>
    <w:qFormat/>
    <w:uiPriority w:val="0"/>
    <w:pPr>
      <w:tabs>
        <w:tab w:val="left" w:pos="480"/>
      </w:tabs>
      <w:autoSpaceDE w:val="0"/>
      <w:autoSpaceDN w:val="0"/>
    </w:pPr>
    <w:rPr>
      <w:color w:val="000000"/>
      <w:sz w:val="24"/>
      <w:szCs w:val="20"/>
      <w:lang w:val="en-GB"/>
    </w:rPr>
  </w:style>
  <w:style w:type="paragraph" w:customStyle="1" w:styleId="1742">
    <w:name w:val="xl39"/>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24"/>
    </w:rPr>
  </w:style>
  <w:style w:type="paragraph" w:customStyle="1" w:styleId="1743">
    <w:name w:val="文章副标题"/>
    <w:basedOn w:val="1"/>
    <w:next w:val="5"/>
    <w:qFormat/>
    <w:uiPriority w:val="0"/>
    <w:pPr>
      <w:spacing w:before="104" w:after="104" w:line="0" w:lineRule="atLeast"/>
      <w:ind w:left="1"/>
      <w:jc w:val="center"/>
      <w:textAlignment w:val="bottom"/>
    </w:pPr>
    <w:rPr>
      <w:kern w:val="0"/>
      <w:sz w:val="36"/>
      <w:szCs w:val="20"/>
    </w:rPr>
  </w:style>
  <w:style w:type="paragraph" w:customStyle="1" w:styleId="1744">
    <w:name w:val="报告表正文"/>
    <w:basedOn w:val="1"/>
    <w:qFormat/>
    <w:uiPriority w:val="0"/>
    <w:pPr>
      <w:spacing w:line="312" w:lineRule="auto"/>
      <w:ind w:left="113" w:right="113" w:firstLine="482"/>
      <w:jc w:val="left"/>
      <w:textAlignment w:val="baseline"/>
    </w:pPr>
    <w:rPr>
      <w:kern w:val="0"/>
      <w:sz w:val="24"/>
      <w:szCs w:val="20"/>
    </w:rPr>
  </w:style>
  <w:style w:type="paragraph" w:customStyle="1" w:styleId="1745">
    <w:name w:val="块引用"/>
    <w:basedOn w:val="1"/>
    <w:semiHidden/>
    <w:qFormat/>
    <w:uiPriority w:val="0"/>
    <w:pPr>
      <w:keepLines/>
      <w:overflowPunct w:val="0"/>
      <w:autoSpaceDE w:val="0"/>
      <w:autoSpaceDN w:val="0"/>
      <w:ind w:left="360" w:right="360"/>
      <w:jc w:val="center"/>
      <w:textAlignment w:val="baseline"/>
    </w:pPr>
    <w:rPr>
      <w:i/>
      <w:sz w:val="20"/>
      <w:szCs w:val="20"/>
    </w:rPr>
  </w:style>
  <w:style w:type="paragraph" w:customStyle="1" w:styleId="1746">
    <w:name w:val="样式 样式 宋体 小四 左 行距: 固定值 24 磅 + 黑色 居中 首行缩进:  2 字符 段前: 5 磅 段后: 5..."/>
    <w:basedOn w:val="1747"/>
    <w:qFormat/>
    <w:uiPriority w:val="0"/>
    <w:pPr>
      <w:spacing w:before="100" w:after="100"/>
      <w:ind w:firstLine="0" w:firstLineChars="0"/>
      <w:jc w:val="center"/>
    </w:pPr>
    <w:rPr>
      <w:color w:val="000000"/>
    </w:rPr>
  </w:style>
  <w:style w:type="paragraph" w:customStyle="1" w:styleId="1747">
    <w:name w:val="样式 宋体 小四 左 行距: 固定值 24 磅"/>
    <w:basedOn w:val="1"/>
    <w:qFormat/>
    <w:uiPriority w:val="0"/>
    <w:pPr>
      <w:spacing w:line="480" w:lineRule="exact"/>
      <w:jc w:val="left"/>
    </w:pPr>
    <w:rPr>
      <w:rFonts w:ascii="宋体" w:cs="宋体"/>
      <w:kern w:val="0"/>
      <w:sz w:val="24"/>
      <w:szCs w:val="20"/>
    </w:rPr>
  </w:style>
  <w:style w:type="paragraph" w:customStyle="1" w:styleId="1748">
    <w:name w:val="列表1"/>
    <w:basedOn w:val="70"/>
    <w:qFormat/>
    <w:uiPriority w:val="0"/>
    <w:pPr>
      <w:tabs>
        <w:tab w:val="left" w:pos="1727"/>
        <w:tab w:val="left" w:pos="1884"/>
      </w:tabs>
      <w:spacing w:line="300" w:lineRule="auto"/>
      <w:ind w:left="0" w:firstLine="0"/>
      <w:outlineLvl w:val="0"/>
    </w:pPr>
    <w:rPr>
      <w:rFonts w:ascii="宋体" w:eastAsia="宋体"/>
      <w:sz w:val="32"/>
    </w:rPr>
  </w:style>
  <w:style w:type="paragraph" w:customStyle="1" w:styleId="1749">
    <w:name w:val="font15"/>
    <w:basedOn w:val="1"/>
    <w:qFormat/>
    <w:uiPriority w:val="0"/>
    <w:pPr>
      <w:spacing w:before="100" w:beforeAutospacing="1" w:after="100" w:afterAutospacing="1"/>
      <w:jc w:val="left"/>
    </w:pPr>
    <w:rPr>
      <w:rFonts w:eastAsia="Arial Unicode MS"/>
      <w:b/>
      <w:bCs/>
      <w:kern w:val="0"/>
      <w:sz w:val="16"/>
      <w:szCs w:val="16"/>
    </w:rPr>
  </w:style>
  <w:style w:type="paragraph" w:customStyle="1" w:styleId="1750">
    <w:name w:val="列表 5R"/>
    <w:basedOn w:val="73"/>
    <w:qFormat/>
    <w:uiPriority w:val="0"/>
    <w:pPr>
      <w:tabs>
        <w:tab w:val="left" w:pos="1134"/>
      </w:tabs>
      <w:ind w:left="1134" w:leftChars="0" w:hanging="425" w:firstLineChars="0"/>
    </w:pPr>
    <w:rPr>
      <w:rFonts w:ascii="Arial" w:hAnsi="Arial"/>
      <w:color w:val="99CCFF"/>
      <w:sz w:val="24"/>
      <w:szCs w:val="20"/>
    </w:rPr>
  </w:style>
  <w:style w:type="paragraph" w:customStyle="1" w:styleId="1751">
    <w:name w:val="xl84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18"/>
      <w:szCs w:val="18"/>
    </w:rPr>
  </w:style>
  <w:style w:type="paragraph" w:customStyle="1" w:styleId="1752">
    <w:name w:val="1表"/>
    <w:basedOn w:val="1"/>
    <w:semiHidden/>
    <w:qFormat/>
    <w:uiPriority w:val="0"/>
    <w:pPr>
      <w:spacing w:beforeLines="25" w:afterLines="25" w:line="400" w:lineRule="exact"/>
      <w:jc w:val="center"/>
    </w:pPr>
    <w:rPr>
      <w:rFonts w:eastAsia="黑体" w:cs="宋体"/>
      <w:sz w:val="24"/>
      <w:szCs w:val="20"/>
    </w:rPr>
  </w:style>
  <w:style w:type="paragraph" w:customStyle="1" w:styleId="1753">
    <w:name w:val="样式 样式 首行缩进:  2 字符 + 首行缩进:  0.85 厘米"/>
    <w:basedOn w:val="1"/>
    <w:qFormat/>
    <w:uiPriority w:val="0"/>
    <w:pPr>
      <w:spacing w:line="420" w:lineRule="exact"/>
    </w:pPr>
    <w:rPr>
      <w:rFonts w:cs="宋体"/>
      <w:sz w:val="24"/>
      <w:szCs w:val="20"/>
    </w:rPr>
  </w:style>
  <w:style w:type="paragraph" w:customStyle="1" w:styleId="1754">
    <w:name w:val="Char1 Char Char Char Char Char Char Char Char Char"/>
    <w:basedOn w:val="1"/>
    <w:qFormat/>
    <w:uiPriority w:val="0"/>
  </w:style>
  <w:style w:type="paragraph" w:customStyle="1" w:styleId="1755">
    <w:name w:val="正文文本 21"/>
    <w:basedOn w:val="1"/>
    <w:qFormat/>
    <w:uiPriority w:val="0"/>
    <w:pPr>
      <w:ind w:left="425"/>
      <w:jc w:val="left"/>
      <w:textAlignment w:val="baseline"/>
    </w:pPr>
    <w:rPr>
      <w:rFonts w:ascii="宋体"/>
      <w:kern w:val="0"/>
      <w:sz w:val="24"/>
      <w:szCs w:val="20"/>
    </w:rPr>
  </w:style>
  <w:style w:type="paragraph" w:customStyle="1" w:styleId="1756">
    <w:name w:val="正文文本缩进二"/>
    <w:basedOn w:val="55"/>
    <w:qFormat/>
    <w:uiPriority w:val="0"/>
    <w:pPr>
      <w:spacing w:after="0" w:line="360" w:lineRule="auto"/>
      <w:ind w:left="0" w:leftChars="0" w:firstLine="560"/>
    </w:pPr>
    <w:rPr>
      <w:rFonts w:ascii="宋体" w:hAnsi="Calibri"/>
      <w:color w:val="000000"/>
    </w:rPr>
  </w:style>
  <w:style w:type="paragraph" w:customStyle="1" w:styleId="1757">
    <w:name w:val="xl1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1758">
    <w:name w:val="xl59"/>
    <w:basedOn w:val="1"/>
    <w:qFormat/>
    <w:uiPriority w:val="0"/>
    <w:pPr>
      <w:pBdr>
        <w:top w:val="single" w:color="auto" w:sz="8" w:space="0"/>
        <w:bottom w:val="single" w:color="auto" w:sz="4" w:space="0"/>
        <w:right w:val="single" w:color="auto" w:sz="4" w:space="0"/>
      </w:pBdr>
      <w:spacing w:before="100" w:beforeAutospacing="1" w:after="100" w:afterAutospacing="1"/>
      <w:jc w:val="center"/>
      <w:textAlignment w:val="center"/>
    </w:pPr>
    <w:rPr>
      <w:rFonts w:eastAsia="Arial Unicode MS"/>
      <w:kern w:val="0"/>
      <w:sz w:val="24"/>
    </w:rPr>
  </w:style>
  <w:style w:type="paragraph" w:customStyle="1" w:styleId="1759">
    <w:name w:val="xl1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1760">
    <w:name w:val="正文 New New"/>
    <w:qFormat/>
    <w:uiPriority w:val="0"/>
    <w:pPr>
      <w:widowControl w:val="0"/>
      <w:spacing w:line="320" w:lineRule="exact"/>
      <w:jc w:val="both"/>
    </w:pPr>
    <w:rPr>
      <w:rFonts w:ascii="Calibri" w:hAnsi="Calibri" w:eastAsia="宋体" w:cs="Times New Roman"/>
      <w:kern w:val="2"/>
      <w:sz w:val="21"/>
      <w:szCs w:val="24"/>
      <w:lang w:val="en-US" w:eastAsia="zh-CN" w:bidi="ar-SA"/>
    </w:rPr>
  </w:style>
  <w:style w:type="paragraph" w:customStyle="1" w:styleId="1761">
    <w:name w:val="xl14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18"/>
      <w:szCs w:val="18"/>
    </w:rPr>
  </w:style>
  <w:style w:type="paragraph" w:customStyle="1" w:styleId="1762">
    <w:name w:val="正文文字缩进C"/>
    <w:basedOn w:val="1"/>
    <w:qFormat/>
    <w:uiPriority w:val="0"/>
    <w:pPr>
      <w:spacing w:line="360" w:lineRule="auto"/>
      <w:ind w:firstLine="561"/>
    </w:pPr>
    <w:rPr>
      <w:rFonts w:ascii="黑体" w:hAnsi="黑体" w:eastAsia="黑体"/>
      <w:b/>
      <w:color w:val="000000"/>
      <w:kern w:val="0"/>
      <w:szCs w:val="28"/>
    </w:rPr>
  </w:style>
  <w:style w:type="paragraph" w:customStyle="1" w:styleId="1763">
    <w:name w:val="上标"/>
    <w:basedOn w:val="1"/>
    <w:qFormat/>
    <w:uiPriority w:val="0"/>
    <w:pPr>
      <w:tabs>
        <w:tab w:val="left" w:pos="0"/>
      </w:tabs>
      <w:autoSpaceDE w:val="0"/>
      <w:autoSpaceDN w:val="0"/>
      <w:spacing w:line="360" w:lineRule="auto"/>
      <w:ind w:firstLine="567"/>
      <w:jc w:val="left"/>
      <w:textAlignment w:val="bottom"/>
      <w:outlineLvl w:val="0"/>
    </w:pPr>
    <w:rPr>
      <w:rFonts w:ascii="宋体"/>
      <w:spacing w:val="20"/>
      <w:sz w:val="20"/>
      <w:vertAlign w:val="superscript"/>
    </w:rPr>
  </w:style>
  <w:style w:type="paragraph" w:customStyle="1" w:styleId="1764">
    <w:name w:val="标题02"/>
    <w:basedOn w:val="1"/>
    <w:next w:val="1"/>
    <w:qFormat/>
    <w:uiPriority w:val="0"/>
    <w:pPr>
      <w:spacing w:line="440" w:lineRule="atLeast"/>
      <w:outlineLvl w:val="1"/>
    </w:pPr>
    <w:rPr>
      <w:b/>
      <w:sz w:val="24"/>
      <w:szCs w:val="20"/>
    </w:rPr>
  </w:style>
  <w:style w:type="paragraph" w:customStyle="1" w:styleId="1765">
    <w:name w:val="列表 2K"/>
    <w:basedOn w:val="41"/>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1766">
    <w:name w:val="xl15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000000"/>
      <w:kern w:val="0"/>
      <w:sz w:val="18"/>
      <w:szCs w:val="18"/>
    </w:rPr>
  </w:style>
  <w:style w:type="paragraph" w:customStyle="1" w:styleId="1767">
    <w:name w:val="样式 标题 3头小节标题小标题标题 3 Char Char Char + (符号) 宋体 左 首行缩进:  0 厘米"/>
    <w:basedOn w:val="7"/>
    <w:qFormat/>
    <w:uiPriority w:val="0"/>
  </w:style>
  <w:style w:type="paragraph" w:customStyle="1" w:styleId="1768">
    <w:name w:val="font5"/>
    <w:basedOn w:val="1"/>
    <w:qFormat/>
    <w:uiPriority w:val="0"/>
    <w:pPr>
      <w:spacing w:before="100" w:beforeAutospacing="1" w:after="100" w:afterAutospacing="1"/>
      <w:jc w:val="left"/>
    </w:pPr>
    <w:rPr>
      <w:rFonts w:eastAsia="Arial Unicode MS"/>
      <w:kern w:val="0"/>
      <w:szCs w:val="21"/>
    </w:rPr>
  </w:style>
  <w:style w:type="paragraph" w:customStyle="1" w:styleId="1769">
    <w:name w:val="Char Char4 Char Char"/>
    <w:basedOn w:val="1"/>
    <w:qFormat/>
    <w:uiPriority w:val="0"/>
    <w:pPr>
      <w:spacing w:line="360" w:lineRule="auto"/>
    </w:pPr>
    <w:rPr>
      <w:sz w:val="24"/>
    </w:rPr>
  </w:style>
  <w:style w:type="paragraph" w:customStyle="1" w:styleId="1770">
    <w:name w:val="小五表文"/>
    <w:qFormat/>
    <w:uiPriority w:val="0"/>
    <w:pPr>
      <w:spacing w:beforeLines="50" w:line="320" w:lineRule="exact"/>
      <w:ind w:firstLine="3304" w:firstLineChars="1180"/>
      <w:jc w:val="center"/>
    </w:pPr>
    <w:rPr>
      <w:rFonts w:ascii="Calibri" w:hAnsi="Calibri" w:eastAsia="黑体" w:cs="Times New Roman"/>
      <w:bCs/>
      <w:spacing w:val="20"/>
      <w:sz w:val="24"/>
      <w:lang w:val="en-US" w:eastAsia="zh-CN" w:bidi="ar-SA"/>
    </w:rPr>
  </w:style>
  <w:style w:type="paragraph" w:customStyle="1" w:styleId="1771">
    <w:name w:val="Char Char Char Char Char Char Char Char1 Char Char Char Char Char Char Char"/>
    <w:basedOn w:val="1"/>
    <w:qFormat/>
    <w:uiPriority w:val="0"/>
    <w:pPr>
      <w:spacing w:line="360" w:lineRule="auto"/>
      <w:jc w:val="left"/>
    </w:pPr>
    <w:rPr>
      <w:kern w:val="0"/>
      <w:sz w:val="24"/>
    </w:rPr>
  </w:style>
  <w:style w:type="paragraph" w:customStyle="1" w:styleId="1772">
    <w:name w:val="样式 标题 4§1.1.1.1§1.1.1.1.H4Char + 黑色"/>
    <w:basedOn w:val="10"/>
    <w:qFormat/>
    <w:uiPriority w:val="0"/>
    <w:pPr>
      <w:keepNext w:val="0"/>
      <w:keepLines w:val="0"/>
      <w:spacing w:after="0" w:line="300" w:lineRule="auto"/>
      <w:ind w:left="0" w:firstLine="0"/>
    </w:pPr>
    <w:rPr>
      <w:b w:val="0"/>
      <w:snapToGrid w:val="0"/>
      <w:color w:val="000000"/>
      <w:kern w:val="0"/>
    </w:rPr>
  </w:style>
  <w:style w:type="paragraph" w:customStyle="1" w:styleId="1773">
    <w:name w:val="Char Char Char Char Char Char1 Char Char Char Char Char Char Char Char Char1 Char Char Char Char Char Char Char Char Char Char Char Char Char"/>
    <w:basedOn w:val="1"/>
    <w:qFormat/>
    <w:uiPriority w:val="0"/>
    <w:pPr>
      <w:jc w:val="left"/>
    </w:pPr>
    <w:rPr>
      <w:rFonts w:ascii="宋体" w:hAnsi="宋体"/>
      <w:kern w:val="0"/>
      <w:sz w:val="24"/>
    </w:rPr>
  </w:style>
  <w:style w:type="paragraph" w:customStyle="1" w:styleId="1774">
    <w:name w:val="xl17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1775">
    <w:name w:val="Char Char Char Char Char Char Char Char Char Char Char Char Char Char Char Char Char Char Char"/>
    <w:basedOn w:val="1"/>
    <w:qFormat/>
    <w:uiPriority w:val="0"/>
    <w:pPr>
      <w:spacing w:after="160" w:line="240" w:lineRule="exact"/>
      <w:jc w:val="left"/>
    </w:pPr>
    <w:rPr>
      <w:rFonts w:ascii="Verdana" w:hAnsi="Verdana"/>
      <w:kern w:val="0"/>
      <w:sz w:val="20"/>
      <w:szCs w:val="20"/>
      <w:lang w:eastAsia="en-US"/>
    </w:rPr>
  </w:style>
  <w:style w:type="paragraph" w:customStyle="1" w:styleId="1776">
    <w:name w:val="样式 四号 黑色 字距调整五号 行距: 多倍行距 1.25 字行 首行缩进:  2 字符1"/>
    <w:basedOn w:val="1"/>
    <w:qFormat/>
    <w:uiPriority w:val="0"/>
    <w:pPr>
      <w:spacing w:line="300" w:lineRule="auto"/>
    </w:pPr>
    <w:rPr>
      <w:rFonts w:cs="宋体"/>
      <w:color w:val="000000"/>
      <w:kern w:val="21"/>
      <w:szCs w:val="20"/>
    </w:rPr>
  </w:style>
  <w:style w:type="paragraph" w:customStyle="1" w:styleId="1777">
    <w:name w:val="正文四号"/>
    <w:basedOn w:val="1"/>
    <w:qFormat/>
    <w:uiPriority w:val="0"/>
  </w:style>
  <w:style w:type="paragraph" w:customStyle="1" w:styleId="1778">
    <w:name w:val="列表 2Z"/>
    <w:basedOn w:val="41"/>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1779">
    <w:name w:val="标题样式3"/>
    <w:basedOn w:val="7"/>
    <w:qFormat/>
    <w:uiPriority w:val="0"/>
    <w:pPr>
      <w:tabs>
        <w:tab w:val="clear" w:pos="1440"/>
      </w:tabs>
      <w:spacing w:before="0" w:after="0" w:line="360" w:lineRule="auto"/>
      <w:ind w:left="0" w:firstLine="0"/>
    </w:pPr>
    <w:rPr>
      <w:rFonts w:ascii="黑体"/>
      <w:sz w:val="24"/>
      <w:szCs w:val="24"/>
    </w:rPr>
  </w:style>
  <w:style w:type="paragraph" w:customStyle="1" w:styleId="1780">
    <w:name w:val="7"/>
    <w:basedOn w:val="1"/>
    <w:next w:val="39"/>
    <w:qFormat/>
    <w:uiPriority w:val="0"/>
    <w:pPr>
      <w:spacing w:line="400" w:lineRule="exact"/>
      <w:ind w:firstLine="516" w:firstLineChars="215"/>
    </w:pPr>
    <w:rPr>
      <w:sz w:val="24"/>
    </w:rPr>
  </w:style>
  <w:style w:type="paragraph" w:customStyle="1" w:styleId="1781">
    <w:name w:val="表内文字-lgf"/>
    <w:basedOn w:val="1"/>
    <w:qFormat/>
    <w:uiPriority w:val="0"/>
    <w:pPr>
      <w:jc w:val="center"/>
    </w:pPr>
    <w:rPr>
      <w:bCs/>
      <w:spacing w:val="-2"/>
      <w:kern w:val="0"/>
      <w:szCs w:val="21"/>
    </w:rPr>
  </w:style>
  <w:style w:type="paragraph" w:customStyle="1" w:styleId="1782">
    <w:name w:val="xl30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1783">
    <w:name w:val="3级"/>
    <w:basedOn w:val="7"/>
    <w:qFormat/>
    <w:uiPriority w:val="0"/>
    <w:pPr>
      <w:tabs>
        <w:tab w:val="clear" w:pos="1440"/>
      </w:tabs>
      <w:spacing w:beforeLines="50" w:afterLines="50" w:line="440" w:lineRule="exact"/>
      <w:ind w:left="0" w:firstLine="0"/>
      <w:jc w:val="left"/>
    </w:pPr>
    <w:rPr>
      <w:rFonts w:cs="宋体"/>
      <w:b w:val="0"/>
      <w:bCs/>
    </w:rPr>
  </w:style>
  <w:style w:type="paragraph" w:customStyle="1" w:styleId="1784">
    <w:name w:val="xl20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kern w:val="0"/>
      <w:sz w:val="20"/>
      <w:szCs w:val="20"/>
    </w:rPr>
  </w:style>
  <w:style w:type="paragraph" w:customStyle="1" w:styleId="1785">
    <w:name w:val="xl22"/>
    <w:basedOn w:val="1"/>
    <w:qFormat/>
    <w:uiPriority w:val="0"/>
    <w:pPr>
      <w:pBdr>
        <w:right w:val="single" w:color="auto" w:sz="4" w:space="0"/>
      </w:pBdr>
      <w:spacing w:before="100" w:beforeAutospacing="1" w:after="100" w:afterAutospacing="1"/>
      <w:jc w:val="center"/>
    </w:pPr>
    <w:rPr>
      <w:rFonts w:ascii="Arial Unicode MS" w:hAnsi="Arial Unicode MS" w:eastAsia="Arial Unicode MS"/>
      <w:kern w:val="0"/>
      <w:szCs w:val="21"/>
    </w:rPr>
  </w:style>
  <w:style w:type="paragraph" w:customStyle="1" w:styleId="1786">
    <w:name w:val="表格表头"/>
    <w:basedOn w:val="1"/>
    <w:next w:val="1"/>
    <w:qFormat/>
    <w:uiPriority w:val="0"/>
    <w:pPr>
      <w:keepNext/>
      <w:keepLines/>
      <w:jc w:val="center"/>
    </w:pPr>
    <w:rPr>
      <w:b/>
      <w:sz w:val="24"/>
    </w:rPr>
  </w:style>
  <w:style w:type="paragraph" w:customStyle="1" w:styleId="1787">
    <w:name w:val="xl2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1788">
    <w:name w:val="编号括号数字"/>
    <w:basedOn w:val="1"/>
    <w:qFormat/>
    <w:uiPriority w:val="0"/>
    <w:pPr>
      <w:tabs>
        <w:tab w:val="left" w:pos="1419"/>
      </w:tabs>
      <w:spacing w:line="360" w:lineRule="auto"/>
      <w:ind w:left="480" w:firstLine="540"/>
      <w:outlineLvl w:val="4"/>
    </w:pPr>
    <w:rPr>
      <w:sz w:val="24"/>
    </w:rPr>
  </w:style>
  <w:style w:type="paragraph" w:customStyle="1" w:styleId="1789">
    <w:name w:val="xl62"/>
    <w:basedOn w:val="1"/>
    <w:qFormat/>
    <w:uiPriority w:val="0"/>
    <w:pPr>
      <w:pBdr>
        <w:top w:val="single" w:color="auto" w:sz="4" w:space="0"/>
        <w:left w:val="single" w:color="auto" w:sz="4" w:space="0"/>
        <w:right w:val="single" w:color="auto" w:sz="8" w:space="0"/>
      </w:pBdr>
      <w:spacing w:before="100" w:beforeAutospacing="1" w:after="100" w:afterAutospacing="1"/>
      <w:jc w:val="left"/>
      <w:textAlignment w:val="center"/>
    </w:pPr>
    <w:rPr>
      <w:rFonts w:ascii="Arial Unicode MS" w:hAnsi="Arial Unicode MS" w:eastAsia="Arial Unicode MS"/>
      <w:kern w:val="0"/>
      <w:sz w:val="24"/>
    </w:rPr>
  </w:style>
  <w:style w:type="paragraph" w:customStyle="1" w:styleId="1790">
    <w:name w:val="Char Char Char1 Char Char Char Char Char Char Char Char Char Char"/>
    <w:basedOn w:val="1"/>
    <w:qFormat/>
    <w:uiPriority w:val="0"/>
  </w:style>
  <w:style w:type="paragraph" w:customStyle="1" w:styleId="1791">
    <w:name w:val="Char Char Char1 Char Char Char Char Char Char Char"/>
    <w:basedOn w:val="1"/>
    <w:semiHidden/>
    <w:qFormat/>
    <w:uiPriority w:val="0"/>
  </w:style>
  <w:style w:type="paragraph" w:customStyle="1" w:styleId="1792">
    <w:name w:val="样式 标题 3样式　标题 3　自动设置标题 3 Char章 + Times New 表题3"/>
    <w:basedOn w:val="7"/>
    <w:qFormat/>
    <w:uiPriority w:val="0"/>
    <w:pPr>
      <w:tabs>
        <w:tab w:val="left" w:pos="1994"/>
        <w:tab w:val="left" w:pos="3800"/>
        <w:tab w:val="left" w:pos="5200"/>
        <w:tab w:val="clear" w:pos="1440"/>
      </w:tabs>
      <w:autoSpaceDE w:val="0"/>
      <w:autoSpaceDN w:val="0"/>
      <w:spacing w:after="120"/>
      <w:ind w:left="1994" w:hanging="420"/>
    </w:pPr>
    <w:rPr>
      <w:rFonts w:eastAsia="宋体" w:cs="宋体"/>
      <w:bCs/>
      <w:szCs w:val="28"/>
    </w:rPr>
  </w:style>
  <w:style w:type="paragraph" w:customStyle="1" w:styleId="1793">
    <w:name w:val="样式 样式 样式 标题 3标题3H3h33rd level第二层条头小标题小节标题标题 3 Char Char一海港标... +..."/>
    <w:basedOn w:val="1709"/>
    <w:qFormat/>
    <w:uiPriority w:val="0"/>
    <w:pPr>
      <w:keepLines w:val="0"/>
      <w:tabs>
        <w:tab w:val="left" w:pos="720"/>
        <w:tab w:val="left" w:pos="1260"/>
        <w:tab w:val="clear" w:pos="709"/>
        <w:tab w:val="clear" w:pos="1440"/>
      </w:tabs>
      <w:spacing w:beforeLines="50" w:afterLines="50" w:line="360" w:lineRule="auto"/>
      <w:ind w:left="0" w:firstLine="0"/>
      <w:textAlignment w:val="baseline"/>
    </w:pPr>
    <w:rPr>
      <w:rFonts w:ascii="黑体"/>
      <w:kern w:val="2"/>
      <w:sz w:val="30"/>
    </w:rPr>
  </w:style>
  <w:style w:type="paragraph" w:customStyle="1" w:styleId="1794">
    <w:name w:val="样式 标题 2 + Times New Roman 段前: 0.5 行 段后: 0.5 行"/>
    <w:basedOn w:val="6"/>
    <w:qFormat/>
    <w:uiPriority w:val="0"/>
  </w:style>
  <w:style w:type="paragraph" w:customStyle="1" w:styleId="1795">
    <w:name w:val="样式 样式 表格文字统一样式 + Arial 小五 非加粗 自动设置 行距: 单倍行距1 + 段后: 0.5 行"/>
    <w:basedOn w:val="1663"/>
    <w:qFormat/>
    <w:uiPriority w:val="0"/>
  </w:style>
  <w:style w:type="paragraph" w:customStyle="1" w:styleId="1796">
    <w:name w:val="xl15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kern w:val="0"/>
      <w:sz w:val="18"/>
      <w:szCs w:val="18"/>
    </w:rPr>
  </w:style>
  <w:style w:type="paragraph" w:customStyle="1" w:styleId="1797">
    <w:name w:val="style26"/>
    <w:basedOn w:val="1"/>
    <w:qFormat/>
    <w:uiPriority w:val="0"/>
    <w:pPr>
      <w:spacing w:before="100" w:beforeAutospacing="1" w:after="100" w:afterAutospacing="1"/>
      <w:jc w:val="left"/>
    </w:pPr>
    <w:rPr>
      <w:rFonts w:ascii="宋体" w:hAnsi="宋体" w:cs="宋体"/>
      <w:kern w:val="0"/>
      <w:szCs w:val="21"/>
    </w:rPr>
  </w:style>
  <w:style w:type="paragraph" w:customStyle="1" w:styleId="1798">
    <w:name w:val="1.1.1.1汇编"/>
    <w:basedOn w:val="1"/>
    <w:qFormat/>
    <w:uiPriority w:val="0"/>
    <w:pPr>
      <w:tabs>
        <w:tab w:val="left" w:pos="2520"/>
      </w:tabs>
      <w:spacing w:line="360" w:lineRule="auto"/>
      <w:ind w:left="1443" w:hanging="363" w:firstLineChars="175"/>
      <w:outlineLvl w:val="3"/>
    </w:pPr>
    <w:rPr>
      <w:b/>
      <w:kern w:val="4"/>
      <w:sz w:val="24"/>
      <w:szCs w:val="20"/>
    </w:rPr>
  </w:style>
  <w:style w:type="paragraph" w:customStyle="1" w:styleId="1799">
    <w:name w:val="正文 + 黑色"/>
    <w:basedOn w:val="1"/>
    <w:qFormat/>
    <w:uiPriority w:val="0"/>
    <w:pPr>
      <w:ind w:firstLine="492"/>
    </w:pPr>
    <w:rPr>
      <w:rFonts w:ascii="宋体"/>
      <w:color w:val="000000"/>
      <w:spacing w:val="-2"/>
      <w:sz w:val="25"/>
      <w:szCs w:val="25"/>
    </w:rPr>
  </w:style>
  <w:style w:type="paragraph" w:customStyle="1" w:styleId="1800">
    <w:name w:val="列表 4J"/>
    <w:basedOn w:val="81"/>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1801">
    <w:name w:val="列表 3F"/>
    <w:basedOn w:val="16"/>
    <w:qFormat/>
    <w:uiPriority w:val="0"/>
    <w:pPr>
      <w:tabs>
        <w:tab w:val="left" w:pos="907"/>
      </w:tabs>
      <w:spacing w:line="288" w:lineRule="auto"/>
      <w:ind w:left="907" w:leftChars="0" w:hanging="567" w:firstLineChars="0"/>
    </w:pPr>
    <w:rPr>
      <w:rFonts w:ascii="Arial" w:hAnsi="Arial"/>
      <w:color w:val="CCFFCC"/>
      <w:sz w:val="24"/>
      <w:szCs w:val="20"/>
    </w:rPr>
  </w:style>
  <w:style w:type="paragraph" w:customStyle="1" w:styleId="1802">
    <w:name w:val="xl17"/>
    <w:basedOn w:val="1"/>
    <w:qFormat/>
    <w:uiPriority w:val="0"/>
    <w:pPr>
      <w:spacing w:before="100" w:beforeAutospacing="1" w:after="100" w:afterAutospacing="1"/>
      <w:jc w:val="left"/>
    </w:pPr>
    <w:rPr>
      <w:rFonts w:eastAsia="Arial Unicode MS"/>
      <w:kern w:val="0"/>
      <w:sz w:val="24"/>
    </w:rPr>
  </w:style>
  <w:style w:type="paragraph" w:customStyle="1" w:styleId="1803">
    <w:name w:val="xl19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kern w:val="0"/>
      <w:sz w:val="18"/>
      <w:szCs w:val="18"/>
    </w:rPr>
  </w:style>
  <w:style w:type="paragraph" w:customStyle="1" w:styleId="1804">
    <w:name w:val="副题封页"/>
    <w:basedOn w:val="1"/>
    <w:next w:val="38"/>
    <w:semiHidden/>
    <w:qFormat/>
    <w:uiPriority w:val="0"/>
    <w:pPr>
      <w:keepNext/>
      <w:overflowPunct w:val="0"/>
      <w:autoSpaceDE w:val="0"/>
      <w:autoSpaceDN w:val="0"/>
      <w:spacing w:before="240" w:after="480"/>
      <w:jc w:val="center"/>
      <w:textAlignment w:val="baseline"/>
    </w:pPr>
    <w:rPr>
      <w:i/>
      <w:kern w:val="28"/>
      <w:sz w:val="32"/>
      <w:szCs w:val="20"/>
    </w:rPr>
  </w:style>
  <w:style w:type="paragraph" w:customStyle="1" w:styleId="1805">
    <w:name w:val="layer3"/>
    <w:basedOn w:val="1"/>
    <w:next w:val="25"/>
    <w:qFormat/>
    <w:uiPriority w:val="0"/>
    <w:pPr>
      <w:spacing w:before="120" w:after="120" w:line="300" w:lineRule="auto"/>
      <w:textAlignment w:val="baseline"/>
    </w:pPr>
    <w:rPr>
      <w:rFonts w:ascii="Arial" w:hAnsi="Arial" w:eastAsia="楷体_GB2312"/>
      <w:b/>
      <w:sz w:val="32"/>
      <w:szCs w:val="20"/>
    </w:rPr>
  </w:style>
  <w:style w:type="paragraph" w:customStyle="1" w:styleId="1806">
    <w:name w:val="xl19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807">
    <w:name w:val="样式 正文首行缩进 2 + 首行缩进:  2 字符"/>
    <w:basedOn w:val="90"/>
    <w:qFormat/>
    <w:uiPriority w:val="0"/>
    <w:pPr>
      <w:spacing w:line="360" w:lineRule="auto"/>
      <w:ind w:left="0" w:leftChars="0" w:firstLine="480"/>
      <w:jc w:val="left"/>
    </w:pPr>
    <w:rPr>
      <w:rFonts w:cs="宋体"/>
      <w:kern w:val="0"/>
      <w:sz w:val="24"/>
      <w:szCs w:val="20"/>
    </w:rPr>
  </w:style>
  <w:style w:type="paragraph" w:customStyle="1" w:styleId="1808">
    <w:name w:val="ÕýÎÄÎÄ×ÖËõ½ø"/>
    <w:basedOn w:val="25"/>
    <w:qFormat/>
    <w:uiPriority w:val="0"/>
    <w:pPr>
      <w:overflowPunct w:val="0"/>
      <w:autoSpaceDE w:val="0"/>
      <w:autoSpaceDN w:val="0"/>
      <w:spacing w:line="810" w:lineRule="atLeast"/>
      <w:ind w:firstLine="578"/>
      <w:jc w:val="left"/>
      <w:textAlignment w:val="baseline"/>
    </w:pPr>
    <w:rPr>
      <w:color w:val="000000"/>
      <w:kern w:val="0"/>
      <w:szCs w:val="20"/>
    </w:rPr>
  </w:style>
  <w:style w:type="paragraph" w:customStyle="1" w:styleId="1809">
    <w:name w:val="宽5中"/>
    <w:basedOn w:val="1"/>
    <w:next w:val="1"/>
    <w:qFormat/>
    <w:uiPriority w:val="0"/>
    <w:pPr>
      <w:jc w:val="center"/>
    </w:pPr>
    <w:rPr>
      <w:szCs w:val="28"/>
    </w:rPr>
  </w:style>
  <w:style w:type="paragraph" w:customStyle="1" w:styleId="1810">
    <w:name w:val="公式样式1"/>
    <w:basedOn w:val="1"/>
    <w:qFormat/>
    <w:uiPriority w:val="0"/>
    <w:pPr>
      <w:jc w:val="center"/>
    </w:pPr>
    <w:rPr>
      <w:rFonts w:ascii="宋体" w:hAnsi="宋体"/>
      <w:color w:val="FF0000"/>
    </w:rPr>
  </w:style>
  <w:style w:type="paragraph" w:customStyle="1" w:styleId="1811">
    <w:name w:val="xl14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color w:val="000000"/>
      <w:kern w:val="0"/>
      <w:sz w:val="18"/>
      <w:szCs w:val="18"/>
    </w:rPr>
  </w:style>
  <w:style w:type="paragraph" w:customStyle="1" w:styleId="1812">
    <w:name w:val="封面标题1"/>
    <w:basedOn w:val="1"/>
    <w:qFormat/>
    <w:uiPriority w:val="0"/>
    <w:pPr>
      <w:spacing w:line="360" w:lineRule="auto"/>
      <w:jc w:val="center"/>
    </w:pPr>
    <w:rPr>
      <w:b/>
      <w:sz w:val="72"/>
      <w:szCs w:val="20"/>
    </w:rPr>
  </w:style>
  <w:style w:type="paragraph" w:customStyle="1" w:styleId="1813">
    <w:name w:val="font1"/>
    <w:basedOn w:val="1"/>
    <w:qFormat/>
    <w:uiPriority w:val="0"/>
    <w:pPr>
      <w:spacing w:before="100" w:beforeAutospacing="1" w:after="100" w:afterAutospacing="1"/>
      <w:jc w:val="left"/>
    </w:pPr>
    <w:rPr>
      <w:rFonts w:hint="eastAsia" w:ascii="宋体" w:hAnsi="宋体"/>
      <w:kern w:val="0"/>
      <w:sz w:val="24"/>
    </w:rPr>
  </w:style>
  <w:style w:type="paragraph" w:customStyle="1" w:styleId="1814">
    <w:name w:val="默认段落字体 Para Char Char Char Char"/>
    <w:basedOn w:val="1"/>
    <w:qFormat/>
    <w:uiPriority w:val="0"/>
    <w:pPr>
      <w:spacing w:line="360" w:lineRule="auto"/>
    </w:pPr>
    <w:rPr>
      <w:rFonts w:ascii="宋体" w:hAnsi="宋体" w:eastAsia="宋体" w:cs="宋体"/>
      <w:sz w:val="24"/>
    </w:rPr>
  </w:style>
  <w:style w:type="paragraph" w:customStyle="1" w:styleId="1815">
    <w:name w:val="Char Char Char Char Char Char Char Char Char Char Char Char Char Char Char Char1"/>
    <w:basedOn w:val="1"/>
    <w:qFormat/>
    <w:uiPriority w:val="0"/>
    <w:pPr>
      <w:spacing w:line="360" w:lineRule="auto"/>
    </w:pPr>
    <w:rPr>
      <w:rFonts w:ascii="宋体" w:hAnsi="宋体" w:cs="宋体"/>
      <w:sz w:val="24"/>
    </w:rPr>
  </w:style>
  <w:style w:type="paragraph" w:customStyle="1" w:styleId="1816">
    <w:name w:val="a9"/>
    <w:basedOn w:val="1"/>
    <w:qFormat/>
    <w:uiPriority w:val="0"/>
    <w:pPr>
      <w:spacing w:line="300" w:lineRule="auto"/>
    </w:pPr>
    <w:rPr>
      <w:rFonts w:eastAsia="Arial Unicode MS"/>
      <w:kern w:val="0"/>
      <w:szCs w:val="28"/>
    </w:rPr>
  </w:style>
  <w:style w:type="paragraph" w:customStyle="1" w:styleId="1817">
    <w:name w:val="Char1 Char Char Char Char Char1 Char"/>
    <w:basedOn w:val="1"/>
    <w:qFormat/>
    <w:uiPriority w:val="0"/>
    <w:rPr>
      <w:rFonts w:ascii="Tahoma" w:hAnsi="Tahoma"/>
      <w:sz w:val="24"/>
      <w:szCs w:val="20"/>
    </w:rPr>
  </w:style>
  <w:style w:type="paragraph" w:customStyle="1" w:styleId="1818">
    <w:name w:val="xl20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819">
    <w:name w:val="reader-word-layer reader-word-s1-6"/>
    <w:basedOn w:val="1"/>
    <w:qFormat/>
    <w:uiPriority w:val="0"/>
    <w:pPr>
      <w:spacing w:before="100" w:beforeAutospacing="1" w:after="100" w:afterAutospacing="1"/>
      <w:jc w:val="left"/>
    </w:pPr>
    <w:rPr>
      <w:rFonts w:ascii="宋体" w:hAnsi="宋体" w:cs="宋体"/>
      <w:kern w:val="0"/>
      <w:sz w:val="24"/>
    </w:rPr>
  </w:style>
  <w:style w:type="paragraph" w:customStyle="1" w:styleId="1820">
    <w:name w:val="图表目录11"/>
    <w:basedOn w:val="1107"/>
    <w:next w:val="1107"/>
    <w:qFormat/>
    <w:uiPriority w:val="0"/>
    <w:pPr>
      <w:tabs>
        <w:tab w:val="right" w:leader="dot" w:pos="8051"/>
      </w:tabs>
      <w:ind w:left="840" w:hanging="840"/>
      <w:textAlignment w:val="baseline"/>
    </w:pPr>
  </w:style>
  <w:style w:type="paragraph" w:customStyle="1" w:styleId="1821">
    <w:name w:val="样式  + 首行缩进:  0.75 厘米"/>
    <w:basedOn w:val="1"/>
    <w:qFormat/>
    <w:uiPriority w:val="0"/>
    <w:pPr>
      <w:ind w:firstLine="425"/>
      <w:jc w:val="left"/>
    </w:pPr>
    <w:rPr>
      <w:bCs/>
      <w:sz w:val="24"/>
    </w:rPr>
  </w:style>
  <w:style w:type="paragraph" w:customStyle="1" w:styleId="1822">
    <w:name w:val="回信地址"/>
    <w:basedOn w:val="1823"/>
    <w:semiHidden/>
    <w:qFormat/>
    <w:uiPriority w:val="0"/>
  </w:style>
  <w:style w:type="paragraph" w:customStyle="1" w:styleId="1823">
    <w:name w:val="地址"/>
    <w:basedOn w:val="1"/>
    <w:semiHidden/>
    <w:qFormat/>
    <w:uiPriority w:val="0"/>
    <w:pPr>
      <w:keepLines/>
      <w:overflowPunct w:val="0"/>
      <w:autoSpaceDE w:val="0"/>
      <w:autoSpaceDN w:val="0"/>
      <w:jc w:val="center"/>
      <w:textAlignment w:val="baseline"/>
    </w:pPr>
    <w:rPr>
      <w:sz w:val="20"/>
      <w:szCs w:val="20"/>
    </w:rPr>
  </w:style>
  <w:style w:type="paragraph" w:customStyle="1" w:styleId="1824">
    <w:name w:val="Title.2"/>
    <w:qFormat/>
    <w:uiPriority w:val="0"/>
    <w:pPr>
      <w:keepNext/>
      <w:keepLines/>
      <w:spacing w:beforeLines="50" w:afterLines="50" w:line="600" w:lineRule="exact"/>
      <w:jc w:val="center"/>
      <w:outlineLvl w:val="1"/>
    </w:pPr>
    <w:rPr>
      <w:rFonts w:ascii="新宋体-18030" w:hAnsi="新宋体-18030" w:eastAsia="新宋体-18030" w:cs="Times New Roman"/>
      <w:color w:val="000000"/>
      <w:sz w:val="28"/>
      <w:lang w:val="en-US" w:eastAsia="zh-CN" w:bidi="ar-SA"/>
    </w:rPr>
  </w:style>
  <w:style w:type="paragraph" w:customStyle="1" w:styleId="1825">
    <w:name w:val="JLY表格文字居中对齐"/>
    <w:basedOn w:val="1"/>
    <w:qFormat/>
    <w:uiPriority w:val="0"/>
    <w:pPr>
      <w:jc w:val="center"/>
    </w:pPr>
    <w:rPr>
      <w:rFonts w:ascii="宋体"/>
    </w:rPr>
  </w:style>
  <w:style w:type="paragraph" w:customStyle="1" w:styleId="1826">
    <w:name w:val="样式9"/>
    <w:basedOn w:val="25"/>
    <w:qFormat/>
    <w:uiPriority w:val="0"/>
    <w:pPr>
      <w:keepNext/>
      <w:keepLines/>
      <w:tabs>
        <w:tab w:val="left" w:pos="1080"/>
      </w:tabs>
      <w:spacing w:before="280" w:after="290" w:line="376" w:lineRule="auto"/>
      <w:ind w:firstLine="0"/>
      <w:outlineLvl w:val="3"/>
    </w:pPr>
    <w:rPr>
      <w:rFonts w:ascii="Arial" w:hAnsi="Arial"/>
      <w:szCs w:val="28"/>
    </w:rPr>
  </w:style>
  <w:style w:type="paragraph" w:customStyle="1" w:styleId="1827">
    <w:name w:val="xl20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18"/>
      <w:szCs w:val="18"/>
    </w:rPr>
  </w:style>
  <w:style w:type="paragraph" w:customStyle="1" w:styleId="1828">
    <w:name w:val="表格式"/>
    <w:basedOn w:val="70"/>
    <w:qFormat/>
    <w:uiPriority w:val="0"/>
    <w:pPr>
      <w:spacing w:line="400" w:lineRule="exact"/>
      <w:ind w:left="0" w:firstLine="0"/>
      <w:jc w:val="center"/>
    </w:pPr>
    <w:rPr>
      <w:rFonts w:ascii="宋体" w:hAnsi="Arial Narrow" w:eastAsia="宋体"/>
      <w:sz w:val="21"/>
    </w:rPr>
  </w:style>
  <w:style w:type="paragraph" w:customStyle="1" w:styleId="1829">
    <w:name w:val="图表目录1"/>
    <w:basedOn w:val="1107"/>
    <w:next w:val="1107"/>
    <w:qFormat/>
    <w:uiPriority w:val="0"/>
    <w:pPr>
      <w:tabs>
        <w:tab w:val="right" w:leader="dot" w:pos="8051"/>
      </w:tabs>
      <w:ind w:left="840" w:hanging="840"/>
      <w:textAlignment w:val="baseline"/>
    </w:pPr>
  </w:style>
  <w:style w:type="paragraph" w:customStyle="1" w:styleId="1830">
    <w:name w:val="List Paragraph1"/>
    <w:basedOn w:val="1"/>
    <w:qFormat/>
    <w:uiPriority w:val="0"/>
    <w:pPr>
      <w:ind w:firstLine="420"/>
      <w:jc w:val="left"/>
    </w:pPr>
    <w:rPr>
      <w:kern w:val="0"/>
      <w:sz w:val="20"/>
      <w:szCs w:val="20"/>
    </w:rPr>
  </w:style>
  <w:style w:type="paragraph" w:customStyle="1" w:styleId="1831">
    <w:name w:val="括号一是一二是二"/>
    <w:basedOn w:val="18"/>
    <w:qFormat/>
    <w:uiPriority w:val="0"/>
    <w:pPr>
      <w:tabs>
        <w:tab w:val="left" w:pos="420"/>
        <w:tab w:val="clear" w:pos="780"/>
      </w:tabs>
      <w:spacing w:before="125" w:after="125" w:line="360" w:lineRule="auto"/>
      <w:ind w:left="0" w:leftChars="0" w:firstLine="0" w:firstLineChars="0"/>
    </w:pPr>
    <w:rPr>
      <w:rFonts w:cs="宋体"/>
      <w:w w:val="101"/>
      <w:sz w:val="24"/>
    </w:rPr>
  </w:style>
  <w:style w:type="paragraph" w:customStyle="1" w:styleId="1832">
    <w:name w:val="正文（首行缩进）"/>
    <w:basedOn w:val="1"/>
    <w:qFormat/>
    <w:uiPriority w:val="0"/>
    <w:pPr>
      <w:spacing w:line="360" w:lineRule="auto"/>
      <w:ind w:firstLine="480"/>
      <w:jc w:val="left"/>
    </w:pPr>
    <w:rPr>
      <w:rFonts w:ascii="宋体" w:hAnsi="宋体"/>
      <w:color w:val="000000"/>
      <w:sz w:val="24"/>
      <w:szCs w:val="20"/>
    </w:rPr>
  </w:style>
  <w:style w:type="paragraph" w:customStyle="1" w:styleId="1833">
    <w:name w:val="xl64"/>
    <w:basedOn w:val="1"/>
    <w:qFormat/>
    <w:uiPriority w:val="0"/>
    <w:pPr>
      <w:pBdr>
        <w:left w:val="single" w:color="auto" w:sz="4" w:space="0"/>
        <w:bottom w:val="single" w:color="auto" w:sz="4" w:space="0"/>
        <w:right w:val="single" w:color="auto" w:sz="8" w:space="0"/>
      </w:pBdr>
      <w:spacing w:before="100" w:beforeAutospacing="1" w:after="100" w:afterAutospacing="1"/>
      <w:jc w:val="left"/>
      <w:textAlignment w:val="center"/>
    </w:pPr>
    <w:rPr>
      <w:rFonts w:ascii="Arial Unicode MS" w:hAnsi="Arial Unicode MS" w:eastAsia="Arial Unicode MS"/>
      <w:kern w:val="0"/>
      <w:sz w:val="24"/>
    </w:rPr>
  </w:style>
  <w:style w:type="paragraph" w:customStyle="1" w:styleId="1834">
    <w:name w:val="样式 样式 正文缩进表正文正文非缩进段1四号缩进ALT+Z特点表格标题 + 首行缩进:  2 字符 + 首行缩进:  2 字符"/>
    <w:basedOn w:val="1"/>
    <w:qFormat/>
    <w:uiPriority w:val="0"/>
    <w:pPr>
      <w:spacing w:line="360" w:lineRule="auto"/>
      <w:ind w:firstLine="519"/>
      <w:textAlignment w:val="baseline"/>
    </w:pPr>
    <w:rPr>
      <w:rFonts w:ascii="宋体" w:cs="宋体"/>
      <w:snapToGrid w:val="0"/>
      <w:kern w:val="28"/>
      <w:szCs w:val="20"/>
    </w:rPr>
  </w:style>
  <w:style w:type="paragraph" w:customStyle="1" w:styleId="1835">
    <w:name w:val="样式 标题 4§1.1.1.1§1.1.1.1.H4Char + 黑色 首行缩进:  2 字符2"/>
    <w:basedOn w:val="10"/>
    <w:qFormat/>
    <w:uiPriority w:val="0"/>
    <w:pPr>
      <w:keepNext w:val="0"/>
      <w:keepLines w:val="0"/>
      <w:spacing w:after="0" w:line="300" w:lineRule="auto"/>
      <w:ind w:left="0" w:firstLine="0"/>
    </w:pPr>
    <w:rPr>
      <w:rFonts w:cs="宋体"/>
      <w:b w:val="0"/>
      <w:snapToGrid w:val="0"/>
      <w:color w:val="000000"/>
      <w:kern w:val="0"/>
    </w:rPr>
  </w:style>
  <w:style w:type="paragraph" w:customStyle="1" w:styleId="1836">
    <w:name w:val="样式 标题 1标题1H1H11H12H13H14H15H16H17H18第A章第*部分章节一、一级...2"/>
    <w:basedOn w:val="5"/>
    <w:qFormat/>
    <w:uiPriority w:val="0"/>
  </w:style>
  <w:style w:type="paragraph" w:customStyle="1" w:styleId="1837">
    <w:name w:val="reader-word-layer reader-word-s1-10"/>
    <w:basedOn w:val="1"/>
    <w:qFormat/>
    <w:uiPriority w:val="0"/>
    <w:pPr>
      <w:spacing w:before="100" w:beforeAutospacing="1" w:after="100" w:afterAutospacing="1"/>
      <w:jc w:val="left"/>
    </w:pPr>
    <w:rPr>
      <w:rFonts w:ascii="宋体" w:hAnsi="宋体" w:cs="宋体"/>
      <w:kern w:val="0"/>
      <w:sz w:val="24"/>
    </w:rPr>
  </w:style>
  <w:style w:type="paragraph" w:customStyle="1" w:styleId="1838">
    <w:name w:val="xl15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1839">
    <w:name w:val="xl37"/>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Cs w:val="21"/>
    </w:rPr>
  </w:style>
  <w:style w:type="paragraph" w:customStyle="1" w:styleId="1840">
    <w:name w:val="样式 目录 1 + 首行缩进:  1.96 字符"/>
    <w:basedOn w:val="63"/>
    <w:qFormat/>
    <w:uiPriority w:val="0"/>
    <w:pPr>
      <w:tabs>
        <w:tab w:val="left" w:pos="480"/>
        <w:tab w:val="left" w:pos="900"/>
        <w:tab w:val="right" w:leader="dot" w:pos="6375"/>
        <w:tab w:val="clear" w:pos="8460"/>
      </w:tabs>
      <w:snapToGrid/>
      <w:spacing w:before="120" w:after="120" w:line="240" w:lineRule="auto"/>
      <w:ind w:left="100" w:leftChars="100" w:right="100" w:rightChars="100" w:firstLine="551" w:firstLineChars="196"/>
    </w:pPr>
    <w:rPr>
      <w:rFonts w:ascii="宋体" w:hAnsi="宋体" w:eastAsia="宋体" w:cs="宋体"/>
      <w:b w:val="0"/>
      <w:spacing w:val="0"/>
    </w:rPr>
  </w:style>
  <w:style w:type="paragraph" w:customStyle="1" w:styleId="1841">
    <w:name w:val="节以下标题样式"/>
    <w:basedOn w:val="1668"/>
    <w:qFormat/>
    <w:uiPriority w:val="0"/>
    <w:pPr>
      <w:ind w:firstLine="0"/>
    </w:pPr>
  </w:style>
  <w:style w:type="paragraph" w:customStyle="1" w:styleId="1842">
    <w:name w:val="标题样式2"/>
    <w:basedOn w:val="6"/>
    <w:qFormat/>
    <w:uiPriority w:val="0"/>
    <w:pPr>
      <w:tabs>
        <w:tab w:val="clear" w:pos="1080"/>
      </w:tabs>
      <w:spacing w:before="0" w:after="0" w:line="360" w:lineRule="auto"/>
      <w:ind w:left="0" w:firstLine="0"/>
      <w:jc w:val="left"/>
      <w:textAlignment w:val="baseline"/>
    </w:pPr>
    <w:rPr>
      <w:rFonts w:ascii="黑体" w:hAnsi="Arial"/>
      <w:sz w:val="24"/>
      <w:szCs w:val="24"/>
    </w:rPr>
  </w:style>
  <w:style w:type="paragraph" w:customStyle="1" w:styleId="1843">
    <w:name w:val="reader-word-layer reader-word-s1-15"/>
    <w:basedOn w:val="1"/>
    <w:qFormat/>
    <w:uiPriority w:val="0"/>
    <w:pPr>
      <w:spacing w:before="100" w:beforeAutospacing="1" w:after="100" w:afterAutospacing="1"/>
      <w:jc w:val="left"/>
    </w:pPr>
    <w:rPr>
      <w:rFonts w:ascii="宋体" w:hAnsi="宋体" w:cs="宋体"/>
      <w:kern w:val="0"/>
      <w:sz w:val="24"/>
    </w:rPr>
  </w:style>
  <w:style w:type="paragraph" w:customStyle="1" w:styleId="1844">
    <w:name w:val="样式 标题 4§1.1.1.1§1.1.1.1.H4Char + 黑色 首行缩进:  2 字符4"/>
    <w:basedOn w:val="10"/>
    <w:qFormat/>
    <w:uiPriority w:val="0"/>
    <w:pPr>
      <w:keepNext w:val="0"/>
      <w:keepLines w:val="0"/>
      <w:spacing w:after="0" w:line="300" w:lineRule="auto"/>
      <w:ind w:left="0" w:firstLine="200"/>
    </w:pPr>
    <w:rPr>
      <w:rFonts w:cs="宋体"/>
      <w:b w:val="0"/>
      <w:snapToGrid w:val="0"/>
      <w:color w:val="000000"/>
      <w:kern w:val="0"/>
    </w:rPr>
  </w:style>
  <w:style w:type="paragraph" w:customStyle="1" w:styleId="1845">
    <w:name w:val="表格2"/>
    <w:basedOn w:val="1"/>
    <w:qFormat/>
    <w:uiPriority w:val="0"/>
    <w:pPr>
      <w:jc w:val="center"/>
      <w:textAlignment w:val="baseline"/>
    </w:pPr>
    <w:rPr>
      <w:rFonts w:ascii="宋体"/>
      <w:kern w:val="0"/>
      <w:szCs w:val="21"/>
    </w:rPr>
  </w:style>
  <w:style w:type="paragraph" w:customStyle="1" w:styleId="1846">
    <w:name w:val="博士论文正文 Char"/>
    <w:basedOn w:val="1"/>
    <w:qFormat/>
    <w:uiPriority w:val="0"/>
    <w:pPr>
      <w:spacing w:line="360" w:lineRule="auto"/>
    </w:pPr>
    <w:rPr>
      <w:sz w:val="24"/>
    </w:rPr>
  </w:style>
  <w:style w:type="paragraph" w:customStyle="1" w:styleId="1847">
    <w:name w:val="xl18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1848">
    <w:name w:val="xl100"/>
    <w:basedOn w:val="1"/>
    <w:qFormat/>
    <w:uiPriority w:val="0"/>
    <w:pPr>
      <w:pBdr>
        <w:top w:val="single" w:color="auto" w:sz="8" w:space="0"/>
        <w:bottom w:val="single" w:color="auto" w:sz="4" w:space="0"/>
        <w:right w:val="single" w:color="auto" w:sz="8"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849">
    <w:name w:val="正文9"/>
    <w:qFormat/>
    <w:uiPriority w:val="0"/>
    <w:pPr>
      <w:widowControl w:val="0"/>
      <w:adjustRightInd w:val="0"/>
      <w:spacing w:line="360" w:lineRule="atLeast"/>
      <w:jc w:val="center"/>
      <w:textAlignment w:val="baseline"/>
    </w:pPr>
    <w:rPr>
      <w:rFonts w:ascii="宋体" w:hAnsi="Calibri" w:eastAsia="宋体" w:cs="Times New Roman"/>
      <w:sz w:val="24"/>
      <w:lang w:val="en-US" w:eastAsia="zh-CN" w:bidi="ar-SA"/>
    </w:rPr>
  </w:style>
  <w:style w:type="paragraph" w:customStyle="1" w:styleId="1850">
    <w:name w:val="正文文本 22"/>
    <w:basedOn w:val="1"/>
    <w:qFormat/>
    <w:uiPriority w:val="0"/>
    <w:pPr>
      <w:ind w:left="425"/>
      <w:jc w:val="left"/>
      <w:textAlignment w:val="baseline"/>
    </w:pPr>
    <w:rPr>
      <w:rFonts w:ascii="宋体"/>
      <w:kern w:val="0"/>
      <w:sz w:val="24"/>
      <w:szCs w:val="20"/>
    </w:rPr>
  </w:style>
  <w:style w:type="paragraph" w:customStyle="1" w:styleId="1851">
    <w:name w:val="xl13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000000"/>
      <w:kern w:val="0"/>
      <w:sz w:val="18"/>
      <w:szCs w:val="18"/>
    </w:rPr>
  </w:style>
  <w:style w:type="paragraph" w:customStyle="1" w:styleId="1852">
    <w:name w:val="xl12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1853">
    <w:name w:val="流程图"/>
    <w:basedOn w:val="1"/>
    <w:qFormat/>
    <w:uiPriority w:val="0"/>
    <w:pPr>
      <w:tabs>
        <w:tab w:val="left" w:pos="0"/>
      </w:tabs>
      <w:autoSpaceDE w:val="0"/>
      <w:autoSpaceDN w:val="0"/>
      <w:spacing w:line="240" w:lineRule="atLeast"/>
      <w:jc w:val="center"/>
      <w:textAlignment w:val="bottom"/>
    </w:pPr>
    <w:rPr>
      <w:rFonts w:ascii="宋体"/>
      <w:bCs/>
      <w:iCs/>
      <w:szCs w:val="21"/>
    </w:rPr>
  </w:style>
  <w:style w:type="paragraph" w:customStyle="1" w:styleId="1854">
    <w:name w:val="正文2"/>
    <w:qFormat/>
    <w:uiPriority w:val="0"/>
    <w:pPr>
      <w:widowControl w:val="0"/>
      <w:adjustRightInd w:val="0"/>
      <w:spacing w:line="360" w:lineRule="atLeast"/>
      <w:jc w:val="center"/>
      <w:textAlignment w:val="baseline"/>
    </w:pPr>
    <w:rPr>
      <w:rFonts w:ascii="宋体" w:hAnsi="Calibri" w:eastAsia="宋体" w:cs="Times New Roman"/>
      <w:sz w:val="24"/>
      <w:lang w:val="en-US" w:eastAsia="zh-CN" w:bidi="ar-SA"/>
    </w:rPr>
  </w:style>
  <w:style w:type="paragraph" w:customStyle="1" w:styleId="1855">
    <w:name w:val="GY3"/>
    <w:basedOn w:val="1"/>
    <w:qFormat/>
    <w:uiPriority w:val="0"/>
    <w:pPr>
      <w:spacing w:beforeLines="20" w:afterLines="20"/>
      <w:ind w:left="-105" w:leftChars="-50" w:right="-105" w:rightChars="-50"/>
      <w:jc w:val="center"/>
    </w:pPr>
    <w:rPr>
      <w:rFonts w:ascii="宋体" w:hAnsi="宋体"/>
    </w:rPr>
  </w:style>
  <w:style w:type="paragraph" w:customStyle="1" w:styleId="1856">
    <w:name w:val="Body Text 21"/>
    <w:basedOn w:val="1"/>
    <w:qFormat/>
    <w:uiPriority w:val="0"/>
    <w:pPr>
      <w:spacing w:line="312" w:lineRule="atLeast"/>
      <w:jc w:val="center"/>
      <w:textAlignment w:val="baseline"/>
    </w:pPr>
    <w:rPr>
      <w:rFonts w:eastAsia="楷体_GB2312"/>
      <w:kern w:val="0"/>
      <w:szCs w:val="28"/>
    </w:rPr>
  </w:style>
  <w:style w:type="paragraph" w:customStyle="1" w:styleId="1857">
    <w:name w:val="“责任表”EPAJW120926"/>
    <w:basedOn w:val="1"/>
    <w:qFormat/>
    <w:uiPriority w:val="0"/>
    <w:pPr>
      <w:jc w:val="center"/>
    </w:pPr>
    <w:rPr>
      <w:rFonts w:eastAsia="黑体" w:cs="宋体"/>
      <w:b/>
      <w:bCs/>
      <w:sz w:val="32"/>
      <w:szCs w:val="20"/>
    </w:rPr>
  </w:style>
  <w:style w:type="paragraph" w:customStyle="1" w:styleId="1858">
    <w:name w:val="xl8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1859">
    <w:name w:val="reader-word-layer reader-word-s3-37"/>
    <w:basedOn w:val="1"/>
    <w:qFormat/>
    <w:uiPriority w:val="0"/>
    <w:pPr>
      <w:spacing w:before="100" w:beforeAutospacing="1" w:after="100" w:afterAutospacing="1"/>
      <w:jc w:val="left"/>
    </w:pPr>
    <w:rPr>
      <w:rFonts w:ascii="宋体" w:hAnsi="宋体" w:cs="宋体"/>
      <w:kern w:val="0"/>
      <w:sz w:val="24"/>
    </w:rPr>
  </w:style>
  <w:style w:type="paragraph" w:customStyle="1" w:styleId="1860">
    <w:name w:val="图号样式100"/>
    <w:basedOn w:val="38"/>
    <w:qFormat/>
    <w:uiPriority w:val="0"/>
    <w:pPr>
      <w:spacing w:after="0" w:line="360" w:lineRule="auto"/>
      <w:jc w:val="center"/>
    </w:pPr>
    <w:rPr>
      <w:rFonts w:ascii="宋体" w:hAnsi="宋体"/>
      <w:kern w:val="0"/>
      <w:sz w:val="24"/>
    </w:rPr>
  </w:style>
  <w:style w:type="paragraph" w:customStyle="1" w:styleId="1861">
    <w:name w:val="列表 2H"/>
    <w:basedOn w:val="41"/>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1862">
    <w:name w:val="xl26"/>
    <w:basedOn w:val="1"/>
    <w:qFormat/>
    <w:uiPriority w:val="0"/>
    <w:pPr>
      <w:pBdr>
        <w:top w:val="single" w:color="auto" w:sz="8" w:space="0"/>
        <w:left w:val="single" w:color="auto" w:sz="8" w:space="0"/>
        <w:right w:val="single" w:color="auto" w:sz="8" w:space="0"/>
      </w:pBdr>
      <w:spacing w:before="100" w:beforeAutospacing="1" w:after="100" w:afterAutospacing="1"/>
      <w:jc w:val="left"/>
      <w:textAlignment w:val="center"/>
    </w:pPr>
    <w:rPr>
      <w:rFonts w:ascii="Arial Unicode MS" w:hAnsi="Arial Unicode MS" w:eastAsia="Arial Unicode MS"/>
      <w:kern w:val="0"/>
      <w:sz w:val="24"/>
    </w:rPr>
  </w:style>
  <w:style w:type="paragraph" w:customStyle="1" w:styleId="1863">
    <w:name w:val="Char Char Char Char Char Char Char Char Char Char Char Char1 Char"/>
    <w:basedOn w:val="1"/>
    <w:next w:val="1"/>
    <w:semiHidden/>
    <w:qFormat/>
    <w:uiPriority w:val="0"/>
    <w:pPr>
      <w:spacing w:line="336" w:lineRule="auto"/>
    </w:pPr>
    <w:rPr>
      <w:rFonts w:ascii="宋体" w:hAnsi="宋体" w:eastAsia="汉鼎简书宋" w:cs="宋体"/>
      <w:sz w:val="24"/>
    </w:rPr>
  </w:style>
  <w:style w:type="paragraph" w:customStyle="1" w:styleId="1864">
    <w:name w:val="11111"/>
    <w:basedOn w:val="1"/>
    <w:next w:val="1"/>
    <w:qFormat/>
    <w:uiPriority w:val="0"/>
    <w:pPr>
      <w:spacing w:line="360" w:lineRule="auto"/>
    </w:pPr>
    <w:rPr>
      <w:rFonts w:ascii="宋体" w:hAnsi="宋体" w:cs="宋体"/>
      <w:sz w:val="24"/>
    </w:rPr>
  </w:style>
  <w:style w:type="paragraph" w:customStyle="1" w:styleId="1865">
    <w:name w:val="表内式样"/>
    <w:qFormat/>
    <w:uiPriority w:val="0"/>
    <w:pPr>
      <w:framePr w:hSpace="180" w:wrap="around" w:vAnchor="page" w:hAnchor="margin" w:x="-432" w:y="2266"/>
      <w:widowControl w:val="0"/>
      <w:spacing w:line="320" w:lineRule="exact"/>
      <w:jc w:val="center"/>
    </w:pPr>
    <w:rPr>
      <w:rFonts w:ascii="Calibri" w:hAnsi="Calibri" w:eastAsia="宋体" w:cs="Times New Roman"/>
      <w:sz w:val="18"/>
      <w:szCs w:val="24"/>
      <w:lang w:val="en-US" w:eastAsia="zh-CN" w:bidi="ar-SA"/>
    </w:rPr>
  </w:style>
  <w:style w:type="paragraph" w:customStyle="1" w:styleId="1866">
    <w:name w:val="页脚21"/>
    <w:basedOn w:val="1107"/>
    <w:qFormat/>
    <w:uiPriority w:val="0"/>
    <w:pPr>
      <w:tabs>
        <w:tab w:val="center" w:pos="4153"/>
        <w:tab w:val="right" w:pos="8306"/>
      </w:tabs>
      <w:spacing w:line="240" w:lineRule="atLeast"/>
      <w:textAlignment w:val="baseline"/>
    </w:pPr>
    <w:rPr>
      <w:sz w:val="18"/>
    </w:rPr>
  </w:style>
  <w:style w:type="paragraph" w:customStyle="1" w:styleId="1867">
    <w:name w:val="像个负号"/>
    <w:basedOn w:val="28"/>
    <w:qFormat/>
    <w:uiPriority w:val="0"/>
    <w:pPr>
      <w:tabs>
        <w:tab w:val="left" w:pos="420"/>
        <w:tab w:val="clear" w:pos="360"/>
      </w:tabs>
      <w:spacing w:before="125" w:after="125" w:line="360" w:lineRule="auto"/>
      <w:ind w:left="420" w:hanging="420" w:firstLineChars="0"/>
    </w:pPr>
    <w:rPr>
      <w:rFonts w:cs="宋体"/>
      <w:w w:val="101"/>
      <w:sz w:val="24"/>
      <w:szCs w:val="24"/>
    </w:rPr>
  </w:style>
  <w:style w:type="paragraph" w:customStyle="1" w:styleId="1868">
    <w:name w:val="T正文"/>
    <w:qFormat/>
    <w:uiPriority w:val="0"/>
    <w:pPr>
      <w:widowControl w:val="0"/>
      <w:adjustRightInd w:val="0"/>
      <w:snapToGrid w:val="0"/>
      <w:spacing w:line="360" w:lineRule="auto"/>
      <w:ind w:firstLine="200" w:firstLineChars="200"/>
      <w:jc w:val="both"/>
    </w:pPr>
    <w:rPr>
      <w:rFonts w:ascii="Calibri" w:hAnsi="Calibri" w:eastAsia="仿宋_GB2312" w:cs="Times New Roman"/>
      <w:sz w:val="28"/>
      <w:lang w:val="en-US" w:eastAsia="zh-CN" w:bidi="ar-SA"/>
    </w:rPr>
  </w:style>
  <w:style w:type="paragraph" w:customStyle="1" w:styleId="1869">
    <w:name w:val="规划院标题1"/>
    <w:basedOn w:val="1"/>
    <w:qFormat/>
    <w:uiPriority w:val="0"/>
    <w:pPr>
      <w:ind w:firstLine="0"/>
    </w:pPr>
  </w:style>
  <w:style w:type="paragraph" w:customStyle="1" w:styleId="1870">
    <w:name w:val="临钟怡言"/>
    <w:basedOn w:val="1"/>
    <w:qFormat/>
    <w:uiPriority w:val="0"/>
    <w:pPr>
      <w:spacing w:before="100" w:after="100"/>
      <w:ind w:firstLine="562"/>
    </w:pPr>
    <w:rPr>
      <w:rFonts w:cs="宋体"/>
      <w:b/>
      <w:bCs/>
      <w:szCs w:val="20"/>
    </w:rPr>
  </w:style>
  <w:style w:type="paragraph" w:customStyle="1" w:styleId="1871">
    <w:name w:val="样式1 表标"/>
    <w:basedOn w:val="1"/>
    <w:qFormat/>
    <w:uiPriority w:val="0"/>
    <w:pPr>
      <w:spacing w:line="300" w:lineRule="auto"/>
      <w:jc w:val="center"/>
    </w:pPr>
    <w:rPr>
      <w:rFonts w:ascii="宋体" w:hAnsi="宋体" w:eastAsia="黑体"/>
    </w:rPr>
  </w:style>
  <w:style w:type="paragraph" w:customStyle="1" w:styleId="1872">
    <w:name w:val="CC Char Char Char Char Char Char"/>
    <w:basedOn w:val="55"/>
    <w:next w:val="55"/>
    <w:qFormat/>
    <w:uiPriority w:val="0"/>
    <w:pPr>
      <w:ind w:left="630" w:leftChars="100" w:right="100" w:rightChars="100"/>
    </w:pPr>
    <w:rPr>
      <w:szCs w:val="28"/>
    </w:rPr>
  </w:style>
  <w:style w:type="paragraph" w:customStyle="1" w:styleId="1873">
    <w:name w:val="列表 1"/>
    <w:basedOn w:val="1"/>
    <w:qFormat/>
    <w:uiPriority w:val="0"/>
    <w:pPr>
      <w:tabs>
        <w:tab w:val="left" w:pos="432"/>
      </w:tabs>
      <w:spacing w:before="120" w:after="60" w:line="288" w:lineRule="auto"/>
      <w:ind w:left="432" w:hanging="432"/>
    </w:pPr>
    <w:rPr>
      <w:rFonts w:ascii="Arial" w:hAnsi="Arial"/>
      <w:color w:val="FFCC99"/>
      <w:sz w:val="24"/>
      <w:szCs w:val="20"/>
    </w:rPr>
  </w:style>
  <w:style w:type="paragraph" w:customStyle="1" w:styleId="1874">
    <w:name w:val="样式 题注 + 五号 加粗 居中"/>
    <w:basedOn w:val="1"/>
    <w:qFormat/>
    <w:uiPriority w:val="0"/>
    <w:pPr>
      <w:spacing w:beforeLines="20" w:afterLines="20" w:line="360" w:lineRule="auto"/>
      <w:jc w:val="center"/>
    </w:pPr>
    <w:rPr>
      <w:rFonts w:ascii="Arial" w:hAnsi="Arial" w:eastAsia="黑体"/>
      <w:b/>
      <w:bCs/>
      <w:sz w:val="24"/>
      <w:szCs w:val="21"/>
    </w:rPr>
  </w:style>
  <w:style w:type="paragraph" w:customStyle="1" w:styleId="1875">
    <w:name w:val="环评节标题后小于节的标题"/>
    <w:basedOn w:val="1876"/>
    <w:qFormat/>
    <w:uiPriority w:val="0"/>
    <w:pPr/>
  </w:style>
  <w:style w:type="paragraph" w:customStyle="1" w:styleId="1876">
    <w:name w:val="环评小于节的标题"/>
    <w:basedOn w:val="1841"/>
    <w:qFormat/>
    <w:uiPriority w:val="0"/>
    <w:pPr>
      <w:tabs>
        <w:tab w:val="clear" w:pos="567"/>
      </w:tabs>
      <w:spacing w:before="200" w:after="200"/>
    </w:pPr>
    <w:rPr>
      <w:rFonts w:eastAsia="黑体"/>
      <w:b/>
      <w:sz w:val="28"/>
    </w:rPr>
  </w:style>
  <w:style w:type="paragraph" w:customStyle="1" w:styleId="1877">
    <w:name w:val="封面项目名称"/>
    <w:basedOn w:val="1"/>
    <w:qFormat/>
    <w:uiPriority w:val="0"/>
    <w:pPr>
      <w:spacing w:line="300" w:lineRule="auto"/>
      <w:jc w:val="center"/>
    </w:pPr>
    <w:rPr>
      <w:rFonts w:eastAsia="黑体"/>
      <w:sz w:val="32"/>
    </w:rPr>
  </w:style>
  <w:style w:type="paragraph" w:customStyle="1" w:styleId="1878">
    <w:name w:val="样式 正文缩进正文缩进 Char正文（首行缩进两字） Char Char Char Char Char Char Char..."/>
    <w:basedOn w:val="25"/>
    <w:qFormat/>
    <w:uiPriority w:val="0"/>
    <w:pPr>
      <w:spacing w:line="500" w:lineRule="exact"/>
      <w:ind w:firstLine="480"/>
    </w:pPr>
    <w:rPr>
      <w:rFonts w:ascii="Arial Narrow" w:hAnsi="Arial Narrow" w:cs="宋体"/>
      <w:sz w:val="24"/>
      <w:szCs w:val="24"/>
    </w:rPr>
  </w:style>
  <w:style w:type="paragraph" w:customStyle="1" w:styleId="1879">
    <w:name w:val="列表 4G"/>
    <w:basedOn w:val="81"/>
    <w:qFormat/>
    <w:uiPriority w:val="0"/>
    <w:pPr>
      <w:tabs>
        <w:tab w:val="left" w:pos="645"/>
      </w:tabs>
      <w:spacing w:beforeLines="50" w:afterLines="30" w:line="288" w:lineRule="auto"/>
      <w:ind w:left="645" w:leftChars="0" w:hanging="645" w:firstLineChars="0"/>
    </w:pPr>
    <w:rPr>
      <w:rFonts w:ascii="Arial" w:hAnsi="Arial"/>
      <w:color w:val="CCFFFF"/>
      <w:sz w:val="24"/>
      <w:szCs w:val="20"/>
    </w:rPr>
  </w:style>
  <w:style w:type="paragraph" w:customStyle="1" w:styleId="1880">
    <w:name w:val="偶数页脚注"/>
    <w:basedOn w:val="59"/>
    <w:semiHidden/>
    <w:qFormat/>
    <w:uiPriority w:val="0"/>
    <w:pPr>
      <w:keepLines/>
      <w:tabs>
        <w:tab w:val="right" w:pos="0"/>
        <w:tab w:val="center" w:pos="7200"/>
        <w:tab w:val="right" w:pos="14400"/>
        <w:tab w:val="clear" w:pos="4153"/>
        <w:tab w:val="clear" w:pos="8306"/>
      </w:tabs>
      <w:overflowPunct w:val="0"/>
      <w:autoSpaceDE w:val="0"/>
      <w:autoSpaceDN w:val="0"/>
      <w:snapToGrid/>
      <w:textAlignment w:val="baseline"/>
    </w:pPr>
    <w:rPr>
      <w:spacing w:val="80"/>
      <w:sz w:val="20"/>
      <w:szCs w:val="20"/>
    </w:rPr>
  </w:style>
  <w:style w:type="paragraph" w:customStyle="1" w:styleId="1881">
    <w:name w:val="首页脚注"/>
    <w:basedOn w:val="59"/>
    <w:qFormat/>
    <w:uiPriority w:val="0"/>
    <w:pPr>
      <w:keepLines/>
      <w:tabs>
        <w:tab w:val="center" w:pos="4320"/>
        <w:tab w:val="clear" w:pos="4153"/>
        <w:tab w:val="clear" w:pos="8306"/>
      </w:tabs>
      <w:overflowPunct w:val="0"/>
      <w:autoSpaceDE w:val="0"/>
      <w:autoSpaceDN w:val="0"/>
      <w:snapToGrid/>
      <w:jc w:val="center"/>
      <w:textAlignment w:val="baseline"/>
    </w:pPr>
    <w:rPr>
      <w:kern w:val="0"/>
      <w:sz w:val="20"/>
      <w:szCs w:val="20"/>
    </w:rPr>
  </w:style>
  <w:style w:type="paragraph" w:customStyle="1" w:styleId="1882">
    <w:name w:val="xl93"/>
    <w:basedOn w:val="1"/>
    <w:qFormat/>
    <w:uiPriority w:val="0"/>
    <w:pPr>
      <w:pBdr>
        <w:top w:val="single" w:color="auto" w:sz="4" w:space="0"/>
        <w:bottom w:val="single" w:color="auto" w:sz="8" w:space="0"/>
        <w:right w:val="single" w:color="auto" w:sz="8"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883">
    <w:name w:val="e2_ParaNum"/>
    <w:basedOn w:val="1"/>
    <w:qFormat/>
    <w:uiPriority w:val="0"/>
    <w:pPr>
      <w:keepLines/>
      <w:tabs>
        <w:tab w:val="left" w:pos="360"/>
        <w:tab w:val="left" w:pos="1984"/>
      </w:tabs>
      <w:suppressAutoHyphens/>
      <w:spacing w:before="240"/>
      <w:ind w:left="1984" w:hanging="567"/>
    </w:pPr>
    <w:rPr>
      <w:rFonts w:ascii="Arial" w:hAnsi="Arial" w:cs="Arial"/>
      <w:kern w:val="0"/>
      <w:sz w:val="24"/>
      <w:szCs w:val="20"/>
      <w:lang w:val="de-DE" w:eastAsia="de-DE"/>
    </w:rPr>
  </w:style>
  <w:style w:type="paragraph" w:customStyle="1" w:styleId="1884">
    <w:name w:val="正文样式100"/>
    <w:basedOn w:val="1"/>
    <w:qFormat/>
    <w:uiPriority w:val="0"/>
    <w:pPr>
      <w:spacing w:line="360" w:lineRule="auto"/>
      <w:ind w:firstLine="480"/>
    </w:pPr>
    <w:rPr>
      <w:rFonts w:ascii="宋体" w:hAnsi="宋体" w:cs="Courier New"/>
      <w:color w:val="000000"/>
      <w:sz w:val="24"/>
    </w:rPr>
  </w:style>
  <w:style w:type="paragraph" w:customStyle="1" w:styleId="1885">
    <w:name w:val="正文首行缩进2字符"/>
    <w:basedOn w:val="1"/>
    <w:qFormat/>
    <w:uiPriority w:val="0"/>
    <w:pPr>
      <w:spacing w:line="360" w:lineRule="auto"/>
      <w:ind w:firstLine="480"/>
    </w:pPr>
    <w:rPr>
      <w:rFonts w:ascii="宋体"/>
      <w:sz w:val="24"/>
    </w:rPr>
  </w:style>
  <w:style w:type="paragraph" w:customStyle="1" w:styleId="1886">
    <w:name w:val="样式 标题 3 + (中文) 黑体非加粗居中段前: 36 磅段后: 36 磅行距: 单倍行距 + 段前: 36 磅 +..."/>
    <w:basedOn w:val="1"/>
    <w:qFormat/>
    <w:uiPriority w:val="0"/>
    <w:pPr>
      <w:keepNext/>
      <w:keepLines/>
      <w:spacing w:before="300" w:afterLines="300"/>
      <w:jc w:val="center"/>
      <w:outlineLvl w:val="2"/>
    </w:pPr>
    <w:rPr>
      <w:rFonts w:eastAsia="黑体"/>
      <w:sz w:val="44"/>
      <w:szCs w:val="32"/>
    </w:rPr>
  </w:style>
  <w:style w:type="paragraph" w:customStyle="1" w:styleId="1887">
    <w:name w:val="样式 标题 5 + 字距调整五号"/>
    <w:basedOn w:val="11"/>
    <w:qFormat/>
    <w:uiPriority w:val="0"/>
    <w:pPr>
      <w:keepNext w:val="0"/>
      <w:keepLines w:val="0"/>
      <w:tabs>
        <w:tab w:val="left" w:pos="1008"/>
        <w:tab w:val="clear" w:pos="992"/>
      </w:tabs>
      <w:spacing w:before="0" w:after="0" w:line="300" w:lineRule="auto"/>
      <w:ind w:left="0" w:firstLine="560"/>
    </w:pPr>
    <w:rPr>
      <w:b w:val="0"/>
      <w:snapToGrid w:val="0"/>
      <w:kern w:val="21"/>
    </w:rPr>
  </w:style>
  <w:style w:type="paragraph" w:customStyle="1" w:styleId="1888">
    <w:name w:val="xl90"/>
    <w:basedOn w:val="1"/>
    <w:qFormat/>
    <w:uiPriority w:val="0"/>
    <w:pPr>
      <w:pBdr>
        <w:top w:val="single" w:color="auto" w:sz="4" w:space="0"/>
        <w:left w:val="single" w:color="auto" w:sz="8" w:space="0"/>
        <w:bottom w:val="single" w:color="auto" w:sz="8" w:space="0"/>
      </w:pBdr>
      <w:spacing w:before="100" w:beforeAutospacing="1" w:after="100" w:afterAutospacing="1"/>
      <w:jc w:val="left"/>
    </w:pPr>
    <w:rPr>
      <w:rFonts w:eastAsia="Arial Unicode MS"/>
      <w:kern w:val="0"/>
      <w:sz w:val="16"/>
      <w:szCs w:val="16"/>
    </w:rPr>
  </w:style>
  <w:style w:type="paragraph" w:customStyle="1" w:styleId="1889">
    <w:name w:val="reader-word-layer reader-word-s1-13"/>
    <w:basedOn w:val="1"/>
    <w:qFormat/>
    <w:uiPriority w:val="0"/>
    <w:pPr>
      <w:spacing w:before="100" w:beforeAutospacing="1" w:after="100" w:afterAutospacing="1"/>
      <w:jc w:val="left"/>
    </w:pPr>
    <w:rPr>
      <w:rFonts w:ascii="宋体" w:hAnsi="宋体" w:cs="宋体"/>
      <w:kern w:val="0"/>
      <w:sz w:val="24"/>
    </w:rPr>
  </w:style>
  <w:style w:type="paragraph" w:customStyle="1" w:styleId="1890">
    <w:name w:val="xl12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18"/>
      <w:szCs w:val="18"/>
    </w:rPr>
  </w:style>
  <w:style w:type="paragraph" w:customStyle="1" w:styleId="1891">
    <w:name w:val="Char Char Char Char"/>
    <w:basedOn w:val="1"/>
    <w:qFormat/>
    <w:uiPriority w:val="0"/>
  </w:style>
  <w:style w:type="paragraph" w:customStyle="1" w:styleId="1892">
    <w:name w:val="xl301"/>
    <w:basedOn w:val="1"/>
    <w:qFormat/>
    <w:uiPriority w:val="0"/>
    <w:pPr>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893">
    <w:name w:val="报告表格"/>
    <w:basedOn w:val="1"/>
    <w:qFormat/>
    <w:uiPriority w:val="0"/>
    <w:pPr>
      <w:autoSpaceDE w:val="0"/>
      <w:autoSpaceDN w:val="0"/>
      <w:spacing w:before="40" w:after="40"/>
      <w:jc w:val="center"/>
      <w:textAlignment w:val="bottom"/>
    </w:pPr>
    <w:rPr>
      <w:kern w:val="0"/>
      <w:szCs w:val="20"/>
    </w:rPr>
  </w:style>
  <w:style w:type="paragraph" w:customStyle="1" w:styleId="1894">
    <w:name w:val="表头样式"/>
    <w:basedOn w:val="1"/>
    <w:semiHidden/>
    <w:qFormat/>
    <w:uiPriority w:val="0"/>
    <w:pPr>
      <w:keepNext/>
      <w:spacing w:beforeLines="50" w:afterLines="50"/>
      <w:ind w:firstLine="280" w:firstLineChars="100"/>
    </w:pPr>
    <w:rPr>
      <w:rFonts w:ascii="宋体" w:hAnsi="宋体" w:cs="宋体"/>
      <w:bCs/>
      <w:szCs w:val="28"/>
    </w:rPr>
  </w:style>
  <w:style w:type="paragraph" w:customStyle="1" w:styleId="1895">
    <w:name w:val="首缩"/>
    <w:basedOn w:val="1"/>
    <w:qFormat/>
    <w:uiPriority w:val="0"/>
    <w:pPr>
      <w:spacing w:line="312" w:lineRule="atLeast"/>
      <w:ind w:firstLine="454"/>
    </w:pPr>
    <w:rPr>
      <w:sz w:val="18"/>
    </w:rPr>
  </w:style>
  <w:style w:type="paragraph" w:customStyle="1" w:styleId="1896">
    <w:name w:val="xl14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000000"/>
      <w:kern w:val="0"/>
      <w:sz w:val="18"/>
      <w:szCs w:val="18"/>
    </w:rPr>
  </w:style>
  <w:style w:type="paragraph" w:customStyle="1" w:styleId="1897">
    <w:name w:val="样式 标题 1章标题 1文章标题h11st levelSection Headl1章b1H1章节标题1标题..."/>
    <w:basedOn w:val="5"/>
    <w:qFormat/>
    <w:uiPriority w:val="0"/>
    <w:pPr>
      <w:keepNext w:val="0"/>
      <w:keepLines w:val="0"/>
      <w:tabs>
        <w:tab w:val="clear" w:pos="425"/>
      </w:tabs>
      <w:spacing w:before="0" w:after="0" w:line="360" w:lineRule="auto"/>
      <w:ind w:left="0" w:firstLine="0"/>
      <w:jc w:val="left"/>
    </w:pPr>
    <w:rPr>
      <w:rFonts w:eastAsia="黑体"/>
      <w:b w:val="0"/>
      <w:bCs w:val="0"/>
      <w:color w:val="0000FF"/>
      <w:sz w:val="32"/>
      <w:szCs w:val="32"/>
    </w:rPr>
  </w:style>
  <w:style w:type="paragraph" w:customStyle="1" w:styleId="1898">
    <w:name w:val="列表 2B"/>
    <w:basedOn w:val="41"/>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1899">
    <w:name w:val="报告表格标题"/>
    <w:basedOn w:val="1"/>
    <w:qFormat/>
    <w:uiPriority w:val="0"/>
    <w:pPr>
      <w:keepNext/>
      <w:keepLines/>
      <w:spacing w:before="120" w:line="360" w:lineRule="auto"/>
      <w:jc w:val="center"/>
      <w:outlineLvl w:val="2"/>
    </w:pPr>
    <w:rPr>
      <w:rFonts w:eastAsia="黑体"/>
      <w:sz w:val="24"/>
    </w:rPr>
  </w:style>
  <w:style w:type="paragraph" w:customStyle="1" w:styleId="1900">
    <w:name w:val="列表 4N"/>
    <w:basedOn w:val="81"/>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1901">
    <w:name w:val="无间隔1"/>
    <w:qFormat/>
    <w:uiPriority w:val="0"/>
    <w:pPr>
      <w:widowControl w:val="0"/>
      <w:spacing w:line="320" w:lineRule="exact"/>
      <w:jc w:val="both"/>
    </w:pPr>
    <w:rPr>
      <w:rFonts w:ascii="Calibri" w:hAnsi="Calibri" w:eastAsia="宋体" w:cs="Times New Roman"/>
      <w:kern w:val="2"/>
      <w:sz w:val="21"/>
      <w:szCs w:val="24"/>
      <w:lang w:val="en-US" w:eastAsia="zh-CN" w:bidi="ar-SA"/>
    </w:rPr>
  </w:style>
  <w:style w:type="paragraph" w:customStyle="1" w:styleId="1902">
    <w:name w:val="居中"/>
    <w:qFormat/>
    <w:uiPriority w:val="0"/>
    <w:pPr>
      <w:spacing w:line="320" w:lineRule="exact"/>
      <w:jc w:val="center"/>
    </w:pPr>
    <w:rPr>
      <w:rFonts w:ascii="Calibri" w:hAnsi="Calibri" w:eastAsia="宋体" w:cs="Times New Roman"/>
      <w:kern w:val="2"/>
      <w:sz w:val="24"/>
      <w:szCs w:val="24"/>
      <w:lang w:val="en-US" w:eastAsia="zh-CN" w:bidi="ar-SA"/>
    </w:rPr>
  </w:style>
  <w:style w:type="paragraph" w:customStyle="1" w:styleId="1903">
    <w:name w:val="规划院正文"/>
    <w:basedOn w:val="1"/>
    <w:qFormat/>
    <w:uiPriority w:val="0"/>
    <w:pPr>
      <w:spacing w:line="300" w:lineRule="auto"/>
    </w:pPr>
    <w:rPr>
      <w:rFonts w:ascii="宋体" w:hAnsi="宋体"/>
      <w:color w:val="000000"/>
      <w:sz w:val="24"/>
    </w:rPr>
  </w:style>
  <w:style w:type="paragraph" w:customStyle="1" w:styleId="1904">
    <w:name w:val="简单回函地址"/>
    <w:basedOn w:val="1"/>
    <w:qFormat/>
    <w:uiPriority w:val="0"/>
  </w:style>
  <w:style w:type="paragraph" w:customStyle="1" w:styleId="1905">
    <w:name w:val="前言"/>
    <w:basedOn w:val="1"/>
    <w:next w:val="39"/>
    <w:qFormat/>
    <w:uiPriority w:val="0"/>
    <w:pPr>
      <w:spacing w:line="360" w:lineRule="auto"/>
      <w:jc w:val="center"/>
      <w:outlineLvl w:val="0"/>
    </w:pPr>
    <w:rPr>
      <w:rFonts w:ascii="黑体" w:eastAsia="黑体" w:cs="宋体"/>
      <w:b/>
      <w:bCs/>
      <w:sz w:val="24"/>
      <w:szCs w:val="20"/>
    </w:rPr>
  </w:style>
  <w:style w:type="paragraph" w:customStyle="1" w:styleId="1906">
    <w:name w:val="样式 纯文本 + 首行缩进:  2 字符 Char Char Char Char Char Char Char Char Char Char Char Char Char Char Char Char Char Char Char Char Char Char Char"/>
    <w:basedOn w:val="49"/>
    <w:qFormat/>
    <w:uiPriority w:val="0"/>
    <w:pPr>
      <w:spacing w:line="360" w:lineRule="auto"/>
    </w:pPr>
    <w:rPr>
      <w:kern w:val="2"/>
      <w:szCs w:val="22"/>
    </w:rPr>
  </w:style>
  <w:style w:type="paragraph" w:customStyle="1" w:styleId="1907">
    <w:name w:val="列表 5P"/>
    <w:basedOn w:val="73"/>
    <w:qFormat/>
    <w:uiPriority w:val="0"/>
    <w:pPr>
      <w:tabs>
        <w:tab w:val="left" w:pos="1134"/>
      </w:tabs>
      <w:ind w:left="1134" w:leftChars="0" w:hanging="425" w:firstLineChars="0"/>
    </w:pPr>
    <w:rPr>
      <w:rFonts w:ascii="Arial" w:hAnsi="Arial"/>
      <w:color w:val="99CCFF"/>
      <w:sz w:val="24"/>
      <w:szCs w:val="20"/>
    </w:rPr>
  </w:style>
  <w:style w:type="paragraph" w:customStyle="1" w:styleId="1908">
    <w:name w:val="正文文字缩进1"/>
    <w:basedOn w:val="39"/>
    <w:qFormat/>
    <w:uiPriority w:val="0"/>
    <w:pPr>
      <w:spacing w:after="0" w:line="360" w:lineRule="auto"/>
      <w:ind w:left="0" w:leftChars="0" w:firstLine="551"/>
    </w:pPr>
    <w:rPr>
      <w:rFonts w:ascii="黑体" w:eastAsia="黑体"/>
      <w:b/>
      <w:szCs w:val="20"/>
    </w:rPr>
  </w:style>
  <w:style w:type="paragraph" w:customStyle="1" w:styleId="1909">
    <w:name w:val="连续正文文字"/>
    <w:basedOn w:val="38"/>
    <w:qFormat/>
    <w:uiPriority w:val="0"/>
    <w:pPr>
      <w:keepNext/>
      <w:spacing w:after="220" w:line="280" w:lineRule="exact"/>
      <w:jc w:val="center"/>
    </w:pPr>
    <w:rPr>
      <w:kern w:val="0"/>
      <w:sz w:val="30"/>
      <w:szCs w:val="20"/>
    </w:rPr>
  </w:style>
  <w:style w:type="paragraph" w:customStyle="1" w:styleId="1910">
    <w:name w:val="xl101"/>
    <w:basedOn w:val="1"/>
    <w:qFormat/>
    <w:uiPriority w:val="0"/>
    <w:pPr>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kern w:val="0"/>
      <w:sz w:val="16"/>
      <w:szCs w:val="16"/>
    </w:rPr>
  </w:style>
  <w:style w:type="paragraph" w:customStyle="1" w:styleId="1911">
    <w:name w:val="列出段落2"/>
    <w:basedOn w:val="1"/>
    <w:qFormat/>
    <w:uiPriority w:val="0"/>
    <w:pPr>
      <w:ind w:firstLine="420"/>
    </w:pPr>
    <w:rPr>
      <w:rFonts w:ascii="Calibri" w:hAnsi="Calibri"/>
    </w:rPr>
  </w:style>
  <w:style w:type="paragraph" w:customStyle="1" w:styleId="1912">
    <w:name w:val="Char Char2 Char Char Char Char"/>
    <w:basedOn w:val="1"/>
    <w:qFormat/>
    <w:uiPriority w:val="0"/>
  </w:style>
  <w:style w:type="paragraph" w:customStyle="1" w:styleId="1913">
    <w:name w:val="目次、标准名称标题"/>
    <w:basedOn w:val="1914"/>
    <w:next w:val="1739"/>
    <w:qFormat/>
    <w:uiPriority w:val="0"/>
    <w:pPr>
      <w:spacing w:line="460" w:lineRule="exact"/>
    </w:pPr>
  </w:style>
  <w:style w:type="paragraph" w:customStyle="1" w:styleId="1914">
    <w:name w:val="前言、引言标题"/>
    <w:next w:val="1"/>
    <w:qFormat/>
    <w:uiPriority w:val="0"/>
    <w:pPr>
      <w:shd w:val="clear" w:color="FFFFFF" w:fill="FFFFFF"/>
      <w:spacing w:before="640" w:after="560" w:line="320" w:lineRule="exact"/>
      <w:jc w:val="center"/>
      <w:outlineLvl w:val="0"/>
    </w:pPr>
    <w:rPr>
      <w:rFonts w:ascii="黑体" w:hAnsi="Calibri" w:eastAsia="黑体" w:cs="Times New Roman"/>
      <w:sz w:val="32"/>
      <w:lang w:val="en-US" w:eastAsia="zh-CN" w:bidi="ar-SA"/>
    </w:rPr>
  </w:style>
  <w:style w:type="paragraph" w:customStyle="1" w:styleId="1915">
    <w:name w:val="xl29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916">
    <w:name w:val="biaoge 表1"/>
    <w:basedOn w:val="1"/>
    <w:qFormat/>
    <w:uiPriority w:val="0"/>
    <w:pPr>
      <w:jc w:val="center"/>
    </w:pPr>
    <w:rPr>
      <w:szCs w:val="20"/>
    </w:rPr>
  </w:style>
  <w:style w:type="paragraph" w:customStyle="1" w:styleId="1917">
    <w:name w:val="列表 5K"/>
    <w:basedOn w:val="73"/>
    <w:qFormat/>
    <w:uiPriority w:val="0"/>
    <w:pPr>
      <w:tabs>
        <w:tab w:val="left" w:pos="1134"/>
      </w:tabs>
      <w:ind w:left="1134" w:leftChars="0" w:hanging="425" w:firstLineChars="0"/>
    </w:pPr>
    <w:rPr>
      <w:rFonts w:ascii="Arial" w:hAnsi="Arial"/>
      <w:color w:val="99CCFF"/>
      <w:sz w:val="24"/>
      <w:szCs w:val="20"/>
    </w:rPr>
  </w:style>
  <w:style w:type="paragraph" w:customStyle="1" w:styleId="1918">
    <w:name w:val="注释"/>
    <w:basedOn w:val="1"/>
    <w:qFormat/>
    <w:uiPriority w:val="0"/>
    <w:pPr>
      <w:spacing w:line="360" w:lineRule="exact"/>
    </w:pPr>
    <w:rPr>
      <w:snapToGrid w:val="0"/>
      <w:color w:val="000000"/>
      <w:kern w:val="0"/>
    </w:rPr>
  </w:style>
  <w:style w:type="paragraph" w:customStyle="1" w:styleId="1919">
    <w:name w:val="奇数页脚注"/>
    <w:basedOn w:val="59"/>
    <w:semiHidden/>
    <w:qFormat/>
    <w:uiPriority w:val="0"/>
    <w:pPr>
      <w:keepLines/>
      <w:tabs>
        <w:tab w:val="center" w:pos="7200"/>
        <w:tab w:val="right" w:pos="14400"/>
        <w:tab w:val="clear" w:pos="4153"/>
        <w:tab w:val="clear" w:pos="8306"/>
      </w:tabs>
      <w:overflowPunct w:val="0"/>
      <w:autoSpaceDE w:val="0"/>
      <w:autoSpaceDN w:val="0"/>
      <w:snapToGrid/>
      <w:jc w:val="center"/>
      <w:textAlignment w:val="baseline"/>
    </w:pPr>
    <w:rPr>
      <w:spacing w:val="80"/>
      <w:sz w:val="20"/>
      <w:szCs w:val="20"/>
    </w:rPr>
  </w:style>
  <w:style w:type="paragraph" w:customStyle="1" w:styleId="1920">
    <w:name w:val="reader-word-layer reader-word-s3-21"/>
    <w:basedOn w:val="1"/>
    <w:qFormat/>
    <w:uiPriority w:val="0"/>
    <w:pPr>
      <w:spacing w:before="100" w:beforeAutospacing="1" w:after="100" w:afterAutospacing="1"/>
      <w:jc w:val="left"/>
    </w:pPr>
    <w:rPr>
      <w:rFonts w:ascii="宋体" w:hAnsi="宋体" w:cs="宋体"/>
      <w:kern w:val="0"/>
      <w:sz w:val="24"/>
    </w:rPr>
  </w:style>
  <w:style w:type="paragraph" w:customStyle="1" w:styleId="1921">
    <w:name w:val="工艺正文"/>
    <w:basedOn w:val="1"/>
    <w:qFormat/>
    <w:uiPriority w:val="0"/>
    <w:pPr>
      <w:spacing w:line="360" w:lineRule="auto"/>
      <w:ind w:firstLine="580"/>
    </w:pPr>
    <w:rPr>
      <w:rFonts w:ascii="宋体"/>
      <w:szCs w:val="20"/>
    </w:rPr>
  </w:style>
  <w:style w:type="paragraph" w:customStyle="1" w:styleId="1922">
    <w:name w:val="框图文字"/>
    <w:basedOn w:val="1"/>
    <w:qFormat/>
    <w:uiPriority w:val="0"/>
    <w:pPr>
      <w:jc w:val="center"/>
    </w:pPr>
    <w:rPr>
      <w:sz w:val="24"/>
      <w:szCs w:val="20"/>
    </w:rPr>
  </w:style>
  <w:style w:type="paragraph" w:customStyle="1" w:styleId="1923">
    <w:name w:val="xl107"/>
    <w:basedOn w:val="1"/>
    <w:qFormat/>
    <w:uiPriority w:val="0"/>
    <w:pPr>
      <w:pBdr>
        <w:top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924">
    <w:name w:val="样式 正文首行缩进 + 首行缩进:  2 字符3"/>
    <w:basedOn w:val="89"/>
    <w:qFormat/>
    <w:uiPriority w:val="0"/>
    <w:pPr>
      <w:spacing w:line="300" w:lineRule="auto"/>
      <w:ind w:firstLine="560" w:firstLineChars="200"/>
    </w:pPr>
    <w:rPr>
      <w:rFonts w:cs="宋体"/>
      <w:szCs w:val="20"/>
    </w:rPr>
  </w:style>
  <w:style w:type="paragraph" w:customStyle="1" w:styleId="1925">
    <w:name w:val="3级题"/>
    <w:basedOn w:val="1783"/>
    <w:qFormat/>
    <w:uiPriority w:val="0"/>
    <w:pPr>
      <w:jc w:val="both"/>
    </w:pPr>
  </w:style>
  <w:style w:type="paragraph" w:customStyle="1" w:styleId="1926">
    <w:name w:val="列表 2G"/>
    <w:basedOn w:val="41"/>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1927">
    <w:name w:val="标准条文"/>
    <w:basedOn w:val="2"/>
    <w:next w:val="2"/>
    <w:qFormat/>
    <w:uiPriority w:val="0"/>
    <w:rPr>
      <w:rFonts w:ascii="宋体" w:eastAsia="宋体" w:cs="Times New Roman"/>
      <w:color w:val="auto"/>
    </w:rPr>
  </w:style>
  <w:style w:type="paragraph" w:customStyle="1" w:styleId="1928">
    <w:name w:val="台塑正文小四1.3"/>
    <w:basedOn w:val="1653"/>
    <w:qFormat/>
    <w:uiPriority w:val="0"/>
    <w:pPr>
      <w:ind w:firstLine="520"/>
    </w:pPr>
    <w:rPr>
      <w:color w:val="000000"/>
    </w:rPr>
  </w:style>
  <w:style w:type="paragraph" w:customStyle="1" w:styleId="1929">
    <w:name w:val="ÕýÎÄ"/>
    <w:qFormat/>
    <w:uiPriority w:val="0"/>
    <w:pPr>
      <w:widowControl w:val="0"/>
      <w:overflowPunct w:val="0"/>
      <w:autoSpaceDE w:val="0"/>
      <w:autoSpaceDN w:val="0"/>
      <w:adjustRightInd w:val="0"/>
      <w:spacing w:line="320" w:lineRule="exact"/>
      <w:jc w:val="both"/>
      <w:textAlignment w:val="baseline"/>
    </w:pPr>
    <w:rPr>
      <w:rFonts w:ascii="Calibri" w:hAnsi="Calibri" w:eastAsia="宋体" w:cs="Times New Roman"/>
      <w:kern w:val="2"/>
      <w:sz w:val="21"/>
      <w:lang w:val="en-US" w:eastAsia="zh-CN" w:bidi="ar-SA"/>
    </w:rPr>
  </w:style>
  <w:style w:type="paragraph" w:customStyle="1" w:styleId="1930">
    <w:name w:val="列表 4P"/>
    <w:basedOn w:val="81"/>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1931">
    <w:name w:val="页面标题2"/>
    <w:basedOn w:val="1932"/>
    <w:qFormat/>
    <w:uiPriority w:val="0"/>
    <w:rPr>
      <w:sz w:val="44"/>
    </w:rPr>
  </w:style>
  <w:style w:type="paragraph" w:customStyle="1" w:styleId="1932">
    <w:name w:val="页面标题1"/>
    <w:basedOn w:val="1"/>
    <w:qFormat/>
    <w:uiPriority w:val="0"/>
    <w:pPr>
      <w:spacing w:line="360" w:lineRule="auto"/>
      <w:textAlignment w:val="baseline"/>
    </w:pPr>
    <w:rPr>
      <w:rFonts w:eastAsia="Bookman Old Style"/>
      <w:color w:val="000000"/>
      <w:kern w:val="0"/>
      <w:sz w:val="24"/>
      <w:szCs w:val="20"/>
    </w:rPr>
  </w:style>
  <w:style w:type="paragraph" w:customStyle="1" w:styleId="1933">
    <w:name w:val="样式 宋体 小四 黑色 首行缩进:  1.02 厘米 行距: 1.5 倍行距"/>
    <w:basedOn w:val="1"/>
    <w:qFormat/>
    <w:uiPriority w:val="0"/>
    <w:pPr>
      <w:spacing w:line="360" w:lineRule="auto"/>
      <w:ind w:firstLine="576"/>
    </w:pPr>
    <w:rPr>
      <w:rFonts w:ascii="宋体" w:hAnsi="宋体"/>
      <w:color w:val="000000"/>
      <w:sz w:val="24"/>
      <w:szCs w:val="20"/>
    </w:rPr>
  </w:style>
  <w:style w:type="paragraph" w:customStyle="1" w:styleId="1934">
    <w:name w:val="排序（1）（2）"/>
    <w:basedOn w:val="1"/>
    <w:qFormat/>
    <w:uiPriority w:val="0"/>
    <w:pPr>
      <w:spacing w:line="460" w:lineRule="atLeast"/>
    </w:pPr>
    <w:rPr>
      <w:spacing w:val="12"/>
      <w:sz w:val="24"/>
    </w:rPr>
  </w:style>
  <w:style w:type="paragraph" w:customStyle="1" w:styleId="1935">
    <w:name w:val="我的标题2"/>
    <w:basedOn w:val="1"/>
    <w:qFormat/>
    <w:uiPriority w:val="0"/>
    <w:pPr>
      <w:autoSpaceDE w:val="0"/>
      <w:autoSpaceDN w:val="0"/>
      <w:spacing w:line="360" w:lineRule="exact"/>
    </w:pPr>
    <w:rPr>
      <w:rFonts w:ascii="宋体" w:hAnsi="宋体"/>
      <w:bCs/>
      <w:kern w:val="0"/>
      <w:sz w:val="24"/>
      <w:szCs w:val="21"/>
    </w:rPr>
  </w:style>
  <w:style w:type="paragraph" w:customStyle="1" w:styleId="1936">
    <w:name w:val="样式 样式 正文首行缩进 + 首行缩进:  2 字符 + 首行缩进:  2 字符"/>
    <w:basedOn w:val="1"/>
    <w:qFormat/>
    <w:uiPriority w:val="0"/>
    <w:pPr>
      <w:topLinePunct/>
      <w:spacing w:line="360" w:lineRule="auto"/>
      <w:ind w:firstLine="480"/>
      <w:textAlignment w:val="baseline"/>
    </w:pPr>
    <w:rPr>
      <w:rFonts w:hAnsi="宋体" w:eastAsia="Times New Roman"/>
      <w:kern w:val="0"/>
      <w:sz w:val="24"/>
    </w:rPr>
  </w:style>
  <w:style w:type="paragraph" w:customStyle="1" w:styleId="1937">
    <w:name w:val="reader-word-layer reader-word-s3-31"/>
    <w:basedOn w:val="1"/>
    <w:qFormat/>
    <w:uiPriority w:val="0"/>
    <w:pPr>
      <w:spacing w:before="100" w:beforeAutospacing="1" w:after="100" w:afterAutospacing="1"/>
      <w:jc w:val="left"/>
    </w:pPr>
    <w:rPr>
      <w:rFonts w:ascii="宋体" w:hAnsi="宋体" w:cs="宋体"/>
      <w:kern w:val="0"/>
      <w:sz w:val="24"/>
    </w:rPr>
  </w:style>
  <w:style w:type="paragraph" w:customStyle="1" w:styleId="1938">
    <w:name w:val="样式 湛江钢铁表 +"/>
    <w:basedOn w:val="1"/>
    <w:next w:val="1"/>
    <w:qFormat/>
    <w:uiPriority w:val="0"/>
    <w:pPr>
      <w:spacing w:beforeLines="20" w:afterLines="20"/>
      <w:jc w:val="center"/>
      <w:textAlignment w:val="baseline"/>
    </w:pPr>
    <w:rPr>
      <w:snapToGrid w:val="0"/>
      <w:kern w:val="0"/>
      <w:szCs w:val="21"/>
    </w:rPr>
  </w:style>
  <w:style w:type="paragraph" w:customStyle="1" w:styleId="1939">
    <w:name w:val="图表目录2"/>
    <w:basedOn w:val="1854"/>
    <w:next w:val="1854"/>
    <w:qFormat/>
    <w:uiPriority w:val="0"/>
    <w:pPr>
      <w:tabs>
        <w:tab w:val="right" w:leader="dot" w:pos="8051"/>
      </w:tabs>
      <w:ind w:left="840" w:hanging="840"/>
    </w:pPr>
  </w:style>
  <w:style w:type="paragraph" w:customStyle="1" w:styleId="1940">
    <w:name w:val="表格（窄）"/>
    <w:basedOn w:val="1"/>
    <w:qFormat/>
    <w:uiPriority w:val="0"/>
    <w:pPr>
      <w:jc w:val="center"/>
    </w:pPr>
    <w:rPr>
      <w:kern w:val="0"/>
    </w:rPr>
  </w:style>
  <w:style w:type="paragraph" w:customStyle="1" w:styleId="1941">
    <w:name w:val="样式 样式 样式 正文文本缩进 + 左侧:  2 字符 首行缩进:  0.99 厘米 + 首行缩进:  2 字符 + 段后: 1..."/>
    <w:basedOn w:val="1"/>
    <w:qFormat/>
    <w:uiPriority w:val="0"/>
    <w:pPr>
      <w:spacing w:line="300" w:lineRule="auto"/>
      <w:ind w:firstLine="567"/>
      <w:textAlignment w:val="baseline"/>
    </w:pPr>
    <w:rPr>
      <w:rFonts w:ascii="宋体" w:cs="宋体"/>
      <w:snapToGrid w:val="0"/>
      <w:kern w:val="28"/>
      <w:szCs w:val="20"/>
    </w:rPr>
  </w:style>
  <w:style w:type="paragraph" w:customStyle="1" w:styleId="1942">
    <w:name w:val="叁了"/>
    <w:basedOn w:val="1"/>
    <w:qFormat/>
    <w:uiPriority w:val="0"/>
    <w:pPr>
      <w:keepNext/>
      <w:keepLines/>
      <w:spacing w:before="300" w:after="220" w:line="415" w:lineRule="auto"/>
      <w:ind w:left="720" w:hanging="720"/>
      <w:outlineLvl w:val="2"/>
    </w:pPr>
    <w:rPr>
      <w:rFonts w:cs="宋体"/>
      <w:b/>
      <w:bCs/>
      <w:spacing w:val="2"/>
      <w:w w:val="101"/>
      <w:szCs w:val="28"/>
    </w:rPr>
  </w:style>
  <w:style w:type="paragraph" w:customStyle="1" w:styleId="1943">
    <w:name w:val="样式 正文首行缩进 + Times New Roman Char"/>
    <w:basedOn w:val="89"/>
    <w:qFormat/>
    <w:uiPriority w:val="0"/>
    <w:pPr>
      <w:topLinePunct/>
      <w:spacing w:line="300" w:lineRule="auto"/>
      <w:ind w:firstLine="200" w:firstLineChars="200"/>
      <w:textAlignment w:val="baseline"/>
    </w:pPr>
    <w:rPr>
      <w:kern w:val="0"/>
      <w:sz w:val="24"/>
    </w:rPr>
  </w:style>
  <w:style w:type="paragraph" w:customStyle="1" w:styleId="1944">
    <w:name w:val="样式 样式 首行缩进:  2 字符 + 黑体 首行缩进:  0.85 厘米"/>
    <w:basedOn w:val="1"/>
    <w:qFormat/>
    <w:uiPriority w:val="0"/>
    <w:pPr>
      <w:spacing w:line="420" w:lineRule="exact"/>
      <w:ind w:firstLine="480"/>
    </w:pPr>
    <w:rPr>
      <w:rFonts w:eastAsia="黑体" w:cs="宋体"/>
      <w:b/>
      <w:sz w:val="24"/>
      <w:u w:val="thick"/>
    </w:rPr>
  </w:style>
  <w:style w:type="paragraph" w:customStyle="1" w:styleId="1945">
    <w:name w:val="正文标准样式"/>
    <w:basedOn w:val="1"/>
    <w:qFormat/>
    <w:uiPriority w:val="0"/>
    <w:pPr>
      <w:spacing w:line="300" w:lineRule="auto"/>
      <w:ind w:firstLine="482"/>
      <w:textAlignment w:val="baseline"/>
    </w:pPr>
    <w:rPr>
      <w:kern w:val="0"/>
      <w:sz w:val="24"/>
      <w:szCs w:val="20"/>
    </w:rPr>
  </w:style>
  <w:style w:type="paragraph" w:customStyle="1" w:styleId="1946">
    <w:name w:val="xl82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1947">
    <w:name w:val="列表 3I"/>
    <w:basedOn w:val="16"/>
    <w:qFormat/>
    <w:uiPriority w:val="0"/>
    <w:pPr>
      <w:tabs>
        <w:tab w:val="left" w:pos="907"/>
      </w:tabs>
      <w:spacing w:line="288" w:lineRule="auto"/>
      <w:ind w:left="907" w:leftChars="0" w:hanging="567" w:firstLineChars="0"/>
    </w:pPr>
    <w:rPr>
      <w:rFonts w:ascii="Arial" w:hAnsi="Arial"/>
      <w:color w:val="CCFFCC"/>
      <w:sz w:val="24"/>
      <w:szCs w:val="20"/>
    </w:rPr>
  </w:style>
  <w:style w:type="paragraph" w:customStyle="1" w:styleId="1948">
    <w:name w:val="BG3"/>
    <w:basedOn w:val="1"/>
    <w:qFormat/>
    <w:uiPriority w:val="0"/>
    <w:pPr>
      <w:tabs>
        <w:tab w:val="left" w:pos="0"/>
      </w:tabs>
      <w:jc w:val="center"/>
      <w:textAlignment w:val="baseline"/>
      <w:outlineLvl w:val="0"/>
    </w:pPr>
    <w:rPr>
      <w:rFonts w:ascii="宋体" w:hAnsi="宋体"/>
      <w:bCs/>
      <w:color w:val="FF0000"/>
      <w:szCs w:val="20"/>
    </w:rPr>
  </w:style>
  <w:style w:type="paragraph" w:customStyle="1" w:styleId="1949">
    <w:name w:val="Char Char Char Char Char Char Char Char Char Char"/>
    <w:basedOn w:val="1"/>
    <w:qFormat/>
    <w:uiPriority w:val="0"/>
    <w:rPr>
      <w:rFonts w:ascii="宋体" w:hAnsi="宋体" w:cs="宋体"/>
      <w:color w:val="000000"/>
      <w:szCs w:val="21"/>
    </w:rPr>
  </w:style>
  <w:style w:type="paragraph" w:customStyle="1" w:styleId="1950">
    <w:name w:val="页眉一"/>
    <w:basedOn w:val="1"/>
    <w:qFormat/>
    <w:uiPriority w:val="0"/>
    <w:pPr>
      <w:spacing w:line="240" w:lineRule="exact"/>
      <w:jc w:val="center"/>
    </w:pPr>
    <w:rPr>
      <w:rFonts w:eastAsia="黑体"/>
    </w:rPr>
  </w:style>
  <w:style w:type="paragraph" w:customStyle="1" w:styleId="1951">
    <w:name w:val="reader-word-layer reader-word-s3-5"/>
    <w:basedOn w:val="1"/>
    <w:qFormat/>
    <w:uiPriority w:val="0"/>
    <w:pPr>
      <w:spacing w:before="100" w:beforeAutospacing="1" w:after="100" w:afterAutospacing="1"/>
      <w:jc w:val="left"/>
    </w:pPr>
    <w:rPr>
      <w:rFonts w:ascii="宋体" w:hAnsi="宋体" w:cs="宋体"/>
      <w:kern w:val="0"/>
      <w:sz w:val="24"/>
    </w:rPr>
  </w:style>
  <w:style w:type="paragraph" w:customStyle="1" w:styleId="1952">
    <w:name w:val="目录标题"/>
    <w:basedOn w:val="1"/>
    <w:qFormat/>
    <w:uiPriority w:val="0"/>
    <w:pPr>
      <w:spacing w:line="360" w:lineRule="auto"/>
      <w:ind w:firstLine="0"/>
      <w:jc w:val="center"/>
    </w:pPr>
    <w:rPr>
      <w:rFonts w:ascii="宋体" w:eastAsia="黑体"/>
    </w:rPr>
  </w:style>
  <w:style w:type="paragraph" w:customStyle="1" w:styleId="1953">
    <w:name w:val="样式 标题 4 + 宋体"/>
    <w:basedOn w:val="10"/>
    <w:qFormat/>
    <w:uiPriority w:val="0"/>
    <w:pPr>
      <w:tabs>
        <w:tab w:val="left" w:pos="0"/>
      </w:tabs>
      <w:spacing w:after="0" w:line="360" w:lineRule="auto"/>
      <w:ind w:left="0" w:firstLine="0"/>
    </w:pPr>
    <w:rPr>
      <w:rFonts w:ascii="宋体" w:hAnsi="宋体"/>
      <w:bCs w:val="0"/>
    </w:rPr>
  </w:style>
  <w:style w:type="paragraph" w:customStyle="1" w:styleId="1954">
    <w:name w:val="xl1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18"/>
      <w:szCs w:val="18"/>
    </w:rPr>
  </w:style>
  <w:style w:type="paragraph" w:customStyle="1" w:styleId="1955">
    <w:name w:val="Char Char Char Char Char Char Char Char Char Char1 Char Char Char Char Char Char Char Char Char Char Char Char Char"/>
    <w:basedOn w:val="1"/>
    <w:qFormat/>
    <w:uiPriority w:val="0"/>
  </w:style>
  <w:style w:type="paragraph" w:customStyle="1" w:styleId="1956">
    <w:name w:val="reader-word-layer reader-word-s1-14"/>
    <w:basedOn w:val="1"/>
    <w:qFormat/>
    <w:uiPriority w:val="0"/>
    <w:pPr>
      <w:spacing w:before="100" w:beforeAutospacing="1" w:after="100" w:afterAutospacing="1"/>
      <w:jc w:val="left"/>
    </w:pPr>
    <w:rPr>
      <w:rFonts w:ascii="宋体" w:hAnsi="宋体" w:cs="宋体"/>
      <w:kern w:val="0"/>
      <w:sz w:val="24"/>
    </w:rPr>
  </w:style>
  <w:style w:type="paragraph" w:customStyle="1" w:styleId="1957">
    <w:name w:val="项目符号引导"/>
    <w:basedOn w:val="28"/>
    <w:next w:val="28"/>
    <w:semiHidden/>
    <w:qFormat/>
    <w:uiPriority w:val="0"/>
    <w:pPr>
      <w:tabs>
        <w:tab w:val="clear" w:pos="360"/>
      </w:tabs>
      <w:overflowPunct w:val="0"/>
      <w:autoSpaceDE w:val="0"/>
      <w:autoSpaceDN w:val="0"/>
      <w:spacing w:before="80" w:after="160"/>
      <w:ind w:left="720" w:firstLine="0" w:firstLineChars="0"/>
      <w:jc w:val="left"/>
      <w:textAlignment w:val="baseline"/>
    </w:pPr>
    <w:rPr>
      <w:kern w:val="0"/>
      <w:sz w:val="20"/>
      <w:szCs w:val="20"/>
    </w:rPr>
  </w:style>
  <w:style w:type="paragraph" w:customStyle="1" w:styleId="1958">
    <w:name w:val="xl83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18"/>
      <w:szCs w:val="18"/>
    </w:rPr>
  </w:style>
  <w:style w:type="paragraph" w:customStyle="1" w:styleId="1959">
    <w:name w:val="样式 标题 2节½Ú?¨² + 段前: 1 行"/>
    <w:basedOn w:val="6"/>
    <w:qFormat/>
    <w:uiPriority w:val="0"/>
  </w:style>
  <w:style w:type="paragraph" w:customStyle="1" w:styleId="1960">
    <w:name w:val="列表 2A"/>
    <w:basedOn w:val="41"/>
    <w:qFormat/>
    <w:uiPriority w:val="0"/>
    <w:pPr>
      <w:tabs>
        <w:tab w:val="left" w:pos="1335"/>
      </w:tabs>
      <w:adjustRightInd/>
      <w:spacing w:before="100" w:beforeAutospacing="1" w:after="100" w:afterAutospacing="1" w:line="288" w:lineRule="auto"/>
      <w:ind w:left="1335" w:hanging="705"/>
      <w:jc w:val="both"/>
      <w:textAlignment w:val="auto"/>
    </w:pPr>
    <w:rPr>
      <w:rFonts w:ascii="Arial" w:hAnsi="Arial"/>
      <w:color w:val="FFFF99"/>
      <w:kern w:val="2"/>
    </w:rPr>
  </w:style>
  <w:style w:type="paragraph" w:customStyle="1" w:styleId="1961">
    <w:name w:val="样式 正文首行缩进 + 首行缩进:  2 字符8"/>
    <w:basedOn w:val="89"/>
    <w:qFormat/>
    <w:uiPriority w:val="0"/>
    <w:pPr>
      <w:spacing w:line="300" w:lineRule="auto"/>
      <w:ind w:firstLine="560" w:firstLineChars="200"/>
      <w:jc w:val="left"/>
    </w:pPr>
    <w:rPr>
      <w:rFonts w:cs="宋体"/>
      <w:szCs w:val="20"/>
    </w:rPr>
  </w:style>
  <w:style w:type="paragraph" w:customStyle="1" w:styleId="1962">
    <w:name w:val="奇数页篇眉"/>
    <w:basedOn w:val="61"/>
    <w:semiHidden/>
    <w:qFormat/>
    <w:uiPriority w:val="0"/>
    <w:pPr>
      <w:keepLines/>
      <w:pBdr>
        <w:bottom w:val="none" w:color="auto" w:sz="0" w:space="0"/>
      </w:pBdr>
      <w:tabs>
        <w:tab w:val="center" w:pos="7200"/>
        <w:tab w:val="right" w:pos="14400"/>
        <w:tab w:val="clear" w:pos="4153"/>
        <w:tab w:val="clear" w:pos="8306"/>
      </w:tabs>
      <w:overflowPunct w:val="0"/>
      <w:autoSpaceDE w:val="0"/>
      <w:autoSpaceDN w:val="0"/>
      <w:snapToGrid/>
      <w:textAlignment w:val="baseline"/>
    </w:pPr>
    <w:rPr>
      <w:spacing w:val="80"/>
      <w:sz w:val="20"/>
      <w:szCs w:val="20"/>
    </w:rPr>
  </w:style>
  <w:style w:type="paragraph" w:customStyle="1" w:styleId="1963">
    <w:name w:val="正文文字（一）"/>
    <w:qFormat/>
    <w:uiPriority w:val="0"/>
    <w:pPr>
      <w:spacing w:line="360" w:lineRule="auto"/>
      <w:ind w:firstLine="560" w:firstLineChars="200"/>
      <w:jc w:val="center"/>
    </w:pPr>
    <w:rPr>
      <w:rFonts w:ascii="Calibri" w:hAnsi="Calibri" w:eastAsia="宋体" w:cs="Times New Roman"/>
      <w:sz w:val="28"/>
      <w:szCs w:val="28"/>
      <w:lang w:val="en-US" w:eastAsia="zh-CN" w:bidi="ar-SA"/>
    </w:rPr>
  </w:style>
  <w:style w:type="paragraph" w:customStyle="1" w:styleId="1964">
    <w:name w:val="首行缩进:  2 字符 Char"/>
    <w:basedOn w:val="1"/>
    <w:qFormat/>
    <w:uiPriority w:val="0"/>
    <w:pPr>
      <w:spacing w:line="300" w:lineRule="auto"/>
      <w:ind w:firstLine="480"/>
    </w:pPr>
    <w:rPr>
      <w:snapToGrid w:val="0"/>
      <w:sz w:val="24"/>
      <w:szCs w:val="21"/>
    </w:rPr>
  </w:style>
  <w:style w:type="paragraph" w:customStyle="1" w:styleId="1965">
    <w:name w:val="章标题"/>
    <w:next w:val="1"/>
    <w:qFormat/>
    <w:uiPriority w:val="0"/>
    <w:pPr>
      <w:spacing w:beforeLines="50" w:afterLines="50" w:line="320" w:lineRule="exact"/>
      <w:jc w:val="both"/>
      <w:outlineLvl w:val="1"/>
    </w:pPr>
    <w:rPr>
      <w:rFonts w:ascii="黑体" w:hAnsi="Calibri" w:eastAsia="黑体" w:cs="Times New Roman"/>
      <w:sz w:val="21"/>
      <w:lang w:val="en-US" w:eastAsia="zh-CN" w:bidi="ar-SA"/>
    </w:rPr>
  </w:style>
  <w:style w:type="paragraph" w:customStyle="1" w:styleId="1966">
    <w:name w:val="xl298"/>
    <w:basedOn w:val="1"/>
    <w:qFormat/>
    <w:uiPriority w:val="0"/>
    <w:pPr>
      <w:pBdr>
        <w:left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967">
    <w:name w:val="font12"/>
    <w:basedOn w:val="1"/>
    <w:qFormat/>
    <w:uiPriority w:val="0"/>
    <w:pPr>
      <w:spacing w:before="100" w:beforeAutospacing="1" w:after="100" w:afterAutospacing="1"/>
      <w:jc w:val="left"/>
    </w:pPr>
    <w:rPr>
      <w:rFonts w:eastAsia="Arial Unicode MS"/>
      <w:b/>
      <w:bCs/>
      <w:kern w:val="0"/>
      <w:sz w:val="20"/>
      <w:szCs w:val="20"/>
    </w:rPr>
  </w:style>
  <w:style w:type="paragraph" w:customStyle="1" w:styleId="1968">
    <w:name w:val="~表头"/>
    <w:qFormat/>
    <w:uiPriority w:val="0"/>
    <w:pPr>
      <w:spacing w:line="320" w:lineRule="exact"/>
      <w:jc w:val="center"/>
    </w:pPr>
    <w:rPr>
      <w:rFonts w:ascii="Calibri" w:hAnsi="Calibri" w:eastAsia="仿宋_GB2312" w:cs="Times New Roman"/>
      <w:b/>
      <w:kern w:val="2"/>
      <w:sz w:val="24"/>
      <w:szCs w:val="21"/>
      <w:lang w:val="en-US" w:eastAsia="zh-CN" w:bidi="ar-SA"/>
    </w:rPr>
  </w:style>
  <w:style w:type="paragraph" w:customStyle="1" w:styleId="1969">
    <w:name w:val="表内文字新"/>
    <w:next w:val="1"/>
    <w:qFormat/>
    <w:uiPriority w:val="0"/>
    <w:pPr>
      <w:widowControl w:val="0"/>
      <w:snapToGrid w:val="0"/>
      <w:spacing w:line="320" w:lineRule="exact"/>
      <w:jc w:val="center"/>
    </w:pPr>
    <w:rPr>
      <w:rFonts w:ascii="Calibri" w:hAnsi="Calibri" w:eastAsia="宋体" w:cs="Times New Roman"/>
      <w:sz w:val="21"/>
      <w:szCs w:val="21"/>
      <w:lang w:val="zh-CN" w:eastAsia="zh-CN" w:bidi="ar-SA"/>
    </w:rPr>
  </w:style>
  <w:style w:type="paragraph" w:customStyle="1" w:styleId="1970">
    <w:name w:val="xl83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kern w:val="0"/>
      <w:sz w:val="18"/>
      <w:szCs w:val="18"/>
    </w:rPr>
  </w:style>
  <w:style w:type="paragraph" w:customStyle="1" w:styleId="1971">
    <w:name w:val="样式 标题 3ReHead 3 WSAh3标题 3 Char Char Char标题 3 Char Char Char..."/>
    <w:basedOn w:val="7"/>
    <w:qFormat/>
    <w:uiPriority w:val="0"/>
    <w:pPr>
      <w:tabs>
        <w:tab w:val="left" w:pos="1843"/>
        <w:tab w:val="clear" w:pos="1440"/>
      </w:tabs>
      <w:spacing w:before="100" w:after="0" w:line="460" w:lineRule="exact"/>
      <w:ind w:left="1843" w:hanging="567"/>
    </w:pPr>
    <w:rPr>
      <w:rFonts w:eastAsia="宋体" w:cs="宋体"/>
      <w:bCs/>
      <w:sz w:val="24"/>
    </w:rPr>
  </w:style>
  <w:style w:type="paragraph" w:customStyle="1" w:styleId="1972">
    <w:name w:val="样式1 正文"/>
    <w:basedOn w:val="49"/>
    <w:qFormat/>
    <w:uiPriority w:val="0"/>
    <w:pPr>
      <w:spacing w:line="420" w:lineRule="auto"/>
    </w:pPr>
    <w:rPr>
      <w:rFonts w:hAnsi="宋体" w:cs="Courier New"/>
      <w:sz w:val="21"/>
      <w:szCs w:val="21"/>
    </w:rPr>
  </w:style>
  <w:style w:type="paragraph" w:customStyle="1" w:styleId="1973">
    <w:name w:val="样式 标题 3ReHead 3 WSAh3标题 3 Char Char Char标题 3 Char Char Char...1"/>
    <w:basedOn w:val="7"/>
    <w:qFormat/>
    <w:uiPriority w:val="0"/>
    <w:pPr>
      <w:tabs>
        <w:tab w:val="left" w:pos="909"/>
        <w:tab w:val="clear" w:pos="709"/>
        <w:tab w:val="clear" w:pos="1440"/>
      </w:tabs>
      <w:spacing w:before="100" w:after="156" w:line="460" w:lineRule="exact"/>
      <w:ind w:left="909"/>
    </w:pPr>
    <w:rPr>
      <w:rFonts w:eastAsia="宋体" w:cs="宋体"/>
      <w:bCs/>
      <w:sz w:val="24"/>
    </w:rPr>
  </w:style>
  <w:style w:type="paragraph" w:customStyle="1" w:styleId="1974">
    <w:name w:val="标书正文"/>
    <w:basedOn w:val="38"/>
    <w:qFormat/>
    <w:uiPriority w:val="0"/>
    <w:pPr>
      <w:tabs>
        <w:tab w:val="left" w:pos="4395"/>
      </w:tabs>
      <w:spacing w:after="0" w:line="300" w:lineRule="auto"/>
      <w:ind w:firstLine="566" w:firstLineChars="202"/>
    </w:pPr>
    <w:rPr>
      <w:kern w:val="21"/>
      <w:szCs w:val="20"/>
    </w:rPr>
  </w:style>
  <w:style w:type="paragraph" w:customStyle="1" w:styleId="1975">
    <w:name w:val="Char Char4 Char Char Char Char Char Char"/>
    <w:basedOn w:val="1"/>
    <w:qFormat/>
    <w:uiPriority w:val="0"/>
    <w:pPr>
      <w:spacing w:line="360" w:lineRule="auto"/>
    </w:pPr>
    <w:rPr>
      <w:sz w:val="24"/>
    </w:rPr>
  </w:style>
  <w:style w:type="paragraph" w:customStyle="1" w:styleId="1976">
    <w:name w:val="Char Char Char Char Char Char Char Char Char Char Char Char Char Char Char"/>
    <w:basedOn w:val="1"/>
    <w:qFormat/>
    <w:uiPriority w:val="0"/>
    <w:pPr>
      <w:spacing w:line="360" w:lineRule="auto"/>
    </w:pPr>
    <w:rPr>
      <w:rFonts w:ascii="宋体" w:hAnsi="宋体" w:cs="宋体"/>
      <w:sz w:val="24"/>
    </w:rPr>
  </w:style>
  <w:style w:type="paragraph" w:customStyle="1" w:styleId="1977">
    <w:name w:val="发布部门"/>
    <w:next w:val="1739"/>
    <w:qFormat/>
    <w:uiPriority w:val="0"/>
    <w:pPr>
      <w:framePr w:w="7433" w:h="585" w:hRule="exact" w:hSpace="180" w:vSpace="180" w:wrap="around" w:vAnchor="margin" w:hAnchor="margin" w:xAlign="center" w:y="14401" w:anchorLock="1"/>
      <w:spacing w:line="320" w:lineRule="exact"/>
      <w:jc w:val="center"/>
    </w:pPr>
    <w:rPr>
      <w:rFonts w:ascii="宋体" w:hAnsi="Calibri" w:eastAsia="宋体" w:cs="Times New Roman"/>
      <w:b/>
      <w:spacing w:val="20"/>
      <w:w w:val="135"/>
      <w:sz w:val="36"/>
      <w:lang w:val="en-US" w:eastAsia="zh-CN" w:bidi="ar-SA"/>
    </w:rPr>
  </w:style>
  <w:style w:type="paragraph" w:customStyle="1" w:styleId="1978">
    <w:name w:val="样式 标题 2 + Times New Roman 小三 居中 行距: 单倍行距"/>
    <w:basedOn w:val="6"/>
    <w:semiHidden/>
    <w:qFormat/>
    <w:uiPriority w:val="0"/>
    <w:pPr>
      <w:tabs>
        <w:tab w:val="clear" w:pos="1080"/>
      </w:tabs>
      <w:spacing w:before="260" w:after="260"/>
      <w:ind w:left="0" w:firstLine="538" w:firstLineChars="192"/>
      <w:jc w:val="left"/>
    </w:pPr>
    <w:rPr>
      <w:rFonts w:cs="宋体"/>
      <w:sz w:val="30"/>
    </w:rPr>
  </w:style>
  <w:style w:type="paragraph" w:customStyle="1" w:styleId="1979">
    <w:name w:val="xl168"/>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18"/>
      <w:szCs w:val="18"/>
    </w:rPr>
  </w:style>
  <w:style w:type="paragraph" w:customStyle="1" w:styleId="1980">
    <w:name w:val="xl71"/>
    <w:basedOn w:val="1"/>
    <w:qFormat/>
    <w:uiPriority w:val="0"/>
    <w:pPr>
      <w:pBdr>
        <w:left w:val="single" w:color="auto" w:sz="4" w:space="0"/>
        <w:bottom w:val="single" w:color="auto" w:sz="8" w:space="0"/>
      </w:pBdr>
      <w:spacing w:before="100" w:beforeAutospacing="1" w:after="100" w:afterAutospacing="1"/>
      <w:jc w:val="center"/>
      <w:textAlignment w:val="center"/>
    </w:pPr>
    <w:rPr>
      <w:rFonts w:eastAsia="Arial Unicode MS"/>
      <w:kern w:val="0"/>
      <w:sz w:val="24"/>
    </w:rPr>
  </w:style>
  <w:style w:type="paragraph" w:customStyle="1" w:styleId="1981">
    <w:name w:val="样式 标题 3 + (中文) 宋体 左侧:  0 厘米 首行缩进:  0 厘米 段前: 3 磅 段后: 3 磅"/>
    <w:basedOn w:val="7"/>
    <w:qFormat/>
    <w:uiPriority w:val="0"/>
    <w:pPr>
      <w:keepNext w:val="0"/>
      <w:tabs>
        <w:tab w:val="left" w:pos="360"/>
        <w:tab w:val="clear" w:pos="1440"/>
      </w:tabs>
      <w:spacing w:before="60" w:after="60" w:line="300" w:lineRule="auto"/>
      <w:ind w:left="0" w:firstLine="0"/>
    </w:pPr>
    <w:rPr>
      <w:rFonts w:eastAsia="楷体_GB2312"/>
      <w:b w:val="0"/>
      <w:sz w:val="30"/>
      <w:szCs w:val="30"/>
    </w:rPr>
  </w:style>
  <w:style w:type="paragraph" w:customStyle="1" w:styleId="1982">
    <w:name w:val="奉读大示，心折殊深。"/>
    <w:qFormat/>
    <w:uiPriority w:val="0"/>
    <w:pPr>
      <w:widowControl w:val="0"/>
      <w:spacing w:line="320" w:lineRule="exact"/>
      <w:jc w:val="both"/>
    </w:pPr>
    <w:rPr>
      <w:rFonts w:ascii="Calibri" w:hAnsi="Calibri" w:eastAsia="宋体" w:cs="Times New Roman"/>
      <w:kern w:val="2"/>
      <w:sz w:val="21"/>
      <w:lang w:val="en-US" w:eastAsia="zh-CN" w:bidi="ar-SA"/>
    </w:rPr>
  </w:style>
  <w:style w:type="paragraph" w:customStyle="1" w:styleId="1983">
    <w:name w:val="尾注文本11"/>
    <w:basedOn w:val="1107"/>
    <w:qFormat/>
    <w:uiPriority w:val="0"/>
    <w:pPr>
      <w:textAlignment w:val="baseline"/>
    </w:pPr>
    <w:rPr>
      <w:sz w:val="21"/>
    </w:rPr>
  </w:style>
  <w:style w:type="paragraph" w:customStyle="1" w:styleId="1984">
    <w:name w:val="表样式"/>
    <w:basedOn w:val="1"/>
    <w:qFormat/>
    <w:uiPriority w:val="0"/>
    <w:pPr>
      <w:jc w:val="center"/>
    </w:pPr>
    <w:rPr>
      <w:rFonts w:ascii="仿宋_GB2312" w:eastAsia="黑体"/>
    </w:rPr>
  </w:style>
  <w:style w:type="paragraph" w:customStyle="1" w:styleId="1985">
    <w:name w:val="样式 标题 2 + 宋体 加粗 首行缩进:  0.99 字符"/>
    <w:basedOn w:val="6"/>
    <w:qFormat/>
    <w:uiPriority w:val="0"/>
  </w:style>
  <w:style w:type="paragraph" w:customStyle="1" w:styleId="1986">
    <w:name w:val="正文首行缩进21"/>
    <w:basedOn w:val="38"/>
    <w:qFormat/>
    <w:uiPriority w:val="0"/>
    <w:pPr>
      <w:spacing w:line="312" w:lineRule="atLeast"/>
      <w:ind w:firstLine="420"/>
      <w:textAlignment w:val="baseline"/>
    </w:pPr>
    <w:rPr>
      <w:rFonts w:ascii="Arial" w:hAnsi="Arial"/>
      <w:color w:val="000000"/>
      <w:kern w:val="0"/>
      <w:sz w:val="27"/>
      <w:szCs w:val="20"/>
    </w:rPr>
  </w:style>
  <w:style w:type="paragraph" w:customStyle="1" w:styleId="1987">
    <w:name w:val="样式 首行缩进:  0.85 厘米 行距: 1.5 倍行距"/>
    <w:basedOn w:val="1"/>
    <w:qFormat/>
    <w:uiPriority w:val="0"/>
    <w:pPr>
      <w:spacing w:line="360" w:lineRule="auto"/>
      <w:ind w:firstLine="482"/>
    </w:pPr>
    <w:rPr>
      <w:rFonts w:cs="宋体"/>
      <w:sz w:val="24"/>
      <w:szCs w:val="20"/>
    </w:rPr>
  </w:style>
  <w:style w:type="paragraph" w:customStyle="1" w:styleId="1988">
    <w:name w:val="xl44"/>
    <w:basedOn w:val="1"/>
    <w:qFormat/>
    <w:uiPriority w:val="0"/>
    <w:pPr>
      <w:pBdr>
        <w:right w:val="single" w:color="auto" w:sz="4" w:space="0"/>
      </w:pBdr>
      <w:spacing w:before="100" w:beforeAutospacing="1" w:after="100" w:afterAutospacing="1"/>
      <w:jc w:val="center"/>
      <w:textAlignment w:val="center"/>
    </w:pPr>
    <w:rPr>
      <w:rFonts w:eastAsia="Arial Unicode MS"/>
      <w:kern w:val="0"/>
      <w:szCs w:val="21"/>
    </w:rPr>
  </w:style>
  <w:style w:type="paragraph" w:customStyle="1" w:styleId="1989">
    <w:name w:val="环评表格后节标题"/>
    <w:basedOn w:val="1990"/>
    <w:qFormat/>
    <w:uiPriority w:val="0"/>
    <w:pPr>
      <w:spacing w:before="600"/>
    </w:pPr>
  </w:style>
  <w:style w:type="paragraph" w:customStyle="1" w:styleId="1990">
    <w:name w:val="环评节标题"/>
    <w:basedOn w:val="1841"/>
    <w:qFormat/>
    <w:uiPriority w:val="0"/>
    <w:pPr>
      <w:tabs>
        <w:tab w:val="clear" w:pos="567"/>
      </w:tabs>
      <w:spacing w:before="400" w:after="200"/>
    </w:pPr>
    <w:rPr>
      <w:rFonts w:eastAsia="黑体"/>
      <w:b/>
      <w:sz w:val="30"/>
    </w:rPr>
  </w:style>
  <w:style w:type="paragraph" w:customStyle="1" w:styleId="1991">
    <w:name w:val="正文文本缩进 31"/>
    <w:basedOn w:val="1"/>
    <w:qFormat/>
    <w:uiPriority w:val="0"/>
    <w:pPr>
      <w:spacing w:line="360" w:lineRule="atLeast"/>
      <w:ind w:firstLine="480"/>
      <w:textAlignment w:val="baseline"/>
    </w:pPr>
    <w:rPr>
      <w:rFonts w:ascii="宋体"/>
      <w:kern w:val="0"/>
      <w:sz w:val="24"/>
      <w:szCs w:val="20"/>
    </w:rPr>
  </w:style>
  <w:style w:type="paragraph" w:customStyle="1" w:styleId="1992">
    <w:name w:val="样式 标题 1标题1H1H11H12H13H14H15H16H17H18第A章第*部分章节一、一级...1"/>
    <w:basedOn w:val="5"/>
    <w:qFormat/>
    <w:uiPriority w:val="0"/>
  </w:style>
  <w:style w:type="paragraph" w:customStyle="1" w:styleId="1993">
    <w:name w:val="xl84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1994">
    <w:name w:val="环评表格后节以下标题"/>
    <w:basedOn w:val="1876"/>
    <w:qFormat/>
    <w:uiPriority w:val="0"/>
    <w:pPr/>
  </w:style>
  <w:style w:type="paragraph" w:customStyle="1" w:styleId="1995">
    <w:name w:val="表列标题"/>
    <w:basedOn w:val="1"/>
    <w:qFormat/>
    <w:uiPriority w:val="0"/>
    <w:pPr>
      <w:spacing w:line="312" w:lineRule="auto"/>
      <w:jc w:val="center"/>
    </w:pPr>
    <w:rPr>
      <w:rFonts w:hint="eastAsia" w:ascii="黑体" w:eastAsia="黑体"/>
      <w:sz w:val="24"/>
    </w:rPr>
  </w:style>
  <w:style w:type="paragraph" w:customStyle="1" w:styleId="1996">
    <w:name w:val="mytext11"/>
    <w:basedOn w:val="1"/>
    <w:qFormat/>
    <w:uiPriority w:val="0"/>
    <w:pPr>
      <w:spacing w:before="100" w:beforeAutospacing="1" w:after="100" w:afterAutospacing="1"/>
      <w:jc w:val="left"/>
    </w:pPr>
    <w:rPr>
      <w:rFonts w:ascii="宋体" w:hAnsi="宋体" w:cs="宋体"/>
      <w:color w:val="000000"/>
      <w:kern w:val="0"/>
      <w:sz w:val="24"/>
    </w:rPr>
  </w:style>
  <w:style w:type="paragraph" w:customStyle="1" w:styleId="1997">
    <w:name w:val="样式 正文首行缩进 2 + Times New Roman1"/>
    <w:basedOn w:val="1"/>
    <w:qFormat/>
    <w:uiPriority w:val="0"/>
    <w:pPr>
      <w:spacing w:line="360" w:lineRule="auto"/>
      <w:ind w:firstLine="480"/>
      <w:jc w:val="left"/>
    </w:pPr>
    <w:rPr>
      <w:sz w:val="24"/>
    </w:rPr>
  </w:style>
  <w:style w:type="paragraph" w:customStyle="1" w:styleId="1998">
    <w:name w:val="Attention Line"/>
    <w:basedOn w:val="38"/>
    <w:next w:val="1"/>
    <w:qFormat/>
    <w:uiPriority w:val="0"/>
    <w:pPr>
      <w:autoSpaceDE w:val="0"/>
      <w:autoSpaceDN w:val="0"/>
      <w:spacing w:before="160" w:after="0"/>
      <w:jc w:val="left"/>
      <w:textAlignment w:val="baseline"/>
    </w:pPr>
    <w:rPr>
      <w:rFonts w:ascii="宋体"/>
      <w:b/>
      <w:i/>
      <w:kern w:val="0"/>
      <w:sz w:val="20"/>
      <w:szCs w:val="20"/>
    </w:rPr>
  </w:style>
  <w:style w:type="paragraph" w:customStyle="1" w:styleId="1999">
    <w:name w:val="xl72"/>
    <w:basedOn w:val="1"/>
    <w:qFormat/>
    <w:uiPriority w:val="0"/>
    <w:pPr>
      <w:pBdr>
        <w:left w:val="single" w:color="auto" w:sz="4" w:space="0"/>
        <w:bottom w:val="single" w:color="auto" w:sz="8" w:space="0"/>
        <w:right w:val="single" w:color="auto" w:sz="8" w:space="0"/>
      </w:pBdr>
      <w:spacing w:before="100" w:beforeAutospacing="1" w:after="100" w:afterAutospacing="1"/>
      <w:jc w:val="left"/>
      <w:textAlignment w:val="center"/>
    </w:pPr>
    <w:rPr>
      <w:rFonts w:ascii="Arial Unicode MS" w:hAnsi="Arial Unicode MS" w:eastAsia="Arial Unicode MS"/>
      <w:kern w:val="0"/>
      <w:sz w:val="24"/>
    </w:rPr>
  </w:style>
  <w:style w:type="paragraph" w:customStyle="1" w:styleId="2000">
    <w:name w:val="列表 3G"/>
    <w:basedOn w:val="16"/>
    <w:qFormat/>
    <w:uiPriority w:val="0"/>
    <w:pPr>
      <w:tabs>
        <w:tab w:val="left" w:pos="907"/>
      </w:tabs>
      <w:spacing w:line="288" w:lineRule="auto"/>
      <w:ind w:left="907" w:leftChars="0" w:hanging="567" w:firstLineChars="0"/>
    </w:pPr>
    <w:rPr>
      <w:rFonts w:ascii="Arial" w:hAnsi="Arial"/>
      <w:color w:val="CCFFCC"/>
      <w:sz w:val="24"/>
      <w:szCs w:val="20"/>
    </w:rPr>
  </w:style>
  <w:style w:type="paragraph" w:customStyle="1" w:styleId="2001">
    <w:name w:val="Char Char Char1 Char1 Char Char Char"/>
    <w:basedOn w:val="1"/>
    <w:semiHidden/>
    <w:qFormat/>
    <w:uiPriority w:val="0"/>
  </w:style>
  <w:style w:type="paragraph" w:customStyle="1" w:styleId="2002">
    <w:name w:val="biao7-5"/>
    <w:basedOn w:val="15"/>
    <w:qFormat/>
    <w:uiPriority w:val="0"/>
    <w:pPr>
      <w:keepNext w:val="0"/>
      <w:keepLines w:val="0"/>
      <w:tabs>
        <w:tab w:val="left" w:pos="600"/>
      </w:tabs>
      <w:adjustRightInd/>
      <w:spacing w:before="60" w:after="0" w:line="312" w:lineRule="auto"/>
      <w:ind w:left="0" w:firstLine="0"/>
      <w:jc w:val="center"/>
      <w:textAlignment w:val="bottom"/>
      <w:outlineLvl w:val="9"/>
    </w:pPr>
    <w:rPr>
      <w:rFonts w:ascii="Times New Roman" w:hAnsi="Times New Roman"/>
      <w:kern w:val="0"/>
    </w:rPr>
  </w:style>
  <w:style w:type="paragraph" w:customStyle="1" w:styleId="2003">
    <w:name w:val="xl14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18"/>
      <w:szCs w:val="18"/>
    </w:rPr>
  </w:style>
  <w:style w:type="paragraph" w:customStyle="1" w:styleId="2004">
    <w:name w:val="列表 2T"/>
    <w:basedOn w:val="41"/>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005">
    <w:name w:val="reader-word-layer reader-word-s3-35"/>
    <w:basedOn w:val="1"/>
    <w:qFormat/>
    <w:uiPriority w:val="0"/>
    <w:pPr>
      <w:spacing w:before="100" w:beforeAutospacing="1" w:after="100" w:afterAutospacing="1"/>
      <w:jc w:val="left"/>
    </w:pPr>
    <w:rPr>
      <w:rFonts w:ascii="宋体" w:hAnsi="宋体" w:cs="宋体"/>
      <w:kern w:val="0"/>
      <w:sz w:val="24"/>
    </w:rPr>
  </w:style>
  <w:style w:type="paragraph" w:customStyle="1" w:styleId="2006">
    <w:name w:val="表列"/>
    <w:basedOn w:val="1"/>
    <w:qFormat/>
    <w:uiPriority w:val="0"/>
    <w:pPr>
      <w:spacing w:line="240" w:lineRule="atLeast"/>
      <w:textAlignment w:val="baseline"/>
    </w:pPr>
    <w:rPr>
      <w:sz w:val="24"/>
      <w:szCs w:val="20"/>
    </w:rPr>
  </w:style>
  <w:style w:type="paragraph" w:customStyle="1" w:styleId="2007">
    <w:name w:val="S表格"/>
    <w:basedOn w:val="1"/>
    <w:qFormat/>
    <w:uiPriority w:val="0"/>
    <w:pPr>
      <w:spacing w:before="240" w:line="360" w:lineRule="auto"/>
      <w:outlineLvl w:val="2"/>
    </w:pPr>
    <w:rPr>
      <w:bCs/>
      <w:sz w:val="24"/>
    </w:rPr>
  </w:style>
  <w:style w:type="paragraph" w:customStyle="1" w:styleId="2008">
    <w:name w:val="xl42"/>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eastAsia="Arial Unicode MS"/>
      <w:kern w:val="0"/>
      <w:szCs w:val="21"/>
    </w:rPr>
  </w:style>
  <w:style w:type="paragraph" w:customStyle="1" w:styleId="2009">
    <w:name w:val="xl83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4"/>
    </w:rPr>
  </w:style>
  <w:style w:type="paragraph" w:customStyle="1" w:styleId="2010">
    <w:name w:val="xl274"/>
    <w:basedOn w:val="1"/>
    <w:qFormat/>
    <w:uiPriority w:val="0"/>
    <w:pPr>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2011">
    <w:name w:val="正文文本缩进1"/>
    <w:basedOn w:val="1"/>
    <w:qFormat/>
    <w:uiPriority w:val="0"/>
    <w:pPr>
      <w:spacing w:line="420" w:lineRule="exact"/>
      <w:ind w:firstLine="525"/>
    </w:pPr>
    <w:rPr>
      <w:rFonts w:ascii="楷体_GB2312" w:eastAsia="楷体_GB2312"/>
      <w:color w:val="0000FF"/>
      <w:szCs w:val="28"/>
    </w:rPr>
  </w:style>
  <w:style w:type="paragraph" w:customStyle="1" w:styleId="2012">
    <w:name w:val="列表 N"/>
    <w:basedOn w:val="70"/>
    <w:qFormat/>
    <w:uiPriority w:val="0"/>
    <w:pPr>
      <w:tabs>
        <w:tab w:val="left" w:pos="425"/>
      </w:tabs>
      <w:spacing w:beforeLines="100" w:afterLines="50" w:line="288" w:lineRule="auto"/>
      <w:ind w:left="425" w:hanging="425"/>
    </w:pPr>
    <w:rPr>
      <w:rFonts w:ascii="Arial" w:hAnsi="Arial" w:eastAsia="宋体"/>
      <w:b/>
      <w:bCs/>
      <w:color w:val="FF99CC"/>
    </w:rPr>
  </w:style>
  <w:style w:type="paragraph" w:customStyle="1" w:styleId="2013">
    <w:name w:val="xl277"/>
    <w:basedOn w:val="1"/>
    <w:qFormat/>
    <w:uiPriority w:val="0"/>
    <w:pPr>
      <w:pBdr>
        <w:top w:val="single" w:color="auto" w:sz="4" w:space="0"/>
        <w:bottom w:val="single" w:color="auto" w:sz="4" w:space="0"/>
      </w:pBdr>
      <w:spacing w:before="100" w:beforeAutospacing="1" w:after="100" w:afterAutospacing="1"/>
      <w:jc w:val="left"/>
      <w:textAlignment w:val="bottom"/>
    </w:pPr>
    <w:rPr>
      <w:rFonts w:ascii="宋体" w:hAnsi="宋体" w:cs="宋体"/>
      <w:b/>
      <w:bCs/>
      <w:kern w:val="0"/>
      <w:sz w:val="20"/>
      <w:szCs w:val="20"/>
    </w:rPr>
  </w:style>
  <w:style w:type="paragraph" w:customStyle="1" w:styleId="2014">
    <w:name w:val="报告表格内文"/>
    <w:basedOn w:val="43"/>
    <w:qFormat/>
    <w:uiPriority w:val="0"/>
    <w:pPr>
      <w:tabs>
        <w:tab w:val="left" w:pos="0"/>
      </w:tabs>
      <w:spacing w:line="360" w:lineRule="auto"/>
      <w:ind w:left="0" w:right="0"/>
      <w:jc w:val="center"/>
    </w:pPr>
    <w:rPr>
      <w:rFonts w:ascii="宋体" w:hAnsi="宋体"/>
      <w:b w:val="0"/>
      <w:bCs/>
      <w:color w:val="FF0000"/>
      <w:sz w:val="21"/>
      <w:szCs w:val="24"/>
    </w:rPr>
  </w:style>
  <w:style w:type="paragraph" w:customStyle="1" w:styleId="2015">
    <w:name w:val="方程式"/>
    <w:basedOn w:val="15"/>
    <w:qFormat/>
    <w:uiPriority w:val="0"/>
    <w:pPr>
      <w:keepNext w:val="0"/>
      <w:keepLines w:val="0"/>
      <w:overflowPunct w:val="0"/>
      <w:spacing w:before="60" w:after="60" w:line="240" w:lineRule="auto"/>
      <w:ind w:left="0" w:firstLine="0"/>
      <w:jc w:val="left"/>
      <w:textAlignment w:val="bottom"/>
      <w:outlineLvl w:val="9"/>
    </w:pPr>
    <w:rPr>
      <w:rFonts w:ascii="宋体" w:hAnsi="Times New Roman"/>
      <w:color w:val="008000"/>
      <w:spacing w:val="24"/>
      <w:kern w:val="0"/>
      <w:sz w:val="24"/>
    </w:rPr>
  </w:style>
  <w:style w:type="paragraph" w:customStyle="1" w:styleId="2016">
    <w:name w:val="Char Char Char1 Char Char Char Char Char Char Char Char Char Char Char Char Char Char Char Char Char Char Char Char Char Char"/>
    <w:basedOn w:val="1"/>
    <w:qFormat/>
    <w:uiPriority w:val="0"/>
  </w:style>
  <w:style w:type="paragraph" w:customStyle="1" w:styleId="2017">
    <w:name w:val="xl27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2018">
    <w:name w:val="样式 湛江钢铁正文 +"/>
    <w:basedOn w:val="1"/>
    <w:qFormat/>
    <w:uiPriority w:val="0"/>
    <w:pPr>
      <w:spacing w:afterLines="25" w:line="360" w:lineRule="auto"/>
      <w:ind w:firstLine="480"/>
      <w:jc w:val="left"/>
      <w:textAlignment w:val="baseline"/>
    </w:pPr>
    <w:rPr>
      <w:color w:val="000000"/>
      <w:kern w:val="0"/>
      <w:sz w:val="24"/>
    </w:rPr>
  </w:style>
  <w:style w:type="paragraph" w:customStyle="1" w:styleId="2019">
    <w:name w:val="样式 样式 正文首行缩进 2 + 首行缩进:  2 字符 + 首行缩进:  2 字符"/>
    <w:basedOn w:val="1"/>
    <w:qFormat/>
    <w:uiPriority w:val="0"/>
    <w:pPr>
      <w:spacing w:before="100" w:beforeAutospacing="1" w:after="100" w:afterAutospacing="1" w:line="440" w:lineRule="exact"/>
    </w:pPr>
    <w:rPr>
      <w:rFonts w:cs="宋体"/>
      <w:sz w:val="24"/>
      <w:szCs w:val="20"/>
    </w:rPr>
  </w:style>
  <w:style w:type="paragraph" w:customStyle="1" w:styleId="2020">
    <w:name w:val="xl91"/>
    <w:basedOn w:val="1"/>
    <w:qFormat/>
    <w:uiPriority w:val="0"/>
    <w:pPr>
      <w:pBdr>
        <w:top w:val="single" w:color="auto" w:sz="4" w:space="0"/>
        <w:bottom w:val="single" w:color="auto" w:sz="8" w:space="0"/>
        <w:right w:val="single" w:color="auto" w:sz="4" w:space="0"/>
      </w:pBdr>
      <w:spacing w:before="100" w:beforeAutospacing="1" w:after="100" w:afterAutospacing="1"/>
      <w:jc w:val="left"/>
    </w:pPr>
    <w:rPr>
      <w:rFonts w:eastAsia="Arial Unicode MS"/>
      <w:kern w:val="0"/>
      <w:sz w:val="16"/>
      <w:szCs w:val="16"/>
    </w:rPr>
  </w:style>
  <w:style w:type="paragraph" w:customStyle="1" w:styleId="2021">
    <w:name w:val="xl284"/>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022">
    <w:name w:val="样式 样式 正文文本 + 黑色 首行缩进:  2 字符 段后: 0 磅 行距: 多倍行距 1.25 字行 + 首行缩进:  2 ..."/>
    <w:basedOn w:val="1"/>
    <w:qFormat/>
    <w:uiPriority w:val="0"/>
    <w:pPr>
      <w:spacing w:line="360" w:lineRule="auto"/>
      <w:ind w:firstLine="390" w:firstLineChars="150"/>
      <w:textAlignment w:val="baseline"/>
    </w:pPr>
    <w:rPr>
      <w:rFonts w:ascii="宋体" w:cs="宋体"/>
      <w:snapToGrid w:val="0"/>
      <w:kern w:val="28"/>
      <w:szCs w:val="28"/>
    </w:rPr>
  </w:style>
  <w:style w:type="paragraph" w:customStyle="1" w:styleId="2023">
    <w:name w:val="xl271"/>
    <w:basedOn w:val="1"/>
    <w:qFormat/>
    <w:uiPriority w:val="0"/>
    <w:pPr>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2024">
    <w:name w:val="样式 样式 四号 行距: 多倍行距 1.25 字行 +2"/>
    <w:basedOn w:val="2025"/>
    <w:qFormat/>
    <w:uiPriority w:val="0"/>
    <w:pPr>
      <w:adjustRightInd/>
      <w:ind w:left="100" w:leftChars="100" w:right="100" w:rightChars="100" w:firstLine="560"/>
      <w:textAlignment w:val="baseline"/>
    </w:pPr>
    <w:rPr>
      <w:snapToGrid w:val="0"/>
      <w:kern w:val="28"/>
    </w:rPr>
  </w:style>
  <w:style w:type="paragraph" w:customStyle="1" w:styleId="2025">
    <w:name w:val="样式 四号 行距: 多倍行距 1.25 字行"/>
    <w:basedOn w:val="1"/>
    <w:qFormat/>
    <w:uiPriority w:val="0"/>
    <w:pPr>
      <w:spacing w:line="300" w:lineRule="auto"/>
    </w:pPr>
    <w:rPr>
      <w:rFonts w:cs="宋体"/>
      <w:szCs w:val="20"/>
    </w:rPr>
  </w:style>
  <w:style w:type="paragraph" w:customStyle="1" w:styleId="2026">
    <w:name w:val="xl278"/>
    <w:basedOn w:val="1"/>
    <w:qFormat/>
    <w:uiPriority w:val="0"/>
    <w:pPr>
      <w:pBdr>
        <w:top w:val="single" w:color="auto" w:sz="4" w:space="0"/>
        <w:left w:val="single" w:color="auto" w:sz="4" w:space="0"/>
        <w:bottom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2027">
    <w:name w:val="样式 表标 + 首行缩进:  2 字符"/>
    <w:basedOn w:val="1"/>
    <w:qFormat/>
    <w:uiPriority w:val="0"/>
    <w:pPr>
      <w:tabs>
        <w:tab w:val="left" w:pos="540"/>
        <w:tab w:val="left" w:pos="600"/>
        <w:tab w:val="left" w:pos="720"/>
        <w:tab w:val="left" w:pos="1200"/>
        <w:tab w:val="left" w:pos="1440"/>
        <w:tab w:val="left" w:pos="2448"/>
        <w:tab w:val="left" w:pos="3000"/>
        <w:tab w:val="left" w:pos="3888"/>
        <w:tab w:val="left" w:pos="4800"/>
        <w:tab w:val="left" w:pos="5040"/>
        <w:tab w:val="left" w:pos="5883"/>
        <w:tab w:val="left" w:pos="6300"/>
        <w:tab w:val="left" w:pos="7353"/>
        <w:tab w:val="left" w:pos="8613"/>
      </w:tabs>
      <w:spacing w:line="300" w:lineRule="auto"/>
      <w:jc w:val="center"/>
      <w:textAlignment w:val="baseline"/>
    </w:pPr>
    <w:rPr>
      <w:rFonts w:ascii="黑体" w:hAnsi="宋体" w:eastAsia="黑体" w:cs="宋体"/>
      <w:kern w:val="0"/>
      <w:sz w:val="24"/>
      <w:szCs w:val="20"/>
    </w:rPr>
  </w:style>
  <w:style w:type="paragraph" w:customStyle="1" w:styleId="2028">
    <w:name w:val="xl108"/>
    <w:basedOn w:val="1"/>
    <w:qFormat/>
    <w:uiPriority w:val="0"/>
    <w:pPr>
      <w:pBdr>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2029">
    <w:name w:val="2级"/>
    <w:basedOn w:val="6"/>
    <w:qFormat/>
    <w:uiPriority w:val="0"/>
    <w:pPr>
      <w:tabs>
        <w:tab w:val="clear" w:pos="1080"/>
      </w:tabs>
      <w:spacing w:before="120" w:after="120" w:line="360" w:lineRule="auto"/>
      <w:ind w:left="0" w:firstLine="0"/>
      <w:jc w:val="left"/>
    </w:pPr>
    <w:rPr>
      <w:bCs/>
      <w:sz w:val="30"/>
      <w:szCs w:val="32"/>
    </w:rPr>
  </w:style>
  <w:style w:type="paragraph" w:customStyle="1" w:styleId="2030">
    <w:name w:val="列表 2E"/>
    <w:basedOn w:val="41"/>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031">
    <w:name w:val="xl20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2032">
    <w:name w:val="样式1冯正文"/>
    <w:basedOn w:val="1"/>
    <w:qFormat/>
    <w:uiPriority w:val="0"/>
    <w:pPr>
      <w:spacing w:beforeLines="25" w:afterLines="25" w:line="400" w:lineRule="exact"/>
    </w:pPr>
    <w:rPr>
      <w:color w:val="000000"/>
      <w:sz w:val="24"/>
    </w:rPr>
  </w:style>
  <w:style w:type="paragraph" w:customStyle="1" w:styleId="2033">
    <w:name w:val="图1-1"/>
    <w:basedOn w:val="986"/>
    <w:qFormat/>
    <w:uiPriority w:val="0"/>
    <w:pPr>
      <w:keepLines/>
      <w:adjustRightInd/>
      <w:snapToGrid/>
      <w:spacing w:line="240" w:lineRule="auto"/>
    </w:pPr>
    <w:rPr>
      <w:rFonts w:ascii="Times New Roman" w:hAnsi="Times New Roman" w:eastAsia="宋体"/>
      <w:kern w:val="2"/>
      <w:sz w:val="21"/>
    </w:rPr>
  </w:style>
  <w:style w:type="paragraph" w:customStyle="1" w:styleId="2034">
    <w:name w:val="样式 标题 3H3条1.1.1标题 3 Char Char + 四号 非加粗 段前: 0 磅 段后: 0 磅 行..."/>
    <w:basedOn w:val="7"/>
    <w:qFormat/>
    <w:uiPriority w:val="0"/>
    <w:pPr>
      <w:keepNext w:val="0"/>
      <w:keepLines w:val="0"/>
      <w:tabs>
        <w:tab w:val="clear" w:pos="1440"/>
      </w:tabs>
      <w:spacing w:before="0" w:after="0" w:line="300" w:lineRule="auto"/>
      <w:ind w:left="0" w:firstLine="0"/>
      <w:jc w:val="left"/>
      <w:textAlignment w:val="baseline"/>
      <w:outlineLvl w:val="0"/>
    </w:pPr>
    <w:rPr>
      <w:rFonts w:eastAsia="宋体" w:cs="宋体"/>
      <w:b w:val="0"/>
      <w:snapToGrid w:val="0"/>
      <w:kern w:val="28"/>
    </w:rPr>
  </w:style>
  <w:style w:type="paragraph" w:customStyle="1" w:styleId="2035">
    <w:name w:val="Char8 Char Char Char Char Char"/>
    <w:basedOn w:val="1"/>
    <w:qFormat/>
    <w:uiPriority w:val="0"/>
    <w:pPr>
      <w:spacing w:line="360" w:lineRule="auto"/>
    </w:pPr>
    <w:rPr>
      <w:rFonts w:ascii="宋体" w:hAnsi="宋体" w:cs="宋体"/>
      <w:sz w:val="24"/>
    </w:rPr>
  </w:style>
  <w:style w:type="paragraph" w:customStyle="1" w:styleId="2036">
    <w:name w:val="作者"/>
    <w:qFormat/>
    <w:uiPriority w:val="0"/>
    <w:pPr>
      <w:spacing w:line="360" w:lineRule="auto"/>
      <w:jc w:val="center"/>
    </w:pPr>
    <w:rPr>
      <w:rFonts w:ascii="仿宋_GB2312" w:hAnsi="Calibri" w:eastAsia="仿宋_GB2312" w:cs="Times New Roman"/>
      <w:sz w:val="28"/>
      <w:szCs w:val="28"/>
      <w:lang w:val="en-US" w:eastAsia="zh-CN" w:bidi="ar-SA"/>
    </w:rPr>
  </w:style>
  <w:style w:type="paragraph" w:customStyle="1" w:styleId="2037">
    <w:name w:val="列表 3D"/>
    <w:basedOn w:val="16"/>
    <w:qFormat/>
    <w:uiPriority w:val="0"/>
    <w:pPr>
      <w:tabs>
        <w:tab w:val="left" w:pos="907"/>
      </w:tabs>
      <w:spacing w:line="288" w:lineRule="auto"/>
      <w:ind w:left="907" w:leftChars="0" w:hanging="567" w:firstLineChars="0"/>
    </w:pPr>
    <w:rPr>
      <w:rFonts w:ascii="Arial" w:hAnsi="Arial"/>
      <w:color w:val="CCFFCC"/>
      <w:sz w:val="24"/>
      <w:szCs w:val="20"/>
    </w:rPr>
  </w:style>
  <w:style w:type="paragraph" w:customStyle="1" w:styleId="2038">
    <w:name w:val="font20"/>
    <w:basedOn w:val="1"/>
    <w:qFormat/>
    <w:uiPriority w:val="0"/>
    <w:pPr>
      <w:spacing w:before="100" w:beforeAutospacing="1" w:after="100" w:afterAutospacing="1"/>
      <w:jc w:val="left"/>
    </w:pPr>
    <w:rPr>
      <w:rFonts w:ascii="宋体" w:hAnsi="宋体" w:cs="宋体"/>
      <w:kern w:val="0"/>
      <w:sz w:val="20"/>
      <w:szCs w:val="20"/>
    </w:rPr>
  </w:style>
  <w:style w:type="paragraph" w:customStyle="1" w:styleId="2039">
    <w:name w:val="p0"/>
    <w:basedOn w:val="1"/>
    <w:qFormat/>
    <w:uiPriority w:val="0"/>
    <w:rPr>
      <w:kern w:val="0"/>
      <w:szCs w:val="21"/>
    </w:rPr>
  </w:style>
  <w:style w:type="paragraph" w:customStyle="1" w:styleId="2040">
    <w:name w:val="Char Char Char3 Char Char Char21"/>
    <w:basedOn w:val="1"/>
    <w:qFormat/>
    <w:uiPriority w:val="0"/>
    <w:pPr>
      <w:spacing w:line="360" w:lineRule="auto"/>
    </w:pPr>
    <w:rPr>
      <w:rFonts w:ascii="宋体" w:hAnsi="宋体" w:cs="宋体"/>
      <w:sz w:val="24"/>
    </w:rPr>
  </w:style>
  <w:style w:type="paragraph" w:customStyle="1" w:styleId="2041">
    <w:name w:val="基准页脚样式"/>
    <w:basedOn w:val="38"/>
    <w:qFormat/>
    <w:uiPriority w:val="0"/>
    <w:pPr>
      <w:keepLines/>
      <w:spacing w:after="220" w:line="200" w:lineRule="atLeast"/>
      <w:jc w:val="center"/>
    </w:pPr>
    <w:rPr>
      <w:kern w:val="0"/>
      <w:sz w:val="16"/>
      <w:szCs w:val="20"/>
    </w:rPr>
  </w:style>
  <w:style w:type="paragraph" w:customStyle="1" w:styleId="2042">
    <w:name w:val="样式 标题2　自动设置"/>
    <w:basedOn w:val="6"/>
    <w:qFormat/>
    <w:uiPriority w:val="0"/>
    <w:pPr>
      <w:tabs>
        <w:tab w:val="left" w:pos="1574"/>
        <w:tab w:val="clear" w:pos="1080"/>
      </w:tabs>
      <w:spacing w:before="120" w:after="60"/>
      <w:ind w:left="1574" w:hanging="420"/>
    </w:pPr>
    <w:rPr>
      <w:rFonts w:ascii="宋体" w:hAnsi="宋体" w:eastAsia="宋体" w:cs="宋体"/>
      <w:bCs/>
      <w:color w:val="000000"/>
      <w:sz w:val="28"/>
    </w:rPr>
  </w:style>
  <w:style w:type="paragraph" w:customStyle="1" w:styleId="2043">
    <w:name w:val="二级"/>
    <w:basedOn w:val="2029"/>
    <w:qFormat/>
    <w:uiPriority w:val="0"/>
    <w:pPr>
      <w:jc w:val="both"/>
    </w:pPr>
    <w:rPr>
      <w:rFonts w:cs="宋体"/>
      <w:szCs w:val="20"/>
    </w:rPr>
  </w:style>
  <w:style w:type="paragraph" w:customStyle="1" w:styleId="2044">
    <w:name w:val="Char16"/>
    <w:basedOn w:val="1"/>
    <w:qFormat/>
    <w:uiPriority w:val="0"/>
    <w:rPr>
      <w:rFonts w:ascii="仿宋_GB2312"/>
      <w:b/>
      <w:sz w:val="32"/>
      <w:szCs w:val="32"/>
    </w:rPr>
  </w:style>
  <w:style w:type="paragraph" w:customStyle="1" w:styleId="2045">
    <w:name w:val="列表 2J"/>
    <w:basedOn w:val="41"/>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046">
    <w:name w:val="5表标题"/>
    <w:qFormat/>
    <w:uiPriority w:val="0"/>
    <w:pPr>
      <w:spacing w:line="320" w:lineRule="exact"/>
      <w:jc w:val="center"/>
    </w:pPr>
    <w:rPr>
      <w:rFonts w:ascii="Calibri" w:hAnsi="Calibri" w:eastAsia="宋体" w:cs="宋体"/>
      <w:b/>
      <w:bCs/>
      <w:kern w:val="2"/>
      <w:sz w:val="21"/>
      <w:szCs w:val="22"/>
      <w:lang w:val="en-US" w:eastAsia="zh-CN" w:bidi="ar-SA"/>
    </w:rPr>
  </w:style>
  <w:style w:type="paragraph" w:customStyle="1" w:styleId="2047">
    <w:name w:val="brdrw15brsp20 tqctx4153t"/>
    <w:qFormat/>
    <w:uiPriority w:val="0"/>
    <w:pPr>
      <w:widowControl w:val="0"/>
      <w:pBdr>
        <w:bottom w:val="single" w:color="auto" w:sz="6" w:space="0"/>
      </w:pBdr>
      <w:adjustRightInd w:val="0"/>
      <w:spacing w:line="312" w:lineRule="atLeast"/>
      <w:jc w:val="center"/>
    </w:pPr>
    <w:rPr>
      <w:rFonts w:ascii="Calibri" w:hAnsi="Calibri" w:eastAsia="宋体" w:cs="Times New Roman"/>
      <w:sz w:val="21"/>
      <w:lang w:val="en-US" w:eastAsia="zh-CN" w:bidi="ar-SA"/>
    </w:rPr>
  </w:style>
  <w:style w:type="paragraph" w:customStyle="1" w:styleId="2048">
    <w:name w:val="样式 宋体 小四 首行缩进:  0.95 厘米 行距: 1.5 倍行距"/>
    <w:basedOn w:val="1"/>
    <w:qFormat/>
    <w:uiPriority w:val="0"/>
    <w:pPr>
      <w:spacing w:line="300" w:lineRule="auto"/>
      <w:ind w:firstLine="539"/>
    </w:pPr>
    <w:rPr>
      <w:rFonts w:ascii="宋体" w:hAnsi="宋体"/>
      <w:sz w:val="24"/>
    </w:rPr>
  </w:style>
  <w:style w:type="paragraph" w:customStyle="1" w:styleId="2049">
    <w:name w:val="报告标题4"/>
    <w:basedOn w:val="1291"/>
    <w:qFormat/>
    <w:uiPriority w:val="0"/>
    <w:pPr>
      <w:tabs>
        <w:tab w:val="left" w:pos="2256"/>
        <w:tab w:val="clear" w:pos="0"/>
      </w:tabs>
      <w:spacing w:before="157"/>
      <w:ind w:left="2256" w:hanging="420"/>
      <w:outlineLvl w:val="3"/>
    </w:pPr>
    <w:rPr>
      <w:rFonts w:ascii="宋体" w:hAnsi="宋体" w:cs="Arial"/>
    </w:rPr>
  </w:style>
  <w:style w:type="paragraph" w:customStyle="1" w:styleId="2050">
    <w:name w:val="样式 小四"/>
    <w:basedOn w:val="1"/>
    <w:qFormat/>
    <w:uiPriority w:val="0"/>
    <w:rPr>
      <w:rFonts w:cs="宋体"/>
      <w:sz w:val="24"/>
      <w:szCs w:val="20"/>
    </w:rPr>
  </w:style>
  <w:style w:type="paragraph" w:customStyle="1" w:styleId="2051">
    <w:name w:val="领结"/>
    <w:basedOn w:val="1"/>
    <w:qFormat/>
    <w:uiPriority w:val="0"/>
    <w:pPr>
      <w:jc w:val="center"/>
    </w:pPr>
    <w:rPr>
      <w:rFonts w:ascii="宋体"/>
      <w:sz w:val="24"/>
    </w:rPr>
  </w:style>
  <w:style w:type="paragraph" w:customStyle="1" w:styleId="2052">
    <w:name w:val="xl15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18"/>
      <w:szCs w:val="18"/>
    </w:rPr>
  </w:style>
  <w:style w:type="paragraph" w:customStyle="1" w:styleId="2053">
    <w:name w:val="zhengwen"/>
    <w:basedOn w:val="1"/>
    <w:qFormat/>
    <w:uiPriority w:val="0"/>
    <w:pPr>
      <w:spacing w:before="100" w:beforeAutospacing="1" w:after="100" w:afterAutospacing="1" w:line="800" w:lineRule="atLeast"/>
      <w:jc w:val="left"/>
    </w:pPr>
    <w:rPr>
      <w:rFonts w:ascii="Arial Unicode MS" w:hAnsi="Arial Unicode MS"/>
      <w:color w:val="333333"/>
      <w:kern w:val="0"/>
      <w:sz w:val="18"/>
      <w:szCs w:val="18"/>
    </w:rPr>
  </w:style>
  <w:style w:type="paragraph" w:customStyle="1" w:styleId="2054">
    <w:name w:val="表名称"/>
    <w:basedOn w:val="70"/>
    <w:semiHidden/>
    <w:qFormat/>
    <w:uiPriority w:val="0"/>
    <w:pPr>
      <w:tabs>
        <w:tab w:val="left" w:pos="720"/>
      </w:tabs>
      <w:overflowPunct w:val="0"/>
      <w:autoSpaceDE w:val="0"/>
      <w:autoSpaceDN w:val="0"/>
      <w:spacing w:after="80" w:line="300" w:lineRule="exact"/>
      <w:ind w:left="0" w:firstLine="0"/>
      <w:jc w:val="center"/>
      <w:textAlignment w:val="baseline"/>
    </w:pPr>
    <w:rPr>
      <w:rFonts w:ascii="Times New Roman" w:eastAsia="宋体" w:cs="宋体"/>
      <w:sz w:val="20"/>
    </w:rPr>
  </w:style>
  <w:style w:type="paragraph" w:customStyle="1" w:styleId="2055">
    <w:name w:val="样式 标题 8图表名称 + 首行缩进:  0.99 厘米 Char Char"/>
    <w:basedOn w:val="14"/>
    <w:qFormat/>
    <w:uiPriority w:val="0"/>
    <w:pPr>
      <w:keepLines w:val="0"/>
      <w:autoSpaceDE/>
      <w:autoSpaceDN/>
      <w:spacing w:before="0" w:after="0" w:line="520" w:lineRule="exact"/>
      <w:ind w:left="0" w:firstLine="200"/>
      <w:textAlignment w:val="auto"/>
    </w:pPr>
    <w:rPr>
      <w:rFonts w:ascii="Times New Roman" w:hAnsi="Times New Roman" w:eastAsia="仿宋_GB2312" w:cs="宋体"/>
      <w:b/>
      <w:bCs/>
      <w:i/>
      <w:iCs/>
      <w:color w:val="auto"/>
      <w:kern w:val="2"/>
      <w:sz w:val="28"/>
      <w:szCs w:val="28"/>
      <w:u w:val="thick"/>
    </w:rPr>
  </w:style>
  <w:style w:type="paragraph" w:customStyle="1" w:styleId="2056">
    <w:name w:val="xl133"/>
    <w:basedOn w:val="1"/>
    <w:qFormat/>
    <w:uiPriority w:val="0"/>
    <w:pPr>
      <w:pBdr>
        <w:left w:val="single" w:color="auto" w:sz="4" w:space="0"/>
        <w:right w:val="single" w:color="auto" w:sz="4" w:space="0"/>
      </w:pBdr>
      <w:spacing w:before="100" w:beforeAutospacing="1" w:after="100" w:afterAutospacing="1"/>
      <w:jc w:val="center"/>
      <w:textAlignment w:val="center"/>
    </w:pPr>
    <w:rPr>
      <w:b/>
      <w:bCs/>
      <w:kern w:val="0"/>
      <w:sz w:val="18"/>
      <w:szCs w:val="18"/>
    </w:rPr>
  </w:style>
  <w:style w:type="paragraph" w:customStyle="1" w:styleId="2057">
    <w:name w:val="Char Char Char Char Char Char Char Char Char1 Char Char Char Char Char Char Char Char Char Char Char Char Char Char Char Char"/>
    <w:basedOn w:val="1"/>
    <w:qFormat/>
    <w:uiPriority w:val="0"/>
    <w:pPr>
      <w:spacing w:line="360" w:lineRule="auto"/>
    </w:pPr>
    <w:rPr>
      <w:rFonts w:ascii="宋体" w:hAnsi="宋体" w:cs="宋体"/>
      <w:sz w:val="24"/>
    </w:rPr>
  </w:style>
  <w:style w:type="paragraph" w:customStyle="1" w:styleId="2058">
    <w:name w:val="图表头2"/>
    <w:basedOn w:val="1"/>
    <w:qFormat/>
    <w:uiPriority w:val="0"/>
    <w:pPr>
      <w:tabs>
        <w:tab w:val="center" w:pos="4231"/>
        <w:tab w:val="right" w:pos="8463"/>
      </w:tabs>
      <w:spacing w:beforeLines="50"/>
      <w:jc w:val="center"/>
      <w:textAlignment w:val="baseline"/>
    </w:pPr>
    <w:rPr>
      <w:rFonts w:hAnsi="宋体" w:eastAsia="黑体"/>
      <w:color w:val="FF0000"/>
      <w:spacing w:val="5"/>
      <w:szCs w:val="21"/>
    </w:rPr>
  </w:style>
  <w:style w:type="paragraph" w:customStyle="1" w:styleId="2059">
    <w:name w:val="c"/>
    <w:basedOn w:val="1"/>
    <w:qFormat/>
    <w:uiPriority w:val="0"/>
    <w:pPr>
      <w:spacing w:before="100" w:beforeAutospacing="1" w:after="100" w:afterAutospacing="1"/>
      <w:jc w:val="left"/>
    </w:pPr>
    <w:rPr>
      <w:rFonts w:ascii="Arial Unicode MS" w:hAnsi="Arial Unicode MS" w:eastAsia="Arial Unicode MS" w:cs="Arial Unicode MS"/>
      <w:color w:val="000000"/>
      <w:kern w:val="0"/>
      <w:sz w:val="22"/>
    </w:rPr>
  </w:style>
  <w:style w:type="paragraph" w:customStyle="1" w:styleId="2060">
    <w:name w:val="标题3+"/>
    <w:basedOn w:val="1"/>
    <w:next w:val="7"/>
    <w:qFormat/>
    <w:uiPriority w:val="0"/>
    <w:pPr>
      <w:spacing w:line="360" w:lineRule="auto"/>
    </w:pPr>
  </w:style>
  <w:style w:type="paragraph" w:customStyle="1" w:styleId="2061">
    <w:name w:val="编号标题"/>
    <w:basedOn w:val="7"/>
    <w:qFormat/>
    <w:uiPriority w:val="0"/>
    <w:pPr>
      <w:tabs>
        <w:tab w:val="clear" w:pos="1440"/>
      </w:tabs>
      <w:spacing w:before="160" w:after="0" w:line="460" w:lineRule="exact"/>
      <w:ind w:left="0" w:firstLine="420"/>
      <w:outlineLvl w:val="9"/>
    </w:pPr>
    <w:rPr>
      <w:rFonts w:ascii="宋体" w:hAnsi="宋体" w:eastAsia="宋体"/>
      <w:b w:val="0"/>
      <w:color w:val="000000"/>
      <w:sz w:val="21"/>
      <w:szCs w:val="24"/>
    </w:rPr>
  </w:style>
  <w:style w:type="paragraph" w:customStyle="1" w:styleId="2062">
    <w:name w:val="表格文字小四"/>
    <w:basedOn w:val="1"/>
    <w:next w:val="38"/>
    <w:qFormat/>
    <w:uiPriority w:val="0"/>
    <w:pPr>
      <w:framePr w:hSpace="180" w:wrap="around" w:vAnchor="text" w:hAnchor="margin" w:xAlign="center" w:y="319"/>
      <w:ind w:left="-593"/>
      <w:jc w:val="center"/>
    </w:pPr>
    <w:rPr>
      <w:rFonts w:ascii="宋体" w:hAnsi="宋体"/>
      <w:sz w:val="24"/>
    </w:rPr>
  </w:style>
  <w:style w:type="paragraph" w:customStyle="1" w:styleId="2063">
    <w:name w:val="样式1 Char Char Char Char1"/>
    <w:basedOn w:val="1"/>
    <w:qFormat/>
    <w:uiPriority w:val="0"/>
    <w:pPr>
      <w:spacing w:line="560" w:lineRule="atLeast"/>
      <w:ind w:firstLine="480"/>
    </w:pPr>
    <w:rPr>
      <w:rFonts w:ascii="宋体" w:hAnsi="宋体"/>
      <w:sz w:val="24"/>
    </w:rPr>
  </w:style>
  <w:style w:type="paragraph" w:customStyle="1" w:styleId="2064">
    <w:name w:val="xl16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kern w:val="0"/>
      <w:sz w:val="18"/>
      <w:szCs w:val="18"/>
    </w:rPr>
  </w:style>
  <w:style w:type="paragraph" w:customStyle="1" w:styleId="2065">
    <w:name w:val="页面标题3"/>
    <w:basedOn w:val="1931"/>
    <w:qFormat/>
    <w:uiPriority w:val="0"/>
    <w:pPr>
      <w:tabs>
        <w:tab w:val="left" w:pos="3190"/>
        <w:tab w:val="left" w:pos="8721"/>
      </w:tabs>
      <w:spacing w:line="480" w:lineRule="exact"/>
      <w:ind w:firstLine="560"/>
      <w:jc w:val="left"/>
    </w:pPr>
    <w:rPr>
      <w:b/>
      <w:bCs/>
      <w:sz w:val="28"/>
    </w:rPr>
  </w:style>
  <w:style w:type="paragraph" w:customStyle="1" w:styleId="2066">
    <w:name w:val="xl58"/>
    <w:basedOn w:val="1"/>
    <w:qFormat/>
    <w:uiPriority w:val="0"/>
    <w:pPr>
      <w:pBdr>
        <w:top w:val="single" w:color="auto" w:sz="8" w:space="0"/>
        <w:bottom w:val="single" w:color="auto" w:sz="4" w:space="0"/>
        <w:right w:val="single" w:color="auto" w:sz="4" w:space="0"/>
      </w:pBdr>
      <w:spacing w:before="100" w:beforeAutospacing="1" w:after="100" w:afterAutospacing="1"/>
      <w:jc w:val="center"/>
      <w:textAlignment w:val="center"/>
    </w:pPr>
    <w:rPr>
      <w:rFonts w:eastAsia="Arial Unicode MS"/>
      <w:kern w:val="0"/>
      <w:szCs w:val="21"/>
    </w:rPr>
  </w:style>
  <w:style w:type="paragraph" w:customStyle="1" w:styleId="2067">
    <w:name w:val="列表 F"/>
    <w:basedOn w:val="70"/>
    <w:qFormat/>
    <w:uiPriority w:val="0"/>
    <w:pPr>
      <w:tabs>
        <w:tab w:val="left" w:pos="425"/>
      </w:tabs>
      <w:spacing w:beforeLines="100" w:afterLines="50" w:line="288" w:lineRule="auto"/>
      <w:ind w:left="425" w:hanging="425"/>
    </w:pPr>
    <w:rPr>
      <w:rFonts w:ascii="Arial" w:hAnsi="Arial" w:eastAsia="宋体"/>
      <w:b/>
      <w:bCs/>
      <w:color w:val="FF99CC"/>
    </w:rPr>
  </w:style>
  <w:style w:type="paragraph" w:customStyle="1" w:styleId="2068">
    <w:name w:val="样式 正文首行缩进 + 黑色 首行缩进:  2 字符3"/>
    <w:basedOn w:val="89"/>
    <w:qFormat/>
    <w:uiPriority w:val="0"/>
    <w:pPr>
      <w:spacing w:line="300" w:lineRule="auto"/>
      <w:ind w:firstLine="200" w:firstLineChars="200"/>
    </w:pPr>
    <w:rPr>
      <w:rFonts w:cs="宋体"/>
      <w:szCs w:val="21"/>
    </w:rPr>
  </w:style>
  <w:style w:type="paragraph" w:customStyle="1" w:styleId="2069">
    <w:name w:val="xl13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000000"/>
      <w:kern w:val="0"/>
      <w:sz w:val="18"/>
      <w:szCs w:val="18"/>
    </w:rPr>
  </w:style>
  <w:style w:type="paragraph" w:customStyle="1" w:styleId="2070">
    <w:name w:val="样式 正文首行缩进 + 黑色 首行缩进:  2 字符1"/>
    <w:basedOn w:val="89"/>
    <w:qFormat/>
    <w:uiPriority w:val="0"/>
    <w:pPr>
      <w:spacing w:line="300" w:lineRule="auto"/>
      <w:ind w:firstLine="560" w:firstLineChars="200"/>
    </w:pPr>
    <w:rPr>
      <w:color w:val="000000"/>
      <w:szCs w:val="20"/>
    </w:rPr>
  </w:style>
  <w:style w:type="paragraph" w:customStyle="1" w:styleId="2071">
    <w:name w:val="xl19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kern w:val="0"/>
      <w:sz w:val="20"/>
      <w:szCs w:val="20"/>
    </w:rPr>
  </w:style>
  <w:style w:type="paragraph" w:customStyle="1" w:styleId="2072">
    <w:name w:val="p18"/>
    <w:basedOn w:val="1"/>
    <w:qFormat/>
    <w:uiPriority w:val="0"/>
    <w:pPr>
      <w:spacing w:before="156" w:after="156"/>
      <w:jc w:val="center"/>
    </w:pPr>
    <w:rPr>
      <w:color w:val="000000"/>
      <w:spacing w:val="8"/>
      <w:kern w:val="0"/>
      <w:sz w:val="24"/>
    </w:rPr>
  </w:style>
  <w:style w:type="paragraph" w:customStyle="1" w:styleId="2073">
    <w:name w:val="样式 表头 + 行距: 固定值 25 磅"/>
    <w:basedOn w:val="1"/>
    <w:qFormat/>
    <w:uiPriority w:val="0"/>
    <w:pPr>
      <w:spacing w:line="500" w:lineRule="exact"/>
      <w:ind w:left="539"/>
      <w:jc w:val="center"/>
    </w:pPr>
    <w:rPr>
      <w:rFonts w:cs="宋体"/>
      <w:b/>
      <w:bCs/>
      <w:kern w:val="0"/>
      <w:sz w:val="24"/>
      <w:szCs w:val="20"/>
    </w:rPr>
  </w:style>
  <w:style w:type="paragraph" w:customStyle="1" w:styleId="2074">
    <w:name w:val="R正文缩"/>
    <w:basedOn w:val="89"/>
    <w:qFormat/>
    <w:uiPriority w:val="0"/>
    <w:pPr>
      <w:spacing w:beforeLines="50" w:line="300" w:lineRule="auto"/>
      <w:ind w:firstLine="200" w:firstLineChars="200"/>
      <w:jc w:val="left"/>
    </w:pPr>
    <w:rPr>
      <w:kern w:val="0"/>
      <w:sz w:val="24"/>
    </w:rPr>
  </w:style>
  <w:style w:type="paragraph" w:customStyle="1" w:styleId="2075">
    <w:name w:val="蒲表头"/>
    <w:basedOn w:val="1"/>
    <w:qFormat/>
    <w:uiPriority w:val="0"/>
    <w:pPr>
      <w:spacing w:beforeLines="20"/>
      <w:ind w:firstLine="480"/>
    </w:pPr>
    <w:rPr>
      <w:b/>
      <w:sz w:val="24"/>
    </w:rPr>
  </w:style>
  <w:style w:type="paragraph" w:customStyle="1" w:styleId="2076">
    <w:name w:val="样式 表头样式 + 两端对齐 段前: 0.5 行 段后: 0.5 行 首行缩进:  1 字符"/>
    <w:basedOn w:val="1894"/>
    <w:semiHidden/>
    <w:qFormat/>
    <w:uiPriority w:val="0"/>
    <w:pPr>
      <w:keepLines/>
      <w:spacing w:before="156" w:after="156"/>
      <w:ind w:firstLine="560" w:firstLineChars="200"/>
    </w:pPr>
    <w:rPr>
      <w:bCs w:val="0"/>
      <w:sz w:val="24"/>
      <w:szCs w:val="20"/>
    </w:rPr>
  </w:style>
  <w:style w:type="paragraph" w:customStyle="1" w:styleId="2077">
    <w:name w:val="样式 正文首行缩进 2 + 段前: 0.25 行1"/>
    <w:basedOn w:val="90"/>
    <w:qFormat/>
    <w:uiPriority w:val="0"/>
    <w:pPr>
      <w:tabs>
        <w:tab w:val="left" w:pos="420"/>
        <w:tab w:val="left" w:pos="870"/>
        <w:tab w:val="left" w:pos="3150"/>
      </w:tabs>
      <w:autoSpaceDE w:val="0"/>
      <w:autoSpaceDN w:val="0"/>
      <w:spacing w:beforeLines="25" w:after="0" w:line="336" w:lineRule="auto"/>
      <w:ind w:left="0" w:leftChars="0" w:firstLine="527" w:firstLineChars="0"/>
      <w:textAlignment w:val="baseline"/>
    </w:pPr>
    <w:rPr>
      <w:rFonts w:ascii="宋体" w:cs="宋体"/>
      <w:sz w:val="24"/>
      <w:szCs w:val="20"/>
    </w:rPr>
  </w:style>
  <w:style w:type="paragraph" w:customStyle="1" w:styleId="2078">
    <w:name w:val="图表名A"/>
    <w:qFormat/>
    <w:uiPriority w:val="0"/>
    <w:pPr>
      <w:tabs>
        <w:tab w:val="left" w:pos="0"/>
      </w:tabs>
      <w:adjustRightInd w:val="0"/>
      <w:snapToGrid w:val="0"/>
      <w:spacing w:before="156" w:after="156" w:line="320" w:lineRule="exact"/>
      <w:jc w:val="center"/>
    </w:pPr>
    <w:rPr>
      <w:rFonts w:ascii="Calibri" w:hAnsi="Calibri" w:eastAsia="宋体" w:cs="Times New Roman"/>
      <w:b/>
      <w:snapToGrid w:val="0"/>
      <w:sz w:val="21"/>
      <w:szCs w:val="22"/>
      <w:lang w:val="en-US" w:eastAsia="zh-CN" w:bidi="ar-SA"/>
    </w:rPr>
  </w:style>
  <w:style w:type="paragraph" w:customStyle="1" w:styleId="2079">
    <w:name w:val="表头-lgf"/>
    <w:basedOn w:val="1"/>
    <w:qFormat/>
    <w:uiPriority w:val="0"/>
    <w:pPr>
      <w:kinsoku w:val="0"/>
      <w:overflowPunct w:val="0"/>
      <w:autoSpaceDE w:val="0"/>
      <w:autoSpaceDN w:val="0"/>
      <w:spacing w:line="300" w:lineRule="auto"/>
      <w:jc w:val="center"/>
    </w:pPr>
    <w:rPr>
      <w:rFonts w:ascii="黑体" w:hAnsi="黑体" w:eastAsia="黑体"/>
      <w:spacing w:val="-4"/>
      <w:kern w:val="21"/>
      <w:sz w:val="24"/>
    </w:rPr>
  </w:style>
  <w:style w:type="paragraph" w:customStyle="1" w:styleId="2080">
    <w:name w:val="style18"/>
    <w:basedOn w:val="1"/>
    <w:qFormat/>
    <w:uiPriority w:val="0"/>
    <w:pPr>
      <w:spacing w:before="100" w:beforeAutospacing="1" w:after="100" w:afterAutospacing="1"/>
      <w:jc w:val="left"/>
    </w:pPr>
    <w:rPr>
      <w:rFonts w:ascii="宋体" w:hAnsi="宋体"/>
      <w:color w:val="000000"/>
      <w:kern w:val="0"/>
      <w:szCs w:val="21"/>
    </w:rPr>
  </w:style>
  <w:style w:type="paragraph" w:customStyle="1" w:styleId="2081">
    <w:name w:val="正文-使用"/>
    <w:basedOn w:val="1"/>
    <w:qFormat/>
    <w:uiPriority w:val="0"/>
    <w:pPr>
      <w:spacing w:line="360" w:lineRule="auto"/>
      <w:ind w:firstLine="482"/>
    </w:pPr>
    <w:rPr>
      <w:sz w:val="24"/>
      <w:szCs w:val="20"/>
    </w:rPr>
  </w:style>
  <w:style w:type="paragraph" w:customStyle="1" w:styleId="2082">
    <w:name w:val="附图编号"/>
    <w:basedOn w:val="1"/>
    <w:qFormat/>
    <w:uiPriority w:val="0"/>
    <w:pPr>
      <w:tabs>
        <w:tab w:val="left" w:pos="1760"/>
      </w:tabs>
      <w:spacing w:line="288" w:lineRule="auto"/>
      <w:ind w:left="1021" w:hanging="341"/>
    </w:pPr>
    <w:rPr>
      <w:rFonts w:ascii="Arial" w:hAnsi="Arial"/>
      <w:color w:val="CC99FF"/>
      <w:sz w:val="24"/>
      <w:szCs w:val="20"/>
    </w:rPr>
  </w:style>
  <w:style w:type="paragraph" w:customStyle="1" w:styleId="2083">
    <w:name w:val="±êÌâ 2"/>
    <w:basedOn w:val="25"/>
    <w:next w:val="2084"/>
    <w:qFormat/>
    <w:uiPriority w:val="0"/>
    <w:pPr>
      <w:keepNext/>
      <w:overflowPunct w:val="0"/>
      <w:autoSpaceDE w:val="0"/>
      <w:autoSpaceDN w:val="0"/>
      <w:ind w:firstLine="72"/>
      <w:textAlignment w:val="baseline"/>
    </w:pPr>
    <w:rPr>
      <w:szCs w:val="20"/>
    </w:rPr>
  </w:style>
  <w:style w:type="paragraph" w:customStyle="1" w:styleId="2084">
    <w:name w:val="ÕýÎÄËõ½ø"/>
    <w:basedOn w:val="25"/>
    <w:qFormat/>
    <w:uiPriority w:val="0"/>
    <w:pPr>
      <w:overflowPunct w:val="0"/>
      <w:autoSpaceDE w:val="0"/>
      <w:autoSpaceDN w:val="0"/>
      <w:textAlignment w:val="baseline"/>
    </w:pPr>
    <w:rPr>
      <w:szCs w:val="20"/>
    </w:rPr>
  </w:style>
  <w:style w:type="paragraph" w:customStyle="1" w:styleId="2085">
    <w:name w:val="正文首行不缩进"/>
    <w:basedOn w:val="1"/>
    <w:qFormat/>
    <w:uiPriority w:val="0"/>
    <w:pPr>
      <w:spacing w:line="300" w:lineRule="auto"/>
    </w:pPr>
  </w:style>
  <w:style w:type="paragraph" w:customStyle="1" w:styleId="2086">
    <w:name w:val="JLY表格表头"/>
    <w:basedOn w:val="1"/>
    <w:qFormat/>
    <w:uiPriority w:val="0"/>
    <w:pPr>
      <w:jc w:val="center"/>
    </w:pPr>
    <w:rPr>
      <w:rFonts w:ascii="宋体" w:eastAsia="黑体"/>
    </w:rPr>
  </w:style>
  <w:style w:type="paragraph" w:customStyle="1" w:styleId="2087">
    <w:name w:val="样式 正文首行缩进 + 首行缩进:  2 字符7"/>
    <w:basedOn w:val="89"/>
    <w:qFormat/>
    <w:uiPriority w:val="0"/>
    <w:pPr>
      <w:spacing w:line="300" w:lineRule="auto"/>
      <w:ind w:firstLine="560" w:firstLineChars="200"/>
    </w:pPr>
    <w:rPr>
      <w:rFonts w:cs="宋体"/>
      <w:szCs w:val="20"/>
    </w:rPr>
  </w:style>
  <w:style w:type="paragraph" w:customStyle="1" w:styleId="2088">
    <w:name w:val="样式 样式 样式 四号 黑色 字距调整五号 行距: 多倍行距 1.25 字行 首行缩进:  2 字符1 + 首行缩进:  2 字..."/>
    <w:basedOn w:val="2089"/>
    <w:qFormat/>
    <w:uiPriority w:val="0"/>
    <w:pPr>
      <w:ind w:firstLine="560"/>
    </w:pPr>
  </w:style>
  <w:style w:type="paragraph" w:customStyle="1" w:styleId="2089">
    <w:name w:val="样式 样式 四号 黑色 字距调整五号 行距: 多倍行距 1.25 字行 首行缩进:  2 字符1 + 首行缩进:  2 字符"/>
    <w:basedOn w:val="1776"/>
    <w:qFormat/>
    <w:uiPriority w:val="0"/>
  </w:style>
  <w:style w:type="paragraph" w:customStyle="1" w:styleId="2090">
    <w:name w:val="文档卷标"/>
    <w:basedOn w:val="2091"/>
    <w:semiHidden/>
    <w:qFormat/>
    <w:uiPriority w:val="0"/>
    <w:pPr>
      <w:spacing w:after="360"/>
    </w:pPr>
    <w:rPr>
      <w:rFonts w:ascii="Times New Roman" w:hAnsi="Times New Roman"/>
    </w:rPr>
  </w:style>
  <w:style w:type="paragraph" w:customStyle="1" w:styleId="2091">
    <w:name w:val="基准篇头"/>
    <w:basedOn w:val="1"/>
    <w:next w:val="38"/>
    <w:semiHidden/>
    <w:qFormat/>
    <w:uiPriority w:val="0"/>
    <w:pPr>
      <w:keepNext/>
      <w:overflowPunct w:val="0"/>
      <w:autoSpaceDE w:val="0"/>
      <w:autoSpaceDN w:val="0"/>
      <w:spacing w:before="240" w:after="120"/>
      <w:jc w:val="left"/>
      <w:textAlignment w:val="baseline"/>
    </w:pPr>
    <w:rPr>
      <w:rFonts w:ascii="Arial" w:hAnsi="Arial"/>
      <w:b/>
      <w:kern w:val="28"/>
      <w:sz w:val="36"/>
      <w:szCs w:val="20"/>
    </w:rPr>
  </w:style>
  <w:style w:type="paragraph" w:customStyle="1" w:styleId="2092">
    <w:name w:val="Char Char Char Char Char Char Char Char"/>
    <w:basedOn w:val="1"/>
    <w:qFormat/>
    <w:uiPriority w:val="0"/>
    <w:pPr>
      <w:spacing w:after="160" w:line="240" w:lineRule="exact"/>
      <w:jc w:val="left"/>
    </w:pPr>
    <w:rPr>
      <w:rFonts w:ascii="Verdana" w:hAnsi="Verdana"/>
      <w:kern w:val="0"/>
      <w:sz w:val="20"/>
      <w:szCs w:val="20"/>
      <w:lang w:eastAsia="en-US"/>
    </w:rPr>
  </w:style>
  <w:style w:type="paragraph" w:customStyle="1" w:styleId="2093">
    <w:name w:val="WPS Plain"/>
    <w:qFormat/>
    <w:uiPriority w:val="0"/>
    <w:pPr>
      <w:spacing w:line="320" w:lineRule="exact"/>
      <w:jc w:val="center"/>
    </w:pPr>
    <w:rPr>
      <w:rFonts w:ascii="Calibri" w:hAnsi="Calibri" w:eastAsia="宋体" w:cs="Times New Roman"/>
      <w:lang w:val="en-US" w:eastAsia="zh-CN" w:bidi="ar-SA"/>
    </w:rPr>
  </w:style>
  <w:style w:type="paragraph" w:customStyle="1" w:styleId="2094">
    <w:name w:val="xl52"/>
    <w:basedOn w:val="1"/>
    <w:qFormat/>
    <w:uiPriority w:val="0"/>
    <w:pPr>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0"/>
      <w:szCs w:val="20"/>
    </w:rPr>
  </w:style>
  <w:style w:type="paragraph" w:customStyle="1" w:styleId="2095">
    <w:name w:val="xl15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2096">
    <w:name w:val="xl83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2097">
    <w:name w:val="xl23"/>
    <w:basedOn w:val="1"/>
    <w:qFormat/>
    <w:uiPriority w:val="0"/>
    <w:pPr>
      <w:spacing w:before="100" w:after="100"/>
      <w:jc w:val="center"/>
    </w:pPr>
    <w:rPr>
      <w:rFonts w:ascii="宋体" w:hAnsi="宋体"/>
      <w:b/>
      <w:kern w:val="0"/>
      <w:sz w:val="24"/>
      <w:szCs w:val="20"/>
    </w:rPr>
  </w:style>
  <w:style w:type="paragraph" w:customStyle="1" w:styleId="2098">
    <w:name w:val="ZW1 Char"/>
    <w:basedOn w:val="1"/>
    <w:qFormat/>
    <w:uiPriority w:val="0"/>
    <w:pPr>
      <w:spacing w:line="360" w:lineRule="auto"/>
      <w:jc w:val="left"/>
    </w:pPr>
    <w:rPr>
      <w:rFonts w:ascii="宋体" w:hAnsi="宋体"/>
      <w:kern w:val="0"/>
      <w:sz w:val="24"/>
    </w:rPr>
  </w:style>
  <w:style w:type="paragraph" w:customStyle="1" w:styleId="2099">
    <w:name w:val="样式 样式 样式 正文首行缩进 + 首行缩进:  2 字符 + 首行缩进:  2 字符 + 宋体"/>
    <w:basedOn w:val="1936"/>
    <w:qFormat/>
    <w:uiPriority w:val="0"/>
    <w:rPr>
      <w:rFonts w:ascii="宋体"/>
    </w:rPr>
  </w:style>
  <w:style w:type="paragraph" w:customStyle="1" w:styleId="2100">
    <w:name w:val="xl70"/>
    <w:basedOn w:val="1"/>
    <w:qFormat/>
    <w:uiPriority w:val="0"/>
    <w:pPr>
      <w:pBdr>
        <w:left w:val="single" w:color="auto" w:sz="4" w:space="0"/>
        <w:bottom w:val="single" w:color="auto" w:sz="8" w:space="0"/>
        <w:right w:val="single" w:color="auto" w:sz="4" w:space="0"/>
      </w:pBdr>
      <w:spacing w:before="100" w:beforeAutospacing="1" w:after="100" w:afterAutospacing="1"/>
      <w:jc w:val="center"/>
      <w:textAlignment w:val="center"/>
    </w:pPr>
    <w:rPr>
      <w:rFonts w:eastAsia="Arial Unicode MS"/>
      <w:kern w:val="0"/>
      <w:szCs w:val="21"/>
    </w:rPr>
  </w:style>
  <w:style w:type="paragraph" w:customStyle="1" w:styleId="2101">
    <w:name w:val="样式 标题 3 + 段前: 0.5 行"/>
    <w:basedOn w:val="7"/>
    <w:qFormat/>
    <w:uiPriority w:val="0"/>
    <w:pPr>
      <w:tabs>
        <w:tab w:val="left" w:pos="0"/>
        <w:tab w:val="left" w:pos="640"/>
        <w:tab w:val="left" w:pos="670"/>
        <w:tab w:val="left" w:pos="1196"/>
        <w:tab w:val="left" w:pos="1740"/>
        <w:tab w:val="clear" w:pos="1440"/>
      </w:tabs>
      <w:spacing w:before="0" w:after="156"/>
      <w:ind w:left="0" w:firstLine="0"/>
      <w:jc w:val="left"/>
    </w:pPr>
    <w:rPr>
      <w:rFonts w:eastAsia="宋体" w:cs="宋体"/>
      <w:sz w:val="24"/>
    </w:rPr>
  </w:style>
  <w:style w:type="paragraph" w:customStyle="1" w:styleId="2102">
    <w:name w:val="纯文本2"/>
    <w:basedOn w:val="1"/>
    <w:qFormat/>
    <w:uiPriority w:val="0"/>
    <w:pPr>
      <w:textAlignment w:val="baseline"/>
    </w:pPr>
    <w:rPr>
      <w:rFonts w:ascii="宋体"/>
      <w:kern w:val="0"/>
      <w:szCs w:val="20"/>
    </w:rPr>
  </w:style>
  <w:style w:type="paragraph" w:customStyle="1" w:styleId="2103">
    <w:name w:val="样式 标题 4§1.1.1.1§1.1.1.1.H4Char + 黑色 首行缩进:  2 字符3"/>
    <w:basedOn w:val="10"/>
    <w:qFormat/>
    <w:uiPriority w:val="0"/>
    <w:pPr>
      <w:keepNext w:val="0"/>
      <w:keepLines w:val="0"/>
      <w:spacing w:after="0" w:line="300" w:lineRule="auto"/>
      <w:ind w:left="0" w:firstLine="200"/>
    </w:pPr>
    <w:rPr>
      <w:rFonts w:cs="宋体"/>
      <w:b w:val="0"/>
      <w:snapToGrid w:val="0"/>
      <w:color w:val="000000"/>
      <w:kern w:val="0"/>
    </w:rPr>
  </w:style>
  <w:style w:type="paragraph" w:customStyle="1" w:styleId="2104">
    <w:name w:val="环评页脚"/>
    <w:basedOn w:val="1"/>
    <w:qFormat/>
    <w:uiPriority w:val="0"/>
    <w:pPr>
      <w:pBdr>
        <w:top w:val="single" w:color="auto" w:sz="4" w:space="1"/>
      </w:pBdr>
    </w:pPr>
  </w:style>
  <w:style w:type="paragraph" w:customStyle="1" w:styleId="2105">
    <w:name w:val="样式 正文首行缩进 + 浅蓝 两端对齐 首行缩进:  2 字符"/>
    <w:basedOn w:val="89"/>
    <w:qFormat/>
    <w:uiPriority w:val="0"/>
    <w:pPr>
      <w:spacing w:line="300" w:lineRule="auto"/>
      <w:ind w:firstLine="560" w:firstLineChars="200"/>
    </w:pPr>
    <w:rPr>
      <w:rFonts w:cs="宋体"/>
      <w:szCs w:val="20"/>
    </w:rPr>
  </w:style>
  <w:style w:type="paragraph" w:customStyle="1" w:styleId="2106">
    <w:name w:val="font6"/>
    <w:basedOn w:val="1"/>
    <w:qFormat/>
    <w:uiPriority w:val="0"/>
    <w:pPr>
      <w:spacing w:before="100" w:beforeAutospacing="1" w:after="100" w:afterAutospacing="1"/>
      <w:jc w:val="left"/>
    </w:pPr>
    <w:rPr>
      <w:rFonts w:hint="eastAsia" w:ascii="宋体" w:hAnsi="宋体"/>
      <w:kern w:val="0"/>
      <w:szCs w:val="21"/>
    </w:rPr>
  </w:style>
  <w:style w:type="paragraph" w:customStyle="1" w:styleId="2107">
    <w:name w:val="reader-word-layer reader-word-s1-1"/>
    <w:basedOn w:val="1"/>
    <w:qFormat/>
    <w:uiPriority w:val="0"/>
    <w:pPr>
      <w:spacing w:before="100" w:beforeAutospacing="1" w:after="100" w:afterAutospacing="1"/>
      <w:jc w:val="left"/>
    </w:pPr>
    <w:rPr>
      <w:rFonts w:ascii="宋体" w:hAnsi="宋体" w:cs="宋体"/>
      <w:kern w:val="0"/>
      <w:sz w:val="24"/>
    </w:rPr>
  </w:style>
  <w:style w:type="paragraph" w:customStyle="1" w:styleId="2108">
    <w:name w:val="正文首行缩进2字"/>
    <w:basedOn w:val="1"/>
    <w:qFormat/>
    <w:uiPriority w:val="0"/>
    <w:pPr>
      <w:spacing w:line="300" w:lineRule="auto"/>
      <w:ind w:firstLine="563" w:firstLineChars="201"/>
    </w:pPr>
  </w:style>
  <w:style w:type="paragraph" w:customStyle="1" w:styleId="2109">
    <w:name w:val="样式 标题 1 + 华文中宋 两端对齐 左侧:  0 厘米"/>
    <w:basedOn w:val="5"/>
    <w:qFormat/>
    <w:uiPriority w:val="0"/>
    <w:pPr>
      <w:spacing w:line="240" w:lineRule="auto"/>
      <w:ind w:left="432" w:hanging="432"/>
    </w:pPr>
    <w:rPr>
      <w:rFonts w:ascii="华文中宋" w:hAnsi="华文中宋" w:eastAsia="华文中宋"/>
    </w:rPr>
  </w:style>
  <w:style w:type="paragraph" w:customStyle="1" w:styleId="2110">
    <w:name w:val="公式"/>
    <w:basedOn w:val="1"/>
    <w:qFormat/>
    <w:uiPriority w:val="0"/>
    <w:pPr>
      <w:spacing w:before="60" w:line="394" w:lineRule="atLeast"/>
      <w:jc w:val="center"/>
      <w:textAlignment w:val="baseline"/>
    </w:pPr>
    <w:rPr>
      <w:rFonts w:ascii="CG Times (W1)"/>
      <w:kern w:val="0"/>
      <w:sz w:val="24"/>
      <w:szCs w:val="20"/>
    </w:rPr>
  </w:style>
  <w:style w:type="paragraph" w:customStyle="1" w:styleId="2111">
    <w:name w:val="样式 正文首行缩进 + 首行缩进:  2 字符1"/>
    <w:basedOn w:val="1"/>
    <w:next w:val="2106"/>
    <w:qFormat/>
    <w:uiPriority w:val="0"/>
    <w:pPr>
      <w:spacing w:line="360" w:lineRule="auto"/>
      <w:ind w:firstLine="480"/>
    </w:pPr>
    <w:rPr>
      <w:sz w:val="24"/>
    </w:rPr>
  </w:style>
  <w:style w:type="paragraph" w:customStyle="1" w:styleId="2112">
    <w:name w:val="表格内容居中"/>
    <w:basedOn w:val="1"/>
    <w:qFormat/>
    <w:uiPriority w:val="0"/>
    <w:pPr>
      <w:overflowPunct w:val="0"/>
      <w:spacing w:line="460" w:lineRule="exact"/>
      <w:jc w:val="center"/>
      <w:textAlignment w:val="baseline"/>
    </w:pPr>
    <w:rPr>
      <w:rFonts w:ascii="仿宋_GB2312" w:hAnsi="宋体"/>
      <w:spacing w:val="12"/>
      <w:kern w:val="0"/>
      <w:szCs w:val="21"/>
    </w:rPr>
  </w:style>
  <w:style w:type="paragraph" w:customStyle="1" w:styleId="2113">
    <w:name w:val="11"/>
    <w:basedOn w:val="1"/>
    <w:semiHidden/>
    <w:qFormat/>
    <w:uiPriority w:val="0"/>
    <w:pPr>
      <w:tabs>
        <w:tab w:val="left" w:pos="2490"/>
      </w:tabs>
      <w:spacing w:beforeLines="50" w:afterLines="50"/>
      <w:jc w:val="left"/>
      <w:outlineLvl w:val="1"/>
    </w:pPr>
    <w:rPr>
      <w:rFonts w:eastAsia="黑体" w:cs="宋体"/>
      <w:bCs/>
      <w:sz w:val="30"/>
      <w:szCs w:val="20"/>
    </w:rPr>
  </w:style>
  <w:style w:type="paragraph" w:customStyle="1" w:styleId="2114">
    <w:name w:val="样式 样式 样式 正文首行缩进 2 + 首行缩进:  2 字符 + 首行缩进:  2 字符 + 首行缩进:  2 字符"/>
    <w:basedOn w:val="1"/>
    <w:qFormat/>
    <w:uiPriority w:val="0"/>
    <w:pPr>
      <w:spacing w:line="440" w:lineRule="exact"/>
    </w:pPr>
    <w:rPr>
      <w:rFonts w:cs="宋体"/>
      <w:sz w:val="24"/>
      <w:szCs w:val="20"/>
    </w:rPr>
  </w:style>
  <w:style w:type="paragraph" w:customStyle="1" w:styleId="2115">
    <w:name w:val="目次、索引正文"/>
    <w:qFormat/>
    <w:uiPriority w:val="0"/>
    <w:pPr>
      <w:spacing w:line="320" w:lineRule="exact"/>
      <w:jc w:val="both"/>
    </w:pPr>
    <w:rPr>
      <w:rFonts w:ascii="宋体" w:hAnsi="Calibri" w:eastAsia="宋体" w:cs="Times New Roman"/>
      <w:sz w:val="21"/>
      <w:lang w:val="en-US" w:eastAsia="zh-CN" w:bidi="ar-SA"/>
    </w:rPr>
  </w:style>
  <w:style w:type="paragraph" w:customStyle="1" w:styleId="2116">
    <w:name w:val="样式 标题 1 + 黑体 三号 居中 行距: 固定值 20 磅"/>
    <w:basedOn w:val="5"/>
    <w:semiHidden/>
    <w:qFormat/>
    <w:uiPriority w:val="0"/>
    <w:pPr>
      <w:topLinePunct/>
      <w:autoSpaceDE w:val="0"/>
      <w:autoSpaceDN w:val="0"/>
      <w:spacing w:line="400" w:lineRule="exact"/>
      <w:ind w:firstLine="538" w:firstLineChars="224"/>
      <w:jc w:val="left"/>
    </w:pPr>
    <w:rPr>
      <w:rFonts w:ascii="黑体" w:hAnsi="黑体" w:eastAsia="黑体" w:cs="宋体"/>
      <w:b w:val="0"/>
      <w:bCs w:val="0"/>
      <w:snapToGrid w:val="0"/>
      <w:sz w:val="32"/>
      <w:szCs w:val="20"/>
    </w:rPr>
  </w:style>
  <w:style w:type="paragraph" w:customStyle="1" w:styleId="2117">
    <w:name w:val="列表 4B"/>
    <w:basedOn w:val="81"/>
    <w:qFormat/>
    <w:uiPriority w:val="0"/>
    <w:pPr>
      <w:tabs>
        <w:tab w:val="left" w:pos="360"/>
      </w:tabs>
      <w:spacing w:beforeLines="50" w:afterLines="30" w:line="288" w:lineRule="auto"/>
      <w:ind w:left="360" w:leftChars="0" w:hanging="360" w:firstLineChars="0"/>
    </w:pPr>
    <w:rPr>
      <w:rFonts w:ascii="Arial" w:hAnsi="Arial"/>
      <w:color w:val="CCFFFF"/>
      <w:sz w:val="24"/>
      <w:szCs w:val="20"/>
    </w:rPr>
  </w:style>
  <w:style w:type="paragraph" w:customStyle="1" w:styleId="2118">
    <w:name w:val="Char Char1 Char Char Char Char"/>
    <w:basedOn w:val="1"/>
    <w:qFormat/>
    <w:uiPriority w:val="0"/>
  </w:style>
  <w:style w:type="paragraph" w:customStyle="1" w:styleId="2119">
    <w:name w:val="xl83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18"/>
      <w:szCs w:val="18"/>
    </w:rPr>
  </w:style>
  <w:style w:type="paragraph" w:customStyle="1" w:styleId="2120">
    <w:name w:val="Style3"/>
    <w:basedOn w:val="1"/>
    <w:qFormat/>
    <w:uiPriority w:val="0"/>
    <w:pPr>
      <w:jc w:val="left"/>
    </w:pPr>
    <w:rPr>
      <w:rFonts w:ascii="MingLiU" w:eastAsia="MingLiU"/>
      <w:kern w:val="0"/>
      <w:sz w:val="24"/>
    </w:rPr>
  </w:style>
  <w:style w:type="paragraph" w:customStyle="1" w:styleId="2121">
    <w:name w:val="正文 New"/>
    <w:qFormat/>
    <w:uiPriority w:val="0"/>
    <w:pPr>
      <w:widowControl w:val="0"/>
      <w:adjustRightInd w:val="0"/>
      <w:snapToGrid w:val="0"/>
      <w:spacing w:line="300" w:lineRule="auto"/>
      <w:jc w:val="both"/>
    </w:pPr>
    <w:rPr>
      <w:rFonts w:ascii="仿宋_GB2312" w:hAnsi="Calibri" w:eastAsia="仿宋_GB2312" w:cs="Times New Roman"/>
      <w:kern w:val="2"/>
      <w:sz w:val="28"/>
      <w:szCs w:val="24"/>
      <w:lang w:val="en-US" w:eastAsia="zh-CN" w:bidi="ar-SA"/>
    </w:rPr>
  </w:style>
  <w:style w:type="paragraph" w:customStyle="1" w:styleId="2122">
    <w:name w:val="xl29"/>
    <w:basedOn w:val="1"/>
    <w:qFormat/>
    <w:uiPriority w:val="0"/>
    <w:pPr>
      <w:pBdr>
        <w:left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2123">
    <w:name w:val="悬挂式正文"/>
    <w:basedOn w:val="1"/>
    <w:qFormat/>
    <w:uiPriority w:val="0"/>
    <w:pPr>
      <w:tabs>
        <w:tab w:val="center" w:pos="6804"/>
        <w:tab w:val="right" w:pos="7371"/>
      </w:tabs>
      <w:overflowPunct w:val="0"/>
      <w:spacing w:line="360" w:lineRule="auto"/>
      <w:ind w:left="1701" w:hanging="1134"/>
      <w:textAlignment w:val="baseline"/>
    </w:pPr>
    <w:rPr>
      <w:kern w:val="0"/>
      <w:szCs w:val="20"/>
    </w:rPr>
  </w:style>
  <w:style w:type="paragraph" w:customStyle="1" w:styleId="2124">
    <w:name w:val="封面正文"/>
    <w:qFormat/>
    <w:uiPriority w:val="0"/>
    <w:pPr>
      <w:spacing w:line="320" w:lineRule="exact"/>
      <w:jc w:val="both"/>
    </w:pPr>
    <w:rPr>
      <w:rFonts w:ascii="Calibri" w:hAnsi="Calibri" w:eastAsia="宋体" w:cs="Times New Roman"/>
      <w:lang w:val="en-US" w:eastAsia="zh-CN" w:bidi="ar-SA"/>
    </w:rPr>
  </w:style>
  <w:style w:type="paragraph" w:customStyle="1" w:styleId="2125">
    <w:name w:val="列表 4T"/>
    <w:basedOn w:val="81"/>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2126">
    <w:name w:val="插表表头"/>
    <w:basedOn w:val="1"/>
    <w:next w:val="89"/>
    <w:qFormat/>
    <w:uiPriority w:val="0"/>
    <w:pPr>
      <w:spacing w:line="360" w:lineRule="auto"/>
      <w:jc w:val="center"/>
    </w:pPr>
    <w:rPr>
      <w:rFonts w:ascii="华文中宋" w:hAnsi="华文中宋" w:eastAsia="华文中宋"/>
      <w:b/>
      <w:bCs/>
      <w:color w:val="0000FF"/>
      <w:sz w:val="24"/>
      <w:szCs w:val="20"/>
    </w:rPr>
  </w:style>
  <w:style w:type="paragraph" w:customStyle="1" w:styleId="2127">
    <w:name w:val="xl13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000000"/>
      <w:kern w:val="0"/>
      <w:sz w:val="18"/>
      <w:szCs w:val="18"/>
    </w:rPr>
  </w:style>
  <w:style w:type="paragraph" w:customStyle="1" w:styleId="2128">
    <w:name w:val="xl18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18"/>
      <w:szCs w:val="18"/>
    </w:rPr>
  </w:style>
  <w:style w:type="paragraph" w:customStyle="1" w:styleId="2129">
    <w:name w:val="dandan6-13正文 Char Char Char Char Char Char1 Char Char Char Char Char Char"/>
    <w:basedOn w:val="1"/>
    <w:next w:val="1"/>
    <w:qFormat/>
    <w:uiPriority w:val="0"/>
    <w:pPr>
      <w:keepNext/>
      <w:keepLines/>
      <w:spacing w:before="40" w:after="40" w:line="360" w:lineRule="auto"/>
      <w:textAlignment w:val="baseline"/>
    </w:pPr>
    <w:rPr>
      <w:rFonts w:cs="宋体"/>
      <w:kern w:val="0"/>
      <w:sz w:val="24"/>
      <w:szCs w:val="28"/>
    </w:rPr>
  </w:style>
  <w:style w:type="paragraph" w:customStyle="1" w:styleId="2130">
    <w:name w:val="Char8"/>
    <w:basedOn w:val="1"/>
    <w:next w:val="1"/>
    <w:qFormat/>
    <w:uiPriority w:val="0"/>
    <w:pPr>
      <w:spacing w:line="360" w:lineRule="auto"/>
    </w:pPr>
    <w:rPr>
      <w:rFonts w:ascii="Verdana" w:hAnsi="Verdana"/>
      <w:kern w:val="0"/>
      <w:sz w:val="20"/>
      <w:szCs w:val="20"/>
      <w:lang w:eastAsia="en-US"/>
    </w:rPr>
  </w:style>
  <w:style w:type="paragraph" w:customStyle="1" w:styleId="2131">
    <w:name w:val="Char Char1 Char Char Char Char Char Char Char Char Char Char Char Char2"/>
    <w:basedOn w:val="1"/>
    <w:qFormat/>
    <w:uiPriority w:val="0"/>
    <w:pPr>
      <w:jc w:val="left"/>
    </w:pPr>
    <w:rPr>
      <w:sz w:val="32"/>
      <w:szCs w:val="20"/>
    </w:rPr>
  </w:style>
  <w:style w:type="paragraph" w:customStyle="1" w:styleId="2132">
    <w:name w:val="列表 B"/>
    <w:basedOn w:val="70"/>
    <w:qFormat/>
    <w:uiPriority w:val="0"/>
    <w:pPr>
      <w:tabs>
        <w:tab w:val="left" w:pos="425"/>
      </w:tabs>
      <w:spacing w:beforeLines="100" w:afterLines="50" w:line="288" w:lineRule="auto"/>
      <w:ind w:left="425" w:hanging="425"/>
    </w:pPr>
    <w:rPr>
      <w:rFonts w:ascii="Arial" w:hAnsi="Arial" w:eastAsia="宋体"/>
      <w:b/>
      <w:bCs/>
      <w:color w:val="FF99CC"/>
    </w:rPr>
  </w:style>
  <w:style w:type="paragraph" w:customStyle="1" w:styleId="2133">
    <w:name w:val="列表 4R"/>
    <w:basedOn w:val="81"/>
    <w:qFormat/>
    <w:uiPriority w:val="0"/>
    <w:pPr>
      <w:tabs>
        <w:tab w:val="left" w:pos="907"/>
      </w:tabs>
      <w:spacing w:beforeLines="50" w:afterLines="30" w:line="288" w:lineRule="auto"/>
      <w:ind w:left="907" w:leftChars="0" w:hanging="567" w:firstLineChars="0"/>
    </w:pPr>
    <w:rPr>
      <w:rFonts w:ascii="Arial" w:hAnsi="Arial"/>
      <w:color w:val="CCFFFF"/>
      <w:sz w:val="24"/>
      <w:szCs w:val="20"/>
    </w:rPr>
  </w:style>
  <w:style w:type="paragraph" w:customStyle="1" w:styleId="2134">
    <w:name w:val="表格正文居中"/>
    <w:basedOn w:val="1"/>
    <w:qFormat/>
    <w:uiPriority w:val="0"/>
    <w:pPr>
      <w:jc w:val="center"/>
    </w:pPr>
    <w:rPr>
      <w:rFonts w:ascii="宋体" w:hAnsi="宋体"/>
      <w:color w:val="008000"/>
      <w:szCs w:val="21"/>
    </w:rPr>
  </w:style>
  <w:style w:type="paragraph" w:customStyle="1" w:styleId="2135">
    <w:name w:val="xl35"/>
    <w:basedOn w:val="1"/>
    <w:qFormat/>
    <w:uiPriority w:val="0"/>
    <w:pPr>
      <w:pBdr>
        <w:top w:val="single" w:color="auto" w:sz="8"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2136">
    <w:name w:val="正文样式3"/>
    <w:basedOn w:val="1"/>
    <w:qFormat/>
    <w:uiPriority w:val="0"/>
    <w:pPr>
      <w:keepLines/>
      <w:spacing w:line="20" w:lineRule="atLeast"/>
      <w:jc w:val="center"/>
      <w:textAlignment w:val="baseline"/>
    </w:pPr>
    <w:rPr>
      <w:kern w:val="0"/>
      <w:sz w:val="24"/>
      <w:szCs w:val="20"/>
    </w:rPr>
  </w:style>
  <w:style w:type="paragraph" w:customStyle="1" w:styleId="2137">
    <w:name w:val="Char Char Char Char Char Char Char Char Char Char Char Char1 Char Char Char Char Char Char Char Char Char Char Char Char Char Char Char Char Char Char Char2"/>
    <w:basedOn w:val="1"/>
    <w:qFormat/>
    <w:uiPriority w:val="0"/>
    <w:pPr>
      <w:spacing w:line="360" w:lineRule="auto"/>
      <w:jc w:val="left"/>
    </w:pPr>
    <w:rPr>
      <w:szCs w:val="20"/>
    </w:rPr>
  </w:style>
  <w:style w:type="paragraph" w:customStyle="1" w:styleId="2138">
    <w:name w:val="样式 4级 + 段前: 0.5 行 段后: 0.5 行"/>
    <w:basedOn w:val="2139"/>
    <w:semiHidden/>
    <w:qFormat/>
    <w:uiPriority w:val="0"/>
    <w:pPr>
      <w:tabs>
        <w:tab w:val="left" w:pos="851"/>
      </w:tabs>
      <w:spacing w:beforeLines="50" w:afterLines="50" w:line="440" w:lineRule="exact"/>
      <w:jc w:val="left"/>
    </w:pPr>
    <w:rPr>
      <w:rFonts w:eastAsia="黑体" w:cs="宋体"/>
      <w:b w:val="0"/>
      <w:bCs/>
      <w:szCs w:val="20"/>
    </w:rPr>
  </w:style>
  <w:style w:type="paragraph" w:customStyle="1" w:styleId="2139">
    <w:name w:val="4级"/>
    <w:basedOn w:val="10"/>
    <w:qFormat/>
    <w:uiPriority w:val="0"/>
    <w:pPr>
      <w:spacing w:before="40" w:after="40" w:line="360" w:lineRule="auto"/>
      <w:ind w:left="0" w:firstLine="0"/>
    </w:pPr>
    <w:rPr>
      <w:rFonts w:eastAsia="仿宋_GB2312"/>
      <w:bCs w:val="0"/>
      <w:sz w:val="24"/>
    </w:rPr>
  </w:style>
  <w:style w:type="paragraph" w:customStyle="1" w:styleId="2140">
    <w:name w:val="reader-word-layer reader-word-s4-9"/>
    <w:basedOn w:val="1"/>
    <w:qFormat/>
    <w:uiPriority w:val="0"/>
    <w:pPr>
      <w:spacing w:before="100" w:beforeAutospacing="1" w:after="100" w:afterAutospacing="1"/>
      <w:jc w:val="left"/>
    </w:pPr>
    <w:rPr>
      <w:rFonts w:ascii="宋体" w:hAnsi="宋体" w:cs="宋体"/>
      <w:kern w:val="0"/>
      <w:sz w:val="24"/>
    </w:rPr>
  </w:style>
  <w:style w:type="paragraph" w:customStyle="1" w:styleId="2141">
    <w:name w:val="表内5"/>
    <w:basedOn w:val="1237"/>
    <w:qFormat/>
    <w:uiPriority w:val="0"/>
    <w:pPr>
      <w:tabs>
        <w:tab w:val="clear" w:pos="2340"/>
      </w:tabs>
      <w:spacing w:line="240" w:lineRule="exact"/>
      <w:ind w:firstLine="0" w:firstLineChars="0"/>
      <w:jc w:val="center"/>
    </w:pPr>
    <w:rPr>
      <w:rFonts w:ascii="Times New Roman" w:hAnsi="Times New Roman"/>
      <w:sz w:val="21"/>
      <w:szCs w:val="21"/>
    </w:rPr>
  </w:style>
  <w:style w:type="paragraph" w:customStyle="1" w:styleId="2142">
    <w:name w:val="p24"/>
    <w:basedOn w:val="1"/>
    <w:qFormat/>
    <w:uiPriority w:val="0"/>
    <w:pPr>
      <w:spacing w:before="100" w:beforeAutospacing="1" w:after="100" w:afterAutospacing="1"/>
      <w:jc w:val="left"/>
    </w:pPr>
    <w:rPr>
      <w:rFonts w:ascii="宋体" w:hAnsi="宋体" w:cs="宋体"/>
      <w:kern w:val="0"/>
      <w:sz w:val="24"/>
    </w:rPr>
  </w:style>
  <w:style w:type="paragraph" w:customStyle="1" w:styleId="2143">
    <w:name w:val="xl1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2144">
    <w:name w:val="xl21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kern w:val="0"/>
      <w:sz w:val="18"/>
      <w:szCs w:val="18"/>
    </w:rPr>
  </w:style>
  <w:style w:type="paragraph" w:customStyle="1" w:styleId="2145">
    <w:name w:val="列表 2D"/>
    <w:basedOn w:val="41"/>
    <w:qFormat/>
    <w:uiPriority w:val="0"/>
    <w:pPr>
      <w:tabs>
        <w:tab w:val="left" w:pos="885"/>
      </w:tabs>
      <w:adjustRightInd/>
      <w:spacing w:before="100" w:beforeAutospacing="1" w:after="100" w:afterAutospacing="1" w:line="288" w:lineRule="auto"/>
      <w:ind w:left="885" w:hanging="315"/>
      <w:jc w:val="both"/>
      <w:textAlignment w:val="auto"/>
    </w:pPr>
    <w:rPr>
      <w:rFonts w:ascii="Arial" w:hAnsi="Arial"/>
      <w:color w:val="FFFF99"/>
      <w:kern w:val="2"/>
    </w:rPr>
  </w:style>
  <w:style w:type="paragraph" w:customStyle="1" w:styleId="2146">
    <w:name w:val="码头正文"/>
    <w:basedOn w:val="25"/>
    <w:qFormat/>
    <w:uiPriority w:val="0"/>
    <w:pPr>
      <w:spacing w:before="60" w:after="60" w:line="300" w:lineRule="auto"/>
      <w:ind w:firstLine="480"/>
      <w:jc w:val="left"/>
    </w:pPr>
    <w:rPr>
      <w:sz w:val="24"/>
      <w:szCs w:val="24"/>
    </w:rPr>
  </w:style>
  <w:style w:type="paragraph" w:customStyle="1" w:styleId="2147">
    <w:name w:val="方框图"/>
    <w:basedOn w:val="1"/>
    <w:qFormat/>
    <w:uiPriority w:val="0"/>
    <w:pPr>
      <w:spacing w:line="280" w:lineRule="exact"/>
      <w:textAlignment w:val="baseline"/>
    </w:pPr>
    <w:rPr>
      <w:rFonts w:ascii="宋体"/>
      <w:w w:val="90"/>
      <w:kern w:val="0"/>
      <w:szCs w:val="20"/>
    </w:rPr>
  </w:style>
  <w:style w:type="paragraph" w:customStyle="1" w:styleId="2148">
    <w:name w:val="xl13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149">
    <w:name w:val="xl33"/>
    <w:basedOn w:val="1"/>
    <w:qFormat/>
    <w:uiPriority w:val="0"/>
    <w:pPr>
      <w:pBdr>
        <w:left w:val="single" w:color="auto" w:sz="8"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kern w:val="0"/>
      <w:sz w:val="20"/>
      <w:szCs w:val="20"/>
    </w:rPr>
  </w:style>
  <w:style w:type="paragraph" w:customStyle="1" w:styleId="2150">
    <w:name w:val="TOC 标题1"/>
    <w:basedOn w:val="5"/>
    <w:next w:val="1"/>
    <w:qFormat/>
    <w:uiPriority w:val="0"/>
    <w:pPr>
      <w:spacing w:before="480" w:after="0" w:line="276" w:lineRule="auto"/>
      <w:ind w:left="0" w:firstLine="0" w:firstLineChars="0"/>
      <w:jc w:val="left"/>
      <w:outlineLvl w:val="9"/>
    </w:pPr>
    <w:rPr>
      <w:rFonts w:ascii="Cambria" w:hAnsi="Cambria"/>
      <w:color w:val="365F90"/>
      <w:kern w:val="0"/>
      <w:sz w:val="28"/>
      <w:szCs w:val="28"/>
    </w:rPr>
  </w:style>
  <w:style w:type="paragraph" w:customStyle="1" w:styleId="2151">
    <w:name w:val="编号结尾"/>
    <w:basedOn w:val="24"/>
    <w:next w:val="38"/>
    <w:semiHidden/>
    <w:qFormat/>
    <w:uiPriority w:val="0"/>
    <w:pPr>
      <w:tabs>
        <w:tab w:val="clear" w:pos="360"/>
      </w:tabs>
      <w:overflowPunct w:val="0"/>
      <w:autoSpaceDE w:val="0"/>
      <w:autoSpaceDN w:val="0"/>
      <w:spacing w:after="240"/>
      <w:ind w:left="720" w:firstLine="0" w:firstLineChars="0"/>
      <w:jc w:val="left"/>
      <w:textAlignment w:val="baseline"/>
    </w:pPr>
    <w:rPr>
      <w:kern w:val="0"/>
      <w:sz w:val="20"/>
      <w:szCs w:val="20"/>
    </w:rPr>
  </w:style>
  <w:style w:type="paragraph" w:customStyle="1" w:styleId="2152">
    <w:name w:val="xl1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kern w:val="0"/>
      <w:sz w:val="20"/>
      <w:szCs w:val="20"/>
    </w:rPr>
  </w:style>
  <w:style w:type="paragraph" w:customStyle="1" w:styleId="2153">
    <w:name w:val="列表 5S"/>
    <w:basedOn w:val="73"/>
    <w:qFormat/>
    <w:uiPriority w:val="0"/>
    <w:pPr>
      <w:tabs>
        <w:tab w:val="left" w:pos="1134"/>
      </w:tabs>
      <w:ind w:left="1134" w:leftChars="0" w:hanging="425" w:firstLineChars="0"/>
    </w:pPr>
    <w:rPr>
      <w:rFonts w:ascii="Arial" w:hAnsi="Arial"/>
      <w:color w:val="99CCFF"/>
      <w:sz w:val="24"/>
      <w:szCs w:val="20"/>
    </w:rPr>
  </w:style>
  <w:style w:type="paragraph" w:customStyle="1" w:styleId="2154">
    <w:name w:val="环表"/>
    <w:basedOn w:val="1"/>
    <w:qFormat/>
    <w:uiPriority w:val="0"/>
    <w:pPr>
      <w:tabs>
        <w:tab w:val="left" w:pos="5094"/>
      </w:tabs>
      <w:textAlignment w:val="baseline"/>
    </w:pPr>
    <w:rPr>
      <w:snapToGrid w:val="0"/>
      <w:color w:val="000000"/>
      <w:szCs w:val="28"/>
    </w:rPr>
  </w:style>
  <w:style w:type="paragraph" w:customStyle="1" w:styleId="2155">
    <w:name w:val="样式 标题 3 + Arial"/>
    <w:basedOn w:val="1"/>
    <w:qFormat/>
    <w:uiPriority w:val="0"/>
    <w:rPr>
      <w:rFonts w:eastAsia="宋体"/>
      <w:szCs w:val="20"/>
    </w:rPr>
  </w:style>
  <w:style w:type="paragraph" w:customStyle="1" w:styleId="2156">
    <w:name w:val="图表标题"/>
    <w:basedOn w:val="1"/>
    <w:next w:val="1893"/>
    <w:qFormat/>
    <w:uiPriority w:val="0"/>
    <w:pPr>
      <w:spacing w:line="480" w:lineRule="exact"/>
      <w:jc w:val="center"/>
      <w:textAlignment w:val="baseline"/>
    </w:pPr>
    <w:rPr>
      <w:b/>
      <w:bCs/>
      <w:color w:val="FF0000"/>
      <w:spacing w:val="20"/>
      <w:kern w:val="0"/>
      <w:sz w:val="24"/>
    </w:rPr>
  </w:style>
  <w:style w:type="paragraph" w:customStyle="1" w:styleId="2157">
    <w:name w:val="xl53"/>
    <w:basedOn w:val="1"/>
    <w:qFormat/>
    <w:uiPriority w:val="0"/>
    <w:pPr>
      <w:pBdr>
        <w:top w:val="single" w:color="auto" w:sz="4" w:space="0"/>
        <w:left w:val="single" w:color="auto" w:sz="4" w:space="0"/>
      </w:pBdr>
      <w:spacing w:before="100" w:beforeAutospacing="1" w:after="100" w:afterAutospacing="1"/>
      <w:jc w:val="center"/>
      <w:textAlignment w:val="center"/>
    </w:pPr>
    <w:rPr>
      <w:rFonts w:eastAsia="Arial Unicode MS"/>
      <w:kern w:val="0"/>
      <w:sz w:val="24"/>
    </w:rPr>
  </w:style>
  <w:style w:type="paragraph" w:customStyle="1" w:styleId="2158">
    <w:name w:val="xl2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2159">
    <w:name w:val="标题 51"/>
    <w:basedOn w:val="1"/>
    <w:qFormat/>
    <w:uiPriority w:val="0"/>
    <w:pPr>
      <w:autoSpaceDE w:val="0"/>
      <w:autoSpaceDN w:val="0"/>
      <w:ind w:left="137"/>
      <w:jc w:val="left"/>
      <w:outlineLvl w:val="4"/>
    </w:pPr>
    <w:rPr>
      <w:rFonts w:ascii="Arial" w:hAnsi="Arial" w:cs="Arial"/>
      <w:kern w:val="0"/>
      <w:sz w:val="32"/>
      <w:szCs w:val="32"/>
    </w:rPr>
  </w:style>
  <w:style w:type="paragraph" w:customStyle="1" w:styleId="2160">
    <w:name w:val="xl88"/>
    <w:basedOn w:val="1"/>
    <w:qFormat/>
    <w:uiPriority w:val="0"/>
    <w:pPr>
      <w:pBdr>
        <w:top w:val="single" w:color="auto" w:sz="4" w:space="0"/>
        <w:left w:val="single" w:color="auto" w:sz="8" w:space="0"/>
        <w:bottom w:val="single" w:color="auto" w:sz="4" w:space="0"/>
      </w:pBdr>
      <w:spacing w:before="100" w:beforeAutospacing="1" w:after="100" w:afterAutospacing="1"/>
      <w:jc w:val="left"/>
    </w:pPr>
    <w:rPr>
      <w:rFonts w:eastAsia="Arial Unicode MS"/>
      <w:kern w:val="0"/>
      <w:sz w:val="16"/>
      <w:szCs w:val="16"/>
    </w:rPr>
  </w:style>
  <w:style w:type="paragraph" w:customStyle="1" w:styleId="2161">
    <w:name w:val="xl22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162">
    <w:name w:val="xl104"/>
    <w:basedOn w:val="1"/>
    <w:qFormat/>
    <w:uiPriority w:val="0"/>
    <w:pPr>
      <w:pBdr>
        <w:left w:val="single" w:color="auto" w:sz="8" w:space="0"/>
      </w:pBdr>
      <w:spacing w:before="100" w:beforeAutospacing="1" w:after="100" w:afterAutospacing="1"/>
      <w:jc w:val="left"/>
      <w:textAlignment w:val="center"/>
    </w:pPr>
    <w:rPr>
      <w:rFonts w:ascii="Arial Unicode MS" w:hAnsi="Arial Unicode MS" w:eastAsia="Arial Unicode MS" w:cs="Arial Unicode MS"/>
      <w:kern w:val="0"/>
      <w:sz w:val="16"/>
      <w:szCs w:val="16"/>
    </w:rPr>
  </w:style>
  <w:style w:type="paragraph" w:customStyle="1" w:styleId="2163">
    <w:name w:val="正文文字缩进 31"/>
    <w:basedOn w:val="1"/>
    <w:next w:val="55"/>
    <w:semiHidden/>
    <w:qFormat/>
    <w:uiPriority w:val="0"/>
    <w:pPr>
      <w:spacing w:line="360" w:lineRule="auto"/>
      <w:ind w:firstLine="280" w:firstLineChars="100"/>
    </w:pPr>
    <w:rPr>
      <w:rFonts w:ascii="宋体" w:hAnsi="宋体" w:cs="宋体"/>
      <w:bCs/>
      <w:szCs w:val="30"/>
    </w:rPr>
  </w:style>
  <w:style w:type="paragraph" w:customStyle="1" w:styleId="2164">
    <w:name w:val="xl2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165">
    <w:name w:val="表格内容1"/>
    <w:basedOn w:val="254"/>
    <w:qFormat/>
    <w:uiPriority w:val="0"/>
    <w:pPr>
      <w:tabs>
        <w:tab w:val="left" w:pos="2880"/>
      </w:tabs>
    </w:pPr>
    <w:rPr>
      <w:bCs/>
      <w:kern w:val="0"/>
      <w:szCs w:val="21"/>
    </w:rPr>
  </w:style>
  <w:style w:type="paragraph" w:customStyle="1" w:styleId="2166">
    <w:name w:val="xl14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000000"/>
      <w:kern w:val="0"/>
      <w:sz w:val="18"/>
      <w:szCs w:val="18"/>
    </w:rPr>
  </w:style>
  <w:style w:type="paragraph" w:customStyle="1" w:styleId="2167">
    <w:name w:val="列表 4D"/>
    <w:basedOn w:val="81"/>
    <w:qFormat/>
    <w:uiPriority w:val="0"/>
    <w:pPr>
      <w:tabs>
        <w:tab w:val="left" w:pos="360"/>
      </w:tabs>
      <w:spacing w:beforeLines="50" w:afterLines="30" w:line="288" w:lineRule="auto"/>
      <w:ind w:left="360" w:leftChars="0" w:hanging="360" w:firstLineChars="0"/>
    </w:pPr>
    <w:rPr>
      <w:rFonts w:ascii="Arial" w:hAnsi="Arial"/>
      <w:color w:val="CCFFFF"/>
      <w:sz w:val="24"/>
      <w:szCs w:val="20"/>
    </w:rPr>
  </w:style>
  <w:style w:type="paragraph" w:customStyle="1" w:styleId="2168">
    <w:name w:val="(文字) (文字)"/>
    <w:basedOn w:val="1"/>
    <w:qFormat/>
    <w:uiPriority w:val="0"/>
    <w:pPr>
      <w:spacing w:after="160" w:line="240" w:lineRule="exact"/>
      <w:jc w:val="left"/>
    </w:pPr>
    <w:rPr>
      <w:rFonts w:ascii="Verdana" w:hAnsi="Verdana"/>
      <w:kern w:val="0"/>
      <w:sz w:val="24"/>
      <w:szCs w:val="20"/>
      <w:lang w:eastAsia="en-US"/>
    </w:rPr>
  </w:style>
  <w:style w:type="paragraph" w:customStyle="1" w:styleId="2169">
    <w:name w:val="xl14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kern w:val="0"/>
      <w:sz w:val="18"/>
      <w:szCs w:val="18"/>
    </w:rPr>
  </w:style>
  <w:style w:type="paragraph" w:customStyle="1" w:styleId="2170">
    <w:name w:val="puce"/>
    <w:basedOn w:val="1"/>
    <w:qFormat/>
    <w:uiPriority w:val="0"/>
    <w:pPr>
      <w:spacing w:after="100" w:afterAutospacing="1"/>
      <w:ind w:left="200" w:firstLine="518" w:firstLineChars="216"/>
    </w:pPr>
    <w:rPr>
      <w:rFonts w:ascii="宋体" w:hAnsi="宋体"/>
      <w:color w:val="000000"/>
      <w:kern w:val="0"/>
      <w:sz w:val="24"/>
      <w:szCs w:val="20"/>
    </w:rPr>
  </w:style>
  <w:style w:type="paragraph" w:customStyle="1" w:styleId="2171">
    <w:name w:val="工艺统一正文"/>
    <w:basedOn w:val="1"/>
    <w:qFormat/>
    <w:uiPriority w:val="0"/>
    <w:pPr>
      <w:spacing w:line="360" w:lineRule="auto"/>
      <w:ind w:firstLine="578"/>
    </w:pPr>
    <w:rPr>
      <w:rFonts w:ascii="宋体"/>
      <w:szCs w:val="20"/>
    </w:rPr>
  </w:style>
  <w:style w:type="paragraph" w:customStyle="1" w:styleId="2172">
    <w:name w:val="Table Paragraph"/>
    <w:basedOn w:val="1"/>
    <w:qFormat/>
    <w:uiPriority w:val="1"/>
    <w:pPr>
      <w:jc w:val="left"/>
    </w:pPr>
    <w:rPr>
      <w:rFonts w:ascii="Calibri" w:hAnsi="Calibri"/>
      <w:kern w:val="0"/>
      <w:sz w:val="22"/>
      <w:lang w:eastAsia="en-US"/>
    </w:rPr>
  </w:style>
  <w:style w:type="paragraph" w:customStyle="1" w:styleId="2173">
    <w:name w:val="xl8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18"/>
      <w:szCs w:val="18"/>
    </w:rPr>
  </w:style>
  <w:style w:type="paragraph" w:customStyle="1" w:styleId="2174">
    <w:name w:val="xl824"/>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2175">
    <w:name w:val="xl23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176">
    <w:name w:val="样式 正文首行缩进 + 黑色 首行缩进:  2 字符2"/>
    <w:basedOn w:val="89"/>
    <w:qFormat/>
    <w:uiPriority w:val="0"/>
    <w:pPr>
      <w:spacing w:line="300" w:lineRule="auto"/>
      <w:ind w:firstLine="560" w:firstLineChars="200"/>
    </w:pPr>
    <w:rPr>
      <w:rFonts w:cs="宋体"/>
      <w:color w:val="000000"/>
      <w:kern w:val="0"/>
      <w:szCs w:val="20"/>
    </w:rPr>
  </w:style>
  <w:style w:type="paragraph" w:customStyle="1" w:styleId="2177">
    <w:name w:val="CM58"/>
    <w:basedOn w:val="2"/>
    <w:next w:val="2"/>
    <w:unhideWhenUsed/>
    <w:qFormat/>
    <w:uiPriority w:val="0"/>
    <w:pPr>
      <w:spacing w:line="500" w:lineRule="atLeast"/>
    </w:pPr>
    <w:rPr>
      <w:rFonts w:ascii="华文行楷" w:hAnsi="华文行楷" w:eastAsia="华文行楷" w:cs="Times New Roman"/>
      <w:szCs w:val="22"/>
    </w:rPr>
  </w:style>
  <w:style w:type="paragraph" w:customStyle="1" w:styleId="2178">
    <w:name w:val="xl22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2179">
    <w:name w:val="列表 1A"/>
    <w:basedOn w:val="1873"/>
    <w:qFormat/>
    <w:uiPriority w:val="0"/>
    <w:pPr>
      <w:tabs>
        <w:tab w:val="left" w:pos="907"/>
        <w:tab w:val="clear" w:pos="432"/>
      </w:tabs>
      <w:ind w:left="907" w:hanging="567"/>
    </w:pPr>
  </w:style>
  <w:style w:type="paragraph" w:customStyle="1" w:styleId="2180">
    <w:name w:val="封面标题2"/>
    <w:basedOn w:val="1"/>
    <w:qFormat/>
    <w:uiPriority w:val="0"/>
    <w:pPr>
      <w:spacing w:before="312" w:line="360" w:lineRule="auto"/>
      <w:jc w:val="center"/>
      <w:outlineLvl w:val="0"/>
    </w:pPr>
    <w:rPr>
      <w:rFonts w:ascii="黑体" w:eastAsia="黑体"/>
      <w:snapToGrid w:val="0"/>
      <w:spacing w:val="20"/>
      <w:sz w:val="44"/>
      <w:szCs w:val="44"/>
    </w:rPr>
  </w:style>
  <w:style w:type="paragraph" w:customStyle="1" w:styleId="2181">
    <w:name w:val="xl2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0"/>
      <w:szCs w:val="20"/>
    </w:rPr>
  </w:style>
  <w:style w:type="paragraph" w:customStyle="1" w:styleId="2182">
    <w:name w:val="封面大标题"/>
    <w:basedOn w:val="1"/>
    <w:next w:val="1"/>
    <w:qFormat/>
    <w:uiPriority w:val="0"/>
    <w:pPr>
      <w:spacing w:line="0" w:lineRule="atLeast"/>
    </w:pPr>
    <w:rPr>
      <w:rFonts w:ascii="宋体" w:hAnsi="宋体"/>
      <w:sz w:val="44"/>
      <w:szCs w:val="44"/>
    </w:rPr>
  </w:style>
  <w:style w:type="paragraph" w:customStyle="1" w:styleId="2183">
    <w:name w:val="xl22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184">
    <w:name w:val="Char Char Char Char Char Char"/>
    <w:basedOn w:val="1"/>
    <w:qFormat/>
    <w:uiPriority w:val="0"/>
    <w:rPr>
      <w:sz w:val="24"/>
    </w:rPr>
  </w:style>
  <w:style w:type="paragraph" w:customStyle="1" w:styleId="2185">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2186">
    <w:name w:val="正文文本最新 Char Char Char1 Char Char Char Char Char"/>
    <w:qFormat/>
    <w:uiPriority w:val="0"/>
    <w:pPr>
      <w:spacing w:line="360" w:lineRule="auto"/>
      <w:ind w:firstLine="200" w:firstLineChars="200"/>
      <w:jc w:val="both"/>
    </w:pPr>
    <w:rPr>
      <w:rFonts w:ascii="Calibri" w:hAnsi="Calibri" w:eastAsia="宋体" w:cs="Times New Roman"/>
      <w:bCs/>
      <w:kern w:val="2"/>
      <w:sz w:val="28"/>
      <w:szCs w:val="24"/>
      <w:lang w:val="en-US" w:eastAsia="zh-CN" w:bidi="ar-SA"/>
    </w:rPr>
  </w:style>
  <w:style w:type="paragraph" w:customStyle="1" w:styleId="2187">
    <w:name w:val="列表 5O"/>
    <w:basedOn w:val="73"/>
    <w:qFormat/>
    <w:uiPriority w:val="0"/>
    <w:pPr>
      <w:tabs>
        <w:tab w:val="left" w:pos="1134"/>
      </w:tabs>
      <w:ind w:left="1134" w:leftChars="0" w:hanging="425" w:firstLineChars="0"/>
    </w:pPr>
    <w:rPr>
      <w:rFonts w:ascii="Arial" w:hAnsi="Arial"/>
      <w:color w:val="99CCFF"/>
      <w:sz w:val="24"/>
      <w:szCs w:val="20"/>
    </w:rPr>
  </w:style>
  <w:style w:type="paragraph" w:customStyle="1" w:styleId="2188">
    <w:name w:val="xl231"/>
    <w:basedOn w:val="1"/>
    <w:qFormat/>
    <w:uiPriority w:val="0"/>
    <w:pPr>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189">
    <w:name w:val="xl21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190">
    <w:name w:val="_Style 1"/>
    <w:basedOn w:val="1"/>
    <w:next w:val="25"/>
    <w:qFormat/>
    <w:uiPriority w:val="0"/>
    <w:pPr>
      <w:spacing w:line="288" w:lineRule="auto"/>
      <w:ind w:firstLine="480"/>
      <w:textAlignment w:val="baseline"/>
    </w:pPr>
    <w:rPr>
      <w:rFonts w:ascii="宋体" w:hAnsi="宋体" w:cs="宋体"/>
      <w:sz w:val="24"/>
    </w:rPr>
  </w:style>
  <w:style w:type="paragraph" w:customStyle="1" w:styleId="2191">
    <w:name w:val="xl22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192">
    <w:name w:val="Char Char Char Char Char Char Char Char Char Char Char Char Char2"/>
    <w:basedOn w:val="1"/>
    <w:qFormat/>
    <w:uiPriority w:val="0"/>
    <w:rPr>
      <w:rFonts w:ascii="Verdana" w:hAnsi="Verdana"/>
      <w:kern w:val="0"/>
      <w:sz w:val="20"/>
      <w:szCs w:val="20"/>
      <w:lang w:eastAsia="en-US"/>
    </w:rPr>
  </w:style>
  <w:style w:type="paragraph" w:customStyle="1" w:styleId="2193">
    <w:name w:val="项目点符号"/>
    <w:basedOn w:val="1"/>
    <w:qFormat/>
    <w:uiPriority w:val="0"/>
    <w:pPr>
      <w:spacing w:line="360" w:lineRule="auto"/>
      <w:ind w:firstLine="539" w:firstLineChars="198"/>
    </w:pPr>
    <w:rPr>
      <w:rFonts w:hAnsi="宋体"/>
      <w:color w:val="000000"/>
      <w:spacing w:val="16"/>
      <w:sz w:val="24"/>
    </w:rPr>
  </w:style>
  <w:style w:type="paragraph" w:customStyle="1" w:styleId="2194">
    <w:name w:val="三级无标题条"/>
    <w:basedOn w:val="1"/>
    <w:qFormat/>
    <w:uiPriority w:val="0"/>
  </w:style>
  <w:style w:type="paragraph" w:customStyle="1" w:styleId="2195">
    <w:name w:val="样式 正文首行缩进 + 首行缩进:  2 字符4"/>
    <w:basedOn w:val="89"/>
    <w:qFormat/>
    <w:uiPriority w:val="0"/>
    <w:pPr>
      <w:spacing w:line="300" w:lineRule="auto"/>
      <w:ind w:firstLine="560" w:firstLineChars="200"/>
    </w:pPr>
    <w:rPr>
      <w:rFonts w:cs="宋体"/>
      <w:color w:val="FF0000"/>
      <w:szCs w:val="20"/>
    </w:rPr>
  </w:style>
  <w:style w:type="paragraph" w:customStyle="1" w:styleId="2196">
    <w:name w:val="xl23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197">
    <w:name w:val="四级"/>
    <w:basedOn w:val="10"/>
    <w:qFormat/>
    <w:uiPriority w:val="0"/>
    <w:pPr>
      <w:spacing w:before="10" w:after="10" w:line="440" w:lineRule="exact"/>
      <w:ind w:left="0" w:firstLine="0"/>
    </w:pPr>
    <w:rPr>
      <w:b w:val="0"/>
      <w:bCs w:val="0"/>
      <w:sz w:val="24"/>
    </w:rPr>
  </w:style>
  <w:style w:type="paragraph" w:customStyle="1" w:styleId="2198">
    <w:name w:val="xl245"/>
    <w:basedOn w:val="1"/>
    <w:qFormat/>
    <w:uiPriority w:val="0"/>
    <w:pPr>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2199">
    <w:name w:val="列表 A"/>
    <w:basedOn w:val="70"/>
    <w:qFormat/>
    <w:uiPriority w:val="0"/>
    <w:pPr>
      <w:tabs>
        <w:tab w:val="left" w:pos="1021"/>
      </w:tabs>
      <w:spacing w:beforeLines="100" w:afterLines="50" w:line="288" w:lineRule="auto"/>
      <w:ind w:left="1021" w:hanging="454"/>
    </w:pPr>
    <w:rPr>
      <w:rFonts w:ascii="Arial" w:hAnsi="Arial" w:eastAsia="宋体"/>
      <w:b/>
      <w:bCs/>
      <w:color w:val="FF99CC"/>
    </w:rPr>
  </w:style>
  <w:style w:type="paragraph" w:customStyle="1" w:styleId="2200">
    <w:name w:val="正文首行缩进3"/>
    <w:basedOn w:val="38"/>
    <w:qFormat/>
    <w:uiPriority w:val="0"/>
    <w:pPr>
      <w:spacing w:line="312" w:lineRule="atLeast"/>
      <w:ind w:firstLine="420"/>
      <w:textAlignment w:val="baseline"/>
    </w:pPr>
    <w:rPr>
      <w:rFonts w:ascii="Arial" w:hAnsi="Arial"/>
      <w:color w:val="000000"/>
      <w:kern w:val="0"/>
      <w:sz w:val="27"/>
      <w:szCs w:val="20"/>
    </w:rPr>
  </w:style>
  <w:style w:type="paragraph" w:customStyle="1" w:styleId="2201">
    <w:name w:val="样式 样式 宋体 13 磅 白色 首行缩进:  0.74 厘米 + 自动设置 首行缩进:  2 字符"/>
    <w:basedOn w:val="1"/>
    <w:qFormat/>
    <w:uiPriority w:val="0"/>
    <w:pPr>
      <w:ind w:firstLine="520"/>
    </w:pPr>
    <w:rPr>
      <w:rFonts w:ascii="宋体" w:hAnsi="宋体" w:cs="宋体"/>
      <w:sz w:val="27"/>
      <w:szCs w:val="27"/>
    </w:rPr>
  </w:style>
  <w:style w:type="paragraph" w:customStyle="1" w:styleId="2202">
    <w:name w:val="芳标题3（大）"/>
    <w:basedOn w:val="1"/>
    <w:qFormat/>
    <w:uiPriority w:val="0"/>
    <w:rPr>
      <w:rFonts w:ascii="Arial" w:hAnsi="Arial" w:eastAsia="黑体" w:cs="Arial"/>
      <w:szCs w:val="21"/>
    </w:rPr>
  </w:style>
  <w:style w:type="paragraph" w:customStyle="1" w:styleId="2203">
    <w:name w:val="图题"/>
    <w:basedOn w:val="7"/>
    <w:qFormat/>
    <w:uiPriority w:val="0"/>
    <w:pPr>
      <w:tabs>
        <w:tab w:val="clear" w:pos="1440"/>
      </w:tabs>
      <w:spacing w:before="0" w:after="0"/>
      <w:ind w:left="0" w:firstLine="0"/>
      <w:jc w:val="center"/>
    </w:pPr>
    <w:rPr>
      <w:rFonts w:ascii="方正大标宋简体" w:eastAsia="方正大标宋简体"/>
      <w:b w:val="0"/>
      <w:sz w:val="24"/>
      <w:szCs w:val="24"/>
    </w:rPr>
  </w:style>
  <w:style w:type="paragraph" w:customStyle="1" w:styleId="2204">
    <w:name w:val="a0"/>
    <w:basedOn w:val="1"/>
    <w:qFormat/>
    <w:uiPriority w:val="0"/>
    <w:pPr>
      <w:jc w:val="center"/>
    </w:pPr>
    <w:rPr>
      <w:rFonts w:eastAsia="Arial Unicode MS"/>
      <w:color w:val="000000"/>
      <w:kern w:val="0"/>
      <w:sz w:val="24"/>
    </w:rPr>
  </w:style>
  <w:style w:type="paragraph" w:customStyle="1" w:styleId="2205">
    <w:name w:val="t12"/>
    <w:basedOn w:val="1"/>
    <w:qFormat/>
    <w:uiPriority w:val="0"/>
    <w:pPr>
      <w:spacing w:before="100" w:beforeAutospacing="1" w:after="100" w:afterAutospacing="1"/>
      <w:jc w:val="left"/>
    </w:pPr>
    <w:rPr>
      <w:rFonts w:ascii="宋体" w:hAnsi="宋体" w:cs="宋体"/>
      <w:kern w:val="0"/>
      <w:sz w:val="24"/>
    </w:rPr>
  </w:style>
  <w:style w:type="paragraph" w:customStyle="1" w:styleId="2206">
    <w:name w:val="xl1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18"/>
      <w:szCs w:val="18"/>
    </w:rPr>
  </w:style>
  <w:style w:type="paragraph" w:customStyle="1" w:styleId="2207">
    <w:name w:val="xl27"/>
    <w:basedOn w:val="1"/>
    <w:qFormat/>
    <w:uiPriority w:val="0"/>
    <w:pPr>
      <w:pBdr>
        <w:top w:val="single" w:color="auto" w:sz="8" w:space="0"/>
        <w:left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kern w:val="0"/>
      <w:sz w:val="22"/>
    </w:rPr>
  </w:style>
  <w:style w:type="paragraph" w:customStyle="1" w:styleId="2208">
    <w:name w:val="xl19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2209">
    <w:name w:val="kk"/>
    <w:basedOn w:val="38"/>
    <w:qFormat/>
    <w:uiPriority w:val="0"/>
    <w:pPr>
      <w:autoSpaceDE w:val="0"/>
      <w:autoSpaceDN w:val="0"/>
      <w:spacing w:after="0" w:line="360" w:lineRule="auto"/>
      <w:textAlignment w:val="baseline"/>
    </w:pPr>
    <w:rPr>
      <w:spacing w:val="10"/>
      <w:kern w:val="0"/>
      <w:sz w:val="24"/>
      <w:szCs w:val="20"/>
    </w:rPr>
  </w:style>
  <w:style w:type="paragraph" w:customStyle="1" w:styleId="2210">
    <w:name w:val="列表 I"/>
    <w:basedOn w:val="70"/>
    <w:qFormat/>
    <w:uiPriority w:val="0"/>
    <w:pPr>
      <w:tabs>
        <w:tab w:val="left" w:pos="425"/>
      </w:tabs>
      <w:spacing w:beforeLines="100" w:afterLines="50" w:line="288" w:lineRule="auto"/>
      <w:ind w:left="425" w:hanging="425"/>
    </w:pPr>
    <w:rPr>
      <w:rFonts w:ascii="Arial" w:hAnsi="Arial" w:eastAsia="宋体"/>
      <w:b/>
      <w:bCs/>
      <w:color w:val="FF99CC"/>
    </w:rPr>
  </w:style>
  <w:style w:type="paragraph" w:customStyle="1" w:styleId="2211">
    <w:name w:val="表前文字"/>
    <w:basedOn w:val="1"/>
    <w:qFormat/>
    <w:uiPriority w:val="0"/>
    <w:pPr>
      <w:spacing w:line="336" w:lineRule="auto"/>
      <w:jc w:val="center"/>
    </w:pPr>
    <w:rPr>
      <w:rFonts w:ascii="宋体" w:hAnsi="宋体"/>
      <w:sz w:val="24"/>
    </w:rPr>
  </w:style>
  <w:style w:type="paragraph" w:customStyle="1" w:styleId="2212">
    <w:name w:val="小4黑居中行1"/>
    <w:qFormat/>
    <w:uiPriority w:val="0"/>
    <w:pPr>
      <w:widowControl w:val="0"/>
      <w:tabs>
        <w:tab w:val="right" w:leader="middleDot" w:pos="8222"/>
      </w:tabs>
      <w:spacing w:line="320" w:lineRule="exact"/>
      <w:jc w:val="center"/>
    </w:pPr>
    <w:rPr>
      <w:rFonts w:ascii="仿宋_GB2312" w:hAnsi="宋体" w:eastAsia="仿宋_GB2312" w:cs="Times New Roman"/>
      <w:kern w:val="2"/>
      <w:sz w:val="24"/>
      <w:szCs w:val="24"/>
      <w:lang w:val="en-US" w:eastAsia="zh-CN" w:bidi="ar-SA"/>
    </w:rPr>
  </w:style>
  <w:style w:type="paragraph" w:customStyle="1" w:styleId="2213">
    <w:name w:val="封面（XX版）EPAJW120926"/>
    <w:basedOn w:val="1"/>
    <w:qFormat/>
    <w:uiPriority w:val="0"/>
    <w:pPr>
      <w:spacing w:before="312" w:after="312" w:line="360" w:lineRule="auto"/>
      <w:jc w:val="center"/>
    </w:pPr>
    <w:rPr>
      <w:rFonts w:cs="宋体"/>
      <w:sz w:val="32"/>
      <w:szCs w:val="20"/>
    </w:rPr>
  </w:style>
  <w:style w:type="paragraph" w:customStyle="1" w:styleId="2214">
    <w:name w:val="目录1"/>
    <w:basedOn w:val="1"/>
    <w:next w:val="1"/>
    <w:qFormat/>
    <w:uiPriority w:val="0"/>
    <w:pPr>
      <w:spacing w:before="50" w:after="50" w:line="400" w:lineRule="exact"/>
    </w:pPr>
    <w:rPr>
      <w:rFonts w:ascii="Arial" w:hAnsi="Arial" w:eastAsia="黑体"/>
      <w:spacing w:val="10"/>
      <w:w w:val="90"/>
      <w:kern w:val="21"/>
      <w:sz w:val="24"/>
      <w:szCs w:val="20"/>
    </w:rPr>
  </w:style>
  <w:style w:type="paragraph" w:customStyle="1" w:styleId="2215">
    <w:name w:val="样式 正文首行缩进 + 首行缩进:  2 字符5"/>
    <w:basedOn w:val="89"/>
    <w:qFormat/>
    <w:uiPriority w:val="0"/>
    <w:pPr>
      <w:spacing w:line="300" w:lineRule="auto"/>
      <w:ind w:firstLine="560" w:firstLineChars="200"/>
    </w:pPr>
    <w:rPr>
      <w:rFonts w:cs="宋体"/>
      <w:szCs w:val="20"/>
    </w:rPr>
  </w:style>
  <w:style w:type="paragraph" w:customStyle="1" w:styleId="2216">
    <w:name w:val="表标"/>
    <w:qFormat/>
    <w:uiPriority w:val="0"/>
    <w:pPr>
      <w:tabs>
        <w:tab w:val="left" w:pos="8207"/>
      </w:tabs>
      <w:adjustRightInd w:val="0"/>
      <w:snapToGrid w:val="0"/>
      <w:spacing w:line="0" w:lineRule="atLeast"/>
      <w:jc w:val="center"/>
      <w:textAlignment w:val="baseline"/>
    </w:pPr>
    <w:rPr>
      <w:rFonts w:ascii="Calibri" w:hAnsi="Calibri" w:eastAsia="宋体" w:cs="Times New Roman"/>
      <w:b/>
      <w:color w:val="000000"/>
      <w:kern w:val="2"/>
      <w:sz w:val="28"/>
      <w:lang w:val="en-US" w:eastAsia="zh-CN" w:bidi="ar-SA"/>
    </w:rPr>
  </w:style>
  <w:style w:type="paragraph" w:customStyle="1" w:styleId="2217">
    <w:name w:val="副题目"/>
    <w:basedOn w:val="68"/>
    <w:qFormat/>
    <w:uiPriority w:val="0"/>
    <w:pPr>
      <w:keepNext/>
      <w:keepLines/>
      <w:spacing w:beforeLines="100" w:after="100" w:afterAutospacing="1" w:line="600" w:lineRule="atLeast"/>
      <w:outlineLvl w:val="9"/>
    </w:pPr>
    <w:rPr>
      <w:rFonts w:eastAsia="经典叠圆体简" w:cs="Times New Roman"/>
      <w:b w:val="0"/>
      <w:bCs w:val="0"/>
      <w:iCs/>
      <w:color w:val="CC99FF"/>
      <w:spacing w:val="36"/>
      <w:sz w:val="36"/>
      <w:szCs w:val="20"/>
      <w:lang w:bidi="he-IL"/>
    </w:rPr>
  </w:style>
  <w:style w:type="paragraph" w:customStyle="1" w:styleId="2218">
    <w:name w:val="表格文字缩进"/>
    <w:basedOn w:val="1"/>
    <w:next w:val="1"/>
    <w:qFormat/>
    <w:uiPriority w:val="0"/>
    <w:pPr>
      <w:tabs>
        <w:tab w:val="left" w:pos="6735"/>
      </w:tabs>
      <w:spacing w:line="300" w:lineRule="auto"/>
      <w:ind w:left="36" w:leftChars="13" w:right="-147" w:firstLine="420"/>
      <w:jc w:val="left"/>
    </w:pPr>
    <w:rPr>
      <w:rFonts w:ascii="黑体"/>
      <w:b/>
      <w:bCs/>
      <w:szCs w:val="20"/>
    </w:rPr>
  </w:style>
  <w:style w:type="paragraph" w:customStyle="1" w:styleId="2219">
    <w:name w:val="列表 3M"/>
    <w:basedOn w:val="16"/>
    <w:qFormat/>
    <w:uiPriority w:val="0"/>
    <w:pPr>
      <w:tabs>
        <w:tab w:val="left" w:pos="907"/>
      </w:tabs>
      <w:spacing w:line="288" w:lineRule="auto"/>
      <w:ind w:left="907" w:leftChars="0" w:hanging="567" w:firstLineChars="0"/>
    </w:pPr>
    <w:rPr>
      <w:rFonts w:ascii="Arial" w:hAnsi="Arial"/>
      <w:color w:val="CCFFCC"/>
      <w:sz w:val="24"/>
      <w:szCs w:val="20"/>
    </w:rPr>
  </w:style>
  <w:style w:type="paragraph" w:customStyle="1" w:styleId="2220">
    <w:name w:val="列表结尾"/>
    <w:basedOn w:val="70"/>
    <w:next w:val="38"/>
    <w:semiHidden/>
    <w:qFormat/>
    <w:uiPriority w:val="0"/>
    <w:pPr>
      <w:tabs>
        <w:tab w:val="left" w:pos="720"/>
      </w:tabs>
      <w:overflowPunct w:val="0"/>
      <w:autoSpaceDE w:val="0"/>
      <w:autoSpaceDN w:val="0"/>
      <w:spacing w:after="240"/>
      <w:ind w:left="720" w:hanging="360"/>
      <w:jc w:val="left"/>
      <w:textAlignment w:val="baseline"/>
    </w:pPr>
    <w:rPr>
      <w:rFonts w:ascii="Times New Roman" w:eastAsia="宋体"/>
      <w:kern w:val="0"/>
      <w:sz w:val="20"/>
    </w:rPr>
  </w:style>
  <w:style w:type="paragraph" w:customStyle="1" w:styleId="2221">
    <w:name w:val="调研内容"/>
    <w:basedOn w:val="1"/>
    <w:qFormat/>
    <w:uiPriority w:val="0"/>
    <w:pPr>
      <w:spacing w:line="360" w:lineRule="auto"/>
    </w:pPr>
    <w:rPr>
      <w:szCs w:val="20"/>
    </w:rPr>
  </w:style>
  <w:style w:type="paragraph" w:customStyle="1" w:styleId="2222">
    <w:name w:val="font14"/>
    <w:basedOn w:val="1"/>
    <w:qFormat/>
    <w:uiPriority w:val="0"/>
    <w:pPr>
      <w:spacing w:before="100" w:beforeAutospacing="1" w:after="100" w:afterAutospacing="1"/>
      <w:jc w:val="left"/>
    </w:pPr>
    <w:rPr>
      <w:rFonts w:hint="eastAsia" w:ascii="宋体" w:hAnsi="宋体" w:cs="Arial Unicode MS"/>
      <w:b/>
      <w:bCs/>
      <w:kern w:val="0"/>
      <w:sz w:val="16"/>
      <w:szCs w:val="16"/>
    </w:rPr>
  </w:style>
  <w:style w:type="paragraph" w:customStyle="1" w:styleId="2223">
    <w:name w:val="表格表题"/>
    <w:basedOn w:val="1"/>
    <w:qFormat/>
    <w:uiPriority w:val="0"/>
    <w:pPr>
      <w:spacing w:beforeLines="50"/>
      <w:jc w:val="center"/>
    </w:pPr>
    <w:rPr>
      <w:rFonts w:ascii="宋体" w:hAnsi="宋体"/>
      <w:sz w:val="24"/>
    </w:rPr>
  </w:style>
  <w:style w:type="paragraph" w:customStyle="1" w:styleId="2224">
    <w:name w:val="样式 标题 2H2节标题 1.1节标题 1.1 Char1.1  标题 2  节标题 1.1第一章 标题 2Head..."/>
    <w:basedOn w:val="6"/>
    <w:qFormat/>
    <w:uiPriority w:val="0"/>
    <w:pPr>
      <w:tabs>
        <w:tab w:val="clear" w:pos="1080"/>
      </w:tabs>
      <w:spacing w:before="0" w:after="0" w:line="360" w:lineRule="auto"/>
      <w:ind w:left="0" w:firstLine="0"/>
    </w:pPr>
    <w:rPr>
      <w:rFonts w:eastAsia="宋体" w:cs="宋体"/>
      <w:bCs/>
      <w:sz w:val="24"/>
    </w:rPr>
  </w:style>
  <w:style w:type="paragraph" w:customStyle="1" w:styleId="2225">
    <w:name w:val="reader-word-layer reader-word-s1-11"/>
    <w:basedOn w:val="1"/>
    <w:qFormat/>
    <w:uiPriority w:val="0"/>
    <w:pPr>
      <w:spacing w:before="100" w:beforeAutospacing="1" w:after="100" w:afterAutospacing="1"/>
      <w:jc w:val="left"/>
    </w:pPr>
    <w:rPr>
      <w:rFonts w:ascii="宋体" w:hAnsi="宋体" w:cs="宋体"/>
      <w:kern w:val="0"/>
      <w:sz w:val="24"/>
    </w:rPr>
  </w:style>
  <w:style w:type="paragraph" w:customStyle="1" w:styleId="2226">
    <w:name w:val="样式 宋体 小四 行距: 多倍行距 1.3 字行"/>
    <w:basedOn w:val="1"/>
    <w:qFormat/>
    <w:uiPriority w:val="0"/>
    <w:pPr>
      <w:spacing w:line="312" w:lineRule="auto"/>
      <w:ind w:firstLine="480"/>
    </w:pPr>
    <w:rPr>
      <w:rFonts w:ascii="宋体" w:hAnsi="宋体" w:cs="宋体"/>
      <w:sz w:val="24"/>
      <w:szCs w:val="20"/>
    </w:rPr>
  </w:style>
  <w:style w:type="paragraph" w:customStyle="1" w:styleId="2227">
    <w:name w:val="样式10"/>
    <w:basedOn w:val="1"/>
    <w:next w:val="6"/>
    <w:qFormat/>
    <w:uiPriority w:val="0"/>
    <w:pPr>
      <w:spacing w:beforeLines="100" w:afterLines="100" w:line="600" w:lineRule="auto"/>
    </w:pPr>
    <w:rPr>
      <w:rFonts w:hAnsi="Arial Narrow"/>
      <w:color w:val="0000FF"/>
      <w:spacing w:val="6"/>
      <w:sz w:val="32"/>
    </w:rPr>
  </w:style>
  <w:style w:type="paragraph" w:customStyle="1" w:styleId="2228">
    <w:name w:val="reader-word-layer reader-word-s1-12"/>
    <w:basedOn w:val="1"/>
    <w:qFormat/>
    <w:uiPriority w:val="0"/>
    <w:pPr>
      <w:spacing w:before="100" w:beforeAutospacing="1" w:after="100" w:afterAutospacing="1"/>
      <w:jc w:val="left"/>
    </w:pPr>
    <w:rPr>
      <w:rFonts w:ascii="宋体" w:hAnsi="宋体" w:cs="宋体"/>
      <w:kern w:val="0"/>
      <w:sz w:val="24"/>
    </w:rPr>
  </w:style>
  <w:style w:type="paragraph" w:customStyle="1" w:styleId="2229">
    <w:name w:val="表格文本"/>
    <w:basedOn w:val="1"/>
    <w:next w:val="1"/>
    <w:qFormat/>
    <w:uiPriority w:val="0"/>
    <w:pPr>
      <w:spacing w:line="240" w:lineRule="exact"/>
    </w:pPr>
    <w:rPr>
      <w:szCs w:val="20"/>
    </w:rPr>
  </w:style>
  <w:style w:type="paragraph" w:customStyle="1" w:styleId="2230">
    <w:name w:val="图文框"/>
    <w:basedOn w:val="1"/>
    <w:qFormat/>
    <w:uiPriority w:val="0"/>
    <w:pPr>
      <w:spacing w:line="360" w:lineRule="auto"/>
      <w:jc w:val="center"/>
    </w:pPr>
    <w:rPr>
      <w:rFonts w:ascii="宋体" w:hAnsi="宋体"/>
      <w:b/>
      <w:snapToGrid w:val="0"/>
      <w:kern w:val="0"/>
      <w:sz w:val="24"/>
    </w:rPr>
  </w:style>
  <w:style w:type="paragraph" w:customStyle="1" w:styleId="2231">
    <w:name w:val="wang1级"/>
    <w:basedOn w:val="5"/>
    <w:semiHidden/>
    <w:qFormat/>
    <w:uiPriority w:val="0"/>
    <w:pPr>
      <w:spacing w:beforeLines="50" w:afterLines="50" w:line="440" w:lineRule="exact"/>
      <w:jc w:val="left"/>
    </w:pPr>
    <w:rPr>
      <w:rFonts w:ascii="黑体" w:eastAsia="黑体" w:cs="宋体"/>
      <w:bCs w:val="0"/>
      <w:kern w:val="0"/>
      <w:sz w:val="32"/>
      <w:szCs w:val="20"/>
    </w:rPr>
  </w:style>
  <w:style w:type="paragraph" w:customStyle="1" w:styleId="2232">
    <w:name w:val="xl20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2233">
    <w:name w:val="T表格"/>
    <w:qFormat/>
    <w:uiPriority w:val="0"/>
    <w:pPr>
      <w:spacing w:line="320" w:lineRule="exact"/>
      <w:jc w:val="both"/>
    </w:pPr>
    <w:rPr>
      <w:rFonts w:ascii="Calibri" w:hAnsi="Calibri" w:eastAsia="宋体" w:cs="Times New Roman"/>
      <w:color w:val="333300"/>
      <w:sz w:val="21"/>
      <w:lang w:val="en-US" w:eastAsia="zh-CN" w:bidi="ar-SA"/>
    </w:rPr>
  </w:style>
  <w:style w:type="paragraph" w:customStyle="1" w:styleId="2234">
    <w:name w:val="样式 燕山正文 + 首行缩进:  3.5 字符"/>
    <w:basedOn w:val="1237"/>
    <w:qFormat/>
    <w:uiPriority w:val="0"/>
    <w:pPr>
      <w:tabs>
        <w:tab w:val="clear" w:pos="2340"/>
      </w:tabs>
      <w:ind w:firstLine="560"/>
    </w:pPr>
    <w:rPr>
      <w:sz w:val="28"/>
      <w:szCs w:val="20"/>
    </w:rPr>
  </w:style>
  <w:style w:type="paragraph" w:customStyle="1" w:styleId="2235">
    <w:name w:val="样式 四号 首行缩进:  0.99 厘米 行距: 固定值 25 磅"/>
    <w:basedOn w:val="1"/>
    <w:qFormat/>
    <w:uiPriority w:val="0"/>
    <w:pPr>
      <w:spacing w:line="500" w:lineRule="exact"/>
      <w:ind w:firstLine="561"/>
    </w:pPr>
    <w:rPr>
      <w:rFonts w:cs="宋体"/>
      <w:szCs w:val="20"/>
    </w:rPr>
  </w:style>
  <w:style w:type="paragraph" w:customStyle="1" w:styleId="2236">
    <w:name w:val="xl76"/>
    <w:basedOn w:val="1"/>
    <w:qFormat/>
    <w:uiPriority w:val="0"/>
    <w:pPr>
      <w:pBdr>
        <w:top w:val="single" w:color="auto" w:sz="8"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2237">
    <w:name w:val="编号样式"/>
    <w:basedOn w:val="1"/>
    <w:qFormat/>
    <w:uiPriority w:val="0"/>
    <w:pPr>
      <w:tabs>
        <w:tab w:val="left" w:pos="0"/>
      </w:tabs>
      <w:spacing w:line="500" w:lineRule="exact"/>
      <w:ind w:firstLine="800"/>
    </w:pPr>
    <w:rPr>
      <w:szCs w:val="20"/>
    </w:rPr>
  </w:style>
  <w:style w:type="paragraph" w:customStyle="1" w:styleId="2238">
    <w:name w:val="reader-word-layer"/>
    <w:basedOn w:val="1"/>
    <w:qFormat/>
    <w:uiPriority w:val="0"/>
    <w:pPr>
      <w:spacing w:before="100" w:beforeAutospacing="1" w:after="100" w:afterAutospacing="1"/>
      <w:jc w:val="left"/>
    </w:pPr>
    <w:rPr>
      <w:rFonts w:ascii="宋体" w:hAnsi="宋体" w:cs="宋体"/>
      <w:kern w:val="0"/>
      <w:sz w:val="24"/>
    </w:rPr>
  </w:style>
  <w:style w:type="paragraph" w:customStyle="1" w:styleId="2239">
    <w:name w:val="表格左"/>
    <w:basedOn w:val="208"/>
    <w:qFormat/>
    <w:uiPriority w:val="0"/>
    <w:pPr>
      <w:spacing w:before="0" w:after="0" w:line="240" w:lineRule="atLeast"/>
      <w:jc w:val="left"/>
      <w:textAlignment w:val="auto"/>
    </w:pPr>
    <w:rPr>
      <w:sz w:val="21"/>
      <w:szCs w:val="24"/>
    </w:rPr>
  </w:style>
  <w:style w:type="paragraph" w:customStyle="1" w:styleId="2240">
    <w:name w:val="标题003"/>
    <w:basedOn w:val="1"/>
    <w:qFormat/>
    <w:uiPriority w:val="0"/>
    <w:pPr>
      <w:spacing w:before="120" w:line="440" w:lineRule="exact"/>
      <w:outlineLvl w:val="2"/>
    </w:pPr>
    <w:rPr>
      <w:b/>
      <w:sz w:val="27"/>
      <w:szCs w:val="20"/>
    </w:rPr>
  </w:style>
  <w:style w:type="paragraph" w:customStyle="1" w:styleId="2241">
    <w:name w:val="样式 首行缩进:  2 字符"/>
    <w:basedOn w:val="1"/>
    <w:qFormat/>
    <w:uiPriority w:val="0"/>
    <w:pPr>
      <w:spacing w:line="360" w:lineRule="auto"/>
    </w:pPr>
    <w:rPr>
      <w:rFonts w:cs="宋体"/>
      <w:sz w:val="24"/>
      <w:szCs w:val="20"/>
    </w:rPr>
  </w:style>
  <w:style w:type="paragraph" w:customStyle="1" w:styleId="2242">
    <w:name w:val="xl282"/>
    <w:basedOn w:val="1"/>
    <w:qFormat/>
    <w:uiPriority w:val="0"/>
    <w:pPr>
      <w:pBdr>
        <w:top w:val="single" w:color="auto" w:sz="4" w:space="0"/>
        <w:left w:val="single" w:color="auto" w:sz="4" w:space="0"/>
        <w:bottom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2243">
    <w:name w:val="列表 4A"/>
    <w:basedOn w:val="81"/>
    <w:qFormat/>
    <w:uiPriority w:val="0"/>
    <w:pPr>
      <w:tabs>
        <w:tab w:val="left" w:pos="360"/>
      </w:tabs>
      <w:spacing w:beforeLines="50" w:afterLines="30" w:line="288" w:lineRule="auto"/>
      <w:ind w:left="360" w:leftChars="0" w:hanging="360"/>
    </w:pPr>
    <w:rPr>
      <w:rFonts w:ascii="Arial" w:hAnsi="Arial"/>
      <w:color w:val="CCFFFF"/>
      <w:sz w:val="24"/>
      <w:szCs w:val="20"/>
    </w:rPr>
  </w:style>
  <w:style w:type="paragraph" w:customStyle="1" w:styleId="2244">
    <w:name w:val="列表 2P"/>
    <w:basedOn w:val="41"/>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245">
    <w:name w:val="reader-word-layer reader-word-s3-12"/>
    <w:basedOn w:val="1"/>
    <w:qFormat/>
    <w:uiPriority w:val="0"/>
    <w:pPr>
      <w:spacing w:before="100" w:beforeAutospacing="1" w:after="100" w:afterAutospacing="1"/>
      <w:jc w:val="left"/>
    </w:pPr>
    <w:rPr>
      <w:rFonts w:ascii="宋体" w:hAnsi="宋体" w:cs="宋体"/>
      <w:kern w:val="0"/>
      <w:sz w:val="24"/>
    </w:rPr>
  </w:style>
  <w:style w:type="paragraph" w:customStyle="1" w:styleId="2246">
    <w:name w:val="样式 表头 + Times New Roman 两端对齐 段前: 7.8 磅 段后: 6 磅 行距: 固定值 22 磅"/>
    <w:basedOn w:val="3"/>
    <w:qFormat/>
    <w:uiPriority w:val="0"/>
    <w:pPr>
      <w:keepNext/>
      <w:tabs>
        <w:tab w:val="clear" w:pos="4440"/>
      </w:tabs>
      <w:autoSpaceDE/>
      <w:autoSpaceDN/>
      <w:adjustRightInd/>
      <w:snapToGrid/>
      <w:spacing w:beforeLines="0" w:afterLines="0" w:line="440" w:lineRule="exact"/>
      <w:ind w:firstLine="945" w:firstLineChars="418"/>
      <w:jc w:val="both"/>
      <w:textAlignment w:val="auto"/>
    </w:pPr>
    <w:rPr>
      <w:rFonts w:ascii="Times New Roman" w:hAnsi="Times New Roman"/>
      <w:b w:val="0"/>
      <w:snapToGrid/>
      <w:spacing w:val="8"/>
      <w:kern w:val="21"/>
      <w:sz w:val="21"/>
      <w:szCs w:val="20"/>
    </w:rPr>
  </w:style>
  <w:style w:type="paragraph" w:customStyle="1" w:styleId="2247">
    <w:name w:val="xl41"/>
    <w:basedOn w:val="1"/>
    <w:qFormat/>
    <w:uiPriority w:val="0"/>
    <w:pPr>
      <w:pBdr>
        <w:bottom w:val="single" w:color="auto" w:sz="4" w:space="0"/>
        <w:right w:val="single" w:color="auto" w:sz="4" w:space="0"/>
      </w:pBdr>
      <w:spacing w:before="100" w:beforeAutospacing="1" w:after="100" w:afterAutospacing="1"/>
      <w:jc w:val="center"/>
      <w:textAlignment w:val="center"/>
    </w:pPr>
    <w:rPr>
      <w:rFonts w:eastAsia="Arial Unicode MS"/>
      <w:kern w:val="0"/>
      <w:sz w:val="24"/>
    </w:rPr>
  </w:style>
  <w:style w:type="paragraph" w:customStyle="1" w:styleId="2248">
    <w:name w:val="正文10"/>
    <w:qFormat/>
    <w:uiPriority w:val="0"/>
    <w:pPr>
      <w:widowControl w:val="0"/>
      <w:adjustRightInd w:val="0"/>
      <w:spacing w:line="360" w:lineRule="atLeast"/>
      <w:jc w:val="center"/>
      <w:textAlignment w:val="baseline"/>
    </w:pPr>
    <w:rPr>
      <w:rFonts w:ascii="宋体" w:hAnsi="Calibri" w:eastAsia="宋体" w:cs="Times New Roman"/>
      <w:sz w:val="24"/>
      <w:lang w:val="en-US" w:eastAsia="zh-CN" w:bidi="ar-SA"/>
    </w:rPr>
  </w:style>
  <w:style w:type="paragraph" w:customStyle="1" w:styleId="2249">
    <w:name w:val="列表 5N"/>
    <w:basedOn w:val="73"/>
    <w:qFormat/>
    <w:uiPriority w:val="0"/>
    <w:pPr>
      <w:tabs>
        <w:tab w:val="left" w:pos="1134"/>
      </w:tabs>
      <w:ind w:left="1134" w:leftChars="0" w:hanging="425" w:firstLineChars="0"/>
    </w:pPr>
    <w:rPr>
      <w:rFonts w:ascii="Arial" w:hAnsi="Arial"/>
      <w:color w:val="99CCFF"/>
      <w:sz w:val="24"/>
      <w:szCs w:val="20"/>
    </w:rPr>
  </w:style>
  <w:style w:type="paragraph" w:customStyle="1" w:styleId="2250">
    <w:name w:val="图表文字"/>
    <w:qFormat/>
    <w:uiPriority w:val="0"/>
    <w:pPr>
      <w:spacing w:line="240" w:lineRule="atLeast"/>
      <w:jc w:val="center"/>
    </w:pPr>
    <w:rPr>
      <w:rFonts w:ascii="Calibri" w:hAnsi="Calibri" w:eastAsia="宋体" w:cs="Times New Roman"/>
      <w:bCs/>
      <w:kern w:val="44"/>
      <w:sz w:val="21"/>
      <w:szCs w:val="21"/>
      <w:lang w:val="en-US" w:eastAsia="zh-CN" w:bidi="ar-SA"/>
    </w:rPr>
  </w:style>
  <w:style w:type="paragraph" w:customStyle="1" w:styleId="2251">
    <w:name w:val="1级"/>
    <w:basedOn w:val="5"/>
    <w:qFormat/>
    <w:uiPriority w:val="0"/>
    <w:pPr>
      <w:spacing w:beforeLines="50" w:afterLines="50" w:line="440" w:lineRule="exact"/>
    </w:pPr>
    <w:rPr>
      <w:rFonts w:eastAsia="黑体"/>
      <w:b w:val="0"/>
      <w:bCs w:val="0"/>
      <w:sz w:val="32"/>
    </w:rPr>
  </w:style>
  <w:style w:type="paragraph" w:customStyle="1" w:styleId="2252">
    <w:name w:val="xl15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2253">
    <w:name w:val="xl22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2254">
    <w:name w:val="列表 L"/>
    <w:basedOn w:val="70"/>
    <w:qFormat/>
    <w:uiPriority w:val="0"/>
    <w:pPr>
      <w:tabs>
        <w:tab w:val="left" w:pos="425"/>
      </w:tabs>
      <w:spacing w:beforeLines="100" w:afterLines="50" w:line="288" w:lineRule="auto"/>
      <w:ind w:left="425" w:hanging="425"/>
    </w:pPr>
    <w:rPr>
      <w:rFonts w:ascii="Arial" w:hAnsi="Arial" w:eastAsia="宋体"/>
      <w:b/>
      <w:bCs/>
      <w:color w:val="FF99CC"/>
    </w:rPr>
  </w:style>
  <w:style w:type="paragraph" w:customStyle="1" w:styleId="2255">
    <w:name w:val="列表 4Y"/>
    <w:basedOn w:val="81"/>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2256">
    <w:name w:val="TOC 标题2"/>
    <w:basedOn w:val="5"/>
    <w:next w:val="1"/>
    <w:qFormat/>
    <w:uiPriority w:val="39"/>
    <w:pPr>
      <w:spacing w:line="578" w:lineRule="atLeast"/>
      <w:outlineLvl w:val="9"/>
    </w:pPr>
  </w:style>
  <w:style w:type="paragraph" w:customStyle="1" w:styleId="2257">
    <w:name w:val="xl22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258">
    <w:name w:val="样式 标题 11.标题 1文章标题章ChChapter HeadingIBM Section Head + 行距: ..."/>
    <w:basedOn w:val="5"/>
    <w:qFormat/>
    <w:uiPriority w:val="0"/>
    <w:pPr>
      <w:tabs>
        <w:tab w:val="left" w:pos="432"/>
        <w:tab w:val="clear" w:pos="425"/>
      </w:tabs>
      <w:spacing w:before="0" w:after="0" w:line="312" w:lineRule="auto"/>
      <w:ind w:left="432" w:hanging="432"/>
      <w:textAlignment w:val="baseline"/>
    </w:pPr>
    <w:rPr>
      <w:rFonts w:ascii="宋体" w:hAnsi="宋体" w:cs="宋体"/>
      <w:snapToGrid w:val="0"/>
      <w:sz w:val="36"/>
      <w:szCs w:val="20"/>
    </w:rPr>
  </w:style>
  <w:style w:type="paragraph" w:customStyle="1" w:styleId="2259">
    <w:name w:val="默认段落字体 Para Char Char Char Char Char Char Char Char Char Char Char Char Char"/>
    <w:basedOn w:val="1"/>
    <w:qFormat/>
    <w:uiPriority w:val="0"/>
  </w:style>
  <w:style w:type="paragraph" w:customStyle="1" w:styleId="2260">
    <w:name w:val="基准页眉样式"/>
    <w:basedOn w:val="1"/>
    <w:semiHidden/>
    <w:qFormat/>
    <w:uiPriority w:val="0"/>
    <w:pPr>
      <w:spacing w:beforeLines="30" w:afterLines="30"/>
      <w:jc w:val="center"/>
    </w:pPr>
  </w:style>
  <w:style w:type="paragraph" w:customStyle="1" w:styleId="2261">
    <w:name w:val="注解"/>
    <w:basedOn w:val="25"/>
    <w:qFormat/>
    <w:uiPriority w:val="0"/>
    <w:pPr>
      <w:spacing w:before="60" w:line="360" w:lineRule="exact"/>
      <w:ind w:firstLine="200"/>
    </w:pPr>
    <w:rPr>
      <w:szCs w:val="24"/>
    </w:rPr>
  </w:style>
  <w:style w:type="paragraph" w:customStyle="1" w:styleId="2262">
    <w:name w:val="样式 标题 2Se标题 21标题 121标题 2 Char1 Char节H2节标题 1.1节标题 1.1 Ch...1"/>
    <w:basedOn w:val="6"/>
    <w:qFormat/>
    <w:uiPriority w:val="0"/>
    <w:pPr>
      <w:tabs>
        <w:tab w:val="clear" w:pos="1080"/>
      </w:tabs>
      <w:spacing w:before="156" w:after="156" w:line="360" w:lineRule="auto"/>
      <w:ind w:left="105" w:leftChars="50" w:right="105" w:rightChars="50" w:firstLine="0"/>
    </w:pPr>
    <w:rPr>
      <w:rFonts w:ascii="Arial" w:hAnsi="Arial" w:eastAsia="宋体" w:cs="宋体"/>
      <w:bCs/>
      <w:sz w:val="28"/>
    </w:rPr>
  </w:style>
  <w:style w:type="paragraph" w:customStyle="1" w:styleId="2263">
    <w:name w:val="样式 四号 黑色 字距调整五号 行距: 多倍行距 1.25 字行 首行缩进:  2 字符"/>
    <w:basedOn w:val="1"/>
    <w:qFormat/>
    <w:uiPriority w:val="0"/>
    <w:pPr>
      <w:spacing w:line="300" w:lineRule="auto"/>
    </w:pPr>
    <w:rPr>
      <w:rFonts w:cs="宋体"/>
      <w:color w:val="000000"/>
      <w:kern w:val="21"/>
      <w:szCs w:val="20"/>
    </w:rPr>
  </w:style>
  <w:style w:type="paragraph" w:customStyle="1" w:styleId="2264">
    <w:name w:val="样式 样式 表头 + 段前: 0 磅 行距: 固定值 22 磅 + 段前: 0.5 行 Char"/>
    <w:basedOn w:val="1"/>
    <w:qFormat/>
    <w:uiPriority w:val="0"/>
    <w:pPr>
      <w:spacing w:beforeLines="50" w:after="120" w:line="440" w:lineRule="exact"/>
      <w:jc w:val="center"/>
    </w:pPr>
    <w:rPr>
      <w:rFonts w:ascii="黑体" w:hAnsi="Courier New" w:eastAsia="黑体"/>
      <w:spacing w:val="6"/>
      <w:kern w:val="0"/>
      <w:sz w:val="24"/>
      <w:szCs w:val="20"/>
    </w:rPr>
  </w:style>
  <w:style w:type="paragraph" w:customStyle="1" w:styleId="2265">
    <w:name w:val="xl24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2266">
    <w:name w:val="Char Char Char1 Char Char Char Char"/>
    <w:basedOn w:val="1"/>
    <w:qFormat/>
    <w:uiPriority w:val="0"/>
    <w:pPr>
      <w:spacing w:line="360" w:lineRule="auto"/>
    </w:pPr>
    <w:rPr>
      <w:rFonts w:ascii="宋体" w:hAnsi="宋体" w:cs="宋体"/>
      <w:sz w:val="24"/>
    </w:rPr>
  </w:style>
  <w:style w:type="paragraph" w:customStyle="1" w:styleId="2267">
    <w:name w:val="xl228"/>
    <w:basedOn w:val="1"/>
    <w:qFormat/>
    <w:uiPriority w:val="0"/>
    <w:pPr>
      <w:pBdr>
        <w:top w:val="single" w:color="auto" w:sz="4" w:space="0"/>
        <w:left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2268">
    <w:name w:val="列表 2V"/>
    <w:basedOn w:val="41"/>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269">
    <w:name w:val="表头-------------"/>
    <w:basedOn w:val="1"/>
    <w:qFormat/>
    <w:uiPriority w:val="0"/>
    <w:pPr>
      <w:spacing w:line="460" w:lineRule="exact"/>
      <w:jc w:val="center"/>
    </w:pPr>
    <w:rPr>
      <w:rFonts w:eastAsia="黑体" w:cs="宋体"/>
      <w:kern w:val="0"/>
      <w:sz w:val="24"/>
      <w:szCs w:val="20"/>
    </w:rPr>
  </w:style>
  <w:style w:type="paragraph" w:customStyle="1" w:styleId="2270">
    <w:name w:val="xl22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271">
    <w:name w:val="18"/>
    <w:basedOn w:val="1"/>
    <w:qFormat/>
    <w:uiPriority w:val="0"/>
    <w:pPr>
      <w:spacing w:before="120" w:after="100" w:afterAutospacing="1" w:line="240" w:lineRule="atLeast"/>
      <w:jc w:val="center"/>
    </w:pPr>
    <w:rPr>
      <w:b/>
      <w:bCs/>
      <w:kern w:val="0"/>
      <w:sz w:val="24"/>
    </w:rPr>
  </w:style>
  <w:style w:type="paragraph" w:customStyle="1" w:styleId="2272">
    <w:name w:val="xl12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2273">
    <w:name w:val="xl23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274">
    <w:name w:val="项目符号"/>
    <w:basedOn w:val="1"/>
    <w:qFormat/>
    <w:uiPriority w:val="0"/>
    <w:pPr>
      <w:tabs>
        <w:tab w:val="left" w:pos="900"/>
      </w:tabs>
      <w:spacing w:line="300" w:lineRule="auto"/>
      <w:ind w:firstLine="560"/>
      <w:jc w:val="left"/>
    </w:pPr>
    <w:rPr>
      <w:rFonts w:hAnsi="宋体" w:cs="宋体"/>
      <w:kern w:val="0"/>
      <w:szCs w:val="21"/>
    </w:rPr>
  </w:style>
  <w:style w:type="paragraph" w:customStyle="1" w:styleId="2275">
    <w:name w:val="xl232"/>
    <w:basedOn w:val="1"/>
    <w:qFormat/>
    <w:uiPriority w:val="0"/>
    <w:pPr>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276">
    <w:name w:val="德胜三级标题"/>
    <w:basedOn w:val="1"/>
    <w:qFormat/>
    <w:uiPriority w:val="0"/>
    <w:pPr>
      <w:keepNext/>
      <w:keepLines/>
      <w:spacing w:line="360" w:lineRule="auto"/>
      <w:jc w:val="left"/>
      <w:outlineLvl w:val="2"/>
    </w:pPr>
    <w:rPr>
      <w:b/>
      <w:bCs/>
      <w:snapToGrid w:val="0"/>
      <w:color w:val="0000FF"/>
      <w:kern w:val="0"/>
      <w:sz w:val="24"/>
    </w:rPr>
  </w:style>
  <w:style w:type="paragraph" w:customStyle="1" w:styleId="2277">
    <w:name w:val="无间隔11"/>
    <w:basedOn w:val="1"/>
    <w:qFormat/>
    <w:uiPriority w:val="0"/>
    <w:rPr>
      <w:sz w:val="24"/>
      <w:szCs w:val="32"/>
    </w:rPr>
  </w:style>
  <w:style w:type="paragraph" w:customStyle="1" w:styleId="2278">
    <w:name w:val="样式 标题 4§1.1.1.1§1.1.1.1.H4Char + 浅蓝"/>
    <w:basedOn w:val="10"/>
    <w:qFormat/>
    <w:uiPriority w:val="0"/>
    <w:pPr>
      <w:keepNext w:val="0"/>
      <w:keepLines w:val="0"/>
      <w:spacing w:after="0" w:line="300" w:lineRule="auto"/>
      <w:ind w:left="0" w:firstLine="0"/>
    </w:pPr>
    <w:rPr>
      <w:b w:val="0"/>
      <w:snapToGrid w:val="0"/>
      <w:color w:val="3366FF"/>
      <w:kern w:val="0"/>
    </w:rPr>
  </w:style>
  <w:style w:type="paragraph" w:customStyle="1" w:styleId="2279">
    <w:name w:val="正文标题3"/>
    <w:basedOn w:val="7"/>
    <w:qFormat/>
    <w:uiPriority w:val="0"/>
    <w:pPr>
      <w:tabs>
        <w:tab w:val="clear" w:pos="1440"/>
      </w:tabs>
      <w:spacing w:before="0" w:after="0"/>
      <w:ind w:left="0" w:firstLine="0"/>
    </w:pPr>
    <w:rPr>
      <w:b w:val="0"/>
      <w:bCs/>
      <w:szCs w:val="32"/>
    </w:rPr>
  </w:style>
  <w:style w:type="paragraph" w:customStyle="1" w:styleId="2280">
    <w:name w:val="xl246"/>
    <w:basedOn w:val="1"/>
    <w:qFormat/>
    <w:uiPriority w:val="0"/>
    <w:pPr>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2281">
    <w:name w:val="列表 2S"/>
    <w:basedOn w:val="41"/>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282">
    <w:name w:val="一级条标题"/>
    <w:basedOn w:val="1965"/>
    <w:next w:val="1"/>
    <w:qFormat/>
    <w:uiPriority w:val="0"/>
    <w:pPr>
      <w:spacing w:beforeLines="0" w:afterLines="0"/>
      <w:outlineLvl w:val="2"/>
    </w:pPr>
  </w:style>
  <w:style w:type="paragraph" w:customStyle="1" w:styleId="2283">
    <w:name w:val="xl250"/>
    <w:basedOn w:val="1"/>
    <w:qFormat/>
    <w:uiPriority w:val="0"/>
    <w:pPr>
      <w:pBdr>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284">
    <w:name w:val="日期1"/>
    <w:basedOn w:val="1"/>
    <w:next w:val="1"/>
    <w:qFormat/>
    <w:uiPriority w:val="0"/>
    <w:pPr>
      <w:spacing w:line="360" w:lineRule="atLeast"/>
      <w:textAlignment w:val="baseline"/>
    </w:pPr>
    <w:rPr>
      <w:rFonts w:ascii="宋体"/>
      <w:kern w:val="0"/>
      <w:szCs w:val="20"/>
    </w:rPr>
  </w:style>
  <w:style w:type="paragraph" w:customStyle="1" w:styleId="2285">
    <w:name w:val="表格中"/>
    <w:basedOn w:val="1"/>
    <w:qFormat/>
    <w:uiPriority w:val="0"/>
    <w:pPr>
      <w:spacing w:line="280" w:lineRule="exact"/>
      <w:jc w:val="center"/>
    </w:pPr>
    <w:rPr>
      <w:rFonts w:ascii="宋体"/>
      <w:sz w:val="18"/>
    </w:rPr>
  </w:style>
  <w:style w:type="paragraph" w:customStyle="1" w:styleId="2286">
    <w:name w:val="列表 C"/>
    <w:basedOn w:val="70"/>
    <w:qFormat/>
    <w:uiPriority w:val="0"/>
    <w:pPr>
      <w:tabs>
        <w:tab w:val="left" w:pos="425"/>
      </w:tabs>
      <w:spacing w:beforeLines="100" w:afterLines="50" w:line="288" w:lineRule="auto"/>
      <w:ind w:left="425" w:hanging="425"/>
    </w:pPr>
    <w:rPr>
      <w:rFonts w:ascii="Arial" w:hAnsi="Arial" w:eastAsia="宋体"/>
      <w:b/>
      <w:bCs/>
      <w:color w:val="FF99CC"/>
    </w:rPr>
  </w:style>
  <w:style w:type="paragraph" w:customStyle="1" w:styleId="2287">
    <w:name w:val="xl24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288">
    <w:name w:val="项目符号结尾"/>
    <w:basedOn w:val="28"/>
    <w:next w:val="38"/>
    <w:semiHidden/>
    <w:qFormat/>
    <w:uiPriority w:val="0"/>
    <w:pPr>
      <w:tabs>
        <w:tab w:val="clear" w:pos="360"/>
      </w:tabs>
      <w:overflowPunct w:val="0"/>
      <w:autoSpaceDE w:val="0"/>
      <w:autoSpaceDN w:val="0"/>
      <w:spacing w:after="240"/>
      <w:ind w:left="720" w:firstLine="0" w:firstLineChars="0"/>
      <w:jc w:val="left"/>
      <w:textAlignment w:val="baseline"/>
    </w:pPr>
    <w:rPr>
      <w:kern w:val="0"/>
      <w:sz w:val="20"/>
      <w:szCs w:val="20"/>
    </w:rPr>
  </w:style>
  <w:style w:type="paragraph" w:customStyle="1" w:styleId="2289">
    <w:name w:val="xl26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2290">
    <w:name w:val="灯泡注释(打印无效)"/>
    <w:basedOn w:val="89"/>
    <w:qFormat/>
    <w:uiPriority w:val="0"/>
    <w:pPr>
      <w:ind w:firstLine="0" w:firstLineChars="0"/>
    </w:pPr>
    <w:rPr>
      <w:i/>
      <w:vanish/>
      <w:color w:val="FF0000"/>
      <w:szCs w:val="21"/>
    </w:rPr>
  </w:style>
  <w:style w:type="paragraph" w:customStyle="1" w:styleId="2291">
    <w:name w:val="xl249"/>
    <w:basedOn w:val="1"/>
    <w:qFormat/>
    <w:uiPriority w:val="0"/>
    <w:pPr>
      <w:pBdr>
        <w:left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292">
    <w:name w:val="列表 5C"/>
    <w:basedOn w:val="73"/>
    <w:qFormat/>
    <w:uiPriority w:val="0"/>
    <w:pPr>
      <w:tabs>
        <w:tab w:val="left" w:pos="1134"/>
      </w:tabs>
      <w:ind w:left="1134" w:leftChars="0" w:hanging="425" w:firstLineChars="0"/>
    </w:pPr>
    <w:rPr>
      <w:rFonts w:ascii="Arial" w:hAnsi="Arial"/>
      <w:color w:val="99CCFF"/>
      <w:sz w:val="24"/>
      <w:szCs w:val="20"/>
    </w:rPr>
  </w:style>
  <w:style w:type="paragraph" w:customStyle="1" w:styleId="2293">
    <w:name w:val="xl24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294">
    <w:name w:val="样式 题注Char Char Char Char题注 Char2题注 Char Char题注 Char Char C..."/>
    <w:basedOn w:val="26"/>
    <w:qFormat/>
    <w:uiPriority w:val="0"/>
    <w:pPr>
      <w:spacing w:before="152" w:after="160"/>
      <w:jc w:val="center"/>
      <w:textAlignment w:val="baseline"/>
    </w:pPr>
    <w:rPr>
      <w:rFonts w:ascii="宋体" w:hAnsi="宋体" w:eastAsia="宋体" w:cs="宋体"/>
      <w:snapToGrid w:val="0"/>
      <w:kern w:val="24"/>
      <w:sz w:val="24"/>
      <w:szCs w:val="24"/>
    </w:rPr>
  </w:style>
  <w:style w:type="paragraph" w:customStyle="1" w:styleId="2295">
    <w:name w:val="xl23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296">
    <w:name w:val="规划正文样式"/>
    <w:basedOn w:val="1"/>
    <w:qFormat/>
    <w:uiPriority w:val="0"/>
    <w:pPr>
      <w:spacing w:line="400" w:lineRule="exact"/>
      <w:ind w:firstLine="480"/>
    </w:pPr>
    <w:rPr>
      <w:sz w:val="24"/>
    </w:rPr>
  </w:style>
  <w:style w:type="paragraph" w:customStyle="1" w:styleId="2297">
    <w:name w:val="xl2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298">
    <w:name w:val="列表 3H"/>
    <w:basedOn w:val="16"/>
    <w:qFormat/>
    <w:uiPriority w:val="0"/>
    <w:pPr>
      <w:tabs>
        <w:tab w:val="left" w:pos="907"/>
      </w:tabs>
      <w:spacing w:line="288" w:lineRule="auto"/>
      <w:ind w:left="907" w:leftChars="0" w:hanging="567" w:firstLineChars="0"/>
    </w:pPr>
    <w:rPr>
      <w:rFonts w:ascii="Arial" w:hAnsi="Arial"/>
      <w:color w:val="CCFFCC"/>
      <w:sz w:val="24"/>
      <w:szCs w:val="20"/>
    </w:rPr>
  </w:style>
  <w:style w:type="paragraph" w:customStyle="1" w:styleId="2299">
    <w:name w:val="xl251"/>
    <w:basedOn w:val="1"/>
    <w:qFormat/>
    <w:uiPriority w:val="0"/>
    <w:pPr>
      <w:pBdr>
        <w:top w:val="single" w:color="auto" w:sz="4" w:space="0"/>
        <w:left w:val="single" w:color="auto" w:sz="4" w:space="0"/>
      </w:pBdr>
      <w:spacing w:before="100" w:beforeAutospacing="1" w:after="100" w:afterAutospacing="1"/>
      <w:jc w:val="left"/>
    </w:pPr>
    <w:rPr>
      <w:rFonts w:ascii="宋体" w:hAnsi="宋体" w:cs="宋体"/>
      <w:kern w:val="0"/>
      <w:sz w:val="20"/>
      <w:szCs w:val="20"/>
    </w:rPr>
  </w:style>
  <w:style w:type="paragraph" w:customStyle="1" w:styleId="2300">
    <w:name w:val="ÕýÎÄÎÄ×ÖËõ½ø 3"/>
    <w:basedOn w:val="25"/>
    <w:qFormat/>
    <w:uiPriority w:val="0"/>
    <w:pPr>
      <w:overflowPunct w:val="0"/>
      <w:autoSpaceDE w:val="0"/>
      <w:autoSpaceDN w:val="0"/>
      <w:spacing w:after="119" w:line="351" w:lineRule="atLeast"/>
      <w:ind w:left="419" w:firstLine="419"/>
      <w:textAlignment w:val="baseline"/>
    </w:pPr>
    <w:rPr>
      <w:color w:val="000000"/>
      <w:kern w:val="0"/>
      <w:sz w:val="15"/>
      <w:szCs w:val="20"/>
    </w:rPr>
  </w:style>
  <w:style w:type="paragraph" w:customStyle="1" w:styleId="2301">
    <w:name w:val="中远正文"/>
    <w:basedOn w:val="1"/>
    <w:qFormat/>
    <w:uiPriority w:val="0"/>
    <w:pPr>
      <w:spacing w:line="360" w:lineRule="auto"/>
      <w:ind w:firstLine="464"/>
      <w:textAlignment w:val="baseline"/>
    </w:pPr>
    <w:rPr>
      <w:rFonts w:cs="宋体"/>
      <w:snapToGrid w:val="0"/>
      <w:spacing w:val="-4"/>
      <w:kern w:val="24"/>
      <w:sz w:val="24"/>
      <w:szCs w:val="20"/>
    </w:rPr>
  </w:style>
  <w:style w:type="paragraph" w:customStyle="1" w:styleId="2302">
    <w:name w:val="xl2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2303">
    <w:name w:val="样式 样式1 + 两端对齐 左侧:  0 厘米 首行缩进:  0 厘米"/>
    <w:basedOn w:val="815"/>
    <w:qFormat/>
    <w:uiPriority w:val="0"/>
    <w:rPr>
      <w:rFonts w:cs="宋体"/>
      <w:szCs w:val="20"/>
    </w:rPr>
  </w:style>
  <w:style w:type="paragraph" w:customStyle="1" w:styleId="2304">
    <w:name w:val="c_"/>
    <w:qFormat/>
    <w:uiPriority w:val="0"/>
    <w:pPr>
      <w:widowControl w:val="0"/>
      <w:autoSpaceDE w:val="0"/>
      <w:autoSpaceDN w:val="0"/>
      <w:adjustRightInd w:val="0"/>
      <w:spacing w:line="320" w:lineRule="exact"/>
      <w:jc w:val="both"/>
    </w:pPr>
    <w:rPr>
      <w:rFonts w:ascii="五" w:hAnsi="Calibri" w:eastAsia="五" w:cs="Times New Roman"/>
      <w:sz w:val="24"/>
      <w:lang w:val="en-US" w:eastAsia="zh-CN" w:bidi="ar-SA"/>
    </w:rPr>
  </w:style>
  <w:style w:type="paragraph" w:customStyle="1" w:styleId="2305">
    <w:name w:val="xl15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000000"/>
      <w:kern w:val="0"/>
      <w:sz w:val="18"/>
      <w:szCs w:val="18"/>
    </w:rPr>
  </w:style>
  <w:style w:type="paragraph" w:customStyle="1" w:styleId="2306">
    <w:name w:val="xl244"/>
    <w:basedOn w:val="1"/>
    <w:qFormat/>
    <w:uiPriority w:val="0"/>
    <w:pPr>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kern w:val="0"/>
      <w:sz w:val="20"/>
      <w:szCs w:val="20"/>
    </w:rPr>
  </w:style>
  <w:style w:type="paragraph" w:customStyle="1" w:styleId="2307">
    <w:name w:val="WW-Body Text Indent 3"/>
    <w:basedOn w:val="1"/>
    <w:qFormat/>
    <w:uiPriority w:val="0"/>
    <w:pPr>
      <w:suppressAutoHyphens/>
      <w:spacing w:after="120" w:line="360" w:lineRule="auto"/>
      <w:ind w:firstLine="420"/>
    </w:pPr>
    <w:rPr>
      <w:rFonts w:ascii="Arial" w:hAnsi="Arial"/>
      <w:kern w:val="20481"/>
      <w:sz w:val="24"/>
      <w:szCs w:val="20"/>
    </w:rPr>
  </w:style>
  <w:style w:type="paragraph" w:customStyle="1" w:styleId="2308">
    <w:name w:val="表名A"/>
    <w:basedOn w:val="2078"/>
    <w:qFormat/>
    <w:uiPriority w:val="0"/>
    <w:pPr>
      <w:spacing w:beforeLines="80" w:afterLines="20"/>
    </w:pPr>
  </w:style>
  <w:style w:type="paragraph" w:customStyle="1" w:styleId="2309">
    <w:name w:val="xl255"/>
    <w:basedOn w:val="1"/>
    <w:qFormat/>
    <w:uiPriority w:val="0"/>
    <w:pPr>
      <w:pBdr>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310">
    <w:name w:val="湛江钢铁表标题"/>
    <w:basedOn w:val="1"/>
    <w:qFormat/>
    <w:uiPriority w:val="0"/>
    <w:pPr>
      <w:spacing w:beforeLines="50" w:line="360" w:lineRule="auto"/>
      <w:ind w:firstLine="480"/>
      <w:jc w:val="center"/>
    </w:pPr>
    <w:rPr>
      <w:color w:val="000000"/>
      <w:kern w:val="0"/>
      <w:sz w:val="24"/>
    </w:rPr>
  </w:style>
  <w:style w:type="paragraph" w:customStyle="1" w:styleId="2311">
    <w:name w:val="xl264"/>
    <w:basedOn w:val="1"/>
    <w:qFormat/>
    <w:uiPriority w:val="0"/>
    <w:pPr>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312">
    <w:name w:val="样式1 表内字"/>
    <w:basedOn w:val="1"/>
    <w:qFormat/>
    <w:uiPriority w:val="0"/>
    <w:pPr>
      <w:jc w:val="center"/>
    </w:pPr>
    <w:rPr>
      <w:rFonts w:ascii="宋体" w:hAnsi="宋体"/>
    </w:rPr>
  </w:style>
  <w:style w:type="paragraph" w:customStyle="1" w:styleId="2313">
    <w:name w:val="!Texte courant"/>
    <w:qFormat/>
    <w:uiPriority w:val="0"/>
    <w:pPr>
      <w:spacing w:before="120" w:line="280" w:lineRule="atLeast"/>
      <w:jc w:val="both"/>
    </w:pPr>
    <w:rPr>
      <w:rFonts w:ascii="Calibri" w:hAnsi="Calibri" w:eastAsia="宋体" w:cs="Times New Roman"/>
      <w:sz w:val="24"/>
      <w:lang w:val="fr-FR" w:eastAsia="en-US" w:bidi="ar-SA"/>
    </w:rPr>
  </w:style>
  <w:style w:type="paragraph" w:customStyle="1" w:styleId="2314">
    <w:name w:val="xl253"/>
    <w:basedOn w:val="1"/>
    <w:qFormat/>
    <w:uiPriority w:val="0"/>
    <w:pPr>
      <w:pBdr>
        <w:left w:val="single" w:color="auto" w:sz="4" w:space="0"/>
        <w:bottom w:val="single" w:color="auto" w:sz="4" w:space="0"/>
      </w:pBdr>
      <w:spacing w:before="100" w:beforeAutospacing="1" w:after="100" w:afterAutospacing="1"/>
      <w:jc w:val="left"/>
    </w:pPr>
    <w:rPr>
      <w:rFonts w:ascii="宋体" w:hAnsi="宋体" w:cs="宋体"/>
      <w:kern w:val="0"/>
      <w:sz w:val="20"/>
      <w:szCs w:val="20"/>
    </w:rPr>
  </w:style>
  <w:style w:type="paragraph" w:customStyle="1" w:styleId="2315">
    <w:name w:val="xl40"/>
    <w:basedOn w:val="1"/>
    <w:qFormat/>
    <w:uiPriority w:val="0"/>
    <w:pPr>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Cs w:val="21"/>
    </w:rPr>
  </w:style>
  <w:style w:type="paragraph" w:customStyle="1" w:styleId="2316">
    <w:name w:val="xl26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317">
    <w:name w:val="xl51"/>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24"/>
    </w:rPr>
  </w:style>
  <w:style w:type="paragraph" w:customStyle="1" w:styleId="2318">
    <w:name w:val="xl256"/>
    <w:basedOn w:val="1"/>
    <w:qFormat/>
    <w:uiPriority w:val="0"/>
    <w:pPr>
      <w:pBdr>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319">
    <w:name w:val="xl18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2320">
    <w:name w:val="Char1 Char Char Char"/>
    <w:basedOn w:val="1"/>
    <w:qFormat/>
    <w:uiPriority w:val="0"/>
    <w:rPr>
      <w:rFonts w:ascii="Tahoma" w:hAnsi="Tahoma"/>
      <w:sz w:val="24"/>
      <w:szCs w:val="20"/>
    </w:rPr>
  </w:style>
  <w:style w:type="paragraph" w:customStyle="1" w:styleId="2321">
    <w:name w:val="表格五号秦斐"/>
    <w:basedOn w:val="1"/>
    <w:qFormat/>
    <w:uiPriority w:val="0"/>
    <w:pPr>
      <w:spacing w:line="240" w:lineRule="atLeast"/>
      <w:ind w:right="-269" w:rightChars="-128"/>
      <w:jc w:val="center"/>
    </w:pPr>
    <w:rPr>
      <w:rFonts w:eastAsia="楷体_GB2312"/>
      <w:spacing w:val="6"/>
      <w:szCs w:val="21"/>
    </w:rPr>
  </w:style>
  <w:style w:type="paragraph" w:customStyle="1" w:styleId="2322">
    <w:name w:val="正文5"/>
    <w:qFormat/>
    <w:uiPriority w:val="0"/>
    <w:pPr>
      <w:widowControl w:val="0"/>
      <w:adjustRightInd w:val="0"/>
      <w:spacing w:line="360" w:lineRule="atLeast"/>
      <w:jc w:val="center"/>
    </w:pPr>
    <w:rPr>
      <w:rFonts w:hint="eastAsia" w:ascii="宋体" w:hAnsi="Calibri" w:eastAsia="宋体" w:cs="Times New Roman"/>
      <w:sz w:val="24"/>
      <w:lang w:val="en-US" w:eastAsia="zh-CN" w:bidi="ar-SA"/>
    </w:rPr>
  </w:style>
  <w:style w:type="paragraph" w:customStyle="1" w:styleId="2323">
    <w:name w:val="规划院标题4"/>
    <w:basedOn w:val="1"/>
    <w:qFormat/>
    <w:uiPriority w:val="0"/>
    <w:pPr>
      <w:ind w:firstLine="0"/>
    </w:pPr>
  </w:style>
  <w:style w:type="paragraph" w:customStyle="1" w:styleId="2324">
    <w:name w:val="列表 3J"/>
    <w:basedOn w:val="16"/>
    <w:qFormat/>
    <w:uiPriority w:val="0"/>
    <w:pPr>
      <w:tabs>
        <w:tab w:val="left" w:pos="907"/>
      </w:tabs>
      <w:spacing w:line="288" w:lineRule="auto"/>
      <w:ind w:left="907" w:leftChars="0" w:hanging="567" w:firstLineChars="0"/>
    </w:pPr>
    <w:rPr>
      <w:rFonts w:ascii="Arial" w:hAnsi="Arial"/>
      <w:color w:val="CCFFCC"/>
      <w:sz w:val="24"/>
      <w:szCs w:val="20"/>
    </w:rPr>
  </w:style>
  <w:style w:type="paragraph" w:customStyle="1" w:styleId="2325">
    <w:name w:val="样式 标题 3 + 段前: 0.5 行1"/>
    <w:basedOn w:val="7"/>
    <w:qFormat/>
    <w:uiPriority w:val="0"/>
    <w:pPr>
      <w:tabs>
        <w:tab w:val="left" w:pos="0"/>
        <w:tab w:val="left" w:pos="210"/>
        <w:tab w:val="left" w:pos="670"/>
        <w:tab w:val="left" w:pos="720"/>
        <w:tab w:val="left" w:pos="1196"/>
        <w:tab w:val="left" w:pos="1740"/>
        <w:tab w:val="clear" w:pos="709"/>
        <w:tab w:val="clear" w:pos="1440"/>
      </w:tabs>
      <w:spacing w:beforeLines="50" w:after="156"/>
      <w:ind w:left="0" w:firstLine="0"/>
      <w:jc w:val="left"/>
    </w:pPr>
    <w:rPr>
      <w:rFonts w:eastAsia="宋体" w:cs="宋体"/>
      <w:sz w:val="24"/>
    </w:rPr>
  </w:style>
  <w:style w:type="paragraph" w:customStyle="1" w:styleId="2326">
    <w:name w:val="列表 4I"/>
    <w:basedOn w:val="81"/>
    <w:qFormat/>
    <w:uiPriority w:val="0"/>
    <w:pPr>
      <w:tabs>
        <w:tab w:val="left" w:pos="785"/>
      </w:tabs>
      <w:spacing w:beforeLines="50" w:afterLines="30" w:line="288" w:lineRule="auto"/>
      <w:ind w:left="0" w:leftChars="0" w:firstLine="425" w:firstLineChars="0"/>
    </w:pPr>
    <w:rPr>
      <w:rFonts w:ascii="Arial" w:hAnsi="Arial"/>
      <w:color w:val="CCFFFF"/>
      <w:sz w:val="24"/>
      <w:szCs w:val="20"/>
    </w:rPr>
  </w:style>
  <w:style w:type="paragraph" w:customStyle="1" w:styleId="2327">
    <w:name w:val="xl57"/>
    <w:basedOn w:val="1"/>
    <w:qFormat/>
    <w:uiPriority w:val="0"/>
    <w:pPr>
      <w:pBdr>
        <w:top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Cs w:val="21"/>
    </w:rPr>
  </w:style>
  <w:style w:type="paragraph" w:customStyle="1" w:styleId="2328">
    <w:name w:val="±êÌâ 1"/>
    <w:basedOn w:val="25"/>
    <w:next w:val="25"/>
    <w:qFormat/>
    <w:uiPriority w:val="0"/>
    <w:pPr>
      <w:keepNext/>
      <w:overflowPunct w:val="0"/>
      <w:autoSpaceDE w:val="0"/>
      <w:autoSpaceDN w:val="0"/>
      <w:ind w:left="-252" w:firstLine="0"/>
      <w:jc w:val="center"/>
      <w:textAlignment w:val="baseline"/>
    </w:pPr>
    <w:rPr>
      <w:szCs w:val="20"/>
    </w:rPr>
  </w:style>
  <w:style w:type="paragraph" w:customStyle="1" w:styleId="2329">
    <w:name w:val="封面三号"/>
    <w:basedOn w:val="1"/>
    <w:qFormat/>
    <w:uiPriority w:val="0"/>
    <w:pPr>
      <w:jc w:val="center"/>
    </w:pPr>
    <w:rPr>
      <w:rFonts w:ascii="宋体" w:hAnsi="宋体" w:cs="宋体"/>
      <w:spacing w:val="55"/>
      <w:kern w:val="0"/>
      <w:sz w:val="32"/>
      <w:szCs w:val="32"/>
    </w:rPr>
  </w:style>
  <w:style w:type="paragraph" w:customStyle="1" w:styleId="2330">
    <w:name w:val="正文王"/>
    <w:basedOn w:val="1"/>
    <w:qFormat/>
    <w:uiPriority w:val="0"/>
    <w:pPr>
      <w:spacing w:line="360" w:lineRule="auto"/>
    </w:pPr>
    <w:rPr>
      <w:sz w:val="24"/>
    </w:rPr>
  </w:style>
  <w:style w:type="paragraph" w:customStyle="1" w:styleId="2331">
    <w:name w:val="符号说明"/>
    <w:basedOn w:val="1"/>
    <w:qFormat/>
    <w:uiPriority w:val="0"/>
    <w:pPr>
      <w:tabs>
        <w:tab w:val="left" w:pos="1260"/>
        <w:tab w:val="left" w:pos="3780"/>
        <w:tab w:val="left" w:pos="4680"/>
      </w:tabs>
      <w:spacing w:line="360" w:lineRule="auto"/>
      <w:ind w:firstLine="840" w:firstLineChars="400"/>
    </w:pPr>
    <w:rPr>
      <w:szCs w:val="21"/>
    </w:rPr>
  </w:style>
  <w:style w:type="paragraph" w:customStyle="1" w:styleId="2332">
    <w:name w:val="样式8"/>
    <w:basedOn w:val="10"/>
    <w:qFormat/>
    <w:uiPriority w:val="0"/>
    <w:pPr>
      <w:tabs>
        <w:tab w:val="left" w:pos="0"/>
      </w:tabs>
      <w:spacing w:after="0" w:line="360" w:lineRule="auto"/>
    </w:pPr>
    <w:rPr>
      <w:sz w:val="24"/>
    </w:rPr>
  </w:style>
  <w:style w:type="paragraph" w:customStyle="1" w:styleId="2333">
    <w:name w:val="xl86"/>
    <w:basedOn w:val="1"/>
    <w:qFormat/>
    <w:uiPriority w:val="0"/>
    <w:pPr>
      <w:pBdr>
        <w:top w:val="single" w:color="auto" w:sz="8" w:space="0"/>
        <w:left w:val="single" w:color="auto" w:sz="8" w:space="0"/>
        <w:bottom w:val="single" w:color="auto" w:sz="4" w:space="0"/>
      </w:pBdr>
      <w:spacing w:before="100" w:beforeAutospacing="1" w:after="100" w:afterAutospacing="1"/>
      <w:jc w:val="left"/>
    </w:pPr>
    <w:rPr>
      <w:rFonts w:eastAsia="Arial Unicode MS"/>
      <w:kern w:val="0"/>
      <w:sz w:val="16"/>
      <w:szCs w:val="16"/>
    </w:rPr>
  </w:style>
  <w:style w:type="paragraph" w:customStyle="1" w:styleId="2334">
    <w:name w:val="Char Char Char Char7"/>
    <w:basedOn w:val="1"/>
    <w:qFormat/>
    <w:uiPriority w:val="0"/>
  </w:style>
  <w:style w:type="paragraph" w:customStyle="1" w:styleId="2335">
    <w:name w:val="xl24"/>
    <w:basedOn w:val="1"/>
    <w:qFormat/>
    <w:uiPriority w:val="0"/>
    <w:pPr>
      <w:pBdr>
        <w:bottom w:val="single" w:color="auto" w:sz="4" w:space="0"/>
        <w:right w:val="single" w:color="auto" w:sz="4" w:space="0"/>
      </w:pBdr>
      <w:spacing w:before="100" w:beforeAutospacing="1" w:after="100" w:afterAutospacing="1"/>
      <w:jc w:val="center"/>
    </w:pPr>
    <w:rPr>
      <w:kern w:val="0"/>
      <w:szCs w:val="21"/>
    </w:rPr>
  </w:style>
  <w:style w:type="paragraph" w:customStyle="1" w:styleId="2336">
    <w:name w:val="样式2"/>
    <w:basedOn w:val="5"/>
    <w:qFormat/>
    <w:uiPriority w:val="0"/>
    <w:pPr>
      <w:keepNext w:val="0"/>
      <w:pageBreakBefore/>
      <w:spacing w:before="100" w:beforeAutospacing="1" w:after="100" w:afterAutospacing="1" w:line="500" w:lineRule="exact"/>
    </w:pPr>
    <w:rPr>
      <w:rFonts w:ascii="黑体" w:hAnsi="黑体" w:eastAsia="黑体"/>
      <w:bCs w:val="0"/>
      <w:kern w:val="2"/>
      <w:sz w:val="32"/>
      <w:szCs w:val="32"/>
    </w:rPr>
  </w:style>
  <w:style w:type="paragraph" w:customStyle="1" w:styleId="2337">
    <w:name w:val="报告正文"/>
    <w:basedOn w:val="1"/>
    <w:qFormat/>
    <w:uiPriority w:val="0"/>
    <w:pPr>
      <w:spacing w:line="360" w:lineRule="auto"/>
      <w:ind w:firstLine="482"/>
    </w:pPr>
    <w:rPr>
      <w:sz w:val="24"/>
      <w:szCs w:val="21"/>
    </w:rPr>
  </w:style>
  <w:style w:type="paragraph" w:customStyle="1" w:styleId="2338">
    <w:name w:val="xl15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2339">
    <w:name w:val="列表 3K"/>
    <w:basedOn w:val="16"/>
    <w:qFormat/>
    <w:uiPriority w:val="0"/>
    <w:pPr>
      <w:tabs>
        <w:tab w:val="left" w:pos="907"/>
      </w:tabs>
      <w:spacing w:line="288" w:lineRule="auto"/>
      <w:ind w:left="907" w:leftChars="0" w:hanging="567" w:firstLineChars="0"/>
    </w:pPr>
    <w:rPr>
      <w:rFonts w:ascii="Arial" w:hAnsi="Arial"/>
      <w:color w:val="CCFFCC"/>
      <w:sz w:val="24"/>
      <w:szCs w:val="20"/>
    </w:rPr>
  </w:style>
  <w:style w:type="paragraph" w:customStyle="1" w:styleId="2340">
    <w:name w:val="标题样式4"/>
    <w:basedOn w:val="10"/>
    <w:qFormat/>
    <w:uiPriority w:val="0"/>
    <w:pPr>
      <w:spacing w:after="0" w:line="360" w:lineRule="auto"/>
      <w:ind w:left="0" w:firstLine="0"/>
    </w:pPr>
    <w:rPr>
      <w:rFonts w:ascii="黑体" w:hAnsi="Arial"/>
      <w:bCs w:val="0"/>
      <w:sz w:val="24"/>
    </w:rPr>
  </w:style>
  <w:style w:type="paragraph" w:customStyle="1" w:styleId="2341">
    <w:name w:val="xl19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2342">
    <w:name w:val="小四表文左齐"/>
    <w:basedOn w:val="1"/>
    <w:qFormat/>
    <w:uiPriority w:val="0"/>
    <w:pPr>
      <w:spacing w:line="360" w:lineRule="exact"/>
      <w:jc w:val="center"/>
    </w:pPr>
    <w:rPr>
      <w:szCs w:val="21"/>
    </w:rPr>
  </w:style>
  <w:style w:type="paragraph" w:customStyle="1" w:styleId="2343">
    <w:name w:val="列表 3N"/>
    <w:basedOn w:val="16"/>
    <w:qFormat/>
    <w:uiPriority w:val="0"/>
    <w:pPr>
      <w:tabs>
        <w:tab w:val="left" w:pos="907"/>
      </w:tabs>
      <w:spacing w:line="288" w:lineRule="auto"/>
      <w:ind w:left="907" w:leftChars="0" w:hanging="567" w:firstLineChars="0"/>
    </w:pPr>
    <w:rPr>
      <w:rFonts w:ascii="Arial" w:hAnsi="Arial"/>
      <w:color w:val="CCFFCC"/>
      <w:sz w:val="24"/>
      <w:szCs w:val="20"/>
    </w:rPr>
  </w:style>
  <w:style w:type="paragraph" w:customStyle="1" w:styleId="2344">
    <w:name w:val="列出段落1"/>
    <w:basedOn w:val="1"/>
    <w:qFormat/>
    <w:uiPriority w:val="0"/>
    <w:pPr>
      <w:ind w:firstLine="420"/>
    </w:pPr>
  </w:style>
  <w:style w:type="paragraph" w:customStyle="1" w:styleId="2345">
    <w:name w:val="+正文"/>
    <w:basedOn w:val="1"/>
    <w:qFormat/>
    <w:uiPriority w:val="0"/>
    <w:pPr>
      <w:spacing w:line="360" w:lineRule="auto"/>
    </w:pPr>
    <w:rPr>
      <w:sz w:val="24"/>
      <w:szCs w:val="28"/>
    </w:rPr>
  </w:style>
  <w:style w:type="paragraph" w:customStyle="1" w:styleId="2346">
    <w:name w:val="xl60"/>
    <w:basedOn w:val="1"/>
    <w:qFormat/>
    <w:uiPriority w:val="0"/>
    <w:pPr>
      <w:pBdr>
        <w:top w:val="single" w:color="auto" w:sz="8" w:space="0"/>
        <w:left w:val="single" w:color="auto" w:sz="4" w:space="0"/>
        <w:bottom w:val="single" w:color="auto" w:sz="4" w:space="0"/>
        <w:right w:val="single" w:color="auto" w:sz="8" w:space="0"/>
      </w:pBdr>
      <w:spacing w:before="100" w:beforeAutospacing="1" w:after="100" w:afterAutospacing="1"/>
      <w:jc w:val="left"/>
      <w:textAlignment w:val="center"/>
    </w:pPr>
    <w:rPr>
      <w:rFonts w:ascii="Arial Unicode MS" w:hAnsi="Arial Unicode MS" w:eastAsia="Arial Unicode MS"/>
      <w:kern w:val="0"/>
      <w:sz w:val="24"/>
    </w:rPr>
  </w:style>
  <w:style w:type="paragraph" w:customStyle="1" w:styleId="2347">
    <w:name w:val="xl56"/>
    <w:basedOn w:val="1"/>
    <w:qFormat/>
    <w:uiPriority w:val="0"/>
    <w:pPr>
      <w:pBdr>
        <w:top w:val="single" w:color="auto" w:sz="8" w:space="0"/>
        <w:left w:val="single" w:color="auto" w:sz="8" w:space="0"/>
        <w:right w:val="single" w:color="auto" w:sz="4" w:space="0"/>
      </w:pBdr>
      <w:spacing w:before="100" w:beforeAutospacing="1" w:after="100" w:afterAutospacing="1"/>
      <w:jc w:val="center"/>
      <w:textAlignment w:val="center"/>
    </w:pPr>
    <w:rPr>
      <w:rFonts w:eastAsia="Arial Unicode MS"/>
      <w:kern w:val="0"/>
      <w:sz w:val="20"/>
      <w:szCs w:val="20"/>
    </w:rPr>
  </w:style>
  <w:style w:type="paragraph" w:customStyle="1" w:styleId="2348">
    <w:name w:val="正文图标题"/>
    <w:next w:val="1739"/>
    <w:qFormat/>
    <w:uiPriority w:val="0"/>
    <w:pPr>
      <w:spacing w:line="320" w:lineRule="exact"/>
      <w:jc w:val="center"/>
    </w:pPr>
    <w:rPr>
      <w:rFonts w:ascii="黑体" w:hAnsi="Calibri" w:eastAsia="黑体" w:cs="Times New Roman"/>
      <w:sz w:val="21"/>
      <w:lang w:val="en-US" w:eastAsia="zh-CN" w:bidi="ar-SA"/>
    </w:rPr>
  </w:style>
  <w:style w:type="paragraph" w:customStyle="1" w:styleId="2349">
    <w:name w:val="xl8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2350">
    <w:name w:val="基准脚注"/>
    <w:basedOn w:val="1"/>
    <w:semiHidden/>
    <w:qFormat/>
    <w:uiPriority w:val="0"/>
    <w:pPr>
      <w:tabs>
        <w:tab w:val="left" w:pos="187"/>
      </w:tabs>
      <w:overflowPunct w:val="0"/>
      <w:autoSpaceDE w:val="0"/>
      <w:autoSpaceDN w:val="0"/>
      <w:spacing w:line="220" w:lineRule="exact"/>
      <w:ind w:left="187" w:hanging="187"/>
      <w:jc w:val="left"/>
      <w:textAlignment w:val="baseline"/>
    </w:pPr>
    <w:rPr>
      <w:sz w:val="18"/>
      <w:szCs w:val="20"/>
    </w:rPr>
  </w:style>
  <w:style w:type="paragraph" w:customStyle="1" w:styleId="2351">
    <w:name w:val="Char Char Char Char Char Char1 Char"/>
    <w:basedOn w:val="1"/>
    <w:qFormat/>
    <w:uiPriority w:val="0"/>
  </w:style>
  <w:style w:type="paragraph" w:customStyle="1" w:styleId="2352">
    <w:name w:val="五级条标题"/>
    <w:basedOn w:val="2353"/>
    <w:next w:val="1"/>
    <w:qFormat/>
    <w:uiPriority w:val="0"/>
    <w:pPr>
      <w:outlineLvl w:val="6"/>
    </w:pPr>
  </w:style>
  <w:style w:type="paragraph" w:customStyle="1" w:styleId="2353">
    <w:name w:val="四级条标题"/>
    <w:basedOn w:val="2354"/>
    <w:next w:val="1"/>
    <w:qFormat/>
    <w:uiPriority w:val="0"/>
    <w:pPr>
      <w:outlineLvl w:val="5"/>
    </w:pPr>
  </w:style>
  <w:style w:type="paragraph" w:customStyle="1" w:styleId="2354">
    <w:name w:val="三级条标题"/>
    <w:basedOn w:val="2355"/>
    <w:next w:val="1"/>
    <w:qFormat/>
    <w:uiPriority w:val="0"/>
    <w:pPr>
      <w:outlineLvl w:val="4"/>
    </w:pPr>
  </w:style>
  <w:style w:type="paragraph" w:customStyle="1" w:styleId="2355">
    <w:name w:val="二级条标题"/>
    <w:basedOn w:val="2282"/>
    <w:next w:val="1"/>
    <w:qFormat/>
    <w:uiPriority w:val="0"/>
    <w:pPr>
      <w:outlineLvl w:val="3"/>
    </w:pPr>
  </w:style>
  <w:style w:type="paragraph" w:customStyle="1" w:styleId="2356">
    <w:name w:val="表中文字----------------"/>
    <w:basedOn w:val="1"/>
    <w:qFormat/>
    <w:uiPriority w:val="0"/>
    <w:pPr>
      <w:jc w:val="center"/>
    </w:pPr>
    <w:rPr>
      <w:szCs w:val="20"/>
    </w:rPr>
  </w:style>
  <w:style w:type="paragraph" w:customStyle="1" w:styleId="2357">
    <w:name w:val="acee正文"/>
    <w:basedOn w:val="1"/>
    <w:qFormat/>
    <w:uiPriority w:val="0"/>
    <w:pPr>
      <w:spacing w:line="480" w:lineRule="exact"/>
      <w:ind w:firstLine="640"/>
    </w:pPr>
    <w:rPr>
      <w:rFonts w:ascii="仿宋_GB2312" w:hAnsi="宋体"/>
      <w:sz w:val="32"/>
    </w:rPr>
  </w:style>
  <w:style w:type="paragraph" w:customStyle="1" w:styleId="2358">
    <w:name w:val="正文文本1"/>
    <w:basedOn w:val="1"/>
    <w:next w:val="1"/>
    <w:qFormat/>
    <w:uiPriority w:val="0"/>
    <w:pPr>
      <w:autoSpaceDE w:val="0"/>
      <w:autoSpaceDN w:val="0"/>
      <w:spacing w:before="60" w:after="60"/>
      <w:jc w:val="left"/>
    </w:pPr>
    <w:rPr>
      <w:rFonts w:ascii="宋体"/>
      <w:kern w:val="0"/>
      <w:sz w:val="24"/>
      <w:lang w:eastAsia="en-US"/>
    </w:rPr>
  </w:style>
  <w:style w:type="paragraph" w:customStyle="1" w:styleId="2359">
    <w:name w:val="正文文本缩进 312"/>
    <w:basedOn w:val="1"/>
    <w:qFormat/>
    <w:uiPriority w:val="0"/>
    <w:pPr>
      <w:spacing w:line="360" w:lineRule="atLeast"/>
      <w:ind w:firstLine="480"/>
      <w:textAlignment w:val="baseline"/>
    </w:pPr>
    <w:rPr>
      <w:rFonts w:ascii="宋体"/>
      <w:kern w:val="0"/>
      <w:sz w:val="24"/>
      <w:szCs w:val="20"/>
    </w:rPr>
  </w:style>
  <w:style w:type="paragraph" w:customStyle="1" w:styleId="2360">
    <w:name w:val="封面项目名称EPAJW120926"/>
    <w:basedOn w:val="1"/>
    <w:qFormat/>
    <w:uiPriority w:val="0"/>
    <w:pPr>
      <w:spacing w:before="156" w:after="156"/>
      <w:jc w:val="center"/>
    </w:pPr>
    <w:rPr>
      <w:rFonts w:cs="宋体"/>
      <w:b/>
      <w:bCs/>
      <w:sz w:val="44"/>
      <w:szCs w:val="20"/>
    </w:rPr>
  </w:style>
  <w:style w:type="paragraph" w:customStyle="1" w:styleId="2361">
    <w:name w:val="表号文字"/>
    <w:basedOn w:val="1"/>
    <w:qFormat/>
    <w:uiPriority w:val="0"/>
    <w:pPr>
      <w:spacing w:before="120" w:line="300" w:lineRule="auto"/>
      <w:jc w:val="left"/>
    </w:pPr>
    <w:rPr>
      <w:rFonts w:eastAsia="黑体"/>
      <w:sz w:val="24"/>
    </w:rPr>
  </w:style>
  <w:style w:type="paragraph" w:customStyle="1" w:styleId="2362">
    <w:name w:val="列表 2Y"/>
    <w:basedOn w:val="41"/>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363">
    <w:name w:val="编号汉字数字"/>
    <w:basedOn w:val="1788"/>
    <w:next w:val="1"/>
    <w:qFormat/>
    <w:uiPriority w:val="0"/>
    <w:pPr>
      <w:tabs>
        <w:tab w:val="left" w:pos="0"/>
        <w:tab w:val="clear" w:pos="1419"/>
      </w:tabs>
      <w:ind w:left="0" w:firstLine="822"/>
      <w:outlineLvl w:val="9"/>
    </w:pPr>
  </w:style>
  <w:style w:type="paragraph" w:customStyle="1" w:styleId="2364">
    <w:name w:val="xl14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000000"/>
      <w:kern w:val="0"/>
      <w:sz w:val="18"/>
      <w:szCs w:val="18"/>
    </w:rPr>
  </w:style>
  <w:style w:type="paragraph" w:customStyle="1" w:styleId="2365">
    <w:name w:val="xl34"/>
    <w:basedOn w:val="1"/>
    <w:qFormat/>
    <w:uiPriority w:val="0"/>
    <w:pPr>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366">
    <w:name w:val="xl21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kern w:val="0"/>
      <w:sz w:val="20"/>
      <w:szCs w:val="20"/>
    </w:rPr>
  </w:style>
  <w:style w:type="paragraph" w:customStyle="1" w:styleId="2367">
    <w:name w:val="样式11"/>
    <w:basedOn w:val="675"/>
    <w:qFormat/>
    <w:uiPriority w:val="0"/>
    <w:pPr>
      <w:spacing w:line="440" w:lineRule="exact"/>
      <w:outlineLvl w:val="0"/>
    </w:pPr>
    <w:rPr>
      <w:rFonts w:ascii="Times New Roman"/>
    </w:rPr>
  </w:style>
  <w:style w:type="paragraph" w:customStyle="1" w:styleId="2368">
    <w:name w:val="封面单位名称EPAJW120926"/>
    <w:basedOn w:val="1"/>
    <w:qFormat/>
    <w:uiPriority w:val="0"/>
    <w:pPr>
      <w:spacing w:beforeLines="30" w:afterLines="30"/>
      <w:jc w:val="center"/>
    </w:pPr>
    <w:rPr>
      <w:rFonts w:cs="宋体"/>
      <w:spacing w:val="40"/>
      <w:sz w:val="32"/>
      <w:szCs w:val="20"/>
    </w:rPr>
  </w:style>
  <w:style w:type="paragraph" w:customStyle="1" w:styleId="2369">
    <w:name w:val="责任表文"/>
    <w:basedOn w:val="1"/>
    <w:qFormat/>
    <w:uiPriority w:val="0"/>
    <w:pPr>
      <w:jc w:val="center"/>
      <w:textAlignment w:val="baseline"/>
    </w:pPr>
    <w:rPr>
      <w:rFonts w:hAnsi="宋体"/>
      <w:snapToGrid w:val="0"/>
      <w:kern w:val="24"/>
      <w:szCs w:val="28"/>
    </w:rPr>
  </w:style>
  <w:style w:type="paragraph" w:customStyle="1" w:styleId="2370">
    <w:name w:val="正文3"/>
    <w:qFormat/>
    <w:uiPriority w:val="0"/>
    <w:pPr>
      <w:widowControl w:val="0"/>
      <w:adjustRightInd w:val="0"/>
      <w:spacing w:line="360" w:lineRule="atLeast"/>
      <w:jc w:val="center"/>
    </w:pPr>
    <w:rPr>
      <w:rFonts w:hint="eastAsia" w:ascii="宋体" w:hAnsi="Calibri" w:eastAsia="宋体" w:cs="Times New Roman"/>
      <w:sz w:val="24"/>
      <w:lang w:val="en-US" w:eastAsia="zh-CN" w:bidi="ar-SA"/>
    </w:rPr>
  </w:style>
  <w:style w:type="paragraph" w:customStyle="1" w:styleId="2371">
    <w:name w:val="xl80"/>
    <w:basedOn w:val="1"/>
    <w:qFormat/>
    <w:uiPriority w:val="0"/>
    <w:pPr>
      <w:pBdr>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2372">
    <w:name w:val="Tabelle"/>
    <w:basedOn w:val="1"/>
    <w:qFormat/>
    <w:uiPriority w:val="0"/>
    <w:pPr>
      <w:autoSpaceDE w:val="0"/>
      <w:autoSpaceDN w:val="0"/>
      <w:spacing w:before="80" w:after="80"/>
      <w:jc w:val="center"/>
    </w:pPr>
    <w:rPr>
      <w:rFonts w:ascii="Arial" w:hAnsi="Arial"/>
      <w:kern w:val="0"/>
      <w:sz w:val="20"/>
      <w:szCs w:val="20"/>
      <w:lang w:val="en-GB"/>
    </w:rPr>
  </w:style>
  <w:style w:type="paragraph" w:customStyle="1" w:styleId="2373">
    <w:name w:val="列表 M"/>
    <w:basedOn w:val="70"/>
    <w:qFormat/>
    <w:uiPriority w:val="0"/>
    <w:pPr>
      <w:tabs>
        <w:tab w:val="left" w:pos="425"/>
      </w:tabs>
      <w:spacing w:beforeLines="100" w:afterLines="50" w:line="288" w:lineRule="auto"/>
      <w:ind w:left="425" w:hanging="425"/>
    </w:pPr>
    <w:rPr>
      <w:rFonts w:ascii="Arial" w:hAnsi="Arial" w:eastAsia="宋体"/>
      <w:b/>
      <w:bCs/>
      <w:color w:val="FF99CC"/>
    </w:rPr>
  </w:style>
  <w:style w:type="paragraph" w:customStyle="1" w:styleId="2374">
    <w:name w:val="示例"/>
    <w:next w:val="1739"/>
    <w:qFormat/>
    <w:uiPriority w:val="0"/>
    <w:pPr>
      <w:tabs>
        <w:tab w:val="left" w:pos="816"/>
      </w:tabs>
      <w:spacing w:line="320" w:lineRule="exact"/>
      <w:ind w:firstLine="419" w:firstLineChars="233"/>
      <w:jc w:val="both"/>
    </w:pPr>
    <w:rPr>
      <w:rFonts w:ascii="宋体" w:hAnsi="Calibri" w:eastAsia="宋体" w:cs="Times New Roman"/>
      <w:sz w:val="18"/>
      <w:lang w:val="en-US" w:eastAsia="zh-CN" w:bidi="ar-SA"/>
    </w:rPr>
  </w:style>
  <w:style w:type="paragraph" w:customStyle="1" w:styleId="2375">
    <w:name w:val="样式 标题 1 + 自动设置"/>
    <w:basedOn w:val="5"/>
    <w:qFormat/>
    <w:uiPriority w:val="0"/>
    <w:pPr>
      <w:tabs>
        <w:tab w:val="left" w:pos="700"/>
        <w:tab w:val="left" w:pos="1454"/>
      </w:tabs>
      <w:autoSpaceDE w:val="0"/>
      <w:autoSpaceDN w:val="0"/>
      <w:spacing w:before="120" w:after="60" w:line="240" w:lineRule="auto"/>
      <w:ind w:left="1454" w:hanging="720"/>
      <w:jc w:val="left"/>
    </w:pPr>
    <w:rPr>
      <w:sz w:val="28"/>
      <w:szCs w:val="20"/>
    </w:rPr>
  </w:style>
  <w:style w:type="paragraph" w:customStyle="1" w:styleId="2376">
    <w:name w:val="一级"/>
    <w:basedOn w:val="1"/>
    <w:qFormat/>
    <w:uiPriority w:val="0"/>
    <w:pPr>
      <w:keepNext/>
      <w:keepLines/>
      <w:spacing w:beforeLines="50" w:afterLines="50" w:line="360" w:lineRule="auto"/>
      <w:jc w:val="left"/>
      <w:outlineLvl w:val="0"/>
    </w:pPr>
    <w:rPr>
      <w:rFonts w:eastAsia="黑体" w:cs="宋体"/>
      <w:b/>
      <w:color w:val="000000"/>
      <w:kern w:val="44"/>
      <w:sz w:val="32"/>
      <w:szCs w:val="20"/>
    </w:rPr>
  </w:style>
  <w:style w:type="paragraph" w:customStyle="1" w:styleId="2377">
    <w:name w:val="xl85"/>
    <w:basedOn w:val="1"/>
    <w:qFormat/>
    <w:uiPriority w:val="0"/>
    <w:pPr>
      <w:spacing w:before="100" w:beforeAutospacing="1" w:after="100" w:afterAutospacing="1"/>
      <w:jc w:val="left"/>
      <w:textAlignment w:val="center"/>
    </w:pPr>
    <w:rPr>
      <w:rFonts w:ascii="Arial Unicode MS" w:hAnsi="Arial Unicode MS" w:eastAsia="Arial Unicode MS" w:cs="Arial Unicode MS"/>
      <w:kern w:val="0"/>
      <w:sz w:val="20"/>
      <w:szCs w:val="20"/>
    </w:rPr>
  </w:style>
  <w:style w:type="paragraph" w:customStyle="1" w:styleId="2378">
    <w:name w:val="样式 标题 4§1.1.1.1§1.1.1.1.H4Char + 黑色 首行缩进:  2 字符5"/>
    <w:basedOn w:val="10"/>
    <w:qFormat/>
    <w:uiPriority w:val="0"/>
    <w:pPr>
      <w:keepNext w:val="0"/>
      <w:keepLines w:val="0"/>
      <w:spacing w:after="0" w:line="300" w:lineRule="auto"/>
      <w:ind w:left="0" w:firstLine="200"/>
    </w:pPr>
    <w:rPr>
      <w:rFonts w:cs="宋体"/>
      <w:b w:val="0"/>
      <w:snapToGrid w:val="0"/>
      <w:color w:val="000000"/>
      <w:kern w:val="0"/>
    </w:rPr>
  </w:style>
  <w:style w:type="paragraph" w:customStyle="1" w:styleId="2379">
    <w:name w:val="样式 样式 样式 正文首行缩进 + 首行缩进:  2 字符 + 首行缩进:  2 字符 + (中文) 宋体 (符号) Time..."/>
    <w:basedOn w:val="1936"/>
    <w:qFormat/>
    <w:uiPriority w:val="0"/>
    <w:rPr>
      <w:color w:val="000000"/>
    </w:rPr>
  </w:style>
  <w:style w:type="paragraph" w:customStyle="1" w:styleId="2380">
    <w:name w:val="xl78"/>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2381">
    <w:name w:val="目录3"/>
    <w:basedOn w:val="1"/>
    <w:qFormat/>
    <w:uiPriority w:val="0"/>
    <w:pPr>
      <w:tabs>
        <w:tab w:val="left" w:leader="dot" w:pos="7370"/>
      </w:tabs>
      <w:spacing w:line="317" w:lineRule="atLeast"/>
      <w:ind w:firstLine="419"/>
      <w:textAlignment w:val="baseline"/>
    </w:pPr>
    <w:rPr>
      <w:color w:val="000000"/>
      <w:kern w:val="0"/>
      <w:szCs w:val="20"/>
      <w:u w:color="000000"/>
    </w:rPr>
  </w:style>
  <w:style w:type="paragraph" w:customStyle="1" w:styleId="2382">
    <w:name w:val="Char Char Char1 Char Char Char"/>
    <w:basedOn w:val="1"/>
    <w:qFormat/>
    <w:uiPriority w:val="0"/>
  </w:style>
  <w:style w:type="paragraph" w:customStyle="1" w:styleId="2383">
    <w:name w:val="样式 题注"/>
    <w:basedOn w:val="1"/>
    <w:next w:val="1"/>
    <w:qFormat/>
    <w:uiPriority w:val="0"/>
    <w:pPr>
      <w:spacing w:line="360" w:lineRule="auto"/>
      <w:jc w:val="center"/>
    </w:pPr>
    <w:rPr>
      <w:rFonts w:cs="宋体"/>
      <w:sz w:val="24"/>
    </w:rPr>
  </w:style>
  <w:style w:type="paragraph" w:customStyle="1" w:styleId="2384">
    <w:name w:val="1正文"/>
    <w:basedOn w:val="1"/>
    <w:semiHidden/>
    <w:qFormat/>
    <w:uiPriority w:val="0"/>
    <w:pPr>
      <w:spacing w:beforeLines="50" w:afterLines="50"/>
    </w:pPr>
  </w:style>
  <w:style w:type="paragraph" w:customStyle="1" w:styleId="2385">
    <w:name w:val="zw"/>
    <w:basedOn w:val="1"/>
    <w:qFormat/>
    <w:uiPriority w:val="0"/>
    <w:pPr>
      <w:spacing w:line="300" w:lineRule="auto"/>
    </w:pPr>
    <w:rPr>
      <w:sz w:val="24"/>
    </w:rPr>
  </w:style>
  <w:style w:type="paragraph" w:customStyle="1" w:styleId="2386">
    <w:name w:val="样式 标题 1 + 小四 非加粗 段前: 6 磅 段后: 6 磅 行距: 最小值 4 磅"/>
    <w:basedOn w:val="5"/>
    <w:qFormat/>
    <w:uiPriority w:val="0"/>
    <w:pPr>
      <w:spacing w:before="120" w:after="120" w:line="80" w:lineRule="atLeast"/>
    </w:pPr>
    <w:rPr>
      <w:rFonts w:ascii="Arial Narrow" w:hAnsi="Arial Narrow"/>
      <w:b w:val="0"/>
      <w:bCs w:val="0"/>
      <w:sz w:val="24"/>
      <w:szCs w:val="20"/>
    </w:rPr>
  </w:style>
  <w:style w:type="paragraph" w:customStyle="1" w:styleId="2387">
    <w:name w:val="xl21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Cs w:val="21"/>
    </w:rPr>
  </w:style>
  <w:style w:type="paragraph" w:customStyle="1" w:styleId="2388">
    <w:name w:val="标题3"/>
    <w:basedOn w:val="7"/>
    <w:qFormat/>
    <w:uiPriority w:val="0"/>
    <w:pPr>
      <w:tabs>
        <w:tab w:val="clear" w:pos="1440"/>
      </w:tabs>
      <w:spacing w:beforeLines="30" w:afterLines="30" w:line="360" w:lineRule="auto"/>
      <w:ind w:left="0" w:firstLine="0"/>
    </w:pPr>
    <w:rPr>
      <w:rFonts w:eastAsia="宋体"/>
    </w:rPr>
  </w:style>
  <w:style w:type="paragraph" w:customStyle="1" w:styleId="2389">
    <w:name w:val="xl15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2390">
    <w:name w:val="列表 2I"/>
    <w:basedOn w:val="41"/>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391">
    <w:name w:val="R表头"/>
    <w:basedOn w:val="1"/>
    <w:qFormat/>
    <w:uiPriority w:val="0"/>
    <w:pPr>
      <w:spacing w:beforeLines="50"/>
      <w:jc w:val="center"/>
    </w:pPr>
    <w:rPr>
      <w:kern w:val="0"/>
      <w:szCs w:val="21"/>
    </w:rPr>
  </w:style>
  <w:style w:type="paragraph" w:customStyle="1" w:styleId="2392">
    <w:name w:val="列表 4C"/>
    <w:basedOn w:val="81"/>
    <w:next w:val="81"/>
    <w:qFormat/>
    <w:uiPriority w:val="0"/>
    <w:pPr>
      <w:tabs>
        <w:tab w:val="left" w:pos="562"/>
      </w:tabs>
      <w:spacing w:beforeLines="20" w:afterLines="20" w:line="288" w:lineRule="auto"/>
      <w:ind w:left="562" w:leftChars="0" w:hanging="420" w:firstLineChars="0"/>
    </w:pPr>
    <w:rPr>
      <w:rFonts w:ascii="Arial" w:hAnsi="Arial"/>
      <w:color w:val="CCFFFF"/>
      <w:sz w:val="24"/>
      <w:szCs w:val="20"/>
    </w:rPr>
  </w:style>
  <w:style w:type="paragraph" w:customStyle="1" w:styleId="2393">
    <w:name w:val="样式 正文首行缩进 2 + Times New Roman Char"/>
    <w:basedOn w:val="1"/>
    <w:qFormat/>
    <w:uiPriority w:val="0"/>
    <w:pPr>
      <w:tabs>
        <w:tab w:val="left" w:pos="0"/>
        <w:tab w:val="left" w:pos="870"/>
        <w:tab w:val="left" w:pos="3150"/>
      </w:tabs>
      <w:autoSpaceDE w:val="0"/>
      <w:autoSpaceDN w:val="0"/>
      <w:spacing w:line="360" w:lineRule="auto"/>
      <w:ind w:firstLine="527"/>
      <w:textAlignment w:val="baseline"/>
    </w:pPr>
    <w:rPr>
      <w:sz w:val="24"/>
      <w:szCs w:val="28"/>
    </w:rPr>
  </w:style>
  <w:style w:type="paragraph" w:customStyle="1" w:styleId="2394">
    <w:name w:val="样式 标题 1第一标题 + 段前: 0.3 行 段后: 0.3 行"/>
    <w:basedOn w:val="5"/>
    <w:qFormat/>
    <w:uiPriority w:val="0"/>
    <w:pPr>
      <w:keepNext w:val="0"/>
      <w:keepLines w:val="0"/>
      <w:autoSpaceDE w:val="0"/>
      <w:autoSpaceDN w:val="0"/>
      <w:spacing w:beforeLines="50" w:afterLines="30" w:line="240" w:lineRule="auto"/>
    </w:pPr>
    <w:rPr>
      <w:rFonts w:eastAsia="黑体" w:cs="宋体"/>
      <w:b w:val="0"/>
      <w:bCs w:val="0"/>
      <w:kern w:val="0"/>
      <w:sz w:val="32"/>
      <w:szCs w:val="20"/>
      <w:lang w:val="zh-CN"/>
    </w:rPr>
  </w:style>
  <w:style w:type="paragraph" w:customStyle="1" w:styleId="2395">
    <w:name w:val="Char Char Char10"/>
    <w:basedOn w:val="1"/>
    <w:qFormat/>
    <w:uiPriority w:val="0"/>
  </w:style>
  <w:style w:type="paragraph" w:customStyle="1" w:styleId="2396">
    <w:name w:val="xl99"/>
    <w:basedOn w:val="1"/>
    <w:qFormat/>
    <w:uiPriority w:val="0"/>
    <w:pPr>
      <w:pBdr>
        <w:top w:val="single" w:color="auto" w:sz="8" w:space="0"/>
        <w:left w:val="single" w:color="auto" w:sz="8" w:space="0"/>
        <w:bottom w:val="single" w:color="auto" w:sz="4" w:space="0"/>
      </w:pBdr>
      <w:spacing w:before="100" w:beforeAutospacing="1" w:after="100" w:afterAutospacing="1"/>
      <w:jc w:val="center"/>
    </w:pPr>
    <w:rPr>
      <w:rFonts w:ascii="Arial Unicode MS" w:hAnsi="Arial Unicode MS" w:eastAsia="Arial Unicode MS" w:cs="Arial Unicode MS"/>
      <w:kern w:val="0"/>
      <w:sz w:val="16"/>
      <w:szCs w:val="16"/>
    </w:rPr>
  </w:style>
  <w:style w:type="paragraph" w:customStyle="1" w:styleId="2397">
    <w:name w:val="style1"/>
    <w:basedOn w:val="1"/>
    <w:qFormat/>
    <w:uiPriority w:val="0"/>
    <w:pPr>
      <w:spacing w:before="100" w:beforeAutospacing="1" w:after="100" w:afterAutospacing="1"/>
      <w:jc w:val="left"/>
    </w:pPr>
    <w:rPr>
      <w:rFonts w:ascii="宋体" w:hAnsi="宋体" w:cs="宋体"/>
      <w:color w:val="333333"/>
      <w:kern w:val="0"/>
      <w:sz w:val="23"/>
      <w:szCs w:val="23"/>
    </w:rPr>
  </w:style>
  <w:style w:type="paragraph" w:customStyle="1" w:styleId="2398">
    <w:name w:val="文章总标题"/>
    <w:basedOn w:val="1"/>
    <w:next w:val="1"/>
    <w:semiHidden/>
    <w:qFormat/>
    <w:uiPriority w:val="0"/>
    <w:pPr>
      <w:spacing w:before="566" w:after="544" w:line="566" w:lineRule="atLeast"/>
      <w:jc w:val="center"/>
      <w:textAlignment w:val="baseline"/>
    </w:pPr>
    <w:rPr>
      <w:rFonts w:ascii="Arial" w:eastAsia="黑体" w:cs="Arial"/>
      <w:bCs/>
      <w:color w:val="000000"/>
      <w:kern w:val="0"/>
      <w:sz w:val="54"/>
      <w:szCs w:val="54"/>
      <w:u w:color="000000"/>
    </w:rPr>
  </w:style>
  <w:style w:type="paragraph" w:customStyle="1" w:styleId="2399">
    <w:name w:val="样式 样式 正文首行缩进 + Times New Roman + 首行缩进:  2 字符"/>
    <w:basedOn w:val="1"/>
    <w:qFormat/>
    <w:uiPriority w:val="0"/>
    <w:pPr>
      <w:tabs>
        <w:tab w:val="left" w:pos="0"/>
      </w:tabs>
      <w:autoSpaceDE w:val="0"/>
      <w:autoSpaceDN w:val="0"/>
      <w:spacing w:line="360" w:lineRule="auto"/>
      <w:textAlignment w:val="baseline"/>
    </w:pPr>
    <w:rPr>
      <w:rFonts w:cs="宋体"/>
      <w:sz w:val="24"/>
      <w:szCs w:val="20"/>
    </w:rPr>
  </w:style>
  <w:style w:type="paragraph" w:customStyle="1" w:styleId="2400">
    <w:name w:val="样式 正文首行缩进 2 + 段前: 0.25 行"/>
    <w:basedOn w:val="90"/>
    <w:qFormat/>
    <w:uiPriority w:val="0"/>
    <w:pPr>
      <w:tabs>
        <w:tab w:val="left" w:pos="420"/>
        <w:tab w:val="left" w:pos="870"/>
        <w:tab w:val="left" w:pos="3150"/>
      </w:tabs>
      <w:autoSpaceDE w:val="0"/>
      <w:autoSpaceDN w:val="0"/>
      <w:spacing w:beforeLines="25" w:after="0" w:line="360" w:lineRule="auto"/>
      <w:ind w:left="0" w:leftChars="0" w:firstLine="527" w:firstLineChars="0"/>
      <w:textAlignment w:val="baseline"/>
    </w:pPr>
    <w:rPr>
      <w:rFonts w:ascii="宋体" w:cs="宋体"/>
      <w:sz w:val="24"/>
      <w:szCs w:val="20"/>
    </w:rPr>
  </w:style>
  <w:style w:type="paragraph" w:customStyle="1" w:styleId="2401">
    <w:name w:val="责任表内固定EPAJW120926"/>
    <w:basedOn w:val="1"/>
    <w:qFormat/>
    <w:uiPriority w:val="0"/>
    <w:pPr>
      <w:spacing w:line="360" w:lineRule="auto"/>
      <w:ind w:hanging="108"/>
      <w:jc w:val="center"/>
    </w:pPr>
    <w:rPr>
      <w:rFonts w:eastAsia="黑体" w:cs="宋体"/>
      <w:b/>
      <w:bCs/>
      <w:szCs w:val="20"/>
    </w:rPr>
  </w:style>
  <w:style w:type="paragraph" w:customStyle="1" w:styleId="2402">
    <w:name w:val="表格注释"/>
    <w:basedOn w:val="1"/>
    <w:qFormat/>
    <w:uiPriority w:val="0"/>
    <w:pPr>
      <w:jc w:val="center"/>
    </w:pPr>
    <w:rPr>
      <w:b/>
      <w:kern w:val="0"/>
    </w:rPr>
  </w:style>
  <w:style w:type="paragraph" w:customStyle="1" w:styleId="2403">
    <w:name w:val="xl36"/>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Cs w:val="21"/>
    </w:rPr>
  </w:style>
  <w:style w:type="paragraph" w:customStyle="1" w:styleId="2404">
    <w:name w:val="Char3"/>
    <w:basedOn w:val="1"/>
    <w:qFormat/>
    <w:uiPriority w:val="0"/>
    <w:pPr>
      <w:spacing w:line="240" w:lineRule="exact"/>
    </w:pPr>
    <w:rPr>
      <w:szCs w:val="28"/>
    </w:rPr>
  </w:style>
  <w:style w:type="paragraph" w:customStyle="1" w:styleId="2405">
    <w:name w:val="样式 责任表内填写多行EPAJW120926 + 粉红"/>
    <w:basedOn w:val="2406"/>
    <w:qFormat/>
    <w:uiPriority w:val="0"/>
  </w:style>
  <w:style w:type="paragraph" w:customStyle="1" w:styleId="2406">
    <w:name w:val="责任表内填写EPAJW120926"/>
    <w:basedOn w:val="1"/>
    <w:qFormat/>
    <w:uiPriority w:val="0"/>
    <w:pPr>
      <w:spacing w:before="120" w:line="360" w:lineRule="auto"/>
      <w:ind w:hanging="108"/>
      <w:jc w:val="center"/>
    </w:pPr>
    <w:rPr>
      <w:rFonts w:cs="宋体"/>
      <w:szCs w:val="20"/>
    </w:rPr>
  </w:style>
  <w:style w:type="paragraph" w:customStyle="1" w:styleId="2407">
    <w:name w:val="正文缩进2字符"/>
    <w:basedOn w:val="1"/>
    <w:qFormat/>
    <w:uiPriority w:val="0"/>
  </w:style>
  <w:style w:type="paragraph" w:customStyle="1" w:styleId="2408">
    <w:name w:val="纯文本1"/>
    <w:basedOn w:val="1"/>
    <w:qFormat/>
    <w:uiPriority w:val="0"/>
    <w:pPr>
      <w:jc w:val="left"/>
      <w:textAlignment w:val="baseline"/>
    </w:pPr>
    <w:rPr>
      <w:rFonts w:ascii="宋体"/>
      <w:kern w:val="0"/>
      <w:sz w:val="24"/>
      <w:szCs w:val="20"/>
    </w:rPr>
  </w:style>
  <w:style w:type="paragraph" w:customStyle="1" w:styleId="2409">
    <w:name w:val="xl43"/>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Cs w:val="21"/>
    </w:rPr>
  </w:style>
  <w:style w:type="paragraph" w:customStyle="1" w:styleId="2410">
    <w:name w:val="样式 标题 2 + 黑体 小三"/>
    <w:basedOn w:val="6"/>
    <w:qFormat/>
    <w:uiPriority w:val="0"/>
    <w:pPr>
      <w:tabs>
        <w:tab w:val="clear" w:pos="1080"/>
      </w:tabs>
      <w:spacing w:before="0" w:after="0" w:line="360" w:lineRule="auto"/>
      <w:ind w:left="0" w:firstLine="562"/>
    </w:pPr>
    <w:rPr>
      <w:rFonts w:ascii="黑体" w:hAnsi="黑体"/>
      <w:bCs/>
      <w:sz w:val="28"/>
      <w:szCs w:val="32"/>
    </w:rPr>
  </w:style>
  <w:style w:type="paragraph" w:customStyle="1" w:styleId="2411">
    <w:name w:val="表中样式"/>
    <w:basedOn w:val="1"/>
    <w:semiHidden/>
    <w:qFormat/>
    <w:uiPriority w:val="0"/>
    <w:pPr>
      <w:spacing w:line="240" w:lineRule="exact"/>
      <w:ind w:left="-25" w:leftChars="-25" w:right="-31" w:rightChars="-31"/>
      <w:jc w:val="center"/>
    </w:pPr>
    <w:rPr>
      <w:rFonts w:ascii="宋体" w:hAnsi="宋体" w:cs="宋体"/>
      <w:bCs/>
      <w:kern w:val="0"/>
      <w:szCs w:val="32"/>
    </w:rPr>
  </w:style>
  <w:style w:type="paragraph" w:customStyle="1" w:styleId="2412">
    <w:name w:val="样式 标题 4常用标题 4 + 段前: 6 磅 段后: 6 磅 行距: 固定值 26 磅"/>
    <w:basedOn w:val="10"/>
    <w:qFormat/>
    <w:uiPriority w:val="0"/>
    <w:pPr>
      <w:tabs>
        <w:tab w:val="left" w:pos="2414"/>
      </w:tabs>
      <w:spacing w:before="120"/>
      <w:ind w:left="2414" w:hanging="420"/>
    </w:pPr>
    <w:rPr>
      <w:rFonts w:ascii="Arial" w:hAnsi="Arial" w:cs="宋体"/>
      <w:bCs w:val="0"/>
    </w:rPr>
  </w:style>
  <w:style w:type="paragraph" w:customStyle="1" w:styleId="2413">
    <w:name w:val="表内容"/>
    <w:basedOn w:val="1"/>
    <w:qFormat/>
    <w:uiPriority w:val="0"/>
    <w:pPr>
      <w:autoSpaceDE w:val="0"/>
      <w:autoSpaceDN w:val="0"/>
      <w:jc w:val="center"/>
      <w:textAlignment w:val="bottom"/>
    </w:pPr>
    <w:rPr>
      <w:smallCaps/>
      <w:kern w:val="0"/>
      <w:szCs w:val="20"/>
    </w:rPr>
  </w:style>
  <w:style w:type="paragraph" w:customStyle="1" w:styleId="2414">
    <w:name w:val="xl83"/>
    <w:basedOn w:val="1"/>
    <w:qFormat/>
    <w:uiPriority w:val="0"/>
    <w:pPr>
      <w:pBdr>
        <w:top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2415">
    <w:name w:val="列表 5T"/>
    <w:basedOn w:val="73"/>
    <w:qFormat/>
    <w:uiPriority w:val="0"/>
    <w:pPr>
      <w:tabs>
        <w:tab w:val="left" w:pos="1134"/>
      </w:tabs>
      <w:ind w:left="1134" w:leftChars="0" w:hanging="425" w:firstLineChars="0"/>
    </w:pPr>
    <w:rPr>
      <w:rFonts w:ascii="Arial" w:hAnsi="Arial"/>
      <w:color w:val="99CCFF"/>
      <w:sz w:val="24"/>
      <w:szCs w:val="20"/>
    </w:rPr>
  </w:style>
  <w:style w:type="paragraph" w:customStyle="1" w:styleId="2416">
    <w:name w:val="编号引导"/>
    <w:basedOn w:val="24"/>
    <w:next w:val="24"/>
    <w:semiHidden/>
    <w:qFormat/>
    <w:uiPriority w:val="0"/>
    <w:pPr>
      <w:tabs>
        <w:tab w:val="clear" w:pos="360"/>
      </w:tabs>
      <w:overflowPunct w:val="0"/>
      <w:autoSpaceDE w:val="0"/>
      <w:autoSpaceDN w:val="0"/>
      <w:spacing w:before="80" w:after="160"/>
      <w:ind w:left="720" w:firstLine="0" w:firstLineChars="0"/>
      <w:jc w:val="left"/>
      <w:textAlignment w:val="baseline"/>
    </w:pPr>
    <w:rPr>
      <w:kern w:val="0"/>
      <w:sz w:val="20"/>
      <w:szCs w:val="20"/>
    </w:rPr>
  </w:style>
  <w:style w:type="paragraph" w:customStyle="1" w:styleId="2417">
    <w:name w:val="6"/>
    <w:basedOn w:val="1"/>
    <w:next w:val="39"/>
    <w:qFormat/>
    <w:uiPriority w:val="0"/>
    <w:pPr>
      <w:spacing w:line="400" w:lineRule="exact"/>
      <w:ind w:firstLine="516" w:firstLineChars="215"/>
    </w:pPr>
    <w:rPr>
      <w:sz w:val="24"/>
    </w:rPr>
  </w:style>
  <w:style w:type="paragraph" w:customStyle="1" w:styleId="2418">
    <w:name w:val="table"/>
    <w:basedOn w:val="1"/>
    <w:qFormat/>
    <w:uiPriority w:val="0"/>
    <w:pPr>
      <w:autoSpaceDE w:val="0"/>
      <w:autoSpaceDN w:val="0"/>
      <w:spacing w:before="80" w:after="80" w:line="240" w:lineRule="atLeast"/>
      <w:jc w:val="center"/>
      <w:textAlignment w:val="baseline"/>
    </w:pPr>
    <w:rPr>
      <w:rFonts w:ascii="宋体"/>
      <w:kern w:val="0"/>
      <w:position w:val="-6"/>
      <w:szCs w:val="20"/>
    </w:rPr>
  </w:style>
  <w:style w:type="paragraph" w:customStyle="1" w:styleId="2419">
    <w:name w:val="样式 样式 样式 方正宋三简体 14 磅 行距: 1.5 倍行距1 + 首行缩进:  2 字符 + 首行缩进:  2 字符"/>
    <w:basedOn w:val="1"/>
    <w:qFormat/>
    <w:uiPriority w:val="0"/>
    <w:pPr>
      <w:ind w:firstLine="574"/>
    </w:pPr>
    <w:rPr>
      <w:rFonts w:ascii="宋体" w:hAnsi="方正宋三简体"/>
      <w:sz w:val="27"/>
      <w:szCs w:val="20"/>
    </w:rPr>
  </w:style>
  <w:style w:type="paragraph" w:customStyle="1" w:styleId="2420">
    <w:name w:val="4标"/>
    <w:basedOn w:val="1"/>
    <w:qFormat/>
    <w:uiPriority w:val="0"/>
    <w:pPr>
      <w:keepNext/>
      <w:keepLines/>
      <w:spacing w:beforeLines="50" w:afterLines="50"/>
      <w:outlineLvl w:val="3"/>
    </w:pPr>
    <w:rPr>
      <w:rFonts w:eastAsia="黑体" w:cs="宋体"/>
      <w:szCs w:val="20"/>
    </w:rPr>
  </w:style>
  <w:style w:type="paragraph" w:customStyle="1" w:styleId="2421">
    <w:name w:val="表字1"/>
    <w:basedOn w:val="1"/>
    <w:qFormat/>
    <w:uiPriority w:val="0"/>
    <w:pPr>
      <w:spacing w:line="240" w:lineRule="atLeast"/>
      <w:jc w:val="left"/>
    </w:pPr>
    <w:rPr>
      <w:sz w:val="18"/>
      <w:szCs w:val="18"/>
    </w:rPr>
  </w:style>
  <w:style w:type="paragraph" w:customStyle="1" w:styleId="2422">
    <w:name w:val="样式 标题 2节标题 1.1标题节第一层条H2Heading 2 HiddenHeading 2 CCBSPIM2...1"/>
    <w:basedOn w:val="6"/>
    <w:qFormat/>
    <w:uiPriority w:val="0"/>
    <w:pPr>
      <w:tabs>
        <w:tab w:val="clear" w:pos="1080"/>
      </w:tabs>
      <w:spacing w:beforeLines="100" w:afterLines="100" w:line="480" w:lineRule="auto"/>
      <w:ind w:left="0" w:firstLine="0"/>
    </w:pPr>
    <w:rPr>
      <w:rFonts w:ascii="Arial Narrow" w:hAnsi="Arial Narrow" w:cs="宋体"/>
      <w:bCs/>
      <w:szCs w:val="32"/>
    </w:rPr>
  </w:style>
  <w:style w:type="paragraph" w:customStyle="1" w:styleId="2423">
    <w:name w:val="Char Char Char1 Char1"/>
    <w:basedOn w:val="1"/>
    <w:semiHidden/>
    <w:qFormat/>
    <w:uiPriority w:val="0"/>
  </w:style>
  <w:style w:type="paragraph" w:customStyle="1" w:styleId="2424">
    <w:name w:val="特殊标题３"/>
    <w:basedOn w:val="1"/>
    <w:qFormat/>
    <w:uiPriority w:val="0"/>
    <w:pPr>
      <w:overflowPunct w:val="0"/>
      <w:autoSpaceDE w:val="0"/>
      <w:autoSpaceDN w:val="0"/>
      <w:spacing w:line="360" w:lineRule="auto"/>
      <w:textAlignment w:val="baseline"/>
    </w:pPr>
    <w:rPr>
      <w:kern w:val="0"/>
      <w:szCs w:val="20"/>
    </w:rPr>
  </w:style>
  <w:style w:type="paragraph" w:customStyle="1" w:styleId="2425">
    <w:name w:val="xl47"/>
    <w:basedOn w:val="1"/>
    <w:qFormat/>
    <w:uiPriority w:val="0"/>
    <w:pPr>
      <w:pBdr>
        <w:bottom w:val="single" w:color="auto" w:sz="8" w:space="0"/>
      </w:pBdr>
      <w:spacing w:before="100" w:beforeAutospacing="1" w:after="100" w:afterAutospacing="1"/>
      <w:jc w:val="center"/>
    </w:pPr>
    <w:rPr>
      <w:rFonts w:ascii="Arial Unicode MS" w:hAnsi="Arial Unicode MS" w:eastAsia="Arial Unicode MS"/>
      <w:kern w:val="0"/>
      <w:sz w:val="20"/>
      <w:szCs w:val="20"/>
    </w:rPr>
  </w:style>
  <w:style w:type="paragraph" w:customStyle="1" w:styleId="2426">
    <w:name w:val="xl28"/>
    <w:basedOn w:val="1"/>
    <w:qFormat/>
    <w:uiPriority w:val="0"/>
    <w:pPr>
      <w:pBdr>
        <w:top w:val="single" w:color="auto" w:sz="8" w:space="0"/>
        <w:left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2427">
    <w:name w:val="页脚1"/>
    <w:basedOn w:val="1854"/>
    <w:qFormat/>
    <w:uiPriority w:val="0"/>
    <w:pPr>
      <w:tabs>
        <w:tab w:val="center" w:pos="4153"/>
        <w:tab w:val="right" w:pos="8306"/>
      </w:tabs>
      <w:spacing w:line="240" w:lineRule="atLeast"/>
    </w:pPr>
    <w:rPr>
      <w:sz w:val="18"/>
    </w:rPr>
  </w:style>
  <w:style w:type="paragraph" w:customStyle="1" w:styleId="2428">
    <w:name w:val="xl6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eastAsia="Arial Unicode MS"/>
      <w:kern w:val="0"/>
      <w:sz w:val="20"/>
      <w:szCs w:val="20"/>
    </w:rPr>
  </w:style>
  <w:style w:type="paragraph" w:customStyle="1" w:styleId="2429">
    <w:name w:val="xl20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2430">
    <w:name w:val="xl1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2431">
    <w:name w:val="Char Char Char3 Char Char Char8"/>
    <w:basedOn w:val="1"/>
    <w:qFormat/>
    <w:uiPriority w:val="0"/>
    <w:pPr>
      <w:spacing w:line="360" w:lineRule="auto"/>
    </w:pPr>
    <w:rPr>
      <w:rFonts w:ascii="宋体" w:hAnsi="宋体" w:cs="宋体"/>
      <w:sz w:val="24"/>
    </w:rPr>
  </w:style>
  <w:style w:type="paragraph" w:customStyle="1" w:styleId="2432">
    <w:name w:val="样式 标题 4§1.1.1.1§1.1.1.1.H4Char + 黑色 首行缩进:  2 字符"/>
    <w:basedOn w:val="10"/>
    <w:qFormat/>
    <w:uiPriority w:val="0"/>
    <w:pPr>
      <w:keepNext w:val="0"/>
      <w:keepLines w:val="0"/>
      <w:spacing w:after="0" w:line="300" w:lineRule="auto"/>
      <w:ind w:left="0" w:firstLine="0"/>
    </w:pPr>
    <w:rPr>
      <w:rFonts w:cs="宋体"/>
      <w:b w:val="0"/>
      <w:snapToGrid w:val="0"/>
      <w:color w:val="000000"/>
      <w:kern w:val="0"/>
    </w:rPr>
  </w:style>
  <w:style w:type="paragraph" w:customStyle="1" w:styleId="2433">
    <w:name w:val="列"/>
    <w:basedOn w:val="1"/>
    <w:qFormat/>
    <w:uiPriority w:val="0"/>
    <w:pPr>
      <w:tabs>
        <w:tab w:val="left" w:pos="567"/>
      </w:tabs>
      <w:spacing w:line="360" w:lineRule="auto"/>
      <w:ind w:left="845" w:hanging="335"/>
    </w:pPr>
    <w:rPr>
      <w:rFonts w:ascii="宋体"/>
      <w:sz w:val="24"/>
    </w:rPr>
  </w:style>
  <w:style w:type="paragraph" w:customStyle="1" w:styleId="2434">
    <w:name w:val="正文仿宋方案"/>
    <w:basedOn w:val="1"/>
    <w:qFormat/>
    <w:uiPriority w:val="0"/>
    <w:pPr>
      <w:spacing w:line="360" w:lineRule="auto"/>
      <w:ind w:firstLine="538" w:firstLineChars="192"/>
      <w:outlineLvl w:val="0"/>
    </w:pPr>
    <w:rPr>
      <w:rFonts w:ascii="宋体" w:hAnsi="宋体" w:eastAsia="仿宋" w:cs="宋体"/>
      <w:color w:val="000000"/>
      <w:kern w:val="36"/>
    </w:rPr>
  </w:style>
  <w:style w:type="paragraph" w:customStyle="1" w:styleId="2435">
    <w:name w:val="101"/>
    <w:basedOn w:val="1"/>
    <w:qFormat/>
    <w:uiPriority w:val="0"/>
    <w:pPr>
      <w:spacing w:before="100" w:beforeAutospacing="1" w:after="100" w:afterAutospacing="1"/>
      <w:jc w:val="left"/>
    </w:pPr>
    <w:rPr>
      <w:rFonts w:ascii="Arial Unicode MS" w:hAnsi="Arial Unicode MS" w:eastAsia="Arial Unicode MS" w:cs="Arial Unicode MS"/>
      <w:kern w:val="0"/>
      <w:sz w:val="24"/>
    </w:rPr>
  </w:style>
  <w:style w:type="paragraph" w:customStyle="1" w:styleId="2436">
    <w:name w:val="章(一级)"/>
    <w:basedOn w:val="5"/>
    <w:next w:val="2437"/>
    <w:qFormat/>
    <w:uiPriority w:val="0"/>
    <w:pPr>
      <w:keepNext w:val="0"/>
      <w:keepLines w:val="0"/>
      <w:tabs>
        <w:tab w:val="left" w:pos="360"/>
        <w:tab w:val="left" w:pos="915"/>
      </w:tabs>
      <w:spacing w:before="0" w:after="0" w:line="360" w:lineRule="auto"/>
      <w:ind w:left="915" w:hanging="435"/>
      <w:jc w:val="left"/>
      <w:textAlignment w:val="baseline"/>
      <w:outlineLvl w:val="9"/>
    </w:pPr>
    <w:rPr>
      <w:rFonts w:ascii="宋体" w:hAnsi="宋体"/>
      <w:bCs w:val="0"/>
      <w:kern w:val="24"/>
      <w:sz w:val="24"/>
      <w:szCs w:val="20"/>
    </w:rPr>
  </w:style>
  <w:style w:type="paragraph" w:customStyle="1" w:styleId="2437">
    <w:name w:val="条(二级)"/>
    <w:basedOn w:val="6"/>
    <w:next w:val="1"/>
    <w:qFormat/>
    <w:uiPriority w:val="0"/>
    <w:pPr>
      <w:tabs>
        <w:tab w:val="clear" w:pos="1080"/>
      </w:tabs>
      <w:autoSpaceDE w:val="0"/>
      <w:autoSpaceDN w:val="0"/>
      <w:spacing w:before="0" w:after="0" w:line="460" w:lineRule="exact"/>
      <w:ind w:left="0" w:firstLine="0"/>
      <w:jc w:val="left"/>
      <w:textAlignment w:val="baseline"/>
      <w:outlineLvl w:val="9"/>
    </w:pPr>
    <w:rPr>
      <w:rFonts w:ascii="宋体" w:eastAsia="宋体"/>
      <w:spacing w:val="3"/>
      <w:kern w:val="24"/>
      <w:sz w:val="26"/>
    </w:rPr>
  </w:style>
  <w:style w:type="paragraph" w:customStyle="1" w:styleId="2438">
    <w:name w:val="样式 正文首行缩进 + 黑色 首行缩进:  2 字符"/>
    <w:basedOn w:val="89"/>
    <w:qFormat/>
    <w:uiPriority w:val="0"/>
    <w:pPr>
      <w:spacing w:line="300" w:lineRule="auto"/>
      <w:ind w:firstLine="560" w:firstLineChars="200"/>
    </w:pPr>
    <w:rPr>
      <w:rFonts w:cs="宋体"/>
      <w:snapToGrid w:val="0"/>
      <w:color w:val="000000"/>
      <w:kern w:val="0"/>
      <w:szCs w:val="20"/>
    </w:rPr>
  </w:style>
  <w:style w:type="paragraph" w:customStyle="1" w:styleId="2439">
    <w:name w:val="图形目录"/>
    <w:basedOn w:val="1"/>
    <w:qFormat/>
    <w:uiPriority w:val="0"/>
    <w:pPr>
      <w:spacing w:before="50" w:after="50" w:line="360" w:lineRule="auto"/>
      <w:jc w:val="center"/>
    </w:pPr>
    <w:rPr>
      <w:rFonts w:eastAsia="黑体"/>
      <w:color w:val="000000"/>
      <w:kern w:val="24"/>
      <w:sz w:val="24"/>
    </w:rPr>
  </w:style>
  <w:style w:type="paragraph" w:customStyle="1" w:styleId="2440">
    <w:name w:val="Char Char Char Char Char Char Char5"/>
    <w:basedOn w:val="1"/>
    <w:qFormat/>
    <w:uiPriority w:val="0"/>
    <w:rPr>
      <w:szCs w:val="21"/>
    </w:rPr>
  </w:style>
  <w:style w:type="paragraph" w:customStyle="1" w:styleId="2441">
    <w:name w:val="汉川标题1"/>
    <w:basedOn w:val="87"/>
    <w:next w:val="87"/>
    <w:qFormat/>
    <w:uiPriority w:val="0"/>
    <w:pPr>
      <w:keepLines w:val="0"/>
      <w:pageBreakBefore w:val="0"/>
      <w:widowControl/>
      <w:spacing w:after="60" w:line="480" w:lineRule="auto"/>
    </w:pPr>
    <w:rPr>
      <w:rFonts w:ascii="Arial" w:hAnsi="Arial" w:eastAsia="仿宋_GB2312" w:cs="Arial"/>
      <w:bCs/>
      <w:kern w:val="28"/>
      <w:sz w:val="44"/>
      <w:szCs w:val="32"/>
    </w:rPr>
  </w:style>
  <w:style w:type="paragraph" w:customStyle="1" w:styleId="2442">
    <w:name w:val="样式 3.1 + 行距: 多倍行距 1.73 字行"/>
    <w:basedOn w:val="2443"/>
    <w:qFormat/>
    <w:uiPriority w:val="0"/>
    <w:pPr>
      <w:tabs>
        <w:tab w:val="left" w:pos="567"/>
        <w:tab w:val="left" w:pos="958"/>
        <w:tab w:val="right" w:leader="dot" w:pos="8296"/>
      </w:tabs>
      <w:spacing w:line="413" w:lineRule="auto"/>
      <w:ind w:left="958" w:hanging="420"/>
    </w:pPr>
    <w:rPr>
      <w:szCs w:val="20"/>
    </w:rPr>
  </w:style>
  <w:style w:type="paragraph" w:customStyle="1" w:styleId="2443">
    <w:name w:val="3.1"/>
    <w:basedOn w:val="6"/>
    <w:next w:val="90"/>
    <w:qFormat/>
    <w:uiPriority w:val="0"/>
    <w:pPr>
      <w:keepLines w:val="0"/>
      <w:tabs>
        <w:tab w:val="right" w:leader="dot" w:pos="8296"/>
        <w:tab w:val="clear" w:pos="1080"/>
      </w:tabs>
      <w:spacing w:before="0" w:after="0"/>
      <w:ind w:left="0" w:firstLine="200"/>
    </w:pPr>
    <w:rPr>
      <w:rFonts w:eastAsia="仿宋_GB2312"/>
      <w:i/>
      <w:iCs/>
      <w:kern w:val="2"/>
      <w:sz w:val="28"/>
      <w:szCs w:val="32"/>
    </w:rPr>
  </w:style>
  <w:style w:type="paragraph" w:customStyle="1" w:styleId="2444">
    <w:name w:val="默认段落字体 Para Char Char Char1 Char Char Char Char"/>
    <w:basedOn w:val="1"/>
    <w:qFormat/>
    <w:uiPriority w:val="0"/>
    <w:rPr>
      <w:sz w:val="24"/>
    </w:rPr>
  </w:style>
  <w:style w:type="paragraph" w:customStyle="1" w:styleId="2445">
    <w:name w:val="z正文"/>
    <w:basedOn w:val="39"/>
    <w:qFormat/>
    <w:uiPriority w:val="0"/>
    <w:pPr>
      <w:autoSpaceDE w:val="0"/>
      <w:autoSpaceDN w:val="0"/>
      <w:spacing w:after="0" w:line="360" w:lineRule="auto"/>
      <w:ind w:left="0" w:leftChars="0"/>
      <w:textAlignment w:val="baseline"/>
    </w:pPr>
    <w:rPr>
      <w:kern w:val="0"/>
      <w:sz w:val="24"/>
      <w:szCs w:val="20"/>
    </w:rPr>
  </w:style>
  <w:style w:type="paragraph" w:customStyle="1" w:styleId="2446">
    <w:name w:val="图标标题"/>
    <w:basedOn w:val="28"/>
    <w:qFormat/>
    <w:uiPriority w:val="0"/>
    <w:pPr>
      <w:tabs>
        <w:tab w:val="left" w:pos="425"/>
        <w:tab w:val="clear" w:pos="360"/>
      </w:tabs>
      <w:adjustRightInd/>
      <w:snapToGrid/>
      <w:spacing w:line="360" w:lineRule="auto"/>
      <w:ind w:left="425" w:hanging="425" w:firstLineChars="200"/>
      <w:jc w:val="center"/>
    </w:pPr>
    <w:rPr>
      <w:b/>
      <w:sz w:val="24"/>
      <w:szCs w:val="24"/>
    </w:rPr>
  </w:style>
  <w:style w:type="paragraph" w:customStyle="1" w:styleId="2447">
    <w:name w:val="样式 行距: 固定值 23 磅"/>
    <w:basedOn w:val="11"/>
    <w:qFormat/>
    <w:uiPriority w:val="0"/>
    <w:pPr>
      <w:adjustRightInd/>
      <w:spacing w:line="460" w:lineRule="exact"/>
      <w:ind w:left="0" w:firstLine="0"/>
    </w:pPr>
    <w:rPr>
      <w:rFonts w:cs="宋体"/>
      <w:bCs w:val="0"/>
    </w:rPr>
  </w:style>
  <w:style w:type="paragraph" w:customStyle="1" w:styleId="2448">
    <w:name w:val="Char Char Char Char Char Char1 Char Char Char Char"/>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2449">
    <w:name w:val="Char Char Char1 Char Char Char Char Char Char Char Char Char Char1"/>
    <w:basedOn w:val="1"/>
    <w:qFormat/>
    <w:uiPriority w:val="0"/>
  </w:style>
  <w:style w:type="paragraph" w:customStyle="1" w:styleId="2450">
    <w:name w:val="正文-lgf"/>
    <w:basedOn w:val="1"/>
    <w:qFormat/>
    <w:uiPriority w:val="0"/>
    <w:pPr>
      <w:spacing w:line="300" w:lineRule="auto"/>
      <w:ind w:firstLine="560"/>
    </w:pPr>
    <w:rPr>
      <w:color w:val="FF0000"/>
      <w:szCs w:val="20"/>
    </w:rPr>
  </w:style>
  <w:style w:type="paragraph" w:customStyle="1" w:styleId="2451">
    <w:name w:val="主题封页"/>
    <w:basedOn w:val="2091"/>
    <w:next w:val="1804"/>
    <w:semiHidden/>
    <w:qFormat/>
    <w:uiPriority w:val="0"/>
    <w:pPr>
      <w:spacing w:before="720" w:after="160"/>
      <w:jc w:val="center"/>
    </w:pPr>
    <w:rPr>
      <w:sz w:val="40"/>
    </w:rPr>
  </w:style>
  <w:style w:type="paragraph" w:customStyle="1" w:styleId="2452">
    <w:name w:val="样式 样式 标题 3h33rd levelH33Head 3level_3PIM 3Level 3 Head二级节名...2 +"/>
    <w:basedOn w:val="494"/>
    <w:qFormat/>
    <w:uiPriority w:val="0"/>
    <w:pPr>
      <w:widowControl w:val="0"/>
      <w:ind w:left="1260" w:hanging="420" w:firstLineChars="200"/>
      <w:jc w:val="both"/>
    </w:pPr>
    <w:rPr>
      <w:color w:val="0000FF"/>
      <w:kern w:val="2"/>
    </w:rPr>
  </w:style>
  <w:style w:type="paragraph" w:customStyle="1" w:styleId="2453">
    <w:name w:val="表格标题6"/>
    <w:basedOn w:val="42"/>
    <w:qFormat/>
    <w:uiPriority w:val="0"/>
    <w:pPr>
      <w:tabs>
        <w:tab w:val="left" w:pos="3393"/>
      </w:tabs>
      <w:wordWrap w:val="0"/>
      <w:spacing w:after="0" w:line="360" w:lineRule="auto"/>
      <w:ind w:left="3393" w:leftChars="0" w:hanging="432"/>
      <w:jc w:val="center"/>
    </w:pPr>
    <w:rPr>
      <w:b/>
      <w:sz w:val="24"/>
    </w:rPr>
  </w:style>
  <w:style w:type="paragraph" w:customStyle="1" w:styleId="2454">
    <w:name w:val="Qzy样式1"/>
    <w:basedOn w:val="5"/>
    <w:qFormat/>
    <w:uiPriority w:val="0"/>
    <w:pPr>
      <w:keepNext w:val="0"/>
      <w:spacing w:before="0" w:after="0" w:line="240" w:lineRule="atLeast"/>
    </w:pPr>
    <w:rPr>
      <w:bCs w:val="0"/>
      <w:sz w:val="36"/>
      <w:szCs w:val="20"/>
    </w:rPr>
  </w:style>
  <w:style w:type="paragraph" w:customStyle="1" w:styleId="2455">
    <w:name w:val="样式 行距: 1.5 倍行距"/>
    <w:basedOn w:val="1"/>
    <w:qFormat/>
    <w:uiPriority w:val="0"/>
    <w:pPr>
      <w:spacing w:line="360" w:lineRule="auto"/>
    </w:pPr>
    <w:rPr>
      <w:rFonts w:cs="宋体"/>
      <w:sz w:val="24"/>
    </w:rPr>
  </w:style>
  <w:style w:type="paragraph" w:customStyle="1" w:styleId="2456">
    <w:name w:val="HZZH标题—3"/>
    <w:basedOn w:val="7"/>
    <w:next w:val="244"/>
    <w:qFormat/>
    <w:uiPriority w:val="0"/>
    <w:pPr>
      <w:keepLines w:val="0"/>
      <w:tabs>
        <w:tab w:val="left" w:pos="-1800"/>
        <w:tab w:val="left" w:pos="900"/>
        <w:tab w:val="clear" w:pos="1440"/>
      </w:tabs>
      <w:spacing w:before="180" w:after="260"/>
      <w:ind w:left="0" w:right="240" w:firstLine="200"/>
    </w:pPr>
    <w:rPr>
      <w:rFonts w:ascii="黑体" w:hAnsi="宋体" w:cs="宋体"/>
      <w:bCs/>
      <w:kern w:val="2"/>
      <w:szCs w:val="26"/>
    </w:rPr>
  </w:style>
  <w:style w:type="paragraph" w:customStyle="1" w:styleId="2457">
    <w:name w:val="xl19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24"/>
    </w:rPr>
  </w:style>
  <w:style w:type="paragraph" w:customStyle="1" w:styleId="2458">
    <w:name w:val="规划院标题2"/>
    <w:basedOn w:val="1"/>
    <w:qFormat/>
    <w:uiPriority w:val="0"/>
    <w:pPr>
      <w:ind w:firstLine="0"/>
    </w:pPr>
  </w:style>
  <w:style w:type="paragraph" w:customStyle="1" w:styleId="2459">
    <w:name w:val="c2"/>
    <w:basedOn w:val="1"/>
    <w:qFormat/>
    <w:uiPriority w:val="0"/>
    <w:rPr>
      <w:rFonts w:ascii="Calisto MT" w:hAnsi="Calisto MT"/>
      <w:b/>
      <w:sz w:val="30"/>
    </w:rPr>
  </w:style>
  <w:style w:type="paragraph" w:customStyle="1" w:styleId="2460">
    <w:name w:val="无缩进正文"/>
    <w:basedOn w:val="1"/>
    <w:qFormat/>
    <w:uiPriority w:val="0"/>
    <w:pPr>
      <w:spacing w:line="288" w:lineRule="auto"/>
      <w:jc w:val="center"/>
    </w:pPr>
  </w:style>
  <w:style w:type="paragraph" w:customStyle="1" w:styleId="2461">
    <w:name w:val="xl16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18"/>
      <w:szCs w:val="18"/>
    </w:rPr>
  </w:style>
  <w:style w:type="paragraph" w:customStyle="1" w:styleId="2462">
    <w:name w:val="标二"/>
    <w:next w:val="1"/>
    <w:qFormat/>
    <w:uiPriority w:val="0"/>
    <w:pPr>
      <w:spacing w:line="800" w:lineRule="exact"/>
      <w:jc w:val="center"/>
      <w:outlineLvl w:val="1"/>
    </w:pPr>
    <w:rPr>
      <w:rFonts w:ascii="Calibri" w:hAnsi="Calibri" w:eastAsia="黑体" w:cs="Times New Roman"/>
      <w:kern w:val="2"/>
      <w:sz w:val="28"/>
      <w:szCs w:val="24"/>
      <w:lang w:val="en-US" w:eastAsia="zh-CN" w:bidi="ar-SA"/>
    </w:rPr>
  </w:style>
  <w:style w:type="paragraph" w:customStyle="1" w:styleId="2463">
    <w:name w:val="az"/>
    <w:basedOn w:val="1"/>
    <w:qFormat/>
    <w:uiPriority w:val="0"/>
    <w:pPr>
      <w:ind w:firstLine="480"/>
    </w:pPr>
    <w:rPr>
      <w:sz w:val="24"/>
    </w:rPr>
  </w:style>
  <w:style w:type="paragraph" w:customStyle="1" w:styleId="2464">
    <w:name w:val="_Style 22"/>
    <w:basedOn w:val="1"/>
    <w:next w:val="38"/>
    <w:qFormat/>
    <w:uiPriority w:val="0"/>
    <w:pPr>
      <w:spacing w:line="240" w:lineRule="exact"/>
      <w:jc w:val="center"/>
    </w:pPr>
    <w:rPr>
      <w:rFonts w:eastAsia="方正仿宋简体"/>
      <w:w w:val="80"/>
    </w:rPr>
  </w:style>
  <w:style w:type="paragraph" w:customStyle="1" w:styleId="2465">
    <w:name w:val="封面标题"/>
    <w:basedOn w:val="1"/>
    <w:next w:val="1"/>
    <w:qFormat/>
    <w:uiPriority w:val="0"/>
    <w:pPr>
      <w:tabs>
        <w:tab w:val="center" w:pos="6804"/>
        <w:tab w:val="right" w:pos="7371"/>
      </w:tabs>
      <w:overflowPunct w:val="0"/>
      <w:spacing w:line="360" w:lineRule="auto"/>
      <w:jc w:val="center"/>
      <w:textAlignment w:val="baseline"/>
    </w:pPr>
    <w:rPr>
      <w:rFonts w:ascii="Arial" w:eastAsia="黑体"/>
      <w:color w:val="FF0000"/>
      <w:spacing w:val="20"/>
      <w:kern w:val="52"/>
      <w:sz w:val="72"/>
      <w:szCs w:val="20"/>
    </w:rPr>
  </w:style>
  <w:style w:type="paragraph" w:customStyle="1" w:styleId="2466">
    <w:name w:val="~图头"/>
    <w:basedOn w:val="1"/>
    <w:qFormat/>
    <w:uiPriority w:val="0"/>
    <w:pPr>
      <w:jc w:val="center"/>
    </w:pPr>
    <w:rPr>
      <w:b/>
      <w:sz w:val="24"/>
    </w:rPr>
  </w:style>
  <w:style w:type="paragraph" w:customStyle="1" w:styleId="2467">
    <w:name w:val="Char Char Char Char1"/>
    <w:basedOn w:val="1"/>
    <w:qFormat/>
    <w:uiPriority w:val="0"/>
    <w:pPr>
      <w:spacing w:line="440" w:lineRule="atLeast"/>
    </w:pPr>
    <w:rPr>
      <w:rFonts w:ascii="宋体"/>
      <w:sz w:val="24"/>
    </w:rPr>
  </w:style>
  <w:style w:type="paragraph" w:customStyle="1" w:styleId="2468">
    <w:name w:val="!标题4(alt+4)"/>
    <w:basedOn w:val="1"/>
    <w:qFormat/>
    <w:uiPriority w:val="0"/>
    <w:pPr>
      <w:tabs>
        <w:tab w:val="left" w:pos="1825"/>
      </w:tabs>
      <w:spacing w:before="60" w:after="20" w:line="500" w:lineRule="exact"/>
      <w:textAlignment w:val="baseline"/>
      <w:outlineLvl w:val="3"/>
    </w:pPr>
    <w:rPr>
      <w:rFonts w:eastAsia="黑体"/>
      <w:sz w:val="24"/>
    </w:rPr>
  </w:style>
  <w:style w:type="paragraph" w:customStyle="1" w:styleId="2469">
    <w:name w:val="T表头"/>
    <w:next w:val="1"/>
    <w:qFormat/>
    <w:uiPriority w:val="0"/>
    <w:pPr>
      <w:keepLines/>
      <w:spacing w:line="320" w:lineRule="exact"/>
      <w:jc w:val="center"/>
    </w:pPr>
    <w:rPr>
      <w:rFonts w:ascii="Calibri" w:hAnsi="Calibri" w:eastAsia="宋体" w:cs="Times New Roman"/>
      <w:b/>
      <w:sz w:val="24"/>
      <w:szCs w:val="24"/>
      <w:lang w:val="en-US" w:eastAsia="zh-CN" w:bidi="ar-SA"/>
    </w:rPr>
  </w:style>
  <w:style w:type="paragraph" w:customStyle="1" w:styleId="2470">
    <w:name w:val="主题线"/>
    <w:basedOn w:val="1"/>
    <w:next w:val="38"/>
    <w:semiHidden/>
    <w:qFormat/>
    <w:uiPriority w:val="0"/>
    <w:pPr>
      <w:overflowPunct w:val="0"/>
      <w:autoSpaceDE w:val="0"/>
      <w:autoSpaceDN w:val="0"/>
      <w:jc w:val="left"/>
      <w:textAlignment w:val="baseline"/>
    </w:pPr>
    <w:rPr>
      <w:i/>
      <w:kern w:val="0"/>
      <w:sz w:val="20"/>
      <w:szCs w:val="20"/>
      <w:u w:val="single"/>
    </w:rPr>
  </w:style>
  <w:style w:type="paragraph" w:customStyle="1" w:styleId="2471">
    <w:name w:val="样式 标题 2wang2 + 段前: 0.5 行 段后: 0.5 行"/>
    <w:basedOn w:val="6"/>
    <w:semiHidden/>
    <w:qFormat/>
    <w:uiPriority w:val="0"/>
    <w:pPr>
      <w:tabs>
        <w:tab w:val="clear" w:pos="1080"/>
      </w:tabs>
      <w:spacing w:beforeLines="50" w:afterLines="50" w:line="440" w:lineRule="exact"/>
      <w:ind w:left="0" w:firstLine="0"/>
      <w:jc w:val="left"/>
    </w:pPr>
    <w:rPr>
      <w:rFonts w:cs="宋体"/>
      <w:b w:val="0"/>
      <w:sz w:val="30"/>
    </w:rPr>
  </w:style>
  <w:style w:type="paragraph" w:customStyle="1" w:styleId="2472">
    <w:name w:val="HZZH标题—2"/>
    <w:basedOn w:val="6"/>
    <w:next w:val="2456"/>
    <w:qFormat/>
    <w:uiPriority w:val="0"/>
    <w:pPr>
      <w:keepLines w:val="0"/>
      <w:tabs>
        <w:tab w:val="left" w:pos="720"/>
        <w:tab w:val="left" w:pos="2072"/>
        <w:tab w:val="clear" w:pos="1080"/>
      </w:tabs>
      <w:spacing w:before="260" w:after="260"/>
      <w:ind w:left="1559"/>
    </w:pPr>
    <w:rPr>
      <w:rFonts w:ascii="黑体" w:hAnsi="黑体" w:eastAsia="仿宋_GB2312"/>
      <w:i/>
      <w:iCs/>
      <w:kern w:val="2"/>
      <w:sz w:val="30"/>
      <w:szCs w:val="32"/>
    </w:rPr>
  </w:style>
  <w:style w:type="paragraph" w:customStyle="1" w:styleId="2473">
    <w:name w:val="列表 5H"/>
    <w:basedOn w:val="73"/>
    <w:qFormat/>
    <w:uiPriority w:val="0"/>
    <w:pPr>
      <w:tabs>
        <w:tab w:val="left" w:pos="1134"/>
      </w:tabs>
      <w:ind w:left="1134" w:leftChars="0" w:hanging="425" w:firstLineChars="0"/>
    </w:pPr>
    <w:rPr>
      <w:rFonts w:ascii="Arial" w:hAnsi="Arial"/>
      <w:color w:val="99CCFF"/>
      <w:sz w:val="24"/>
      <w:szCs w:val="20"/>
    </w:rPr>
  </w:style>
  <w:style w:type="paragraph" w:customStyle="1" w:styleId="2474">
    <w:name w:val="列表 D"/>
    <w:basedOn w:val="70"/>
    <w:qFormat/>
    <w:uiPriority w:val="0"/>
    <w:pPr>
      <w:tabs>
        <w:tab w:val="left" w:pos="425"/>
      </w:tabs>
      <w:spacing w:beforeLines="100" w:afterLines="50" w:line="288" w:lineRule="auto"/>
      <w:ind w:left="425" w:hanging="425"/>
    </w:pPr>
    <w:rPr>
      <w:rFonts w:ascii="Arial" w:hAnsi="Arial" w:eastAsia="宋体"/>
      <w:b/>
      <w:bCs/>
      <w:color w:val="FF99CC"/>
    </w:rPr>
  </w:style>
  <w:style w:type="paragraph" w:customStyle="1" w:styleId="2475">
    <w:name w:val="Char Char Char2"/>
    <w:basedOn w:val="1"/>
    <w:qFormat/>
    <w:uiPriority w:val="0"/>
    <w:pPr>
      <w:spacing w:line="360" w:lineRule="auto"/>
    </w:pPr>
    <w:rPr>
      <w:rFonts w:ascii="宋体" w:hAnsi="宋体" w:cs="宋体"/>
      <w:sz w:val="24"/>
    </w:rPr>
  </w:style>
  <w:style w:type="paragraph" w:customStyle="1" w:styleId="2476">
    <w:name w:val="Definition Term"/>
    <w:basedOn w:val="1"/>
    <w:next w:val="2477"/>
    <w:qFormat/>
    <w:uiPriority w:val="0"/>
    <w:pPr>
      <w:autoSpaceDE w:val="0"/>
      <w:autoSpaceDN w:val="0"/>
      <w:spacing w:line="360" w:lineRule="auto"/>
    </w:pPr>
    <w:rPr>
      <w:sz w:val="24"/>
    </w:rPr>
  </w:style>
  <w:style w:type="paragraph" w:customStyle="1" w:styleId="2477">
    <w:name w:val="Definition List"/>
    <w:basedOn w:val="1"/>
    <w:next w:val="2476"/>
    <w:qFormat/>
    <w:uiPriority w:val="0"/>
    <w:pPr>
      <w:autoSpaceDE w:val="0"/>
      <w:autoSpaceDN w:val="0"/>
      <w:spacing w:line="360" w:lineRule="auto"/>
      <w:ind w:left="360"/>
    </w:pPr>
    <w:rPr>
      <w:sz w:val="24"/>
    </w:rPr>
  </w:style>
  <w:style w:type="paragraph" w:customStyle="1" w:styleId="2478">
    <w:name w:val="xl1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2479">
    <w:name w:val="其他发布部门"/>
    <w:basedOn w:val="1977"/>
    <w:qFormat/>
    <w:uiPriority w:val="0"/>
    <w:pPr>
      <w:framePr w:wrap="around"/>
      <w:spacing w:line="0" w:lineRule="atLeast"/>
    </w:pPr>
    <w:rPr>
      <w:rFonts w:ascii="黑体" w:eastAsia="黑体"/>
      <w:b w:val="0"/>
    </w:rPr>
  </w:style>
  <w:style w:type="paragraph" w:customStyle="1" w:styleId="2480">
    <w:name w:val="表格标题10"/>
    <w:basedOn w:val="82"/>
    <w:qFormat/>
    <w:uiPriority w:val="0"/>
    <w:pPr>
      <w:tabs>
        <w:tab w:val="left" w:pos="0"/>
      </w:tabs>
      <w:adjustRightInd/>
      <w:snapToGrid/>
      <w:spacing w:after="0" w:line="360" w:lineRule="auto"/>
      <w:ind w:left="0" w:leftChars="0" w:firstLine="0"/>
      <w:jc w:val="center"/>
    </w:pPr>
    <w:rPr>
      <w:b/>
      <w:sz w:val="24"/>
    </w:rPr>
  </w:style>
  <w:style w:type="paragraph" w:customStyle="1" w:styleId="2481">
    <w:name w:val="标2"/>
    <w:basedOn w:val="6"/>
    <w:next w:val="49"/>
    <w:qFormat/>
    <w:uiPriority w:val="0"/>
    <w:pPr>
      <w:tabs>
        <w:tab w:val="center" w:pos="6804"/>
        <w:tab w:val="right" w:pos="7371"/>
        <w:tab w:val="clear" w:pos="1080"/>
      </w:tabs>
      <w:overflowPunct w:val="0"/>
      <w:spacing w:before="0" w:after="0" w:line="500" w:lineRule="exact"/>
      <w:ind w:left="0" w:firstLine="0"/>
      <w:jc w:val="left"/>
      <w:textAlignment w:val="baseline"/>
    </w:pPr>
    <w:rPr>
      <w:rFonts w:ascii="宋体" w:hAnsi="宋体"/>
      <w:bCs/>
      <w:color w:val="000000"/>
      <w:szCs w:val="32"/>
    </w:rPr>
  </w:style>
  <w:style w:type="paragraph" w:customStyle="1" w:styleId="2482">
    <w:name w:val="hb3"/>
    <w:basedOn w:val="7"/>
    <w:qFormat/>
    <w:uiPriority w:val="0"/>
    <w:pPr>
      <w:tabs>
        <w:tab w:val="clear" w:pos="1440"/>
      </w:tabs>
      <w:spacing w:before="360" w:after="180"/>
      <w:ind w:left="0" w:firstLine="0"/>
      <w:textAlignment w:val="baseline"/>
    </w:pPr>
    <w:rPr>
      <w:rFonts w:ascii="宋体" w:hAnsi="宋体" w:eastAsia="宋体" w:cs="宋体"/>
      <w:sz w:val="24"/>
      <w:szCs w:val="24"/>
    </w:rPr>
  </w:style>
  <w:style w:type="paragraph" w:customStyle="1" w:styleId="2483">
    <w:name w:val="xl8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18"/>
      <w:szCs w:val="18"/>
    </w:rPr>
  </w:style>
  <w:style w:type="paragraph" w:customStyle="1" w:styleId="2484">
    <w:name w:val="HZZH标题—1"/>
    <w:basedOn w:val="5"/>
    <w:next w:val="2472"/>
    <w:qFormat/>
    <w:uiPriority w:val="0"/>
    <w:pPr>
      <w:keepLines w:val="0"/>
      <w:tabs>
        <w:tab w:val="left" w:pos="0"/>
      </w:tabs>
      <w:spacing w:before="480" w:after="480" w:line="520" w:lineRule="exact"/>
      <w:ind w:left="0" w:firstLine="200"/>
      <w:jc w:val="center"/>
    </w:pPr>
    <w:rPr>
      <w:rFonts w:ascii="Cambria"/>
      <w:bCs w:val="0"/>
      <w:color w:val="000000"/>
      <w:kern w:val="2"/>
      <w:sz w:val="32"/>
      <w:szCs w:val="24"/>
    </w:rPr>
  </w:style>
  <w:style w:type="paragraph" w:customStyle="1" w:styleId="2485">
    <w:name w:val="xl21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486">
    <w:name w:val="样式1 Char Char Char Char Char Char"/>
    <w:basedOn w:val="1"/>
    <w:qFormat/>
    <w:uiPriority w:val="0"/>
    <w:pPr>
      <w:spacing w:line="560" w:lineRule="atLeast"/>
      <w:ind w:firstLine="480"/>
    </w:pPr>
    <w:rPr>
      <w:rFonts w:ascii="宋体" w:hAnsi="宋体"/>
      <w:sz w:val="24"/>
    </w:rPr>
  </w:style>
  <w:style w:type="paragraph" w:customStyle="1" w:styleId="2487">
    <w:name w:val="Char Char Char Char Char Char2"/>
    <w:basedOn w:val="1"/>
    <w:qFormat/>
    <w:uiPriority w:val="0"/>
    <w:pPr>
      <w:spacing w:line="360" w:lineRule="auto"/>
    </w:pPr>
    <w:rPr>
      <w:rFonts w:ascii="宋体" w:hAnsi="宋体" w:cs="宋体"/>
      <w:sz w:val="24"/>
    </w:rPr>
  </w:style>
  <w:style w:type="paragraph" w:customStyle="1" w:styleId="2488">
    <w:name w:val="样式 小四 首行缩进:  2 字符"/>
    <w:basedOn w:val="1"/>
    <w:qFormat/>
    <w:uiPriority w:val="0"/>
    <w:pPr>
      <w:spacing w:line="300" w:lineRule="auto"/>
      <w:ind w:firstLine="480"/>
    </w:pPr>
    <w:rPr>
      <w:color w:val="000000"/>
      <w:sz w:val="24"/>
      <w:szCs w:val="20"/>
    </w:rPr>
  </w:style>
  <w:style w:type="paragraph" w:customStyle="1" w:styleId="2489">
    <w:name w:val="图名A"/>
    <w:basedOn w:val="1"/>
    <w:qFormat/>
    <w:uiPriority w:val="0"/>
    <w:pPr>
      <w:tabs>
        <w:tab w:val="left" w:pos="0"/>
      </w:tabs>
      <w:spacing w:beforeLines="20" w:afterLines="80"/>
      <w:jc w:val="center"/>
    </w:pPr>
    <w:rPr>
      <w:b/>
      <w:snapToGrid w:val="0"/>
    </w:rPr>
  </w:style>
  <w:style w:type="paragraph" w:customStyle="1" w:styleId="2490">
    <w:name w:val="7表后注"/>
    <w:basedOn w:val="1"/>
    <w:qFormat/>
    <w:uiPriority w:val="0"/>
    <w:rPr>
      <w:color w:val="000000"/>
      <w:szCs w:val="21"/>
    </w:rPr>
  </w:style>
  <w:style w:type="paragraph" w:customStyle="1" w:styleId="2491">
    <w:name w:val="xl1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492">
    <w:name w:val="列表 K"/>
    <w:basedOn w:val="70"/>
    <w:qFormat/>
    <w:uiPriority w:val="0"/>
    <w:pPr>
      <w:tabs>
        <w:tab w:val="left" w:pos="425"/>
      </w:tabs>
      <w:spacing w:beforeLines="100" w:afterLines="50" w:line="288" w:lineRule="auto"/>
      <w:ind w:left="425" w:hanging="425"/>
    </w:pPr>
    <w:rPr>
      <w:rFonts w:ascii="Arial" w:hAnsi="Arial" w:eastAsia="宋体"/>
      <w:b/>
      <w:bCs/>
      <w:color w:val="FF99CC"/>
    </w:rPr>
  </w:style>
  <w:style w:type="paragraph" w:customStyle="1" w:styleId="2493">
    <w:name w:val="样式 标题 2 + Times New Roman 段前: 12 磅 段后: 0 磅1"/>
    <w:basedOn w:val="6"/>
    <w:qFormat/>
    <w:uiPriority w:val="0"/>
    <w:pPr>
      <w:keepLines w:val="0"/>
      <w:tabs>
        <w:tab w:val="clear" w:pos="1080"/>
      </w:tabs>
      <w:spacing w:afterLines="50" w:line="300" w:lineRule="auto"/>
      <w:ind w:left="0" w:firstLine="200"/>
    </w:pPr>
    <w:rPr>
      <w:rFonts w:eastAsia="仿宋_GB2312" w:cs="宋体"/>
      <w:i/>
      <w:iCs/>
      <w:kern w:val="2"/>
      <w:sz w:val="28"/>
    </w:rPr>
  </w:style>
  <w:style w:type="paragraph" w:customStyle="1" w:styleId="2494">
    <w:name w:val="样式 正文首行缩进 + 红色 首行缩进:  2 字符"/>
    <w:basedOn w:val="89"/>
    <w:qFormat/>
    <w:uiPriority w:val="0"/>
    <w:pPr>
      <w:spacing w:line="300" w:lineRule="auto"/>
      <w:ind w:firstLine="560" w:firstLineChars="200"/>
    </w:pPr>
    <w:rPr>
      <w:rFonts w:cs="宋体"/>
      <w:color w:val="000000"/>
      <w:szCs w:val="20"/>
    </w:rPr>
  </w:style>
  <w:style w:type="paragraph" w:customStyle="1" w:styleId="2495">
    <w:name w:val="xl1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kern w:val="0"/>
      <w:sz w:val="18"/>
      <w:szCs w:val="18"/>
    </w:rPr>
  </w:style>
  <w:style w:type="paragraph" w:customStyle="1" w:styleId="2496">
    <w:name w:val="列表 2L"/>
    <w:basedOn w:val="41"/>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497">
    <w:name w:val="样式 标题 2 + Times New Roman 段前: 0 磅 段后: 0 磅"/>
    <w:basedOn w:val="6"/>
    <w:qFormat/>
    <w:uiPriority w:val="0"/>
    <w:pPr>
      <w:keepLines w:val="0"/>
      <w:tabs>
        <w:tab w:val="clear" w:pos="1080"/>
      </w:tabs>
      <w:spacing w:before="0" w:after="0" w:line="300" w:lineRule="auto"/>
      <w:ind w:left="0" w:firstLine="200"/>
    </w:pPr>
    <w:rPr>
      <w:rFonts w:eastAsia="仿宋_GB2312" w:cs="宋体"/>
      <w:i/>
      <w:iCs/>
      <w:kern w:val="2"/>
      <w:sz w:val="28"/>
    </w:rPr>
  </w:style>
  <w:style w:type="paragraph" w:customStyle="1" w:styleId="2498">
    <w:name w:val="列表 2X"/>
    <w:basedOn w:val="41"/>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499">
    <w:name w:val="正文(首行缩进2字)"/>
    <w:basedOn w:val="1"/>
    <w:next w:val="1"/>
    <w:qFormat/>
    <w:uiPriority w:val="0"/>
    <w:pPr>
      <w:spacing w:line="360" w:lineRule="auto"/>
      <w:ind w:left="-3" w:leftChars="-38" w:hanging="77" w:hangingChars="32"/>
      <w:jc w:val="left"/>
      <w:textAlignment w:val="baseline"/>
    </w:pPr>
    <w:rPr>
      <w:color w:val="000000"/>
      <w:kern w:val="0"/>
      <w:sz w:val="24"/>
      <w:szCs w:val="20"/>
    </w:rPr>
  </w:style>
  <w:style w:type="paragraph" w:customStyle="1" w:styleId="2500">
    <w:name w:val="列表 3L"/>
    <w:basedOn w:val="16"/>
    <w:qFormat/>
    <w:uiPriority w:val="0"/>
    <w:pPr>
      <w:tabs>
        <w:tab w:val="left" w:pos="907"/>
      </w:tabs>
      <w:spacing w:line="288" w:lineRule="auto"/>
      <w:ind w:left="907" w:leftChars="0" w:hanging="567" w:firstLineChars="0"/>
    </w:pPr>
    <w:rPr>
      <w:rFonts w:ascii="Arial" w:hAnsi="Arial"/>
      <w:color w:val="CCFFCC"/>
      <w:sz w:val="24"/>
      <w:szCs w:val="20"/>
    </w:rPr>
  </w:style>
  <w:style w:type="paragraph" w:customStyle="1" w:styleId="2501">
    <w:name w:val="表注"/>
    <w:basedOn w:val="1"/>
    <w:qFormat/>
    <w:uiPriority w:val="0"/>
    <w:pPr>
      <w:keepLines/>
      <w:overflowPunct w:val="0"/>
      <w:spacing w:before="60" w:line="288" w:lineRule="auto"/>
      <w:ind w:left="737" w:hanging="397"/>
      <w:textAlignment w:val="baseline"/>
    </w:pPr>
    <w:rPr>
      <w:rFonts w:ascii="宋体"/>
      <w:color w:val="FF0000"/>
      <w:kern w:val="28"/>
    </w:rPr>
  </w:style>
  <w:style w:type="paragraph" w:customStyle="1" w:styleId="2502">
    <w:name w:val="xl84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2503">
    <w:name w:val="样式 标题 1一级标题一级标题(章)标题1章节H1一、章 + 段前: 0.5 行 段后: 0.5 行"/>
    <w:basedOn w:val="5"/>
    <w:qFormat/>
    <w:uiPriority w:val="0"/>
    <w:pPr>
      <w:keepNext w:val="0"/>
      <w:pageBreakBefore/>
      <w:spacing w:beforeLines="50" w:afterLines="50" w:line="360" w:lineRule="auto"/>
    </w:pPr>
    <w:rPr>
      <w:rFonts w:eastAsia="黑体" w:cs="宋体"/>
      <w:b w:val="0"/>
      <w:bCs w:val="0"/>
      <w:sz w:val="30"/>
      <w:szCs w:val="20"/>
    </w:rPr>
  </w:style>
  <w:style w:type="paragraph" w:customStyle="1" w:styleId="2504">
    <w:name w:val="Char Char Char3 Char Char Char1"/>
    <w:basedOn w:val="1"/>
    <w:qFormat/>
    <w:uiPriority w:val="0"/>
    <w:pPr>
      <w:spacing w:line="360" w:lineRule="auto"/>
    </w:pPr>
    <w:rPr>
      <w:rFonts w:ascii="宋体" w:hAnsi="宋体" w:cs="宋体"/>
      <w:sz w:val="24"/>
    </w:rPr>
  </w:style>
  <w:style w:type="paragraph" w:customStyle="1" w:styleId="2505">
    <w:name w:val="列表 5E"/>
    <w:basedOn w:val="73"/>
    <w:qFormat/>
    <w:uiPriority w:val="0"/>
    <w:pPr>
      <w:tabs>
        <w:tab w:val="left" w:pos="1134"/>
      </w:tabs>
      <w:ind w:left="1134" w:leftChars="0" w:hanging="425" w:firstLineChars="0"/>
    </w:pPr>
    <w:rPr>
      <w:rFonts w:ascii="Arial" w:hAnsi="Arial"/>
      <w:color w:val="99CCFF"/>
      <w:sz w:val="24"/>
      <w:szCs w:val="20"/>
    </w:rPr>
  </w:style>
  <w:style w:type="paragraph" w:customStyle="1" w:styleId="2506">
    <w:name w:val="表格标题8"/>
    <w:basedOn w:val="85"/>
    <w:qFormat/>
    <w:uiPriority w:val="0"/>
    <w:pPr>
      <w:tabs>
        <w:tab w:val="left" w:pos="425"/>
      </w:tabs>
      <w:spacing w:after="0" w:line="360" w:lineRule="auto"/>
      <w:ind w:left="425" w:leftChars="0" w:hanging="425"/>
      <w:jc w:val="center"/>
    </w:pPr>
    <w:rPr>
      <w:b/>
      <w:sz w:val="24"/>
    </w:rPr>
  </w:style>
  <w:style w:type="paragraph" w:customStyle="1" w:styleId="2507">
    <w:name w:val="正文文本 31"/>
    <w:basedOn w:val="1"/>
    <w:qFormat/>
    <w:uiPriority w:val="0"/>
    <w:pPr>
      <w:autoSpaceDE w:val="0"/>
      <w:autoSpaceDN w:val="0"/>
      <w:spacing w:line="312" w:lineRule="atLeast"/>
      <w:jc w:val="center"/>
      <w:textAlignment w:val="baseline"/>
    </w:pPr>
    <w:rPr>
      <w:rFonts w:ascii="楷体" w:eastAsia="楷体"/>
      <w:kern w:val="0"/>
      <w:szCs w:val="20"/>
    </w:rPr>
  </w:style>
  <w:style w:type="paragraph" w:customStyle="1" w:styleId="2508">
    <w:name w:val="报告正文 Char"/>
    <w:basedOn w:val="1"/>
    <w:qFormat/>
    <w:uiPriority w:val="0"/>
    <w:pPr>
      <w:spacing w:beforeLines="25" w:line="360" w:lineRule="auto"/>
      <w:ind w:firstLine="482"/>
      <w:textAlignment w:val="baseline"/>
    </w:pPr>
    <w:rPr>
      <w:rFonts w:cs="宋体"/>
      <w:snapToGrid w:val="0"/>
      <w:kern w:val="24"/>
      <w:sz w:val="24"/>
      <w:szCs w:val="20"/>
    </w:rPr>
  </w:style>
  <w:style w:type="paragraph" w:customStyle="1" w:styleId="2509">
    <w:name w:val="Char1 Char Char Char Char Char Char"/>
    <w:basedOn w:val="1"/>
    <w:next w:val="1"/>
    <w:qFormat/>
    <w:uiPriority w:val="0"/>
  </w:style>
  <w:style w:type="paragraph" w:customStyle="1" w:styleId="2510">
    <w:name w:val="7表格(治)"/>
    <w:qFormat/>
    <w:uiPriority w:val="0"/>
    <w:pPr>
      <w:spacing w:line="320" w:lineRule="exact"/>
      <w:jc w:val="center"/>
    </w:pPr>
    <w:rPr>
      <w:rFonts w:ascii="Arial" w:hAnsi="Arial" w:eastAsia="楷体_GB2312" w:cs="Times New Roman"/>
      <w:sz w:val="21"/>
      <w:szCs w:val="22"/>
      <w:lang w:val="en-US" w:eastAsia="zh-CN" w:bidi="ar-SA"/>
    </w:rPr>
  </w:style>
  <w:style w:type="paragraph" w:customStyle="1" w:styleId="2511">
    <w:name w:val="引用文章"/>
    <w:basedOn w:val="1"/>
    <w:qFormat/>
    <w:uiPriority w:val="0"/>
    <w:pPr>
      <w:spacing w:line="360" w:lineRule="auto"/>
      <w:ind w:firstLine="420"/>
    </w:pPr>
    <w:rPr>
      <w:rFonts w:eastAsia="楷体_GB2312" w:cs="宋体"/>
      <w:sz w:val="24"/>
      <w:szCs w:val="20"/>
    </w:rPr>
  </w:style>
  <w:style w:type="paragraph" w:customStyle="1" w:styleId="2512">
    <w:name w:val="正文应首缩0.98"/>
    <w:basedOn w:val="1"/>
    <w:qFormat/>
    <w:uiPriority w:val="0"/>
    <w:pPr>
      <w:spacing w:line="300" w:lineRule="auto"/>
      <w:ind w:firstLine="556"/>
      <w:textAlignment w:val="baseline"/>
    </w:pPr>
    <w:rPr>
      <w:kern w:val="0"/>
      <w:szCs w:val="20"/>
    </w:rPr>
  </w:style>
  <w:style w:type="paragraph" w:customStyle="1" w:styleId="2513">
    <w:name w:val="正文首行缩进＋湿地"/>
    <w:basedOn w:val="1"/>
    <w:qFormat/>
    <w:uiPriority w:val="0"/>
    <w:pPr>
      <w:spacing w:line="400" w:lineRule="exact"/>
      <w:ind w:firstLine="493" w:firstLineChars="176"/>
    </w:pPr>
    <w:rPr>
      <w:rFonts w:ascii="仿宋_GB2312"/>
      <w:sz w:val="24"/>
    </w:rPr>
  </w:style>
  <w:style w:type="paragraph" w:customStyle="1" w:styleId="2514">
    <w:name w:val="样式 标题 3三级标题标题3H3h33rd level第二层条ReHead 3 WSA标题03三级标题 3...1"/>
    <w:basedOn w:val="7"/>
    <w:qFormat/>
    <w:uiPriority w:val="0"/>
    <w:pPr>
      <w:keepNext w:val="0"/>
      <w:keepLines w:val="0"/>
      <w:tabs>
        <w:tab w:val="left" w:pos="1544"/>
        <w:tab w:val="clear" w:pos="1440"/>
      </w:tabs>
      <w:spacing w:beforeLines="30" w:afterLines="30"/>
      <w:ind w:left="1544"/>
    </w:pPr>
    <w:rPr>
      <w:rFonts w:ascii="Cambria" w:eastAsia="华文细黑" w:cs="宋体"/>
      <w:b w:val="0"/>
      <w:bCs/>
      <w:color w:val="000000"/>
      <w:kern w:val="2"/>
    </w:rPr>
  </w:style>
  <w:style w:type="paragraph" w:customStyle="1" w:styleId="2515">
    <w:name w:val="xl81"/>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2516">
    <w:name w:val="列表 5I"/>
    <w:basedOn w:val="73"/>
    <w:qFormat/>
    <w:uiPriority w:val="0"/>
    <w:pPr>
      <w:tabs>
        <w:tab w:val="left" w:pos="1134"/>
      </w:tabs>
      <w:ind w:left="1134" w:leftChars="0" w:hanging="425" w:firstLineChars="0"/>
    </w:pPr>
    <w:rPr>
      <w:rFonts w:ascii="Arial" w:hAnsi="Arial"/>
      <w:color w:val="99CCFF"/>
      <w:sz w:val="24"/>
      <w:szCs w:val="20"/>
    </w:rPr>
  </w:style>
  <w:style w:type="paragraph" w:customStyle="1" w:styleId="2517">
    <w:name w:val="标题 4 + 四号"/>
    <w:basedOn w:val="7"/>
    <w:qFormat/>
    <w:uiPriority w:val="0"/>
    <w:pPr>
      <w:spacing w:before="260" w:after="260" w:line="416" w:lineRule="auto"/>
    </w:pPr>
    <w:rPr>
      <w:rFonts w:eastAsia="宋体"/>
      <w:bCs/>
      <w:szCs w:val="28"/>
    </w:rPr>
  </w:style>
  <w:style w:type="paragraph" w:customStyle="1" w:styleId="2518">
    <w:name w:val="xl106"/>
    <w:basedOn w:val="1"/>
    <w:qFormat/>
    <w:uiPriority w:val="0"/>
    <w:pPr>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2519">
    <w:name w:val="Char Char Char3 Char Char Char"/>
    <w:basedOn w:val="1"/>
    <w:qFormat/>
    <w:uiPriority w:val="0"/>
    <w:pPr>
      <w:spacing w:line="360" w:lineRule="auto"/>
    </w:pPr>
    <w:rPr>
      <w:rFonts w:ascii="宋体" w:hAnsi="宋体" w:cs="宋体"/>
      <w:sz w:val="24"/>
    </w:rPr>
  </w:style>
  <w:style w:type="paragraph" w:customStyle="1" w:styleId="2520">
    <w:name w:val="Char Char Char Char Char Char2 Char1"/>
    <w:basedOn w:val="1"/>
    <w:qFormat/>
    <w:uiPriority w:val="0"/>
    <w:pPr>
      <w:spacing w:line="360" w:lineRule="auto"/>
    </w:pPr>
    <w:rPr>
      <w:rFonts w:ascii="宋体" w:hAnsi="宋体" w:cs="宋体"/>
      <w:sz w:val="24"/>
    </w:rPr>
  </w:style>
  <w:style w:type="paragraph" w:customStyle="1" w:styleId="2521">
    <w:name w:val="样式 标题 3小标题小节标题头 Char标题 31小标题1小节标题1小节标题1 Char Char头 Char ..."/>
    <w:basedOn w:val="7"/>
    <w:qFormat/>
    <w:uiPriority w:val="0"/>
    <w:pPr>
      <w:keepNext w:val="0"/>
      <w:keepLines w:val="0"/>
      <w:tabs>
        <w:tab w:val="left" w:pos="-180"/>
        <w:tab w:val="left" w:pos="1740"/>
        <w:tab w:val="clear" w:pos="1440"/>
      </w:tabs>
      <w:spacing w:before="0" w:after="0" w:line="360" w:lineRule="auto"/>
      <w:ind w:left="0" w:firstLine="0"/>
      <w:textAlignment w:val="baseline"/>
    </w:pPr>
    <w:rPr>
      <w:rFonts w:eastAsia="宋体" w:cs="宋体"/>
      <w:bCs/>
      <w:snapToGrid w:val="0"/>
      <w:color w:val="000000"/>
      <w:kern w:val="24"/>
      <w:sz w:val="24"/>
    </w:rPr>
  </w:style>
  <w:style w:type="paragraph" w:customStyle="1" w:styleId="2522">
    <w:name w:val="解  正文"/>
    <w:basedOn w:val="2370"/>
    <w:qFormat/>
    <w:uiPriority w:val="0"/>
    <w:pPr>
      <w:widowControl/>
      <w:snapToGrid w:val="0"/>
      <w:spacing w:line="360" w:lineRule="auto"/>
      <w:ind w:firstLine="480" w:firstLineChars="200"/>
      <w:jc w:val="both"/>
    </w:pPr>
    <w:rPr>
      <w:rFonts w:hint="default" w:ascii="Times New Roman" w:hAnsi="Times New Roman" w:eastAsia="仿宋_GB2312"/>
      <w:kern w:val="2"/>
      <w:szCs w:val="24"/>
    </w:rPr>
  </w:style>
  <w:style w:type="paragraph" w:customStyle="1" w:styleId="2523">
    <w:name w:val="4级标"/>
    <w:basedOn w:val="2139"/>
    <w:next w:val="2139"/>
    <w:semiHidden/>
    <w:qFormat/>
    <w:uiPriority w:val="0"/>
    <w:pPr>
      <w:spacing w:beforeLines="50" w:afterLines="50" w:line="440" w:lineRule="exact"/>
      <w:jc w:val="left"/>
    </w:pPr>
    <w:rPr>
      <w:rFonts w:eastAsia="黑体" w:cs="宋体"/>
      <w:b w:val="0"/>
      <w:bCs/>
      <w:szCs w:val="20"/>
    </w:rPr>
  </w:style>
  <w:style w:type="paragraph" w:customStyle="1" w:styleId="2524">
    <w:name w:val="标题12"/>
    <w:basedOn w:val="5"/>
    <w:next w:val="1"/>
    <w:qFormat/>
    <w:uiPriority w:val="0"/>
    <w:pPr>
      <w:keepLines w:val="0"/>
      <w:tabs>
        <w:tab w:val="left" w:pos="360"/>
      </w:tabs>
      <w:spacing w:before="0" w:after="0" w:line="360" w:lineRule="auto"/>
      <w:ind w:left="0" w:firstLine="200"/>
      <w:jc w:val="center"/>
    </w:pPr>
    <w:rPr>
      <w:rFonts w:ascii="Arial" w:hAnsi="Arial" w:cs="Arial"/>
      <w:kern w:val="32"/>
      <w:sz w:val="32"/>
    </w:rPr>
  </w:style>
  <w:style w:type="paragraph" w:customStyle="1" w:styleId="2525">
    <w:name w:val="font11"/>
    <w:basedOn w:val="1"/>
    <w:qFormat/>
    <w:uiPriority w:val="0"/>
    <w:pPr>
      <w:spacing w:before="100" w:beforeAutospacing="1" w:after="100" w:afterAutospacing="1"/>
      <w:jc w:val="left"/>
    </w:pPr>
    <w:rPr>
      <w:rFonts w:hint="eastAsia" w:ascii="宋体" w:hAnsi="宋体" w:cs="Arial Unicode MS"/>
      <w:b/>
      <w:bCs/>
      <w:kern w:val="0"/>
      <w:sz w:val="20"/>
      <w:szCs w:val="20"/>
    </w:rPr>
  </w:style>
  <w:style w:type="paragraph" w:customStyle="1" w:styleId="2526">
    <w:name w:val="font8"/>
    <w:basedOn w:val="1"/>
    <w:qFormat/>
    <w:uiPriority w:val="0"/>
    <w:pPr>
      <w:spacing w:before="100" w:beforeAutospacing="1" w:after="100" w:afterAutospacing="1"/>
      <w:jc w:val="left"/>
    </w:pPr>
    <w:rPr>
      <w:rFonts w:hint="eastAsia" w:ascii="宋体" w:hAnsi="宋体"/>
      <w:b/>
      <w:bCs/>
      <w:kern w:val="0"/>
      <w:sz w:val="44"/>
      <w:szCs w:val="44"/>
    </w:rPr>
  </w:style>
  <w:style w:type="paragraph" w:customStyle="1" w:styleId="2527">
    <w:name w:val="标准"/>
    <w:basedOn w:val="1"/>
    <w:qFormat/>
    <w:uiPriority w:val="0"/>
    <w:pPr>
      <w:spacing w:line="480" w:lineRule="exact"/>
      <w:textAlignment w:val="baseline"/>
    </w:pPr>
    <w:rPr>
      <w:kern w:val="0"/>
      <w:szCs w:val="20"/>
      <w:lang w:val="en-GB"/>
    </w:rPr>
  </w:style>
  <w:style w:type="paragraph" w:customStyle="1" w:styleId="2528">
    <w:name w:val="样式 黑色 首行缩进:  2 字符"/>
    <w:basedOn w:val="1"/>
    <w:qFormat/>
    <w:uiPriority w:val="0"/>
    <w:pPr>
      <w:spacing w:line="360" w:lineRule="auto"/>
      <w:ind w:firstLine="560"/>
    </w:pPr>
    <w:rPr>
      <w:rFonts w:ascii="宋体" w:cs="宋体"/>
      <w:color w:val="000000"/>
      <w:szCs w:val="28"/>
    </w:rPr>
  </w:style>
  <w:style w:type="paragraph" w:customStyle="1" w:styleId="2529">
    <w:name w:val="Char Char Char Char Char Char Char Char Char Char Char Char Char Char Char Char Char Char Char Char Char Char"/>
    <w:basedOn w:val="1"/>
    <w:next w:val="1"/>
    <w:qFormat/>
    <w:uiPriority w:val="0"/>
    <w:pPr>
      <w:pBdr>
        <w:right w:val="single" w:color="auto" w:sz="12" w:space="4"/>
      </w:pBdr>
      <w:spacing w:line="360" w:lineRule="auto"/>
    </w:pPr>
    <w:rPr>
      <w:rFonts w:ascii="宋体" w:hAnsi="宋体" w:cs="宋体"/>
      <w:sz w:val="24"/>
    </w:rPr>
  </w:style>
  <w:style w:type="paragraph" w:customStyle="1" w:styleId="2530">
    <w:name w:val="Char Char Char Char Char Char9"/>
    <w:basedOn w:val="1"/>
    <w:qFormat/>
    <w:uiPriority w:val="0"/>
    <w:pPr>
      <w:spacing w:line="300" w:lineRule="auto"/>
      <w:jc w:val="left"/>
    </w:pPr>
    <w:rPr>
      <w:rFonts w:ascii="Verdana" w:hAnsi="Verdana"/>
      <w:kern w:val="0"/>
      <w:sz w:val="20"/>
      <w:szCs w:val="20"/>
      <w:lang w:eastAsia="en-US"/>
    </w:rPr>
  </w:style>
  <w:style w:type="paragraph" w:customStyle="1" w:styleId="2531">
    <w:name w:val="普通文字 Char Char Char Char Char Char Char Char Char Char Char Char Char Char Char Char Char"/>
    <w:basedOn w:val="1"/>
    <w:next w:val="49"/>
    <w:qFormat/>
    <w:uiPriority w:val="0"/>
    <w:rPr>
      <w:rFonts w:ascii="宋体" w:hAnsi="Courier New"/>
    </w:rPr>
  </w:style>
  <w:style w:type="paragraph" w:customStyle="1" w:styleId="2532">
    <w:name w:val="xl98"/>
    <w:basedOn w:val="1"/>
    <w:qFormat/>
    <w:uiPriority w:val="0"/>
    <w:pPr>
      <w:pBdr>
        <w:left w:val="single" w:color="auto" w:sz="8" w:space="0"/>
        <w:bottom w:val="single" w:color="auto" w:sz="8" w:space="0"/>
        <w:right w:val="single" w:color="auto" w:sz="4" w:space="0"/>
      </w:pBdr>
      <w:spacing w:before="100" w:beforeAutospacing="1" w:after="100" w:afterAutospacing="1"/>
      <w:jc w:val="center"/>
      <w:textAlignment w:val="center"/>
    </w:pPr>
    <w:rPr>
      <w:rFonts w:eastAsia="Arial Unicode MS"/>
      <w:kern w:val="0"/>
      <w:sz w:val="16"/>
      <w:szCs w:val="16"/>
    </w:rPr>
  </w:style>
  <w:style w:type="paragraph" w:customStyle="1" w:styleId="2533">
    <w:name w:val="规划院标题3"/>
    <w:basedOn w:val="1"/>
    <w:qFormat/>
    <w:uiPriority w:val="0"/>
    <w:pPr>
      <w:ind w:firstLine="0"/>
    </w:pPr>
  </w:style>
  <w:style w:type="paragraph" w:customStyle="1" w:styleId="2534">
    <w:name w:val="NOTE"/>
    <w:basedOn w:val="1"/>
    <w:qFormat/>
    <w:uiPriority w:val="0"/>
    <w:pPr>
      <w:spacing w:line="420" w:lineRule="atLeast"/>
      <w:ind w:left="567" w:hanging="567"/>
      <w:textAlignment w:val="baseline"/>
    </w:pPr>
    <w:rPr>
      <w:rFonts w:ascii="宋体"/>
      <w:spacing w:val="30"/>
    </w:rPr>
  </w:style>
  <w:style w:type="paragraph" w:customStyle="1" w:styleId="2535">
    <w:name w:val="表格样式1"/>
    <w:basedOn w:val="1"/>
    <w:qFormat/>
    <w:uiPriority w:val="0"/>
    <w:pPr>
      <w:spacing w:line="20" w:lineRule="atLeast"/>
      <w:jc w:val="center"/>
      <w:textAlignment w:val="baseline"/>
    </w:pPr>
    <w:rPr>
      <w:rFonts w:ascii="宋体"/>
      <w:kern w:val="0"/>
      <w:szCs w:val="20"/>
    </w:rPr>
  </w:style>
  <w:style w:type="paragraph" w:customStyle="1" w:styleId="2536">
    <w:name w:val="44"/>
    <w:basedOn w:val="10"/>
    <w:semiHidden/>
    <w:qFormat/>
    <w:uiPriority w:val="0"/>
    <w:pPr>
      <w:spacing w:beforeLines="50" w:afterLines="50" w:line="440" w:lineRule="exact"/>
      <w:ind w:left="0" w:firstLine="0"/>
    </w:pPr>
    <w:rPr>
      <w:rFonts w:cs="宋体"/>
      <w:b w:val="0"/>
      <w:bCs w:val="0"/>
      <w:sz w:val="24"/>
    </w:rPr>
  </w:style>
  <w:style w:type="paragraph" w:customStyle="1" w:styleId="2537">
    <w:name w:val="!正文(alt+c)"/>
    <w:qFormat/>
    <w:uiPriority w:val="0"/>
    <w:pPr>
      <w:spacing w:line="300" w:lineRule="auto"/>
      <w:ind w:firstLine="480" w:firstLineChars="200"/>
      <w:jc w:val="center"/>
    </w:pPr>
    <w:rPr>
      <w:rFonts w:ascii="宋体" w:hAnsi="宋体" w:eastAsia="宋体" w:cs="Times New Roman"/>
      <w:sz w:val="24"/>
      <w:szCs w:val="24"/>
      <w:lang w:val="en-US" w:eastAsia="zh-CN" w:bidi="ar-SA"/>
    </w:rPr>
  </w:style>
  <w:style w:type="paragraph" w:customStyle="1" w:styleId="2538">
    <w:name w:val="标题A"/>
    <w:basedOn w:val="1"/>
    <w:qFormat/>
    <w:uiPriority w:val="0"/>
    <w:pPr>
      <w:autoSpaceDE w:val="0"/>
      <w:autoSpaceDN w:val="0"/>
      <w:spacing w:line="317" w:lineRule="atLeast"/>
      <w:ind w:left="432" w:hanging="432"/>
      <w:jc w:val="left"/>
      <w:textAlignment w:val="bottom"/>
    </w:pPr>
    <w:rPr>
      <w:rFonts w:eastAsia="黑体"/>
      <w:b/>
      <w:color w:val="0000FF"/>
      <w:kern w:val="0"/>
      <w:szCs w:val="20"/>
    </w:rPr>
  </w:style>
  <w:style w:type="paragraph" w:customStyle="1" w:styleId="2539">
    <w:name w:val="列表 4E"/>
    <w:basedOn w:val="81"/>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2540">
    <w:name w:val="列出段落4"/>
    <w:basedOn w:val="1"/>
    <w:qFormat/>
    <w:uiPriority w:val="0"/>
    <w:pPr>
      <w:widowControl w:val="0"/>
      <w:ind w:firstLine="420"/>
    </w:pPr>
    <w:rPr>
      <w:szCs w:val="22"/>
    </w:rPr>
  </w:style>
  <w:style w:type="paragraph" w:customStyle="1" w:styleId="2541">
    <w:name w:val="报告书正文 Char Char Char Char Char Char Char Char Char1"/>
    <w:basedOn w:val="1"/>
    <w:qFormat/>
    <w:uiPriority w:val="0"/>
    <w:pPr>
      <w:spacing w:line="300" w:lineRule="auto"/>
      <w:ind w:firstLine="480"/>
    </w:pPr>
    <w:rPr>
      <w:color w:val="000000"/>
      <w:sz w:val="24"/>
    </w:rPr>
  </w:style>
  <w:style w:type="paragraph" w:customStyle="1" w:styleId="2542">
    <w:name w:val="【标题4】"/>
    <w:basedOn w:val="1"/>
    <w:qFormat/>
    <w:uiPriority w:val="0"/>
    <w:pPr>
      <w:keepLines/>
      <w:spacing w:before="120" w:after="120"/>
      <w:jc w:val="left"/>
      <w:outlineLvl w:val="3"/>
    </w:pPr>
    <w:rPr>
      <w:rFonts w:cs="宋体"/>
      <w:b/>
      <w:bCs/>
      <w:sz w:val="24"/>
      <w:szCs w:val="20"/>
    </w:rPr>
  </w:style>
  <w:style w:type="paragraph" w:customStyle="1" w:styleId="2543">
    <w:name w:val="燕儿正文"/>
    <w:basedOn w:val="1"/>
    <w:qFormat/>
    <w:uiPriority w:val="0"/>
    <w:pPr>
      <w:ind w:firstLine="480"/>
    </w:pPr>
    <w:rPr>
      <w:sz w:val="24"/>
    </w:rPr>
  </w:style>
  <w:style w:type="paragraph" w:customStyle="1" w:styleId="2544">
    <w:name w:val="xl21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545">
    <w:name w:val="样式 宋体 13.5 磅3"/>
    <w:basedOn w:val="1"/>
    <w:qFormat/>
    <w:uiPriority w:val="0"/>
    <w:pPr>
      <w:widowControl w:val="0"/>
      <w:ind w:firstLine="524"/>
    </w:pPr>
    <w:rPr>
      <w:rFonts w:ascii="宋体" w:hAnsi="宋体" w:cs="宋体"/>
      <w:sz w:val="27"/>
    </w:rPr>
  </w:style>
  <w:style w:type="paragraph" w:customStyle="1" w:styleId="2546">
    <w:name w:val="_Style 24"/>
    <w:basedOn w:val="1"/>
    <w:next w:val="1"/>
    <w:qFormat/>
    <w:uiPriority w:val="0"/>
    <w:pPr>
      <w:spacing w:line="360" w:lineRule="auto"/>
    </w:pPr>
    <w:rPr>
      <w:rFonts w:ascii="宋体" w:hAnsi="宋体" w:cs="宋体"/>
      <w:sz w:val="24"/>
      <w:szCs w:val="20"/>
    </w:rPr>
  </w:style>
  <w:style w:type="paragraph" w:customStyle="1" w:styleId="2547">
    <w:name w:val="报告书正文 Char Char Char Char Char Char Char Char Char Char Char Char Char"/>
    <w:basedOn w:val="1"/>
    <w:qFormat/>
    <w:uiPriority w:val="0"/>
    <w:pPr>
      <w:spacing w:line="300" w:lineRule="auto"/>
      <w:ind w:firstLine="480"/>
    </w:pPr>
    <w:rPr>
      <w:color w:val="000000"/>
      <w:sz w:val="24"/>
    </w:rPr>
  </w:style>
  <w:style w:type="paragraph" w:customStyle="1" w:styleId="2548">
    <w:name w:val="1"/>
    <w:basedOn w:val="1"/>
    <w:next w:val="80"/>
    <w:qFormat/>
    <w:uiPriority w:val="0"/>
    <w:rPr>
      <w:sz w:val="30"/>
    </w:rPr>
  </w:style>
  <w:style w:type="paragraph" w:customStyle="1" w:styleId="2549">
    <w:name w:val="z-窗体底端2"/>
    <w:basedOn w:val="1"/>
    <w:next w:val="1"/>
    <w:qFormat/>
    <w:uiPriority w:val="0"/>
    <w:pPr>
      <w:pBdr>
        <w:top w:val="single" w:color="auto" w:sz="6" w:space="1"/>
      </w:pBdr>
      <w:jc w:val="center"/>
    </w:pPr>
    <w:rPr>
      <w:rFonts w:ascii="Arial" w:hAnsi="Arial" w:eastAsia="Times New Roman"/>
      <w:vanish/>
      <w:sz w:val="16"/>
      <w:szCs w:val="16"/>
    </w:rPr>
  </w:style>
  <w:style w:type="paragraph" w:customStyle="1" w:styleId="2550">
    <w:name w:val="xl132"/>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2551">
    <w:name w:val="标题E"/>
    <w:basedOn w:val="2552"/>
    <w:qFormat/>
    <w:uiPriority w:val="0"/>
    <w:pPr>
      <w:tabs>
        <w:tab w:val="left" w:pos="0"/>
      </w:tabs>
      <w:spacing w:beforeLines="50" w:line="360" w:lineRule="auto"/>
      <w:ind w:firstLine="200" w:firstLineChars="200"/>
      <w:outlineLvl w:val="4"/>
    </w:pPr>
    <w:rPr>
      <w:b w:val="0"/>
      <w:sz w:val="24"/>
    </w:rPr>
  </w:style>
  <w:style w:type="paragraph" w:customStyle="1" w:styleId="2552">
    <w:name w:val="标题C"/>
    <w:qFormat/>
    <w:uiPriority w:val="0"/>
    <w:pPr>
      <w:tabs>
        <w:tab w:val="left" w:pos="0"/>
      </w:tabs>
      <w:adjustRightInd w:val="0"/>
      <w:snapToGrid w:val="0"/>
      <w:spacing w:before="300" w:line="320" w:lineRule="exact"/>
      <w:jc w:val="center"/>
      <w:outlineLvl w:val="2"/>
    </w:pPr>
    <w:rPr>
      <w:rFonts w:ascii="Calibri" w:hAnsi="Calibri" w:eastAsia="宋体" w:cs="Times New Roman"/>
      <w:b/>
      <w:snapToGrid w:val="0"/>
      <w:sz w:val="28"/>
      <w:szCs w:val="22"/>
      <w:lang w:val="en-US" w:eastAsia="zh-CN" w:bidi="ar-SA"/>
    </w:rPr>
  </w:style>
  <w:style w:type="paragraph" w:customStyle="1" w:styleId="2553">
    <w:name w:val="Char Char Char Char Char Char6"/>
    <w:basedOn w:val="1"/>
    <w:qFormat/>
    <w:uiPriority w:val="0"/>
  </w:style>
  <w:style w:type="paragraph" w:customStyle="1" w:styleId="2554">
    <w:name w:val="列表 5F"/>
    <w:basedOn w:val="73"/>
    <w:qFormat/>
    <w:uiPriority w:val="0"/>
    <w:pPr>
      <w:tabs>
        <w:tab w:val="left" w:pos="1134"/>
      </w:tabs>
      <w:ind w:left="1134" w:leftChars="0" w:hanging="425" w:firstLineChars="0"/>
    </w:pPr>
    <w:rPr>
      <w:rFonts w:ascii="Arial" w:hAnsi="Arial"/>
      <w:color w:val="99CCFF"/>
      <w:sz w:val="24"/>
      <w:szCs w:val="20"/>
    </w:rPr>
  </w:style>
  <w:style w:type="paragraph" w:customStyle="1" w:styleId="2555">
    <w:name w:val="三级"/>
    <w:basedOn w:val="1783"/>
    <w:qFormat/>
    <w:uiPriority w:val="0"/>
    <w:rPr>
      <w:bCs w:val="0"/>
    </w:rPr>
  </w:style>
  <w:style w:type="paragraph" w:customStyle="1" w:styleId="2556">
    <w:name w:val="日期21"/>
    <w:basedOn w:val="1"/>
    <w:next w:val="1"/>
    <w:qFormat/>
    <w:uiPriority w:val="0"/>
    <w:pPr>
      <w:spacing w:line="312" w:lineRule="atLeast"/>
      <w:jc w:val="right"/>
      <w:textAlignment w:val="baseline"/>
    </w:pPr>
    <w:rPr>
      <w:rFonts w:ascii="宋体"/>
    </w:rPr>
  </w:style>
  <w:style w:type="paragraph" w:customStyle="1" w:styleId="2557">
    <w:name w:val="Char Char Char Char Char Char Char Char Char3"/>
    <w:basedOn w:val="1"/>
    <w:next w:val="1"/>
    <w:qFormat/>
    <w:uiPriority w:val="0"/>
    <w:pPr>
      <w:pBdr>
        <w:right w:val="single" w:color="auto" w:sz="12" w:space="4"/>
      </w:pBdr>
      <w:spacing w:line="360" w:lineRule="auto"/>
    </w:pPr>
    <w:rPr>
      <w:rFonts w:ascii="宋体" w:hAnsi="宋体"/>
      <w:sz w:val="24"/>
    </w:rPr>
  </w:style>
  <w:style w:type="paragraph" w:customStyle="1" w:styleId="2558">
    <w:name w:val="标题1 修改"/>
    <w:basedOn w:val="5"/>
    <w:qFormat/>
    <w:uiPriority w:val="0"/>
    <w:pPr>
      <w:keepNext w:val="0"/>
      <w:keepLines w:val="0"/>
      <w:pageBreakBefore/>
      <w:spacing w:before="0" w:after="0" w:line="300" w:lineRule="auto"/>
      <w:jc w:val="left"/>
    </w:pPr>
    <w:rPr>
      <w:rFonts w:eastAsia="黑体"/>
      <w:b w:val="0"/>
      <w:snapToGrid w:val="0"/>
      <w:kern w:val="0"/>
      <w:sz w:val="28"/>
      <w:szCs w:val="21"/>
    </w:rPr>
  </w:style>
  <w:style w:type="paragraph" w:customStyle="1" w:styleId="2559">
    <w:name w:val="2标题"/>
    <w:basedOn w:val="6"/>
    <w:qFormat/>
    <w:uiPriority w:val="0"/>
    <w:pPr>
      <w:keepLines w:val="0"/>
      <w:tabs>
        <w:tab w:val="clear" w:pos="1080"/>
      </w:tabs>
      <w:spacing w:after="0"/>
      <w:ind w:left="0" w:firstLine="200"/>
    </w:pPr>
    <w:rPr>
      <w:rFonts w:eastAsia="仿宋_GB2312" w:cs="宋体"/>
      <w:i/>
      <w:iCs/>
      <w:kern w:val="2"/>
      <w:sz w:val="28"/>
    </w:rPr>
  </w:style>
  <w:style w:type="paragraph" w:customStyle="1" w:styleId="2560">
    <w:name w:val="Address"/>
    <w:basedOn w:val="38"/>
    <w:qFormat/>
    <w:uiPriority w:val="0"/>
    <w:pPr>
      <w:keepLines/>
      <w:autoSpaceDE w:val="0"/>
      <w:autoSpaceDN w:val="0"/>
      <w:spacing w:after="0"/>
      <w:ind w:right="4320"/>
      <w:jc w:val="left"/>
      <w:textAlignment w:val="baseline"/>
    </w:pPr>
    <w:rPr>
      <w:rFonts w:ascii="宋体"/>
      <w:kern w:val="0"/>
      <w:sz w:val="20"/>
      <w:szCs w:val="20"/>
    </w:rPr>
  </w:style>
  <w:style w:type="paragraph" w:customStyle="1" w:styleId="2561">
    <w:name w:val="Char Char Char Char Char Char Char6"/>
    <w:basedOn w:val="1"/>
    <w:qFormat/>
    <w:uiPriority w:val="0"/>
  </w:style>
  <w:style w:type="paragraph" w:customStyle="1" w:styleId="2562">
    <w:name w:val="引用2"/>
    <w:basedOn w:val="1"/>
    <w:next w:val="1"/>
    <w:qFormat/>
    <w:uiPriority w:val="0"/>
    <w:rPr>
      <w:rFonts w:eastAsia="Times New Roman"/>
      <w:i/>
      <w:sz w:val="24"/>
    </w:rPr>
  </w:style>
  <w:style w:type="paragraph" w:customStyle="1" w:styleId="2563">
    <w:name w:val="样式 标题 6表题二级项无节标题8标题6，6级标题，小四中宋粗，无序号Heading 6aÜberschrift ..."/>
    <w:basedOn w:val="1"/>
    <w:qFormat/>
    <w:uiPriority w:val="0"/>
    <w:pPr>
      <w:tabs>
        <w:tab w:val="left" w:pos="540"/>
        <w:tab w:val="left" w:pos="600"/>
        <w:tab w:val="left" w:pos="2340"/>
        <w:tab w:val="left" w:pos="5925"/>
        <w:tab w:val="left" w:pos="7353"/>
        <w:tab w:val="left" w:pos="8613"/>
      </w:tabs>
      <w:autoSpaceDE w:val="0"/>
      <w:autoSpaceDN w:val="0"/>
      <w:spacing w:line="300" w:lineRule="auto"/>
      <w:jc w:val="center"/>
      <w:textAlignment w:val="baseline"/>
    </w:pPr>
    <w:rPr>
      <w:rFonts w:eastAsia="黑体"/>
      <w:bCs/>
      <w:sz w:val="24"/>
      <w:szCs w:val="20"/>
    </w:rPr>
  </w:style>
  <w:style w:type="paragraph" w:customStyle="1" w:styleId="2564">
    <w:name w:val="Char Char Char3 Char Char Char4 Char Char Char1 Char Char1"/>
    <w:basedOn w:val="1"/>
    <w:qFormat/>
    <w:uiPriority w:val="0"/>
    <w:pPr>
      <w:spacing w:line="360" w:lineRule="auto"/>
    </w:pPr>
    <w:rPr>
      <w:rFonts w:ascii="宋体" w:hAnsi="宋体" w:cs="宋体"/>
      <w:sz w:val="24"/>
    </w:rPr>
  </w:style>
  <w:style w:type="paragraph" w:customStyle="1" w:styleId="2565">
    <w:name w:val="xl13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2566">
    <w:name w:val="表头啊"/>
    <w:basedOn w:val="1"/>
    <w:qFormat/>
    <w:uiPriority w:val="0"/>
    <w:pPr>
      <w:widowControl w:val="0"/>
      <w:tabs>
        <w:tab w:val="left" w:pos="0"/>
      </w:tabs>
      <w:spacing w:line="500" w:lineRule="exact"/>
      <w:jc w:val="center"/>
    </w:pPr>
    <w:rPr>
      <w:rFonts w:eastAsia="黑体"/>
      <w:sz w:val="24"/>
    </w:rPr>
  </w:style>
  <w:style w:type="paragraph" w:customStyle="1" w:styleId="2567">
    <w:name w:val="表格001"/>
    <w:basedOn w:val="1"/>
    <w:qFormat/>
    <w:uiPriority w:val="0"/>
    <w:pPr>
      <w:spacing w:line="360" w:lineRule="exact"/>
      <w:jc w:val="center"/>
    </w:pPr>
    <w:rPr>
      <w:rFonts w:ascii="Arial" w:hAnsi="Arial"/>
      <w:szCs w:val="20"/>
    </w:rPr>
  </w:style>
  <w:style w:type="paragraph" w:customStyle="1" w:styleId="2568">
    <w:name w:val="xl84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4"/>
    </w:rPr>
  </w:style>
  <w:style w:type="paragraph" w:customStyle="1" w:styleId="2569">
    <w:name w:val="xl1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2570">
    <w:name w:val="样式 样式 标题 2_Heading 2HEAD_2HEAD_21HEAD_22HEAD_211HEAD_23HEAD_... ..."/>
    <w:basedOn w:val="607"/>
    <w:qFormat/>
    <w:uiPriority w:val="0"/>
    <w:rPr>
      <w:color w:val="000000"/>
    </w:rPr>
  </w:style>
  <w:style w:type="paragraph" w:customStyle="1" w:styleId="2571">
    <w:name w:val="列出段落3"/>
    <w:basedOn w:val="1"/>
    <w:qFormat/>
    <w:uiPriority w:val="0"/>
    <w:pPr>
      <w:ind w:left="720"/>
    </w:pPr>
  </w:style>
  <w:style w:type="paragraph" w:customStyle="1" w:styleId="2572">
    <w:name w:val="样式 正文缩进正文（首行缩进两字）正文（首行缩进两字） Char Char Char Char Char Char Char..."/>
    <w:basedOn w:val="25"/>
    <w:qFormat/>
    <w:uiPriority w:val="0"/>
    <w:pPr>
      <w:tabs>
        <w:tab w:val="left" w:pos="3360"/>
      </w:tabs>
      <w:spacing w:line="360" w:lineRule="auto"/>
      <w:ind w:firstLine="0" w:firstLineChars="0"/>
      <w:textAlignment w:val="baseline"/>
    </w:pPr>
    <w:rPr>
      <w:rFonts w:eastAsia="宋体"/>
      <w:color w:val="000000"/>
      <w:kern w:val="0"/>
      <w:sz w:val="24"/>
      <w:szCs w:val="24"/>
      <w:lang w:val="zh-CN"/>
    </w:rPr>
  </w:style>
  <w:style w:type="paragraph" w:customStyle="1" w:styleId="2573">
    <w:name w:val="xl1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574">
    <w:name w:val="样式 正文首行缩进 + 首行缩进:  2 字符6"/>
    <w:basedOn w:val="89"/>
    <w:qFormat/>
    <w:uiPriority w:val="0"/>
    <w:pPr>
      <w:spacing w:line="300" w:lineRule="auto"/>
      <w:ind w:firstLine="560" w:firstLineChars="200"/>
    </w:pPr>
    <w:rPr>
      <w:rFonts w:cs="宋体"/>
      <w:color w:val="000000"/>
      <w:szCs w:val="20"/>
    </w:rPr>
  </w:style>
  <w:style w:type="paragraph" w:customStyle="1" w:styleId="2575">
    <w:name w:val="前沿"/>
    <w:basedOn w:val="87"/>
    <w:qFormat/>
    <w:uiPriority w:val="0"/>
    <w:pPr>
      <w:keepLines w:val="0"/>
      <w:pageBreakBefore w:val="0"/>
      <w:widowControl/>
      <w:spacing w:before="360" w:after="240" w:line="360" w:lineRule="auto"/>
    </w:pPr>
    <w:rPr>
      <w:rFonts w:eastAsia="仿宋_GB2312" w:cs="宋体"/>
      <w:bCs/>
      <w:kern w:val="28"/>
      <w:sz w:val="30"/>
      <w:szCs w:val="30"/>
    </w:rPr>
  </w:style>
  <w:style w:type="paragraph" w:customStyle="1" w:styleId="2576">
    <w:name w:val="正文文本缩进 21"/>
    <w:basedOn w:val="1"/>
    <w:qFormat/>
    <w:uiPriority w:val="0"/>
    <w:pPr>
      <w:spacing w:line="360" w:lineRule="auto"/>
      <w:ind w:firstLine="510"/>
      <w:textAlignment w:val="baseline"/>
    </w:pPr>
    <w:rPr>
      <w:rFonts w:ascii="宋体" w:hAnsi="宋体"/>
      <w:szCs w:val="20"/>
    </w:rPr>
  </w:style>
  <w:style w:type="paragraph" w:customStyle="1" w:styleId="2577">
    <w:name w:val="Char Char Char Char2"/>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2578">
    <w:name w:val="xl20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2579">
    <w:name w:val="居中正文"/>
    <w:basedOn w:val="89"/>
    <w:qFormat/>
    <w:uiPriority w:val="0"/>
    <w:pPr>
      <w:spacing w:before="120" w:line="360" w:lineRule="auto"/>
      <w:ind w:firstLine="0" w:firstLineChars="0"/>
      <w:jc w:val="center"/>
      <w:textAlignment w:val="baseline"/>
    </w:pPr>
    <w:rPr>
      <w:rFonts w:ascii="宋体"/>
      <w:kern w:val="28"/>
      <w:sz w:val="24"/>
      <w:szCs w:val="20"/>
    </w:rPr>
  </w:style>
  <w:style w:type="paragraph" w:customStyle="1" w:styleId="2580">
    <w:name w:val="xl84"/>
    <w:basedOn w:val="1"/>
    <w:qFormat/>
    <w:uiPriority w:val="0"/>
    <w:pPr>
      <w:pBdr>
        <w:bottom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2581">
    <w:name w:val="默认段落字体 Para Char Char Char Char Char"/>
    <w:basedOn w:val="1"/>
    <w:qFormat/>
    <w:uiPriority w:val="0"/>
  </w:style>
  <w:style w:type="paragraph" w:customStyle="1" w:styleId="2582">
    <w:name w:val="保留正文"/>
    <w:basedOn w:val="1"/>
    <w:qFormat/>
    <w:uiPriority w:val="0"/>
    <w:pPr>
      <w:keepNext/>
      <w:overflowPunct w:val="0"/>
      <w:spacing w:line="420" w:lineRule="exact"/>
      <w:ind w:firstLine="482"/>
      <w:textAlignment w:val="baseline"/>
    </w:pPr>
    <w:rPr>
      <w:rFonts w:ascii="宋体"/>
      <w:kern w:val="0"/>
      <w:sz w:val="24"/>
      <w:szCs w:val="20"/>
    </w:rPr>
  </w:style>
  <w:style w:type="paragraph" w:customStyle="1" w:styleId="2583">
    <w:name w:val="我的标题3"/>
    <w:basedOn w:val="1"/>
    <w:qFormat/>
    <w:uiPriority w:val="0"/>
    <w:pPr>
      <w:outlineLvl w:val="2"/>
    </w:pPr>
    <w:rPr>
      <w:b/>
      <w:bCs/>
      <w:kern w:val="0"/>
      <w:szCs w:val="28"/>
    </w:rPr>
  </w:style>
  <w:style w:type="paragraph" w:customStyle="1" w:styleId="2584">
    <w:name w:val="岳阳用"/>
    <w:basedOn w:val="1"/>
    <w:qFormat/>
    <w:uiPriority w:val="0"/>
    <w:pPr>
      <w:spacing w:line="400" w:lineRule="atLeast"/>
      <w:ind w:firstLine="644"/>
      <w:textAlignment w:val="baseline"/>
    </w:pPr>
    <w:rPr>
      <w:rFonts w:ascii="仿宋_GB2312" w:hAnsi="宋体"/>
      <w:spacing w:val="21"/>
    </w:rPr>
  </w:style>
  <w:style w:type="paragraph" w:customStyle="1" w:styleId="2585">
    <w:name w:val="四号 正文"/>
    <w:basedOn w:val="1"/>
    <w:qFormat/>
    <w:uiPriority w:val="0"/>
    <w:rPr>
      <w:rFonts w:ascii="宋体" w:hAnsi="宋体"/>
      <w:sz w:val="24"/>
      <w:szCs w:val="20"/>
    </w:rPr>
  </w:style>
  <w:style w:type="paragraph" w:customStyle="1" w:styleId="2586">
    <w:name w:val="封面主标题"/>
    <w:basedOn w:val="1"/>
    <w:qFormat/>
    <w:uiPriority w:val="0"/>
    <w:pPr>
      <w:jc w:val="center"/>
    </w:pPr>
    <w:rPr>
      <w:rFonts w:ascii="方正大标宋简体" w:eastAsia="方正大标宋简体" w:cs="宋体"/>
      <w:sz w:val="52"/>
    </w:rPr>
  </w:style>
  <w:style w:type="paragraph" w:customStyle="1" w:styleId="2587">
    <w:name w:val="正文样式"/>
    <w:basedOn w:val="1"/>
    <w:qFormat/>
    <w:uiPriority w:val="0"/>
    <w:pPr>
      <w:spacing w:line="360" w:lineRule="auto"/>
      <w:ind w:firstLine="480"/>
    </w:pPr>
    <w:rPr>
      <w:rFonts w:ascii="宋体" w:hAnsi="宋体"/>
      <w:sz w:val="24"/>
    </w:rPr>
  </w:style>
  <w:style w:type="paragraph" w:customStyle="1" w:styleId="2588">
    <w:name w:val="Char13"/>
    <w:basedOn w:val="1"/>
    <w:next w:val="1"/>
    <w:qFormat/>
    <w:uiPriority w:val="0"/>
    <w:pPr>
      <w:spacing w:line="360" w:lineRule="auto"/>
    </w:pPr>
    <w:rPr>
      <w:rFonts w:ascii="宋体" w:hAnsi="宋体" w:cs="宋体"/>
      <w:sz w:val="24"/>
    </w:rPr>
  </w:style>
  <w:style w:type="paragraph" w:customStyle="1" w:styleId="2589">
    <w:name w:val="样式 表格标题 + 段后: 0.5 行1"/>
    <w:basedOn w:val="25"/>
    <w:qFormat/>
    <w:uiPriority w:val="0"/>
    <w:pPr>
      <w:tabs>
        <w:tab w:val="left" w:pos="0"/>
      </w:tabs>
      <w:ind w:firstLine="0" w:firstLineChars="0"/>
    </w:pPr>
    <w:rPr>
      <w:rFonts w:eastAsia="黑体"/>
      <w:b/>
      <w:bCs/>
      <w:sz w:val="18"/>
      <w:szCs w:val="18"/>
      <w:lang w:val="zh-CN"/>
    </w:rPr>
  </w:style>
  <w:style w:type="paragraph" w:customStyle="1" w:styleId="2590">
    <w:name w:val="表格样式2"/>
    <w:basedOn w:val="1"/>
    <w:qFormat/>
    <w:uiPriority w:val="0"/>
    <w:pPr>
      <w:jc w:val="center"/>
    </w:pPr>
    <w:rPr>
      <w:rFonts w:ascii="宋体" w:hAnsi="宋体"/>
      <w:kern w:val="0"/>
      <w:sz w:val="24"/>
    </w:rPr>
  </w:style>
  <w:style w:type="paragraph" w:customStyle="1" w:styleId="2591">
    <w:name w:val="xl18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kern w:val="0"/>
      <w:sz w:val="20"/>
      <w:szCs w:val="20"/>
    </w:rPr>
  </w:style>
  <w:style w:type="paragraph" w:customStyle="1" w:styleId="2592">
    <w:name w:val="Default Text"/>
    <w:qFormat/>
    <w:uiPriority w:val="0"/>
    <w:pPr>
      <w:widowControl w:val="0"/>
      <w:autoSpaceDE w:val="0"/>
      <w:autoSpaceDN w:val="0"/>
      <w:adjustRightInd w:val="0"/>
      <w:spacing w:line="320" w:lineRule="exact"/>
      <w:jc w:val="center"/>
    </w:pPr>
    <w:rPr>
      <w:rFonts w:ascii="Calibri" w:hAnsi="Calibri" w:eastAsia="宋体" w:cs="Times New Roman"/>
      <w:color w:val="000000"/>
      <w:sz w:val="24"/>
      <w:szCs w:val="22"/>
      <w:lang w:val="en-US" w:eastAsia="zh-CN" w:bidi="ar-SA"/>
    </w:rPr>
  </w:style>
  <w:style w:type="paragraph" w:customStyle="1" w:styleId="2593">
    <w:name w:val="Char Char1 Char"/>
    <w:basedOn w:val="1"/>
    <w:next w:val="1"/>
    <w:qFormat/>
    <w:uiPriority w:val="0"/>
    <w:pPr>
      <w:spacing w:line="360" w:lineRule="auto"/>
    </w:pPr>
    <w:rPr>
      <w:rFonts w:ascii="宋体" w:hAnsi="宋体" w:cs="宋体"/>
      <w:sz w:val="24"/>
    </w:rPr>
  </w:style>
  <w:style w:type="paragraph" w:customStyle="1" w:styleId="2594">
    <w:name w:val="表格内文字"/>
    <w:basedOn w:val="1"/>
    <w:qFormat/>
    <w:uiPriority w:val="0"/>
    <w:pPr>
      <w:spacing w:line="240" w:lineRule="atLeast"/>
      <w:jc w:val="center"/>
    </w:pPr>
    <w:rPr>
      <w:spacing w:val="6"/>
      <w:sz w:val="24"/>
    </w:rPr>
  </w:style>
  <w:style w:type="paragraph" w:customStyle="1" w:styleId="2595">
    <w:name w:val="正文12"/>
    <w:qFormat/>
    <w:uiPriority w:val="0"/>
    <w:pPr>
      <w:widowControl w:val="0"/>
      <w:adjustRightInd w:val="0"/>
      <w:spacing w:line="360" w:lineRule="atLeast"/>
      <w:jc w:val="center"/>
    </w:pPr>
    <w:rPr>
      <w:rFonts w:ascii="宋体" w:hAnsi="Calibri" w:eastAsia="宋体" w:cs="Times New Roman"/>
      <w:sz w:val="24"/>
      <w:lang w:val="en-US" w:eastAsia="zh-CN" w:bidi="ar-SA"/>
    </w:rPr>
  </w:style>
  <w:style w:type="paragraph" w:customStyle="1" w:styleId="2596">
    <w:name w:val="讲稿"/>
    <w:basedOn w:val="1"/>
    <w:qFormat/>
    <w:uiPriority w:val="0"/>
    <w:pPr>
      <w:ind w:firstLine="431"/>
    </w:pPr>
    <w:rPr>
      <w:rFonts w:ascii="Arial" w:hAnsi="Arial"/>
    </w:rPr>
  </w:style>
  <w:style w:type="paragraph" w:customStyle="1" w:styleId="2597">
    <w:name w:val="Char Char Char2 Char"/>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2598">
    <w:name w:val="列表 2Q"/>
    <w:basedOn w:val="41"/>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599">
    <w:name w:val="表格04"/>
    <w:basedOn w:val="1"/>
    <w:qFormat/>
    <w:uiPriority w:val="0"/>
    <w:pPr>
      <w:spacing w:line="360" w:lineRule="exact"/>
      <w:jc w:val="center"/>
      <w:textAlignment w:val="baseline"/>
    </w:pPr>
    <w:rPr>
      <w:rFonts w:cs="宋体"/>
      <w:snapToGrid w:val="0"/>
      <w:spacing w:val="-2"/>
      <w:sz w:val="18"/>
      <w:szCs w:val="18"/>
    </w:rPr>
  </w:style>
  <w:style w:type="paragraph" w:customStyle="1" w:styleId="2600">
    <w:name w:val="xl66"/>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center"/>
    </w:pPr>
    <w:rPr>
      <w:rFonts w:ascii="Arial Unicode MS" w:hAnsi="Arial Unicode MS" w:eastAsia="Arial Unicode MS"/>
      <w:kern w:val="0"/>
      <w:sz w:val="24"/>
    </w:rPr>
  </w:style>
  <w:style w:type="paragraph" w:customStyle="1" w:styleId="2601">
    <w:name w:val="表格文字右对齐"/>
    <w:basedOn w:val="2218"/>
    <w:qFormat/>
    <w:uiPriority w:val="0"/>
    <w:pPr>
      <w:tabs>
        <w:tab w:val="clear" w:pos="6735"/>
      </w:tabs>
      <w:ind w:left="0" w:leftChars="0" w:right="0" w:firstLine="0" w:firstLineChars="0"/>
      <w:jc w:val="right"/>
    </w:pPr>
    <w:rPr>
      <w:rFonts w:ascii="宋体" w:hAnsi="宋体"/>
      <w:b w:val="0"/>
      <w:bCs w:val="0"/>
      <w:color w:val="FF0000"/>
      <w:szCs w:val="24"/>
    </w:rPr>
  </w:style>
  <w:style w:type="paragraph" w:customStyle="1" w:styleId="2602">
    <w:name w:val="斜体正文"/>
    <w:basedOn w:val="1"/>
    <w:qFormat/>
    <w:uiPriority w:val="0"/>
    <w:pPr>
      <w:spacing w:line="360" w:lineRule="auto"/>
    </w:pPr>
    <w:rPr>
      <w:b/>
      <w:i/>
      <w:spacing w:val="6"/>
      <w:sz w:val="24"/>
    </w:rPr>
  </w:style>
  <w:style w:type="paragraph" w:customStyle="1" w:styleId="2603">
    <w:name w:val="line1"/>
    <w:basedOn w:val="1"/>
    <w:qFormat/>
    <w:uiPriority w:val="0"/>
    <w:pPr>
      <w:spacing w:before="100" w:beforeAutospacing="1" w:after="100" w:afterAutospacing="1" w:line="360" w:lineRule="atLeast"/>
      <w:jc w:val="left"/>
    </w:pPr>
    <w:rPr>
      <w:rFonts w:ascii="宋体" w:hAnsi="宋体"/>
      <w:kern w:val="0"/>
      <w:sz w:val="24"/>
    </w:rPr>
  </w:style>
  <w:style w:type="paragraph" w:customStyle="1" w:styleId="2604">
    <w:name w:val="样式 公式 + 左 段前: 0.5 行 段后: 0.5 行"/>
    <w:basedOn w:val="2110"/>
    <w:qFormat/>
    <w:uiPriority w:val="0"/>
    <w:pPr>
      <w:widowControl w:val="0"/>
      <w:snapToGrid/>
      <w:spacing w:before="0" w:line="360" w:lineRule="auto"/>
      <w:ind w:firstLine="0" w:firstLineChars="0"/>
    </w:pPr>
    <w:rPr>
      <w:rFonts w:ascii="Calibri" w:hAnsi="Calibri" w:eastAsia="宋体" w:cs="宋体"/>
      <w:i/>
      <w:iCs/>
      <w:sz w:val="28"/>
    </w:rPr>
  </w:style>
  <w:style w:type="paragraph" w:customStyle="1" w:styleId="2605">
    <w:name w:val="xl16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18"/>
      <w:szCs w:val="18"/>
    </w:rPr>
  </w:style>
  <w:style w:type="paragraph" w:customStyle="1" w:styleId="2606">
    <w:name w:val="Char Char Char Char Char Char Char Char Char Char Char Char Char Char Char1 Char Char Char1 Char Char Char Char Char Char Char"/>
    <w:basedOn w:val="1"/>
    <w:qFormat/>
    <w:uiPriority w:val="0"/>
    <w:pPr>
      <w:spacing w:line="360" w:lineRule="auto"/>
    </w:pPr>
    <w:rPr>
      <w:rFonts w:ascii="仿宋_GB2312" w:hAnsi="仿宋_GB2312" w:cs="宋体"/>
      <w:sz w:val="24"/>
    </w:rPr>
  </w:style>
  <w:style w:type="paragraph" w:customStyle="1" w:styleId="2607">
    <w:name w:val="纯文本4"/>
    <w:basedOn w:val="1"/>
    <w:qFormat/>
    <w:uiPriority w:val="0"/>
    <w:pPr>
      <w:jc w:val="left"/>
      <w:textAlignment w:val="baseline"/>
    </w:pPr>
    <w:rPr>
      <w:rFonts w:ascii="宋体"/>
      <w:kern w:val="0"/>
      <w:sz w:val="24"/>
      <w:szCs w:val="20"/>
    </w:rPr>
  </w:style>
  <w:style w:type="paragraph" w:customStyle="1" w:styleId="2608">
    <w:name w:val="编号圆圈数字"/>
    <w:basedOn w:val="1"/>
    <w:qFormat/>
    <w:uiPriority w:val="0"/>
    <w:pPr>
      <w:tabs>
        <w:tab w:val="left" w:pos="597"/>
      </w:tabs>
      <w:spacing w:line="360" w:lineRule="auto"/>
      <w:ind w:left="140" w:firstLine="480"/>
    </w:pPr>
    <w:rPr>
      <w:sz w:val="24"/>
    </w:rPr>
  </w:style>
  <w:style w:type="paragraph" w:customStyle="1" w:styleId="2609">
    <w:name w:val="1文章"/>
    <w:basedOn w:val="1"/>
    <w:qFormat/>
    <w:uiPriority w:val="0"/>
    <w:pPr>
      <w:spacing w:line="360" w:lineRule="auto"/>
      <w:ind w:firstLine="573"/>
    </w:pPr>
    <w:rPr>
      <w:sz w:val="24"/>
    </w:rPr>
  </w:style>
  <w:style w:type="paragraph" w:customStyle="1" w:styleId="2610">
    <w:name w:val="Char Char Char Char Char2 Char Char Char Char"/>
    <w:basedOn w:val="1"/>
    <w:qFormat/>
    <w:uiPriority w:val="0"/>
    <w:pPr>
      <w:spacing w:line="360" w:lineRule="auto"/>
    </w:pPr>
    <w:rPr>
      <w:rFonts w:ascii="宋体" w:hAnsi="宋体"/>
      <w:sz w:val="24"/>
    </w:rPr>
  </w:style>
  <w:style w:type="paragraph" w:customStyle="1" w:styleId="2611">
    <w:name w:val="封面单位名称英语"/>
    <w:basedOn w:val="1"/>
    <w:qFormat/>
    <w:uiPriority w:val="0"/>
    <w:pPr>
      <w:spacing w:before="156" w:after="156" w:line="360" w:lineRule="auto"/>
      <w:jc w:val="center"/>
    </w:pPr>
    <w:rPr>
      <w:rFonts w:cs="宋体"/>
      <w:b/>
      <w:bCs/>
      <w:sz w:val="24"/>
      <w:szCs w:val="20"/>
    </w:rPr>
  </w:style>
  <w:style w:type="paragraph" w:customStyle="1" w:styleId="2612">
    <w:name w:val="样式 样式 标题 3 + 段前: 0 磅 段后: 0 磅 + 段前: 0.5 行 段后: 0.5 行"/>
    <w:basedOn w:val="2613"/>
    <w:qFormat/>
    <w:uiPriority w:val="0"/>
    <w:pPr>
      <w:tabs>
        <w:tab w:val="left" w:pos="709"/>
      </w:tabs>
    </w:pPr>
    <w:rPr>
      <w:rFonts w:eastAsia="宋体"/>
    </w:rPr>
  </w:style>
  <w:style w:type="paragraph" w:customStyle="1" w:styleId="2613">
    <w:name w:val="样式 标题 3 + 段前: 0 磅 段后: 0 磅"/>
    <w:basedOn w:val="7"/>
    <w:qFormat/>
    <w:uiPriority w:val="0"/>
    <w:pPr>
      <w:keepLines w:val="0"/>
      <w:tabs>
        <w:tab w:val="clear" w:pos="1440"/>
      </w:tabs>
      <w:spacing w:beforeLines="50" w:afterLines="50" w:line="416" w:lineRule="atLeast"/>
      <w:ind w:left="0" w:firstLine="200"/>
      <w:textAlignment w:val="baseline"/>
    </w:pPr>
    <w:rPr>
      <w:rFonts w:ascii="Cambria" w:hAnsi="Cambria" w:cs="宋体"/>
      <w:bCs/>
      <w:kern w:val="2"/>
      <w:sz w:val="26"/>
    </w:rPr>
  </w:style>
  <w:style w:type="paragraph" w:customStyle="1" w:styleId="2614">
    <w:name w:val="Char Char Char1 Char Char Char Char Char Char Char Char Char Char Char Char1 Char Char Char Char1"/>
    <w:basedOn w:val="1"/>
    <w:qFormat/>
    <w:uiPriority w:val="0"/>
    <w:pPr>
      <w:spacing w:line="360" w:lineRule="auto"/>
    </w:pPr>
    <w:rPr>
      <w:rFonts w:ascii="宋体" w:hAnsi="宋体" w:cs="宋体"/>
      <w:sz w:val="24"/>
    </w:rPr>
  </w:style>
  <w:style w:type="paragraph" w:customStyle="1" w:styleId="2615">
    <w:name w:val="xl134"/>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18"/>
      <w:szCs w:val="18"/>
    </w:rPr>
  </w:style>
  <w:style w:type="paragraph" w:customStyle="1" w:styleId="2616">
    <w:name w:val="Char Char Char Char3"/>
    <w:basedOn w:val="30"/>
    <w:qFormat/>
    <w:uiPriority w:val="0"/>
    <w:pPr>
      <w:shd w:val="clear" w:color="auto" w:fill="000080"/>
      <w:spacing w:line="436" w:lineRule="exact"/>
      <w:ind w:left="357"/>
      <w:outlineLvl w:val="3"/>
    </w:pPr>
    <w:rPr>
      <w:rFonts w:ascii="Times New Roman"/>
      <w:kern w:val="2"/>
      <w:sz w:val="21"/>
      <w:szCs w:val="24"/>
    </w:rPr>
  </w:style>
  <w:style w:type="paragraph" w:customStyle="1" w:styleId="2617">
    <w:name w:val="样式 公式 + 段前: 0.5 行 段后: 0.5 行"/>
    <w:basedOn w:val="2110"/>
    <w:qFormat/>
    <w:uiPriority w:val="0"/>
    <w:pPr>
      <w:widowControl w:val="0"/>
      <w:snapToGrid/>
      <w:spacing w:before="0" w:line="360" w:lineRule="auto"/>
      <w:ind w:firstLine="0" w:firstLineChars="0"/>
    </w:pPr>
    <w:rPr>
      <w:rFonts w:ascii="Calibri" w:hAnsi="Calibri" w:eastAsia="宋体" w:cs="宋体"/>
      <w:i/>
      <w:iCs/>
      <w:sz w:val="28"/>
    </w:rPr>
  </w:style>
  <w:style w:type="paragraph" w:customStyle="1" w:styleId="2618">
    <w:name w:val="正文文字进缩1"/>
    <w:basedOn w:val="1"/>
    <w:qFormat/>
    <w:uiPriority w:val="0"/>
    <w:pPr>
      <w:spacing w:line="360" w:lineRule="auto"/>
      <w:ind w:left="555"/>
    </w:pPr>
    <w:rPr>
      <w:rFonts w:ascii="黑体" w:eastAsia="黑体"/>
      <w:b/>
      <w:bCs/>
      <w:iCs/>
    </w:rPr>
  </w:style>
  <w:style w:type="paragraph" w:customStyle="1" w:styleId="2619">
    <w:name w:val="论文正文2"/>
    <w:basedOn w:val="1"/>
    <w:qFormat/>
    <w:uiPriority w:val="0"/>
    <w:pPr>
      <w:ind w:firstLine="560"/>
    </w:pPr>
    <w:rPr>
      <w:color w:val="FF0000"/>
    </w:rPr>
  </w:style>
  <w:style w:type="paragraph" w:customStyle="1" w:styleId="2620">
    <w:name w:val="Title.3"/>
    <w:next w:val="1"/>
    <w:qFormat/>
    <w:uiPriority w:val="0"/>
    <w:pPr>
      <w:keepNext/>
      <w:keepLines/>
      <w:spacing w:before="156" w:after="156" w:line="320" w:lineRule="exact"/>
      <w:jc w:val="center"/>
      <w:outlineLvl w:val="2"/>
    </w:pPr>
    <w:rPr>
      <w:rFonts w:ascii="Calibri" w:hAnsi="Calibri" w:eastAsia="宋体" w:cs="Times New Roman"/>
      <w:b/>
      <w:sz w:val="30"/>
      <w:szCs w:val="22"/>
      <w:lang w:val="en-US" w:eastAsia="zh-CN" w:bidi="ar-SA"/>
    </w:rPr>
  </w:style>
  <w:style w:type="paragraph" w:customStyle="1" w:styleId="2621">
    <w:name w:val="表文B"/>
    <w:qFormat/>
    <w:uiPriority w:val="0"/>
    <w:pPr>
      <w:tabs>
        <w:tab w:val="left" w:pos="0"/>
      </w:tabs>
      <w:adjustRightInd w:val="0"/>
      <w:snapToGrid w:val="0"/>
      <w:spacing w:line="264" w:lineRule="auto"/>
      <w:jc w:val="center"/>
    </w:pPr>
    <w:rPr>
      <w:rFonts w:ascii="宋体" w:hAnsi="Calibri" w:eastAsia="宋体" w:cs="Times New Roman"/>
      <w:snapToGrid w:val="0"/>
      <w:sz w:val="21"/>
      <w:szCs w:val="22"/>
      <w:lang w:val="en-US" w:eastAsia="zh-CN" w:bidi="ar-SA"/>
    </w:rPr>
  </w:style>
  <w:style w:type="paragraph" w:customStyle="1" w:styleId="2622">
    <w:name w:val="xl1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2623">
    <w:name w:val="表1表2"/>
    <w:basedOn w:val="1"/>
    <w:qFormat/>
    <w:uiPriority w:val="0"/>
    <w:pPr>
      <w:autoSpaceDE w:val="0"/>
      <w:autoSpaceDN w:val="0"/>
      <w:spacing w:line="360" w:lineRule="auto"/>
      <w:jc w:val="center"/>
      <w:textAlignment w:val="center"/>
    </w:pPr>
    <w:rPr>
      <w:rFonts w:eastAsia="仿宋体"/>
      <w:sz w:val="24"/>
    </w:rPr>
  </w:style>
  <w:style w:type="paragraph" w:customStyle="1" w:styleId="2624">
    <w:name w:val="样式 正文文字缩进 + (符号) 宋体 首行缩进:  0.95 厘米"/>
    <w:basedOn w:val="39"/>
    <w:qFormat/>
    <w:uiPriority w:val="0"/>
    <w:pPr>
      <w:spacing w:after="0" w:line="300" w:lineRule="auto"/>
      <w:ind w:left="0" w:leftChars="0" w:firstLine="539"/>
    </w:pPr>
    <w:rPr>
      <w:rFonts w:ascii="宋体" w:hAnsi="宋体"/>
      <w:sz w:val="24"/>
    </w:rPr>
  </w:style>
  <w:style w:type="paragraph" w:customStyle="1" w:styleId="2625">
    <w:name w:val="图片"/>
    <w:basedOn w:val="1"/>
    <w:qFormat/>
    <w:uiPriority w:val="0"/>
    <w:pPr>
      <w:spacing w:line="440" w:lineRule="exact"/>
    </w:pPr>
    <w:rPr>
      <w:sz w:val="24"/>
    </w:rPr>
  </w:style>
  <w:style w:type="paragraph" w:customStyle="1" w:styleId="2626">
    <w:name w:val="小节2"/>
    <w:next w:val="1"/>
    <w:qFormat/>
    <w:uiPriority w:val="0"/>
    <w:pPr>
      <w:adjustRightInd w:val="0"/>
      <w:snapToGrid w:val="0"/>
      <w:spacing w:line="360" w:lineRule="auto"/>
      <w:jc w:val="center"/>
    </w:pPr>
    <w:rPr>
      <w:rFonts w:ascii="Calibri" w:hAnsi="Calibri" w:eastAsia="宋体" w:cs="Times New Roman"/>
      <w:b/>
      <w:kern w:val="2"/>
      <w:position w:val="-28"/>
      <w:sz w:val="28"/>
      <w:szCs w:val="28"/>
      <w:lang w:val="en-US" w:eastAsia="zh-CN" w:bidi="ar-SA"/>
    </w:rPr>
  </w:style>
  <w:style w:type="paragraph" w:customStyle="1" w:styleId="2627">
    <w:name w:val="冯正文"/>
    <w:basedOn w:val="1"/>
    <w:semiHidden/>
    <w:qFormat/>
    <w:uiPriority w:val="0"/>
    <w:pPr>
      <w:spacing w:beforeLines="25" w:afterLines="25" w:line="400" w:lineRule="exact"/>
    </w:pPr>
    <w:rPr>
      <w:rFonts w:cs="宋体"/>
      <w:sz w:val="24"/>
      <w:szCs w:val="20"/>
    </w:rPr>
  </w:style>
  <w:style w:type="paragraph" w:customStyle="1" w:styleId="2628">
    <w:name w:val="自定义正文 Char Char Char Char Char Char Char Char Char Char1"/>
    <w:qFormat/>
    <w:uiPriority w:val="0"/>
    <w:pPr>
      <w:widowControl w:val="0"/>
      <w:topLinePunct/>
      <w:adjustRightInd w:val="0"/>
      <w:snapToGrid w:val="0"/>
      <w:spacing w:line="360" w:lineRule="auto"/>
      <w:ind w:firstLine="510"/>
      <w:jc w:val="both"/>
    </w:pPr>
    <w:rPr>
      <w:rFonts w:ascii="Calibri" w:hAnsi="Calibri" w:eastAsia="宋体" w:cs="Times New Roman"/>
      <w:kern w:val="2"/>
      <w:position w:val="-28"/>
      <w:sz w:val="28"/>
      <w:szCs w:val="28"/>
      <w:lang w:val="en-US" w:eastAsia="zh-CN" w:bidi="ar-SA"/>
    </w:rPr>
  </w:style>
  <w:style w:type="paragraph" w:customStyle="1" w:styleId="2629">
    <w:name w:val="xl110"/>
    <w:basedOn w:val="1"/>
    <w:qFormat/>
    <w:uiPriority w:val="0"/>
    <w:pPr>
      <w:pBdr>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2630">
    <w:name w:val="Char Char"/>
    <w:basedOn w:val="1"/>
    <w:qFormat/>
    <w:uiPriority w:val="0"/>
  </w:style>
  <w:style w:type="paragraph" w:customStyle="1" w:styleId="2631">
    <w:name w:val="样式 黑体 小四 行距: 1.5 倍行距"/>
    <w:basedOn w:val="1"/>
    <w:qFormat/>
    <w:uiPriority w:val="0"/>
    <w:pPr>
      <w:spacing w:line="360" w:lineRule="auto"/>
    </w:pPr>
    <w:rPr>
      <w:rFonts w:ascii="黑体" w:hAnsi="黑体" w:eastAsia="黑体" w:cs="宋体"/>
      <w:color w:val="000000"/>
      <w:sz w:val="24"/>
    </w:rPr>
  </w:style>
  <w:style w:type="paragraph" w:customStyle="1" w:styleId="2632">
    <w:name w:val="font17"/>
    <w:basedOn w:val="1"/>
    <w:qFormat/>
    <w:uiPriority w:val="0"/>
    <w:pPr>
      <w:spacing w:before="100" w:beforeAutospacing="1" w:after="100" w:afterAutospacing="1"/>
      <w:jc w:val="left"/>
    </w:pPr>
    <w:rPr>
      <w:rFonts w:eastAsia="Arial Unicode MS"/>
      <w:kern w:val="0"/>
      <w:sz w:val="20"/>
      <w:szCs w:val="20"/>
      <w:u w:val="single"/>
    </w:rPr>
  </w:style>
  <w:style w:type="paragraph" w:customStyle="1" w:styleId="2633">
    <w:name w:val="标注"/>
    <w:basedOn w:val="1"/>
    <w:qFormat/>
    <w:uiPriority w:val="0"/>
    <w:pPr>
      <w:spacing w:line="300" w:lineRule="auto"/>
      <w:ind w:firstLine="480"/>
    </w:pPr>
    <w:rPr>
      <w:rFonts w:eastAsia="黑体"/>
      <w:color w:val="000000"/>
    </w:rPr>
  </w:style>
  <w:style w:type="paragraph" w:customStyle="1" w:styleId="2634">
    <w:name w:val="p20"/>
    <w:basedOn w:val="1"/>
    <w:qFormat/>
    <w:uiPriority w:val="0"/>
    <w:pPr>
      <w:spacing w:before="100" w:beforeAutospacing="1" w:after="100" w:afterAutospacing="1"/>
      <w:jc w:val="left"/>
    </w:pPr>
    <w:rPr>
      <w:rFonts w:ascii="宋体" w:hAnsi="宋体" w:cs="宋体"/>
      <w:kern w:val="0"/>
      <w:sz w:val="24"/>
    </w:rPr>
  </w:style>
  <w:style w:type="paragraph" w:customStyle="1" w:styleId="2635">
    <w:name w:val="样式 (符号) 宋体 首行缩进:  2 字符1"/>
    <w:basedOn w:val="1"/>
    <w:qFormat/>
    <w:uiPriority w:val="0"/>
    <w:pPr>
      <w:ind w:firstLine="567"/>
    </w:pPr>
    <w:rPr>
      <w:rFonts w:ascii="宋体" w:hAnsi="宋体" w:cs="宋体"/>
      <w:sz w:val="27"/>
      <w:szCs w:val="20"/>
    </w:rPr>
  </w:style>
  <w:style w:type="paragraph" w:customStyle="1" w:styleId="2636">
    <w:name w:val="正文样式一"/>
    <w:basedOn w:val="1"/>
    <w:qFormat/>
    <w:uiPriority w:val="0"/>
    <w:pPr>
      <w:spacing w:line="400" w:lineRule="atLeast"/>
      <w:ind w:firstLine="510"/>
      <w:textAlignment w:val="baseline"/>
    </w:pPr>
    <w:rPr>
      <w:kern w:val="0"/>
      <w:sz w:val="24"/>
      <w:szCs w:val="20"/>
    </w:rPr>
  </w:style>
  <w:style w:type="paragraph" w:customStyle="1" w:styleId="2637">
    <w:name w:val="reader-word-layer reader-word-s5-0"/>
    <w:basedOn w:val="1"/>
    <w:qFormat/>
    <w:uiPriority w:val="0"/>
    <w:pPr>
      <w:spacing w:before="100" w:beforeAutospacing="1" w:after="100" w:afterAutospacing="1"/>
      <w:jc w:val="left"/>
    </w:pPr>
    <w:rPr>
      <w:rFonts w:ascii="宋体" w:hAnsi="宋体" w:cs="宋体"/>
      <w:kern w:val="0"/>
      <w:sz w:val="24"/>
    </w:rPr>
  </w:style>
  <w:style w:type="paragraph" w:customStyle="1" w:styleId="2638">
    <w:name w:val="xl8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18"/>
      <w:szCs w:val="18"/>
    </w:rPr>
  </w:style>
  <w:style w:type="paragraph" w:customStyle="1" w:styleId="2639">
    <w:name w:val="Char Char Char1 Char Char Char Char3"/>
    <w:basedOn w:val="1"/>
    <w:qFormat/>
    <w:uiPriority w:val="0"/>
    <w:pPr>
      <w:jc w:val="left"/>
    </w:pPr>
  </w:style>
  <w:style w:type="paragraph" w:customStyle="1" w:styleId="2640">
    <w:name w:val="默认段落字体 Para Char"/>
    <w:basedOn w:val="1"/>
    <w:qFormat/>
    <w:uiPriority w:val="0"/>
    <w:pPr>
      <w:spacing w:line="360" w:lineRule="auto"/>
    </w:pPr>
    <w:rPr>
      <w:rFonts w:ascii="宋体" w:hAnsi="宋体" w:cs="宋体"/>
      <w:sz w:val="24"/>
    </w:rPr>
  </w:style>
  <w:style w:type="paragraph" w:customStyle="1" w:styleId="2641">
    <w:name w:val="Char Char18"/>
    <w:basedOn w:val="1"/>
    <w:qFormat/>
    <w:uiPriority w:val="0"/>
    <w:pPr>
      <w:jc w:val="left"/>
    </w:pPr>
  </w:style>
  <w:style w:type="paragraph" w:customStyle="1" w:styleId="2642">
    <w:name w:val="xl49"/>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Cs w:val="21"/>
    </w:rPr>
  </w:style>
  <w:style w:type="paragraph" w:customStyle="1" w:styleId="2643">
    <w:name w:val="121111111111"/>
    <w:basedOn w:val="1"/>
    <w:qFormat/>
    <w:uiPriority w:val="0"/>
    <w:pPr>
      <w:spacing w:line="460" w:lineRule="exact"/>
      <w:jc w:val="center"/>
    </w:pPr>
    <w:rPr>
      <w:rFonts w:eastAsia="黑体"/>
      <w:color w:val="000000"/>
      <w:spacing w:val="16"/>
      <w:sz w:val="24"/>
    </w:rPr>
  </w:style>
  <w:style w:type="paragraph" w:customStyle="1" w:styleId="2644">
    <w:name w:val="表格2（柞行）"/>
    <w:basedOn w:val="1"/>
    <w:qFormat/>
    <w:uiPriority w:val="0"/>
    <w:pPr>
      <w:spacing w:line="320" w:lineRule="exact"/>
      <w:ind w:left="-10" w:leftChars="-20" w:right="-10" w:rightChars="-20"/>
      <w:jc w:val="center"/>
    </w:pPr>
    <w:rPr>
      <w:rFonts w:ascii="Arial" w:hAnsi="Arial"/>
      <w:sz w:val="20"/>
      <w:szCs w:val="21"/>
    </w:rPr>
  </w:style>
  <w:style w:type="paragraph" w:customStyle="1" w:styleId="2645">
    <w:name w:val="6表格"/>
    <w:basedOn w:val="1"/>
    <w:qFormat/>
    <w:uiPriority w:val="0"/>
    <w:pPr>
      <w:spacing w:before="60" w:line="312" w:lineRule="auto"/>
      <w:jc w:val="center"/>
    </w:pPr>
    <w:rPr>
      <w:snapToGrid w:val="0"/>
      <w:kern w:val="0"/>
      <w:szCs w:val="20"/>
    </w:rPr>
  </w:style>
  <w:style w:type="paragraph" w:customStyle="1" w:styleId="2646">
    <w:name w:val="font18"/>
    <w:basedOn w:val="1"/>
    <w:qFormat/>
    <w:uiPriority w:val="0"/>
    <w:pPr>
      <w:spacing w:before="100" w:beforeAutospacing="1" w:after="100" w:afterAutospacing="1"/>
      <w:jc w:val="left"/>
    </w:pPr>
    <w:rPr>
      <w:rFonts w:ascii="仿宋_GB2312" w:hAnsi="宋体" w:cs="宋体"/>
      <w:kern w:val="0"/>
      <w:sz w:val="20"/>
      <w:szCs w:val="20"/>
    </w:rPr>
  </w:style>
  <w:style w:type="paragraph" w:customStyle="1" w:styleId="2647">
    <w:name w:val="样式 正文 + 首行缩进:  2 字符"/>
    <w:basedOn w:val="1"/>
    <w:qFormat/>
    <w:uiPriority w:val="0"/>
    <w:pPr>
      <w:spacing w:line="529" w:lineRule="exact"/>
      <w:ind w:firstLine="480"/>
      <w:jc w:val="left"/>
      <w:textAlignment w:val="baseline"/>
    </w:pPr>
    <w:rPr>
      <w:kern w:val="0"/>
      <w:sz w:val="24"/>
      <w:szCs w:val="20"/>
    </w:rPr>
  </w:style>
  <w:style w:type="paragraph" w:customStyle="1" w:styleId="2648">
    <w:name w:val="列表 2M"/>
    <w:basedOn w:val="41"/>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649">
    <w:name w:val="表后空行"/>
    <w:basedOn w:val="1"/>
    <w:next w:val="1"/>
    <w:qFormat/>
    <w:uiPriority w:val="0"/>
    <w:rPr>
      <w:kern w:val="18"/>
      <w:sz w:val="18"/>
    </w:rPr>
  </w:style>
  <w:style w:type="paragraph" w:customStyle="1" w:styleId="2650">
    <w:name w:val="Char"/>
    <w:basedOn w:val="1"/>
    <w:qFormat/>
    <w:uiPriority w:val="0"/>
    <w:pPr>
      <w:spacing w:after="160" w:line="240" w:lineRule="exact"/>
      <w:jc w:val="left"/>
    </w:pPr>
    <w:rPr>
      <w:rFonts w:ascii="Arial" w:hAnsi="Arial" w:eastAsia="Times New Roman" w:cs="Verdana"/>
      <w:b/>
      <w:kern w:val="0"/>
      <w:sz w:val="24"/>
      <w:lang w:eastAsia="en-US"/>
    </w:rPr>
  </w:style>
  <w:style w:type="paragraph" w:customStyle="1" w:styleId="2651">
    <w:name w:val="xl46"/>
    <w:basedOn w:val="1"/>
    <w:qFormat/>
    <w:uiPriority w:val="0"/>
    <w:pPr>
      <w:pBdr>
        <w:bottom w:val="single" w:color="auto" w:sz="8" w:space="0"/>
        <w:right w:val="single" w:color="auto" w:sz="4" w:space="0"/>
      </w:pBdr>
      <w:spacing w:before="100" w:beforeAutospacing="1" w:after="100" w:afterAutospacing="1"/>
      <w:jc w:val="center"/>
      <w:textAlignment w:val="center"/>
    </w:pPr>
    <w:rPr>
      <w:rFonts w:eastAsia="Arial Unicode MS"/>
      <w:kern w:val="0"/>
      <w:szCs w:val="21"/>
    </w:rPr>
  </w:style>
  <w:style w:type="paragraph" w:customStyle="1" w:styleId="2652">
    <w:name w:val="表格 Char Char Char Char Char Char Char"/>
    <w:basedOn w:val="1"/>
    <w:qFormat/>
    <w:uiPriority w:val="0"/>
    <w:pPr>
      <w:tabs>
        <w:tab w:val="left" w:pos="3744"/>
      </w:tabs>
      <w:spacing w:line="240" w:lineRule="exact"/>
      <w:jc w:val="center"/>
    </w:pPr>
    <w:rPr>
      <w:rFonts w:ascii="宋体" w:hAnsi="宋体"/>
      <w:color w:val="0000FF"/>
      <w:lang w:bidi="he-IL"/>
    </w:rPr>
  </w:style>
  <w:style w:type="paragraph" w:customStyle="1" w:styleId="2653">
    <w:name w:val="列表 5L"/>
    <w:basedOn w:val="73"/>
    <w:qFormat/>
    <w:uiPriority w:val="0"/>
    <w:pPr>
      <w:tabs>
        <w:tab w:val="left" w:pos="1134"/>
      </w:tabs>
      <w:ind w:left="1134" w:leftChars="0" w:hanging="425" w:firstLineChars="0"/>
    </w:pPr>
    <w:rPr>
      <w:rFonts w:ascii="Arial" w:hAnsi="Arial"/>
      <w:color w:val="99CCFF"/>
      <w:sz w:val="24"/>
      <w:szCs w:val="20"/>
    </w:rPr>
  </w:style>
  <w:style w:type="paragraph" w:customStyle="1" w:styleId="2654">
    <w:name w:val="列表 5D"/>
    <w:basedOn w:val="73"/>
    <w:qFormat/>
    <w:uiPriority w:val="0"/>
    <w:pPr>
      <w:tabs>
        <w:tab w:val="left" w:pos="1134"/>
      </w:tabs>
      <w:ind w:left="1134" w:leftChars="0" w:hanging="425" w:firstLineChars="0"/>
    </w:pPr>
    <w:rPr>
      <w:rFonts w:ascii="Arial" w:hAnsi="Arial"/>
      <w:color w:val="99CCFF"/>
      <w:sz w:val="24"/>
      <w:szCs w:val="20"/>
    </w:rPr>
  </w:style>
  <w:style w:type="paragraph" w:customStyle="1" w:styleId="2655">
    <w:name w:val="a4"/>
    <w:basedOn w:val="1"/>
    <w:qFormat/>
    <w:uiPriority w:val="0"/>
    <w:pPr>
      <w:spacing w:before="100" w:beforeAutospacing="1" w:after="100" w:afterAutospacing="1"/>
      <w:jc w:val="left"/>
    </w:pPr>
    <w:rPr>
      <w:rFonts w:ascii="Arial Unicode MS" w:hAnsi="Arial Unicode MS" w:eastAsia="Arial Unicode MS" w:cs="Arial Unicode MS"/>
      <w:kern w:val="0"/>
      <w:sz w:val="24"/>
    </w:rPr>
  </w:style>
  <w:style w:type="paragraph" w:customStyle="1" w:styleId="2656">
    <w:name w:val="Char Char Char1 Char"/>
    <w:basedOn w:val="1"/>
    <w:qFormat/>
    <w:uiPriority w:val="0"/>
  </w:style>
  <w:style w:type="paragraph" w:customStyle="1" w:styleId="2657">
    <w:name w:val="表格内容格式"/>
    <w:basedOn w:val="1"/>
    <w:qFormat/>
    <w:uiPriority w:val="0"/>
    <w:pPr>
      <w:spacing w:line="240" w:lineRule="atLeast"/>
      <w:textAlignment w:val="baseline"/>
    </w:pPr>
    <w:rPr>
      <w:rFonts w:ascii="宋体" w:hAnsi="宋体"/>
      <w:snapToGrid w:val="0"/>
      <w:color w:val="000000"/>
      <w:kern w:val="0"/>
      <w:szCs w:val="20"/>
    </w:rPr>
  </w:style>
  <w:style w:type="paragraph" w:customStyle="1" w:styleId="2658">
    <w:name w:val="宋体 小四 段前: 6 磅 段后: 6 磅 行距: 多倍行距 1.25 字行"/>
    <w:basedOn w:val="1"/>
    <w:qFormat/>
    <w:uiPriority w:val="0"/>
    <w:pPr>
      <w:spacing w:before="120" w:after="120" w:line="300" w:lineRule="auto"/>
      <w:jc w:val="center"/>
    </w:pPr>
    <w:rPr>
      <w:rFonts w:ascii="宋体"/>
      <w:sz w:val="24"/>
      <w:szCs w:val="20"/>
    </w:rPr>
  </w:style>
  <w:style w:type="paragraph" w:customStyle="1" w:styleId="2659">
    <w:name w:val="Pa0"/>
    <w:basedOn w:val="1"/>
    <w:next w:val="1"/>
    <w:qFormat/>
    <w:uiPriority w:val="0"/>
    <w:pPr>
      <w:autoSpaceDE w:val="0"/>
      <w:autoSpaceDN w:val="0"/>
      <w:spacing w:line="241" w:lineRule="atLeast"/>
      <w:jc w:val="left"/>
    </w:pPr>
    <w:rPr>
      <w:rFonts w:ascii="黑体" w:eastAsia="黑体"/>
      <w:kern w:val="0"/>
      <w:sz w:val="24"/>
    </w:rPr>
  </w:style>
  <w:style w:type="paragraph" w:customStyle="1" w:styleId="2660">
    <w:name w:val="02"/>
    <w:basedOn w:val="6"/>
    <w:qFormat/>
    <w:uiPriority w:val="0"/>
    <w:pPr>
      <w:tabs>
        <w:tab w:val="clear" w:pos="1080"/>
      </w:tabs>
      <w:spacing w:before="0" w:after="0" w:line="480" w:lineRule="auto"/>
      <w:ind w:left="0" w:firstLine="0"/>
    </w:pPr>
    <w:rPr>
      <w:rFonts w:eastAsia="宋体"/>
      <w:bCs/>
      <w:color w:val="333333"/>
      <w:sz w:val="24"/>
    </w:rPr>
  </w:style>
  <w:style w:type="paragraph" w:customStyle="1" w:styleId="2661">
    <w:name w:val="Body Text 22"/>
    <w:basedOn w:val="1"/>
    <w:qFormat/>
    <w:uiPriority w:val="0"/>
    <w:pPr>
      <w:spacing w:line="440" w:lineRule="atLeast"/>
      <w:ind w:firstLine="480"/>
      <w:textAlignment w:val="baseline"/>
    </w:pPr>
    <w:rPr>
      <w:sz w:val="24"/>
      <w:szCs w:val="20"/>
    </w:rPr>
  </w:style>
  <w:style w:type="paragraph" w:customStyle="1" w:styleId="2662">
    <w:name w:val="列表 4U"/>
    <w:basedOn w:val="81"/>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2663">
    <w:name w:val="样式"/>
    <w:basedOn w:val="1"/>
    <w:qFormat/>
    <w:uiPriority w:val="0"/>
    <w:pPr>
      <w:jc w:val="center"/>
      <w:textAlignment w:val="baseline"/>
    </w:pPr>
    <w:rPr>
      <w:kern w:val="28"/>
      <w:position w:val="-14"/>
      <w:sz w:val="24"/>
      <w:szCs w:val="20"/>
    </w:rPr>
  </w:style>
  <w:style w:type="paragraph" w:customStyle="1" w:styleId="2664">
    <w:name w:val="正文缩进1"/>
    <w:basedOn w:val="1"/>
    <w:qFormat/>
    <w:uiPriority w:val="0"/>
    <w:pPr>
      <w:ind w:firstLine="420"/>
    </w:pPr>
    <w:rPr>
      <w:sz w:val="24"/>
      <w:szCs w:val="20"/>
    </w:rPr>
  </w:style>
  <w:style w:type="paragraph" w:customStyle="1" w:styleId="2665">
    <w:name w:val="xl87"/>
    <w:basedOn w:val="1"/>
    <w:qFormat/>
    <w:uiPriority w:val="0"/>
    <w:pPr>
      <w:pBdr>
        <w:top w:val="single" w:color="auto" w:sz="8" w:space="0"/>
        <w:bottom w:val="single" w:color="auto" w:sz="4" w:space="0"/>
        <w:right w:val="single" w:color="auto" w:sz="4" w:space="0"/>
      </w:pBdr>
      <w:spacing w:before="100" w:beforeAutospacing="1" w:after="100" w:afterAutospacing="1"/>
      <w:jc w:val="left"/>
    </w:pPr>
    <w:rPr>
      <w:rFonts w:eastAsia="Arial Unicode MS"/>
      <w:kern w:val="0"/>
      <w:sz w:val="16"/>
      <w:szCs w:val="16"/>
    </w:rPr>
  </w:style>
  <w:style w:type="paragraph" w:customStyle="1" w:styleId="2666">
    <w:name w:val="正文(a)"/>
    <w:basedOn w:val="38"/>
    <w:semiHidden/>
    <w:qFormat/>
    <w:uiPriority w:val="0"/>
    <w:pPr>
      <w:tabs>
        <w:tab w:val="left" w:pos="1139"/>
        <w:tab w:val="left" w:pos="1332"/>
      </w:tabs>
      <w:spacing w:after="0" w:line="351" w:lineRule="atLeast"/>
      <w:ind w:left="-141" w:firstLine="566"/>
      <w:textAlignment w:val="baseline"/>
    </w:pPr>
    <w:rPr>
      <w:rFonts w:ascii="宋体" w:cs="宋体"/>
      <w:bCs/>
      <w:color w:val="000000"/>
      <w:spacing w:val="5"/>
      <w:kern w:val="0"/>
      <w:szCs w:val="21"/>
      <w:u w:color="000000"/>
    </w:rPr>
  </w:style>
  <w:style w:type="paragraph" w:customStyle="1" w:styleId="2667">
    <w:name w:val="tian"/>
    <w:basedOn w:val="1"/>
    <w:qFormat/>
    <w:uiPriority w:val="0"/>
    <w:rPr>
      <w:sz w:val="24"/>
      <w:szCs w:val="20"/>
    </w:rPr>
  </w:style>
  <w:style w:type="paragraph" w:customStyle="1" w:styleId="2668">
    <w:name w:val="项目符号1"/>
    <w:basedOn w:val="1"/>
    <w:qFormat/>
    <w:uiPriority w:val="0"/>
    <w:pPr>
      <w:tabs>
        <w:tab w:val="left" w:pos="1545"/>
      </w:tabs>
      <w:overflowPunct w:val="0"/>
      <w:spacing w:line="480" w:lineRule="exact"/>
      <w:ind w:left="1545" w:hanging="720"/>
    </w:pPr>
    <w:rPr>
      <w:rFonts w:ascii="Arial" w:hAnsi="Arial"/>
      <w:szCs w:val="20"/>
    </w:rPr>
  </w:style>
  <w:style w:type="paragraph" w:customStyle="1" w:styleId="2669">
    <w:name w:val="正文文本最新 Char Char Char1 Char Char Char Char Char Char"/>
    <w:qFormat/>
    <w:uiPriority w:val="0"/>
    <w:pPr>
      <w:spacing w:line="360" w:lineRule="auto"/>
      <w:ind w:firstLine="200" w:firstLineChars="200"/>
      <w:jc w:val="both"/>
    </w:pPr>
    <w:rPr>
      <w:rFonts w:ascii="Calibri" w:hAnsi="Calibri" w:eastAsia="宋体" w:cs="Times New Roman"/>
      <w:b/>
      <w:bCs/>
      <w:kern w:val="2"/>
      <w:sz w:val="28"/>
      <w:szCs w:val="24"/>
      <w:lang w:val="en-US" w:eastAsia="zh-CN" w:bidi="ar-SA"/>
    </w:rPr>
  </w:style>
  <w:style w:type="paragraph" w:customStyle="1" w:styleId="2670">
    <w:name w:val="样式 标题 4 + (西文) 宋体"/>
    <w:basedOn w:val="10"/>
    <w:qFormat/>
    <w:uiPriority w:val="0"/>
    <w:pPr>
      <w:tabs>
        <w:tab w:val="left" w:pos="864"/>
        <w:tab w:val="clear" w:pos="851"/>
      </w:tabs>
      <w:spacing w:before="60" w:after="60" w:line="360" w:lineRule="auto"/>
      <w:ind w:left="862" w:hanging="862"/>
    </w:pPr>
    <w:rPr>
      <w:rFonts w:ascii="宋体" w:hAnsi="宋体"/>
      <w:bCs w:val="0"/>
      <w:sz w:val="24"/>
    </w:rPr>
  </w:style>
  <w:style w:type="paragraph" w:customStyle="1" w:styleId="2671">
    <w:name w:val="Char Char Char1 Char Char Char Char Char Char Char2"/>
    <w:basedOn w:val="1"/>
    <w:qFormat/>
    <w:uiPriority w:val="0"/>
  </w:style>
  <w:style w:type="paragraph" w:customStyle="1" w:styleId="2672">
    <w:name w:val="样式 题注Char Char Char Char题注 Char2题注 Char Char题注 Char Char C...2"/>
    <w:basedOn w:val="26"/>
    <w:qFormat/>
    <w:uiPriority w:val="0"/>
    <w:pPr>
      <w:spacing w:before="120" w:after="120"/>
      <w:jc w:val="center"/>
      <w:textAlignment w:val="baseline"/>
    </w:pPr>
    <w:rPr>
      <w:rFonts w:ascii="Arial" w:hAnsi="Arial" w:eastAsia="宋体" w:cs="宋体"/>
      <w:snapToGrid w:val="0"/>
      <w:kern w:val="24"/>
      <w:sz w:val="24"/>
      <w:szCs w:val="24"/>
    </w:rPr>
  </w:style>
  <w:style w:type="paragraph" w:customStyle="1" w:styleId="2673">
    <w:name w:val="正文4"/>
    <w:qFormat/>
    <w:uiPriority w:val="0"/>
    <w:pPr>
      <w:widowControl w:val="0"/>
      <w:adjustRightInd w:val="0"/>
      <w:spacing w:line="360" w:lineRule="atLeast"/>
      <w:jc w:val="center"/>
    </w:pPr>
    <w:rPr>
      <w:rFonts w:hint="eastAsia" w:ascii="宋体" w:hAnsi="Calibri" w:eastAsia="宋体" w:cs="Times New Roman"/>
      <w:sz w:val="24"/>
      <w:lang w:val="en-US" w:eastAsia="zh-CN" w:bidi="ar-SA"/>
    </w:rPr>
  </w:style>
  <w:style w:type="paragraph" w:customStyle="1" w:styleId="2674">
    <w:name w:val="默认段落字体 Para Char Char Char Char Char Char Char"/>
    <w:basedOn w:val="1"/>
    <w:qFormat/>
    <w:uiPriority w:val="0"/>
  </w:style>
  <w:style w:type="paragraph" w:customStyle="1" w:styleId="2675">
    <w:name w:val="font13"/>
    <w:basedOn w:val="1"/>
    <w:qFormat/>
    <w:uiPriority w:val="0"/>
    <w:pPr>
      <w:spacing w:before="100" w:beforeAutospacing="1" w:after="100" w:afterAutospacing="1"/>
      <w:jc w:val="left"/>
    </w:pPr>
    <w:rPr>
      <w:rFonts w:eastAsia="Arial Unicode MS"/>
      <w:b/>
      <w:bCs/>
      <w:kern w:val="0"/>
      <w:sz w:val="20"/>
      <w:szCs w:val="20"/>
    </w:rPr>
  </w:style>
  <w:style w:type="paragraph" w:customStyle="1" w:styleId="2676">
    <w:name w:val="样式 (符号) 宋体 首行缩进:  0.93 厘米 段前: 6 磅 段后: 6 磅 行距: 固定值 18 磅1"/>
    <w:basedOn w:val="1"/>
    <w:qFormat/>
    <w:uiPriority w:val="0"/>
    <w:pPr>
      <w:spacing w:before="160" w:after="160" w:line="320" w:lineRule="exact"/>
      <w:ind w:firstLine="527"/>
    </w:pPr>
    <w:rPr>
      <w:rFonts w:hAnsi="宋体"/>
      <w:sz w:val="24"/>
      <w:szCs w:val="20"/>
    </w:rPr>
  </w:style>
  <w:style w:type="paragraph" w:customStyle="1" w:styleId="2677">
    <w:name w:val="样式 列表项目符号 2 + 五号"/>
    <w:basedOn w:val="44"/>
    <w:qFormat/>
    <w:uiPriority w:val="0"/>
    <w:pPr>
      <w:tabs>
        <w:tab w:val="clear" w:pos="780"/>
      </w:tabs>
      <w:spacing w:line="300" w:lineRule="auto"/>
      <w:ind w:left="0" w:firstLine="0"/>
      <w:jc w:val="center"/>
      <w:textAlignment w:val="baseline"/>
    </w:pPr>
    <w:rPr>
      <w:color w:val="000000"/>
      <w:spacing w:val="-10"/>
      <w:kern w:val="0"/>
      <w:szCs w:val="24"/>
    </w:rPr>
  </w:style>
  <w:style w:type="paragraph" w:customStyle="1" w:styleId="2678">
    <w:name w:val="xl109"/>
    <w:basedOn w:val="1"/>
    <w:qFormat/>
    <w:uiPriority w:val="0"/>
    <w:pPr>
      <w:pBdr>
        <w:top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2679">
    <w:name w:val="Char2"/>
    <w:basedOn w:val="1"/>
    <w:qFormat/>
    <w:uiPriority w:val="0"/>
  </w:style>
  <w:style w:type="paragraph" w:customStyle="1" w:styleId="2680">
    <w:name w:val="贰乎乎"/>
    <w:basedOn w:val="1"/>
    <w:qFormat/>
    <w:uiPriority w:val="0"/>
    <w:pPr>
      <w:keepNext/>
      <w:keepLines/>
      <w:spacing w:before="340" w:after="220" w:line="415" w:lineRule="auto"/>
      <w:contextualSpacing/>
      <w:outlineLvl w:val="1"/>
    </w:pPr>
    <w:rPr>
      <w:rFonts w:ascii="Arial" w:hAnsi="Arial" w:eastAsia="黑体" w:cs="宋体"/>
      <w:b/>
      <w:bCs/>
      <w:w w:val="101"/>
      <w:sz w:val="32"/>
      <w:szCs w:val="32"/>
    </w:rPr>
  </w:style>
  <w:style w:type="paragraph" w:customStyle="1" w:styleId="2681">
    <w:name w:val="MG"/>
    <w:basedOn w:val="5"/>
    <w:qFormat/>
    <w:uiPriority w:val="0"/>
    <w:pPr>
      <w:keepLines w:val="0"/>
      <w:tabs>
        <w:tab w:val="left" w:pos="432"/>
        <w:tab w:val="left" w:pos="2260"/>
        <w:tab w:val="left" w:pos="2820"/>
        <w:tab w:val="left" w:pos="3420"/>
        <w:tab w:val="clear" w:pos="425"/>
      </w:tabs>
      <w:spacing w:before="440" w:after="120" w:line="240" w:lineRule="auto"/>
      <w:ind w:left="851" w:right="-28" w:hanging="851"/>
    </w:pPr>
    <w:rPr>
      <w:rFonts w:ascii="Arial" w:hAnsi="Arial"/>
      <w:bCs w:val="0"/>
      <w:kern w:val="0"/>
      <w:sz w:val="22"/>
      <w:szCs w:val="20"/>
      <w:lang w:val="en-GB"/>
    </w:rPr>
  </w:style>
  <w:style w:type="paragraph" w:customStyle="1" w:styleId="2682">
    <w:name w:val="xl14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2683">
    <w:name w:val="报告表格表头"/>
    <w:basedOn w:val="43"/>
    <w:qFormat/>
    <w:uiPriority w:val="0"/>
    <w:pPr>
      <w:tabs>
        <w:tab w:val="left" w:pos="0"/>
      </w:tabs>
      <w:spacing w:line="360" w:lineRule="auto"/>
      <w:ind w:left="0" w:right="0" w:firstLine="400" w:firstLineChars="400"/>
      <w:jc w:val="both"/>
    </w:pPr>
    <w:rPr>
      <w:bCs/>
      <w:color w:val="000000"/>
      <w:sz w:val="24"/>
      <w:szCs w:val="24"/>
    </w:rPr>
  </w:style>
  <w:style w:type="paragraph" w:customStyle="1" w:styleId="2684">
    <w:name w:val="列表 5Q"/>
    <w:basedOn w:val="73"/>
    <w:qFormat/>
    <w:uiPriority w:val="0"/>
    <w:pPr>
      <w:tabs>
        <w:tab w:val="left" w:pos="1134"/>
      </w:tabs>
      <w:ind w:left="1134" w:leftChars="0" w:hanging="425" w:firstLineChars="0"/>
    </w:pPr>
    <w:rPr>
      <w:rFonts w:ascii="Arial" w:hAnsi="Arial"/>
      <w:color w:val="99CCFF"/>
      <w:sz w:val="24"/>
      <w:szCs w:val="20"/>
    </w:rPr>
  </w:style>
  <w:style w:type="paragraph" w:customStyle="1" w:styleId="2685">
    <w:name w:val="Char11"/>
    <w:basedOn w:val="1"/>
    <w:qFormat/>
    <w:uiPriority w:val="0"/>
    <w:pPr>
      <w:spacing w:line="360" w:lineRule="auto"/>
    </w:pPr>
    <w:rPr>
      <w:rFonts w:ascii="宋体" w:hAnsi="宋体" w:cs="宋体"/>
      <w:sz w:val="24"/>
    </w:rPr>
  </w:style>
  <w:style w:type="paragraph" w:customStyle="1" w:styleId="2686">
    <w:name w:val="font22"/>
    <w:basedOn w:val="1"/>
    <w:qFormat/>
    <w:uiPriority w:val="0"/>
    <w:pPr>
      <w:spacing w:before="100" w:beforeAutospacing="1" w:after="100" w:afterAutospacing="1"/>
      <w:jc w:val="left"/>
    </w:pPr>
    <w:rPr>
      <w:rFonts w:ascii="宋体" w:hAnsi="宋体" w:cs="宋体"/>
      <w:kern w:val="0"/>
      <w:sz w:val="18"/>
      <w:szCs w:val="18"/>
    </w:rPr>
  </w:style>
  <w:style w:type="paragraph" w:customStyle="1" w:styleId="2687">
    <w:name w:val="样式 段前: 6 磅"/>
    <w:basedOn w:val="1"/>
    <w:qFormat/>
    <w:uiPriority w:val="0"/>
    <w:pPr>
      <w:textAlignment w:val="center"/>
    </w:pPr>
    <w:rPr>
      <w:rFonts w:eastAsia="黑体" w:cs="宋体"/>
      <w:sz w:val="24"/>
      <w:szCs w:val="20"/>
    </w:rPr>
  </w:style>
  <w:style w:type="paragraph" w:customStyle="1" w:styleId="2688">
    <w:name w:val="font7"/>
    <w:basedOn w:val="1"/>
    <w:qFormat/>
    <w:uiPriority w:val="0"/>
    <w:pPr>
      <w:spacing w:before="100" w:beforeAutospacing="1" w:after="100" w:afterAutospacing="1"/>
      <w:jc w:val="left"/>
    </w:pPr>
    <w:rPr>
      <w:rFonts w:hint="eastAsia" w:ascii="宋体" w:hAnsi="宋体"/>
      <w:kern w:val="0"/>
      <w:sz w:val="18"/>
      <w:szCs w:val="18"/>
    </w:rPr>
  </w:style>
  <w:style w:type="paragraph" w:customStyle="1" w:styleId="2689">
    <w:name w:val="编写人填写EPAJW120926"/>
    <w:basedOn w:val="1"/>
    <w:qFormat/>
    <w:uiPriority w:val="0"/>
    <w:pPr>
      <w:spacing w:line="360" w:lineRule="auto"/>
    </w:pPr>
    <w:rPr>
      <w:rFonts w:cs="宋体"/>
      <w:szCs w:val="20"/>
    </w:rPr>
  </w:style>
  <w:style w:type="paragraph" w:customStyle="1" w:styleId="2690">
    <w:name w:val="首页篇眉"/>
    <w:basedOn w:val="61"/>
    <w:semiHidden/>
    <w:qFormat/>
    <w:uiPriority w:val="0"/>
    <w:pPr>
      <w:keepLines/>
      <w:pBdr>
        <w:bottom w:val="none" w:color="auto" w:sz="0" w:space="0"/>
      </w:pBdr>
      <w:tabs>
        <w:tab w:val="center" w:pos="7200"/>
        <w:tab w:val="clear" w:pos="4153"/>
        <w:tab w:val="clear" w:pos="8306"/>
      </w:tabs>
      <w:overflowPunct w:val="0"/>
      <w:autoSpaceDE w:val="0"/>
      <w:autoSpaceDN w:val="0"/>
      <w:snapToGrid/>
      <w:textAlignment w:val="baseline"/>
    </w:pPr>
    <w:rPr>
      <w:spacing w:val="80"/>
      <w:sz w:val="20"/>
      <w:szCs w:val="20"/>
    </w:rPr>
  </w:style>
  <w:style w:type="paragraph" w:customStyle="1" w:styleId="2691">
    <w:name w:val="样式 样式 样式 样式 标题 3 + + 首行缩进:  2 字符 + 段前: 19.35 磅 段后: 19.35 磅 + 自动设置"/>
    <w:basedOn w:val="1"/>
    <w:qFormat/>
    <w:uiPriority w:val="0"/>
    <w:pPr>
      <w:tabs>
        <w:tab w:val="left" w:pos="1308"/>
        <w:tab w:val="left" w:pos="4935"/>
      </w:tabs>
      <w:spacing w:line="360" w:lineRule="auto"/>
      <w:ind w:firstLine="567"/>
      <w:jc w:val="left"/>
      <w:textAlignment w:val="baseline"/>
      <w:outlineLvl w:val="2"/>
    </w:pPr>
    <w:rPr>
      <w:rFonts w:ascii="宋体" w:hAnsi="宋体" w:cs="宋体"/>
      <w:snapToGrid w:val="0"/>
      <w:kern w:val="28"/>
      <w:szCs w:val="20"/>
    </w:rPr>
  </w:style>
  <w:style w:type="paragraph" w:customStyle="1" w:styleId="2692">
    <w:name w:val="正文  首行缩进:  2 字符"/>
    <w:basedOn w:val="25"/>
    <w:qFormat/>
    <w:uiPriority w:val="0"/>
    <w:pPr>
      <w:spacing w:line="480" w:lineRule="exact"/>
      <w:ind w:firstLine="700" w:firstLineChars="250"/>
      <w:jc w:val="left"/>
    </w:pPr>
    <w:rPr>
      <w:rFonts w:cs="宋体"/>
      <w:szCs w:val="20"/>
    </w:rPr>
  </w:style>
  <w:style w:type="paragraph" w:customStyle="1" w:styleId="2693">
    <w:name w:val="封面"/>
    <w:basedOn w:val="5"/>
    <w:qFormat/>
    <w:uiPriority w:val="0"/>
    <w:pPr>
      <w:spacing w:before="240" w:after="240" w:line="240" w:lineRule="auto"/>
      <w:jc w:val="center"/>
      <w:textAlignment w:val="baseline"/>
    </w:pPr>
    <w:rPr>
      <w:rFonts w:eastAsia="黑体"/>
      <w:bCs w:val="0"/>
      <w:snapToGrid w:val="0"/>
      <w:sz w:val="52"/>
      <w:szCs w:val="20"/>
    </w:rPr>
  </w:style>
  <w:style w:type="paragraph" w:customStyle="1" w:styleId="2694">
    <w:name w:val="样式 标题 5 + 非加粗 段前: 5 磅 段后: 5 磅 行距: 单倍行距"/>
    <w:basedOn w:val="11"/>
    <w:qFormat/>
    <w:uiPriority w:val="0"/>
    <w:pPr>
      <w:adjustRightInd/>
      <w:spacing w:before="0" w:after="0" w:line="240" w:lineRule="auto"/>
      <w:ind w:left="0" w:firstLine="0"/>
    </w:pPr>
  </w:style>
  <w:style w:type="paragraph" w:customStyle="1" w:styleId="2695">
    <w:name w:val="样式 CPE正文 + 首行缩进:  2 字符3"/>
    <w:basedOn w:val="1"/>
    <w:qFormat/>
    <w:uiPriority w:val="0"/>
    <w:pPr>
      <w:spacing w:line="300" w:lineRule="auto"/>
      <w:ind w:firstLine="560"/>
      <w:textAlignment w:val="baseline"/>
    </w:pPr>
    <w:rPr>
      <w:rFonts w:cs="宋体"/>
      <w:snapToGrid w:val="0"/>
      <w:kern w:val="28"/>
      <w:szCs w:val="20"/>
    </w:rPr>
  </w:style>
  <w:style w:type="paragraph" w:customStyle="1" w:styleId="2696">
    <w:name w:val="样式 首行缩进:  0 字符"/>
    <w:basedOn w:val="1"/>
    <w:qFormat/>
    <w:uiPriority w:val="0"/>
    <w:pPr>
      <w:spacing w:line="312" w:lineRule="auto"/>
    </w:pPr>
    <w:rPr>
      <w:rFonts w:eastAsia="楷体_GB2312"/>
      <w:sz w:val="30"/>
      <w:szCs w:val="20"/>
    </w:rPr>
  </w:style>
  <w:style w:type="paragraph" w:customStyle="1" w:styleId="2697">
    <w:name w:val="xl17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2698">
    <w:name w:val="pl正文"/>
    <w:basedOn w:val="1"/>
    <w:qFormat/>
    <w:uiPriority w:val="0"/>
    <w:pPr>
      <w:spacing w:line="360" w:lineRule="auto"/>
      <w:ind w:firstLine="492"/>
    </w:pPr>
    <w:rPr>
      <w:rFonts w:ascii="宋体" w:hAnsi="宋体"/>
      <w:color w:val="000000"/>
      <w:spacing w:val="6"/>
    </w:rPr>
  </w:style>
  <w:style w:type="paragraph" w:customStyle="1" w:styleId="2699">
    <w:name w:val="5级"/>
    <w:basedOn w:val="11"/>
    <w:qFormat/>
    <w:uiPriority w:val="0"/>
    <w:pPr>
      <w:adjustRightInd/>
      <w:spacing w:beforeLines="50" w:afterLines="50" w:line="440" w:lineRule="exact"/>
      <w:ind w:left="0" w:firstLine="0"/>
    </w:pPr>
    <w:rPr>
      <w:rFonts w:hAnsi="宋体" w:eastAsia="黑体" w:cs="宋体"/>
      <w:b w:val="0"/>
      <w:bCs w:val="0"/>
    </w:rPr>
  </w:style>
  <w:style w:type="paragraph" w:customStyle="1" w:styleId="2700">
    <w:name w:val="xl83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2701">
    <w:name w:val="33"/>
    <w:basedOn w:val="1"/>
    <w:semiHidden/>
    <w:qFormat/>
    <w:uiPriority w:val="0"/>
    <w:pPr>
      <w:tabs>
        <w:tab w:val="left" w:pos="720"/>
      </w:tabs>
      <w:spacing w:beforeLines="50" w:afterLines="50"/>
      <w:jc w:val="left"/>
      <w:outlineLvl w:val="2"/>
    </w:pPr>
    <w:rPr>
      <w:rFonts w:eastAsia="黑体" w:cs="宋体"/>
      <w:bCs/>
      <w:szCs w:val="20"/>
    </w:rPr>
  </w:style>
  <w:style w:type="paragraph" w:customStyle="1" w:styleId="2702">
    <w:name w:val="列表 4S"/>
    <w:basedOn w:val="81"/>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2703">
    <w:name w:val="列表 5A"/>
    <w:basedOn w:val="73"/>
    <w:qFormat/>
    <w:uiPriority w:val="0"/>
    <w:pPr>
      <w:tabs>
        <w:tab w:val="left" w:pos="1134"/>
      </w:tabs>
      <w:ind w:left="1134" w:leftChars="0" w:hanging="425" w:firstLineChars="0"/>
    </w:pPr>
    <w:rPr>
      <w:rFonts w:ascii="Arial" w:hAnsi="Arial"/>
      <w:color w:val="99CCFF"/>
      <w:sz w:val="24"/>
      <w:szCs w:val="20"/>
    </w:rPr>
  </w:style>
  <w:style w:type="paragraph" w:customStyle="1" w:styleId="2704">
    <w:name w:val="一级条目"/>
    <w:basedOn w:val="1"/>
    <w:qFormat/>
    <w:uiPriority w:val="0"/>
    <w:pPr>
      <w:tabs>
        <w:tab w:val="left" w:pos="360"/>
      </w:tabs>
      <w:spacing w:line="480" w:lineRule="exact"/>
      <w:jc w:val="left"/>
    </w:pPr>
    <w:rPr>
      <w:rFonts w:eastAsia="楷体_GB2312"/>
      <w:b/>
      <w:kern w:val="0"/>
      <w:szCs w:val="20"/>
    </w:rPr>
  </w:style>
  <w:style w:type="paragraph" w:customStyle="1" w:styleId="2705">
    <w:name w:val="列表 2O"/>
    <w:basedOn w:val="41"/>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706">
    <w:name w:val="xl68"/>
    <w:basedOn w:val="1"/>
    <w:qFormat/>
    <w:uiPriority w:val="0"/>
    <w:pPr>
      <w:pBdr>
        <w:left w:val="single" w:color="auto" w:sz="8" w:space="0"/>
        <w:bottom w:val="single" w:color="auto" w:sz="8" w:space="0"/>
        <w:right w:val="single" w:color="auto" w:sz="4" w:space="0"/>
      </w:pBdr>
      <w:spacing w:before="100" w:beforeAutospacing="1" w:after="100" w:afterAutospacing="1"/>
      <w:jc w:val="center"/>
      <w:textAlignment w:val="center"/>
    </w:pPr>
    <w:rPr>
      <w:rFonts w:eastAsia="Arial Unicode MS"/>
      <w:kern w:val="0"/>
      <w:sz w:val="20"/>
      <w:szCs w:val="20"/>
    </w:rPr>
  </w:style>
  <w:style w:type="paragraph" w:customStyle="1" w:styleId="2707">
    <w:name w:val="样式 样式 标题 3 + 段前: 0.5 行 段后: 0.5 行 + 段前: 0.5 行 段后: 0.5 行"/>
    <w:basedOn w:val="1"/>
    <w:qFormat/>
    <w:uiPriority w:val="0"/>
    <w:rPr>
      <w:szCs w:val="21"/>
    </w:rPr>
  </w:style>
  <w:style w:type="paragraph" w:customStyle="1" w:styleId="2708">
    <w:name w:val="正文表头"/>
    <w:basedOn w:val="1"/>
    <w:next w:val="2709"/>
    <w:qFormat/>
    <w:uiPriority w:val="0"/>
    <w:pPr>
      <w:keepNext/>
      <w:tabs>
        <w:tab w:val="center" w:pos="4253"/>
        <w:tab w:val="right" w:pos="8505"/>
      </w:tabs>
      <w:overflowPunct w:val="0"/>
      <w:spacing w:before="120" w:line="360" w:lineRule="auto"/>
      <w:jc w:val="center"/>
      <w:textAlignment w:val="baseline"/>
    </w:pPr>
    <w:rPr>
      <w:rFonts w:eastAsia="黑体"/>
      <w:kern w:val="0"/>
      <w:szCs w:val="20"/>
    </w:rPr>
  </w:style>
  <w:style w:type="paragraph" w:customStyle="1" w:styleId="2709">
    <w:name w:val="正文表格"/>
    <w:basedOn w:val="1"/>
    <w:qFormat/>
    <w:uiPriority w:val="0"/>
    <w:pPr>
      <w:keepNext/>
      <w:keepLines/>
      <w:tabs>
        <w:tab w:val="center" w:pos="6804"/>
      </w:tabs>
      <w:overflowPunct w:val="0"/>
      <w:spacing w:before="80"/>
      <w:jc w:val="center"/>
      <w:textAlignment w:val="bottom"/>
    </w:pPr>
    <w:rPr>
      <w:kern w:val="0"/>
      <w:szCs w:val="20"/>
    </w:rPr>
  </w:style>
  <w:style w:type="paragraph" w:customStyle="1" w:styleId="2710">
    <w:name w:val="样式 标题 6 + 黑色"/>
    <w:basedOn w:val="12"/>
    <w:qFormat/>
    <w:uiPriority w:val="0"/>
    <w:pPr>
      <w:keepNext w:val="0"/>
      <w:keepLines w:val="0"/>
      <w:tabs>
        <w:tab w:val="left" w:pos="1152"/>
        <w:tab w:val="clear" w:pos="1134"/>
      </w:tabs>
      <w:spacing w:before="0" w:after="0" w:line="300" w:lineRule="auto"/>
      <w:ind w:left="0" w:firstLine="560"/>
      <w:jc w:val="left"/>
    </w:pPr>
    <w:rPr>
      <w:rFonts w:ascii="Times New Roman" w:hAnsi="Times New Roman"/>
      <w:b w:val="0"/>
      <w:snapToGrid w:val="0"/>
      <w:kern w:val="0"/>
      <w:sz w:val="28"/>
    </w:rPr>
  </w:style>
  <w:style w:type="paragraph" w:customStyle="1" w:styleId="2711">
    <w:name w:val="xl1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18"/>
      <w:szCs w:val="18"/>
    </w:rPr>
  </w:style>
  <w:style w:type="paragraph" w:customStyle="1" w:styleId="2712">
    <w:name w:val="偶数页篇眉"/>
    <w:basedOn w:val="61"/>
    <w:semiHidden/>
    <w:qFormat/>
    <w:uiPriority w:val="0"/>
    <w:pPr>
      <w:keepLines/>
      <w:pBdr>
        <w:bottom w:val="none" w:color="auto" w:sz="0" w:space="0"/>
      </w:pBdr>
      <w:tabs>
        <w:tab w:val="right" w:pos="0"/>
        <w:tab w:val="center" w:pos="7200"/>
        <w:tab w:val="right" w:pos="14400"/>
        <w:tab w:val="clear" w:pos="4153"/>
        <w:tab w:val="clear" w:pos="8306"/>
      </w:tabs>
      <w:overflowPunct w:val="0"/>
      <w:autoSpaceDE w:val="0"/>
      <w:autoSpaceDN w:val="0"/>
      <w:snapToGrid/>
      <w:jc w:val="right"/>
      <w:textAlignment w:val="baseline"/>
    </w:pPr>
    <w:rPr>
      <w:spacing w:val="80"/>
      <w:sz w:val="20"/>
      <w:szCs w:val="20"/>
    </w:rPr>
  </w:style>
  <w:style w:type="paragraph" w:customStyle="1" w:styleId="2713">
    <w:name w:val="样式 标题 3H3条标题1.1.11.1.1标题 3H31H32H33u3标题 3 Char Char Char...1"/>
    <w:basedOn w:val="7"/>
    <w:qFormat/>
    <w:uiPriority w:val="0"/>
    <w:pPr>
      <w:tabs>
        <w:tab w:val="clear" w:pos="1440"/>
      </w:tabs>
      <w:spacing w:beforeLines="100" w:afterLines="50"/>
      <w:ind w:left="0" w:firstLine="0"/>
      <w:jc w:val="left"/>
    </w:pPr>
    <w:rPr>
      <w:rFonts w:cs="宋体"/>
      <w:bCs/>
      <w:kern w:val="28"/>
      <w:sz w:val="30"/>
    </w:rPr>
  </w:style>
  <w:style w:type="paragraph" w:customStyle="1" w:styleId="2714">
    <w:name w:val="表格下注"/>
    <w:qFormat/>
    <w:uiPriority w:val="0"/>
    <w:pPr>
      <w:autoSpaceDE w:val="0"/>
      <w:autoSpaceDN w:val="0"/>
      <w:spacing w:line="320" w:lineRule="exact"/>
      <w:ind w:firstLine="200" w:firstLineChars="200"/>
      <w:jc w:val="both"/>
    </w:pPr>
    <w:rPr>
      <w:rFonts w:ascii="Calibri" w:hAnsi="Calibri" w:eastAsia="黑体" w:cs="Times New Roman"/>
      <w:sz w:val="21"/>
      <w:lang w:val="en-US" w:eastAsia="zh-CN" w:bidi="ar-SA"/>
    </w:rPr>
  </w:style>
  <w:style w:type="paragraph" w:customStyle="1" w:styleId="2715">
    <w:name w:val="正文文本缩进 22"/>
    <w:basedOn w:val="1"/>
    <w:qFormat/>
    <w:uiPriority w:val="0"/>
    <w:pPr>
      <w:spacing w:line="360" w:lineRule="auto"/>
      <w:ind w:firstLine="510"/>
      <w:textAlignment w:val="baseline"/>
    </w:pPr>
    <w:rPr>
      <w:rFonts w:ascii="宋体" w:hAnsi="宋体"/>
      <w:szCs w:val="20"/>
    </w:rPr>
  </w:style>
  <w:style w:type="paragraph" w:customStyle="1" w:styleId="2716">
    <w:name w:val="xl8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kern w:val="0"/>
      <w:sz w:val="18"/>
      <w:szCs w:val="18"/>
    </w:rPr>
  </w:style>
  <w:style w:type="paragraph" w:customStyle="1" w:styleId="2717">
    <w:name w:val="表格文字1"/>
    <w:basedOn w:val="1"/>
    <w:qFormat/>
    <w:uiPriority w:val="0"/>
    <w:pPr>
      <w:tabs>
        <w:tab w:val="left" w:pos="0"/>
      </w:tabs>
      <w:autoSpaceDE w:val="0"/>
      <w:autoSpaceDN w:val="0"/>
      <w:spacing w:before="60"/>
      <w:ind w:left="57" w:right="57"/>
      <w:textAlignment w:val="baseline"/>
    </w:pPr>
    <w:rPr>
      <w:rFonts w:ascii="宋体" w:hAnsi="宋体"/>
      <w:sz w:val="24"/>
    </w:rPr>
  </w:style>
  <w:style w:type="paragraph" w:customStyle="1" w:styleId="2718">
    <w:name w:val="font19"/>
    <w:basedOn w:val="1"/>
    <w:qFormat/>
    <w:uiPriority w:val="0"/>
    <w:pPr>
      <w:spacing w:before="100" w:beforeAutospacing="1" w:after="100" w:afterAutospacing="1"/>
      <w:jc w:val="left"/>
    </w:pPr>
    <w:rPr>
      <w:rFonts w:ascii="方正舒体" w:hAnsi="宋体" w:eastAsia="方正舒体" w:cs="宋体"/>
      <w:kern w:val="0"/>
      <w:sz w:val="18"/>
      <w:szCs w:val="18"/>
    </w:rPr>
  </w:style>
  <w:style w:type="paragraph" w:customStyle="1" w:styleId="2719">
    <w:name w:val="首行缩进2字符 Char"/>
    <w:qFormat/>
    <w:uiPriority w:val="0"/>
    <w:pPr>
      <w:widowControl w:val="0"/>
      <w:suppressAutoHyphens/>
      <w:adjustRightInd w:val="0"/>
      <w:snapToGrid w:val="0"/>
      <w:spacing w:line="300" w:lineRule="auto"/>
      <w:ind w:firstLine="200" w:firstLineChars="200"/>
      <w:jc w:val="center"/>
    </w:pPr>
    <w:rPr>
      <w:rFonts w:ascii="Calibri" w:hAnsi="Calibri" w:eastAsia="宋体" w:cs="宋体"/>
      <w:kern w:val="2"/>
      <w:sz w:val="28"/>
      <w:lang w:val="en-US" w:eastAsia="zh-CN" w:bidi="ar-SA"/>
    </w:rPr>
  </w:style>
  <w:style w:type="paragraph" w:customStyle="1" w:styleId="2720">
    <w:name w:val="列表 3B"/>
    <w:basedOn w:val="16"/>
    <w:qFormat/>
    <w:uiPriority w:val="0"/>
    <w:pPr>
      <w:tabs>
        <w:tab w:val="left" w:pos="907"/>
      </w:tabs>
      <w:spacing w:line="288" w:lineRule="auto"/>
      <w:ind w:left="907" w:leftChars="0" w:hanging="567" w:firstLineChars="0"/>
    </w:pPr>
    <w:rPr>
      <w:rFonts w:ascii="Arial" w:hAnsi="Arial"/>
      <w:color w:val="CCFFCC"/>
      <w:sz w:val="24"/>
      <w:szCs w:val="20"/>
    </w:rPr>
  </w:style>
  <w:style w:type="paragraph" w:customStyle="1" w:styleId="2721">
    <w:name w:val="s0"/>
    <w:qFormat/>
    <w:uiPriority w:val="0"/>
    <w:pPr>
      <w:widowControl w:val="0"/>
      <w:autoSpaceDE w:val="0"/>
      <w:autoSpaceDN w:val="0"/>
      <w:adjustRightInd w:val="0"/>
      <w:spacing w:line="320" w:lineRule="exact"/>
      <w:jc w:val="center"/>
    </w:pPr>
    <w:rPr>
      <w:rFonts w:ascii="????" w:hAnsi="Calibri" w:eastAsia="????" w:cs="Times New Roman"/>
      <w:lang w:val="en-US" w:eastAsia="zh-CN" w:bidi="ar-SA"/>
    </w:rPr>
  </w:style>
  <w:style w:type="paragraph" w:customStyle="1" w:styleId="2722">
    <w:name w:val="xl12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2723">
    <w:name w:val="BBBBBBBBBBBBBBBBBB"/>
    <w:basedOn w:val="5"/>
    <w:qFormat/>
    <w:uiPriority w:val="0"/>
    <w:pPr>
      <w:keepLines w:val="0"/>
      <w:spacing w:before="0" w:after="0" w:line="520" w:lineRule="atLeast"/>
    </w:pPr>
    <w:rPr>
      <w:rFonts w:ascii="黑体" w:eastAsia="黑体"/>
      <w:sz w:val="32"/>
      <w:szCs w:val="32"/>
    </w:rPr>
  </w:style>
  <w:style w:type="paragraph" w:customStyle="1" w:styleId="2724">
    <w:name w:val="Char Char Char Char Char Char1 Char Char Char Char Char Char Char Char Char Char"/>
    <w:basedOn w:val="1"/>
    <w:qFormat/>
    <w:uiPriority w:val="0"/>
    <w:rPr>
      <w:rFonts w:ascii="宋体" w:hAnsi="宋体" w:cs="Courier New"/>
      <w:sz w:val="32"/>
      <w:szCs w:val="32"/>
    </w:rPr>
  </w:style>
  <w:style w:type="paragraph" w:customStyle="1" w:styleId="2725">
    <w:name w:val="p15"/>
    <w:basedOn w:val="1"/>
    <w:qFormat/>
    <w:uiPriority w:val="0"/>
    <w:pPr>
      <w:spacing w:line="360" w:lineRule="atLeast"/>
      <w:jc w:val="left"/>
    </w:pPr>
    <w:rPr>
      <w:rFonts w:ascii="宋体" w:hAnsi="宋体" w:cs="宋体"/>
      <w:kern w:val="0"/>
      <w:sz w:val="24"/>
    </w:rPr>
  </w:style>
  <w:style w:type="paragraph" w:customStyle="1" w:styleId="2726">
    <w:name w:val="样式 标题 1 + 黑体 三号"/>
    <w:basedOn w:val="5"/>
    <w:semiHidden/>
    <w:qFormat/>
    <w:uiPriority w:val="0"/>
    <w:pPr>
      <w:topLinePunct/>
      <w:autoSpaceDE w:val="0"/>
      <w:autoSpaceDN w:val="0"/>
      <w:spacing w:line="240" w:lineRule="auto"/>
      <w:ind w:firstLine="538" w:firstLineChars="224"/>
    </w:pPr>
    <w:rPr>
      <w:rFonts w:ascii="黑体" w:hAnsi="黑体" w:eastAsia="黑体"/>
      <w:b w:val="0"/>
      <w:bCs w:val="0"/>
      <w:snapToGrid w:val="0"/>
      <w:sz w:val="32"/>
    </w:rPr>
  </w:style>
  <w:style w:type="paragraph" w:customStyle="1" w:styleId="2727">
    <w:name w:val="Char Char Char1"/>
    <w:basedOn w:val="1"/>
    <w:qFormat/>
    <w:uiPriority w:val="0"/>
    <w:pPr>
      <w:spacing w:beforeLines="100"/>
    </w:pPr>
  </w:style>
  <w:style w:type="paragraph" w:customStyle="1" w:styleId="2728">
    <w:name w:val="TY"/>
    <w:basedOn w:val="1"/>
    <w:qFormat/>
    <w:uiPriority w:val="0"/>
    <w:pPr>
      <w:spacing w:before="40" w:after="40"/>
    </w:pPr>
    <w:rPr>
      <w:szCs w:val="20"/>
    </w:rPr>
  </w:style>
  <w:style w:type="paragraph" w:customStyle="1" w:styleId="2729">
    <w:name w:val="04"/>
    <w:basedOn w:val="1"/>
    <w:qFormat/>
    <w:uiPriority w:val="0"/>
    <w:pPr>
      <w:spacing w:line="312" w:lineRule="auto"/>
    </w:pPr>
    <w:rPr>
      <w:rFonts w:eastAsia="华文仿宋"/>
      <w:sz w:val="24"/>
      <w:szCs w:val="30"/>
    </w:rPr>
  </w:style>
  <w:style w:type="paragraph" w:customStyle="1" w:styleId="2730">
    <w:name w:val="纯文本11"/>
    <w:basedOn w:val="1"/>
    <w:qFormat/>
    <w:uiPriority w:val="0"/>
    <w:pPr>
      <w:jc w:val="left"/>
      <w:textAlignment w:val="baseline"/>
    </w:pPr>
    <w:rPr>
      <w:rFonts w:ascii="宋体" w:hAnsi="Courier New"/>
      <w:sz w:val="24"/>
      <w:szCs w:val="20"/>
    </w:rPr>
  </w:style>
  <w:style w:type="paragraph" w:customStyle="1" w:styleId="2731">
    <w:name w:val="xl25"/>
    <w:basedOn w:val="1"/>
    <w:qFormat/>
    <w:uiPriority w:val="0"/>
    <w:pPr>
      <w:pBdr>
        <w:top w:val="single" w:color="auto" w:sz="8" w:space="0"/>
        <w:left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kern w:val="0"/>
      <w:sz w:val="20"/>
      <w:szCs w:val="20"/>
    </w:rPr>
  </w:style>
  <w:style w:type="paragraph" w:customStyle="1" w:styleId="2732">
    <w:name w:val="pa-1"/>
    <w:basedOn w:val="1"/>
    <w:qFormat/>
    <w:uiPriority w:val="0"/>
    <w:pPr>
      <w:spacing w:before="150" w:after="150"/>
      <w:jc w:val="left"/>
    </w:pPr>
    <w:rPr>
      <w:rFonts w:ascii="宋体" w:hAnsi="宋体" w:cs="宋体"/>
      <w:kern w:val="0"/>
      <w:sz w:val="24"/>
    </w:rPr>
  </w:style>
  <w:style w:type="paragraph" w:customStyle="1" w:styleId="2733">
    <w:name w:val="样式 标题 2 + Times New Roman 小三 居中 行距: 固定值 20 磅"/>
    <w:basedOn w:val="6"/>
    <w:semiHidden/>
    <w:qFormat/>
    <w:uiPriority w:val="0"/>
    <w:pPr>
      <w:tabs>
        <w:tab w:val="clear" w:pos="1080"/>
      </w:tabs>
      <w:spacing w:before="260" w:after="260" w:line="400" w:lineRule="exact"/>
      <w:ind w:left="0" w:firstLine="538" w:firstLineChars="192"/>
      <w:jc w:val="left"/>
    </w:pPr>
    <w:rPr>
      <w:rFonts w:cs="宋体"/>
      <w:sz w:val="30"/>
    </w:rPr>
  </w:style>
  <w:style w:type="paragraph" w:customStyle="1" w:styleId="2734">
    <w:name w:val="reader-word-layer reader-word-s1-9"/>
    <w:basedOn w:val="1"/>
    <w:qFormat/>
    <w:uiPriority w:val="0"/>
    <w:pPr>
      <w:spacing w:before="100" w:beforeAutospacing="1" w:after="100" w:afterAutospacing="1"/>
      <w:jc w:val="left"/>
    </w:pPr>
    <w:rPr>
      <w:rFonts w:ascii="宋体" w:hAnsi="宋体" w:cs="宋体"/>
      <w:kern w:val="0"/>
      <w:sz w:val="24"/>
    </w:rPr>
  </w:style>
  <w:style w:type="paragraph" w:customStyle="1" w:styleId="2735">
    <w:name w:val="表格编号"/>
    <w:basedOn w:val="1"/>
    <w:qFormat/>
    <w:uiPriority w:val="0"/>
    <w:pPr>
      <w:spacing w:line="400" w:lineRule="exact"/>
    </w:pPr>
    <w:rPr>
      <w:kern w:val="0"/>
      <w:szCs w:val="28"/>
    </w:rPr>
  </w:style>
  <w:style w:type="paragraph" w:customStyle="1" w:styleId="2736">
    <w:name w:val="样式 标题 2_Heading 2标题2节_Heading 2 Char一级条2Majorsect1.1标题 ...1"/>
    <w:basedOn w:val="6"/>
    <w:qFormat/>
    <w:uiPriority w:val="0"/>
    <w:pPr>
      <w:keepNext w:val="0"/>
      <w:keepLines w:val="0"/>
      <w:tabs>
        <w:tab w:val="clear" w:pos="1080"/>
      </w:tabs>
      <w:spacing w:before="156" w:after="0" w:line="300" w:lineRule="auto"/>
      <w:jc w:val="left"/>
    </w:pPr>
    <w:rPr>
      <w:b w:val="0"/>
      <w:snapToGrid w:val="0"/>
      <w:sz w:val="28"/>
    </w:rPr>
  </w:style>
  <w:style w:type="paragraph" w:customStyle="1" w:styleId="2737">
    <w:name w:val="AAAAAAAAAAAAAAAAAAAAAA"/>
    <w:basedOn w:val="5"/>
    <w:qFormat/>
    <w:uiPriority w:val="0"/>
    <w:pPr>
      <w:pageBreakBefore/>
      <w:spacing w:before="240" w:after="240" w:line="360" w:lineRule="auto"/>
      <w:jc w:val="center"/>
    </w:pPr>
    <w:rPr>
      <w:rFonts w:eastAsia="宋体"/>
    </w:rPr>
  </w:style>
  <w:style w:type="paragraph" w:customStyle="1" w:styleId="2738">
    <w:name w:val="xl12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18"/>
      <w:szCs w:val="18"/>
    </w:rPr>
  </w:style>
  <w:style w:type="paragraph" w:customStyle="1" w:styleId="2739">
    <w:name w:val="xl105"/>
    <w:basedOn w:val="1"/>
    <w:qFormat/>
    <w:uiPriority w:val="0"/>
    <w:pPr>
      <w:pBdr>
        <w:top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2740">
    <w:name w:val="样式 目录 2 + 左侧:  2 字符 首行缩进:  2 字符"/>
    <w:basedOn w:val="78"/>
    <w:qFormat/>
    <w:uiPriority w:val="0"/>
    <w:pPr>
      <w:tabs>
        <w:tab w:val="right" w:leader="dot" w:pos="8296"/>
        <w:tab w:val="right" w:leader="dot" w:pos="9060"/>
      </w:tabs>
      <w:spacing w:after="40" w:line="360" w:lineRule="auto"/>
      <w:ind w:firstLine="476"/>
    </w:pPr>
    <w:rPr>
      <w:rFonts w:eastAsia="黑体" w:cs="宋体"/>
      <w:spacing w:val="20"/>
      <w:szCs w:val="20"/>
    </w:rPr>
  </w:style>
  <w:style w:type="paragraph" w:customStyle="1" w:styleId="2741">
    <w:name w:val="4"/>
    <w:basedOn w:val="1"/>
    <w:next w:val="39"/>
    <w:qFormat/>
    <w:uiPriority w:val="0"/>
    <w:pPr>
      <w:ind w:left="540"/>
    </w:pPr>
    <w:rPr>
      <w:sz w:val="36"/>
      <w:szCs w:val="20"/>
    </w:rPr>
  </w:style>
  <w:style w:type="paragraph" w:customStyle="1" w:styleId="2742">
    <w:name w:val="页号"/>
    <w:basedOn w:val="59"/>
    <w:qFormat/>
    <w:uiPriority w:val="0"/>
    <w:pPr>
      <w:tabs>
        <w:tab w:val="center" w:pos="4320"/>
        <w:tab w:val="right" w:pos="8640"/>
        <w:tab w:val="clear" w:pos="4153"/>
        <w:tab w:val="clear" w:pos="8306"/>
      </w:tabs>
      <w:snapToGrid/>
      <w:jc w:val="center"/>
      <w:textAlignment w:val="baseline"/>
    </w:pPr>
    <w:rPr>
      <w:rFonts w:ascii="宋体" w:hAnsi="Arial"/>
      <w:spacing w:val="3"/>
      <w:kern w:val="24"/>
      <w:sz w:val="24"/>
      <w:szCs w:val="20"/>
    </w:rPr>
  </w:style>
  <w:style w:type="paragraph" w:customStyle="1" w:styleId="2743">
    <w:name w:val="font0"/>
    <w:basedOn w:val="1"/>
    <w:qFormat/>
    <w:uiPriority w:val="0"/>
    <w:pPr>
      <w:spacing w:before="100" w:beforeAutospacing="1" w:after="100" w:afterAutospacing="1"/>
      <w:jc w:val="left"/>
    </w:pPr>
    <w:rPr>
      <w:rFonts w:ascii="宋体" w:hAnsi="宋体" w:cs="宋体"/>
      <w:kern w:val="0"/>
      <w:sz w:val="24"/>
    </w:rPr>
  </w:style>
  <w:style w:type="paragraph" w:customStyle="1" w:styleId="2744">
    <w:name w:val="列表 3C"/>
    <w:basedOn w:val="16"/>
    <w:qFormat/>
    <w:uiPriority w:val="0"/>
    <w:pPr>
      <w:tabs>
        <w:tab w:val="left" w:pos="907"/>
      </w:tabs>
      <w:spacing w:line="288" w:lineRule="auto"/>
      <w:ind w:left="907" w:leftChars="0" w:hanging="567" w:firstLineChars="0"/>
    </w:pPr>
    <w:rPr>
      <w:rFonts w:ascii="Arial" w:hAnsi="Arial"/>
      <w:color w:val="CCFFCC"/>
      <w:sz w:val="24"/>
      <w:szCs w:val="20"/>
    </w:rPr>
  </w:style>
  <w:style w:type="paragraph" w:customStyle="1" w:styleId="2745">
    <w:name w:val="xl38"/>
    <w:basedOn w:val="1"/>
    <w:qFormat/>
    <w:uiPriority w:val="0"/>
    <w:pPr>
      <w:pBdr>
        <w:bottom w:val="single" w:color="auto" w:sz="4" w:space="0"/>
        <w:right w:val="single" w:color="auto" w:sz="4" w:space="0"/>
      </w:pBdr>
      <w:spacing w:before="100" w:beforeAutospacing="1" w:after="100" w:afterAutospacing="1"/>
      <w:jc w:val="center"/>
      <w:textAlignment w:val="center"/>
    </w:pPr>
    <w:rPr>
      <w:rFonts w:eastAsia="Arial Unicode MS"/>
      <w:kern w:val="0"/>
      <w:szCs w:val="21"/>
    </w:rPr>
  </w:style>
  <w:style w:type="paragraph" w:customStyle="1" w:styleId="2746">
    <w:name w:val="样式 标题 1 + 居中"/>
    <w:basedOn w:val="5"/>
    <w:qFormat/>
    <w:uiPriority w:val="0"/>
    <w:pPr>
      <w:keepLines w:val="0"/>
      <w:spacing w:before="240" w:after="60" w:line="360" w:lineRule="auto"/>
      <w:ind w:left="0" w:firstLine="200"/>
      <w:jc w:val="center"/>
    </w:pPr>
    <w:rPr>
      <w:rFonts w:ascii="Arial" w:hAnsi="Arial" w:cs="宋体"/>
      <w:kern w:val="32"/>
      <w:sz w:val="32"/>
      <w:szCs w:val="20"/>
    </w:rPr>
  </w:style>
  <w:style w:type="paragraph" w:customStyle="1" w:styleId="2747">
    <w:name w:val="Heading Base"/>
    <w:basedOn w:val="38"/>
    <w:next w:val="38"/>
    <w:qFormat/>
    <w:uiPriority w:val="0"/>
    <w:pPr>
      <w:keepNext/>
      <w:keepLines/>
      <w:spacing w:after="0" w:line="220" w:lineRule="atLeast"/>
      <w:ind w:right="-360"/>
      <w:jc w:val="left"/>
    </w:pPr>
    <w:rPr>
      <w:rFonts w:ascii="Arial" w:hAnsi="Arial"/>
      <w:spacing w:val="-4"/>
      <w:kern w:val="0"/>
      <w:sz w:val="18"/>
      <w:szCs w:val="20"/>
    </w:rPr>
  </w:style>
  <w:style w:type="paragraph" w:customStyle="1" w:styleId="2748">
    <w:name w:val="xl15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000000"/>
      <w:kern w:val="0"/>
      <w:sz w:val="18"/>
      <w:szCs w:val="18"/>
    </w:rPr>
  </w:style>
  <w:style w:type="paragraph" w:customStyle="1" w:styleId="2749">
    <w:name w:val="表格（小）"/>
    <w:basedOn w:val="1"/>
    <w:qFormat/>
    <w:uiPriority w:val="0"/>
    <w:rPr>
      <w:snapToGrid w:val="0"/>
    </w:rPr>
  </w:style>
  <w:style w:type="paragraph" w:customStyle="1" w:styleId="2750">
    <w:name w:val="Char Char Char11"/>
    <w:basedOn w:val="1"/>
    <w:qFormat/>
    <w:uiPriority w:val="0"/>
    <w:pPr>
      <w:spacing w:line="360" w:lineRule="auto"/>
      <w:textAlignment w:val="baseline"/>
    </w:pPr>
    <w:rPr>
      <w:rFonts w:ascii="宋体" w:hAnsi="宋体" w:cs="宋体"/>
      <w:sz w:val="24"/>
    </w:rPr>
  </w:style>
  <w:style w:type="paragraph" w:customStyle="1" w:styleId="2751">
    <w:name w:val="xl1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000000"/>
      <w:kern w:val="0"/>
      <w:sz w:val="18"/>
      <w:szCs w:val="18"/>
    </w:rPr>
  </w:style>
  <w:style w:type="paragraph" w:customStyle="1" w:styleId="2752">
    <w:name w:val="Char Char Char3 Char Char Char4"/>
    <w:basedOn w:val="1"/>
    <w:qFormat/>
    <w:uiPriority w:val="0"/>
    <w:pPr>
      <w:spacing w:line="360" w:lineRule="auto"/>
    </w:pPr>
    <w:rPr>
      <w:rFonts w:ascii="宋体" w:hAnsi="宋体" w:cs="宋体"/>
      <w:sz w:val="24"/>
    </w:rPr>
  </w:style>
  <w:style w:type="paragraph" w:customStyle="1" w:styleId="2753">
    <w:name w:val="列表 3A"/>
    <w:basedOn w:val="16"/>
    <w:qFormat/>
    <w:uiPriority w:val="0"/>
    <w:pPr>
      <w:tabs>
        <w:tab w:val="left" w:pos="907"/>
      </w:tabs>
      <w:spacing w:line="288" w:lineRule="auto"/>
      <w:ind w:left="907" w:leftChars="0" w:hanging="567" w:firstLineChars="0"/>
    </w:pPr>
    <w:rPr>
      <w:rFonts w:ascii="Arial" w:hAnsi="Arial"/>
      <w:color w:val="CCFFCC"/>
      <w:sz w:val="24"/>
      <w:szCs w:val="20"/>
    </w:rPr>
  </w:style>
  <w:style w:type="paragraph" w:customStyle="1" w:styleId="2754">
    <w:name w:val="Char Char Char2 Char Char Char Char Char Char Char"/>
    <w:basedOn w:val="1"/>
    <w:qFormat/>
    <w:uiPriority w:val="0"/>
    <w:pPr>
      <w:spacing w:line="360" w:lineRule="auto"/>
    </w:pPr>
    <w:rPr>
      <w:rFonts w:ascii="仿宋_GB2312" w:hAnsi="仿宋_GB2312" w:cs="宋体"/>
      <w:sz w:val="24"/>
    </w:rPr>
  </w:style>
  <w:style w:type="paragraph" w:customStyle="1" w:styleId="2755">
    <w:name w:val="报告正文 Char Char"/>
    <w:basedOn w:val="1"/>
    <w:qFormat/>
    <w:uiPriority w:val="0"/>
    <w:pPr>
      <w:spacing w:beforeLines="25" w:line="360" w:lineRule="auto"/>
      <w:ind w:firstLine="482"/>
      <w:textAlignment w:val="baseline"/>
    </w:pPr>
    <w:rPr>
      <w:rFonts w:cs="宋体"/>
      <w:snapToGrid w:val="0"/>
      <w:kern w:val="24"/>
      <w:sz w:val="24"/>
      <w:szCs w:val="21"/>
    </w:rPr>
  </w:style>
  <w:style w:type="paragraph" w:customStyle="1" w:styleId="2756">
    <w:name w:val="封面“书”EPAJW120926"/>
    <w:basedOn w:val="1"/>
    <w:qFormat/>
    <w:uiPriority w:val="0"/>
    <w:pPr>
      <w:spacing w:before="312" w:after="312" w:line="360" w:lineRule="auto"/>
      <w:jc w:val="center"/>
    </w:pPr>
    <w:rPr>
      <w:rFonts w:eastAsia="黑体" w:cs="宋体"/>
      <w:b/>
      <w:bCs/>
      <w:sz w:val="72"/>
      <w:szCs w:val="20"/>
    </w:rPr>
  </w:style>
  <w:style w:type="paragraph" w:customStyle="1" w:styleId="2757">
    <w:name w:val="报告书三级标题"/>
    <w:basedOn w:val="7"/>
    <w:qFormat/>
    <w:uiPriority w:val="0"/>
    <w:pPr>
      <w:keepLines w:val="0"/>
      <w:tabs>
        <w:tab w:val="clear" w:pos="1440"/>
      </w:tabs>
      <w:spacing w:before="0" w:after="0" w:line="300" w:lineRule="auto"/>
      <w:ind w:left="0" w:firstLine="200"/>
    </w:pPr>
    <w:rPr>
      <w:rFonts w:ascii="宋体" w:hAnsi="宋体" w:eastAsia="仿宋_GB2312"/>
      <w:kern w:val="2"/>
      <w:sz w:val="26"/>
      <w:szCs w:val="24"/>
    </w:rPr>
  </w:style>
  <w:style w:type="paragraph" w:customStyle="1" w:styleId="2758">
    <w:name w:val="小节标题"/>
    <w:basedOn w:val="1"/>
    <w:next w:val="1"/>
    <w:qFormat/>
    <w:uiPriority w:val="0"/>
    <w:pPr>
      <w:spacing w:before="175" w:after="102" w:line="351" w:lineRule="atLeast"/>
      <w:textAlignment w:val="baseline"/>
    </w:pPr>
    <w:rPr>
      <w:rFonts w:eastAsia="黑体"/>
      <w:color w:val="000000"/>
      <w:kern w:val="0"/>
      <w:szCs w:val="20"/>
      <w:u w:color="000000"/>
    </w:rPr>
  </w:style>
  <w:style w:type="paragraph" w:customStyle="1" w:styleId="2759">
    <w:name w:val="10"/>
    <w:basedOn w:val="1"/>
    <w:next w:val="55"/>
    <w:qFormat/>
    <w:uiPriority w:val="0"/>
    <w:pPr>
      <w:spacing w:line="348" w:lineRule="auto"/>
      <w:ind w:firstLine="480"/>
    </w:pPr>
    <w:rPr>
      <w:sz w:val="24"/>
      <w:szCs w:val="21"/>
    </w:rPr>
  </w:style>
  <w:style w:type="paragraph" w:customStyle="1" w:styleId="2760">
    <w:name w:val="报告书正文 Char Char Char Char Char1"/>
    <w:basedOn w:val="1"/>
    <w:qFormat/>
    <w:uiPriority w:val="0"/>
    <w:pPr>
      <w:spacing w:line="300" w:lineRule="auto"/>
      <w:ind w:firstLine="480"/>
    </w:pPr>
    <w:rPr>
      <w:color w:val="000000"/>
      <w:sz w:val="24"/>
    </w:rPr>
  </w:style>
  <w:style w:type="paragraph" w:customStyle="1" w:styleId="2761">
    <w:name w:val="表格内容22"/>
    <w:basedOn w:val="1"/>
    <w:qFormat/>
    <w:uiPriority w:val="0"/>
    <w:pPr>
      <w:jc w:val="center"/>
    </w:pPr>
    <w:rPr>
      <w:szCs w:val="21"/>
      <w:lang w:eastAsia="en-US"/>
    </w:rPr>
  </w:style>
  <w:style w:type="paragraph" w:customStyle="1" w:styleId="2762">
    <w:name w:val="表文A"/>
    <w:qFormat/>
    <w:uiPriority w:val="0"/>
    <w:pPr>
      <w:tabs>
        <w:tab w:val="left" w:pos="0"/>
      </w:tabs>
      <w:adjustRightInd w:val="0"/>
      <w:snapToGrid w:val="0"/>
      <w:spacing w:line="240" w:lineRule="exact"/>
      <w:ind w:left="-38" w:leftChars="-51" w:hanging="69" w:hangingChars="41"/>
      <w:jc w:val="center"/>
    </w:pPr>
    <w:rPr>
      <w:rFonts w:ascii="宋体" w:hAnsi="Calibri" w:eastAsia="宋体" w:cs="Times New Roman"/>
      <w:snapToGrid w:val="0"/>
      <w:spacing w:val="-6"/>
      <w:sz w:val="18"/>
      <w:szCs w:val="22"/>
      <w:lang w:val="en-US" w:eastAsia="zh-CN" w:bidi="ar-SA"/>
    </w:rPr>
  </w:style>
  <w:style w:type="paragraph" w:customStyle="1" w:styleId="2763">
    <w:name w:val="首行缩进 Char Char"/>
    <w:basedOn w:val="1"/>
    <w:qFormat/>
    <w:uiPriority w:val="0"/>
    <w:pPr>
      <w:spacing w:line="360" w:lineRule="auto"/>
      <w:ind w:firstLine="499"/>
    </w:pPr>
    <w:rPr>
      <w:rFonts w:ascii="宋体"/>
      <w:sz w:val="24"/>
      <w:szCs w:val="20"/>
    </w:rPr>
  </w:style>
  <w:style w:type="paragraph" w:customStyle="1" w:styleId="2764">
    <w:name w:val="样式 标题 1 + 段前: 0 磅 段后: 0 磅 行距: 1.5 倍行距"/>
    <w:basedOn w:val="5"/>
    <w:qFormat/>
    <w:uiPriority w:val="0"/>
    <w:pPr>
      <w:keepLines w:val="0"/>
      <w:tabs>
        <w:tab w:val="left" w:pos="360"/>
        <w:tab w:val="left" w:pos="432"/>
        <w:tab w:val="clear" w:pos="425"/>
      </w:tabs>
      <w:spacing w:before="0" w:after="0" w:line="360" w:lineRule="auto"/>
      <w:ind w:left="432" w:firstLine="200"/>
    </w:pPr>
    <w:rPr>
      <w:rFonts w:ascii="华文中宋" w:eastAsia="华文中宋" w:cs="宋体"/>
      <w:bCs w:val="0"/>
      <w:kern w:val="32"/>
      <w:sz w:val="24"/>
      <w:szCs w:val="24"/>
    </w:rPr>
  </w:style>
  <w:style w:type="paragraph" w:customStyle="1" w:styleId="2765">
    <w:name w:val="正文22"/>
    <w:qFormat/>
    <w:uiPriority w:val="0"/>
    <w:pPr>
      <w:widowControl w:val="0"/>
      <w:adjustRightInd w:val="0"/>
      <w:spacing w:line="360" w:lineRule="atLeast"/>
      <w:jc w:val="center"/>
    </w:pPr>
    <w:rPr>
      <w:rFonts w:hint="eastAsia" w:ascii="宋体" w:hAnsi="Calibri" w:eastAsia="宋体" w:cs="Times New Roman"/>
      <w:sz w:val="24"/>
      <w:lang w:val="en-US" w:eastAsia="zh-CN" w:bidi="ar-SA"/>
    </w:rPr>
  </w:style>
  <w:style w:type="paragraph" w:customStyle="1" w:styleId="2766">
    <w:name w:val="Char Char Char Char Char Char Char Char Char1 Char1"/>
    <w:basedOn w:val="1"/>
    <w:qFormat/>
    <w:uiPriority w:val="0"/>
    <w:rPr>
      <w:rFonts w:ascii="Tahoma" w:hAnsi="Tahoma" w:cs="仿宋_GB2312"/>
      <w:sz w:val="24"/>
    </w:rPr>
  </w:style>
  <w:style w:type="paragraph" w:customStyle="1" w:styleId="2767">
    <w:name w:val="xl79"/>
    <w:basedOn w:val="1"/>
    <w:qFormat/>
    <w:uiPriority w:val="0"/>
    <w:pPr>
      <w:pBdr>
        <w:top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2768">
    <w:name w:val="样式 Times New Roman 行距: 1.5 倍行距"/>
    <w:basedOn w:val="1"/>
    <w:qFormat/>
    <w:uiPriority w:val="0"/>
    <w:pPr>
      <w:spacing w:line="360" w:lineRule="auto"/>
      <w:ind w:firstLine="480"/>
    </w:pPr>
    <w:rPr>
      <w:kern w:val="24"/>
    </w:rPr>
  </w:style>
  <w:style w:type="paragraph" w:customStyle="1" w:styleId="2769">
    <w:name w:val="标题2"/>
    <w:basedOn w:val="6"/>
    <w:qFormat/>
    <w:uiPriority w:val="0"/>
    <w:pPr>
      <w:keepNext w:val="0"/>
      <w:keepLines w:val="0"/>
      <w:tabs>
        <w:tab w:val="left" w:pos="768"/>
        <w:tab w:val="clear" w:pos="1080"/>
      </w:tabs>
      <w:spacing w:before="0" w:after="0"/>
      <w:ind w:left="0" w:firstLine="200"/>
    </w:pPr>
    <w:rPr>
      <w:rFonts w:ascii="黑体" w:hAnsi="Cambria" w:eastAsia="仿宋_GB2312" w:cs="宋体"/>
      <w:i/>
      <w:iCs/>
      <w:kern w:val="2"/>
      <w:sz w:val="28"/>
      <w:szCs w:val="28"/>
    </w:rPr>
  </w:style>
  <w:style w:type="paragraph" w:customStyle="1" w:styleId="2770">
    <w:name w:val="xl77"/>
    <w:basedOn w:val="1"/>
    <w:qFormat/>
    <w:uiPriority w:val="0"/>
    <w:pPr>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2771">
    <w:name w:val="xl95"/>
    <w:basedOn w:val="1"/>
    <w:qFormat/>
    <w:uiPriority w:val="0"/>
    <w:pPr>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6"/>
      <w:szCs w:val="16"/>
    </w:rPr>
  </w:style>
  <w:style w:type="paragraph" w:customStyle="1" w:styleId="2772">
    <w:name w:val="表格02"/>
    <w:basedOn w:val="1"/>
    <w:qFormat/>
    <w:uiPriority w:val="0"/>
    <w:pPr>
      <w:spacing w:line="360" w:lineRule="exact"/>
      <w:jc w:val="center"/>
    </w:pPr>
    <w:rPr>
      <w:snapToGrid w:val="0"/>
      <w:kern w:val="0"/>
      <w:sz w:val="24"/>
    </w:rPr>
  </w:style>
  <w:style w:type="paragraph" w:customStyle="1" w:styleId="2773">
    <w:name w:val="程序"/>
    <w:basedOn w:val="1"/>
    <w:qFormat/>
    <w:uiPriority w:val="0"/>
    <w:pPr>
      <w:autoSpaceDE w:val="0"/>
      <w:autoSpaceDN w:val="0"/>
      <w:spacing w:line="240" w:lineRule="atLeast"/>
      <w:ind w:firstLine="567"/>
      <w:textAlignment w:val="baseline"/>
    </w:pPr>
    <w:rPr>
      <w:rFonts w:ascii="Courier New" w:hAnsi="Courier New"/>
      <w:kern w:val="0"/>
      <w:sz w:val="24"/>
      <w:szCs w:val="20"/>
    </w:rPr>
  </w:style>
  <w:style w:type="paragraph" w:customStyle="1" w:styleId="2774">
    <w:name w:val="正文位子1"/>
    <w:basedOn w:val="38"/>
    <w:qFormat/>
    <w:uiPriority w:val="0"/>
    <w:pPr>
      <w:wordWrap w:val="0"/>
      <w:topLinePunct/>
      <w:autoSpaceDN w:val="0"/>
      <w:spacing w:after="0"/>
      <w:jc w:val="center"/>
    </w:pPr>
    <w:rPr>
      <w:rFonts w:eastAsia="楷体_GB2312"/>
      <w:w w:val="90"/>
    </w:rPr>
  </w:style>
  <w:style w:type="paragraph" w:customStyle="1" w:styleId="2775">
    <w:name w:val="肆儿JWoo1512"/>
    <w:basedOn w:val="10"/>
    <w:qFormat/>
    <w:uiPriority w:val="0"/>
    <w:pPr>
      <w:tabs>
        <w:tab w:val="left" w:pos="864"/>
        <w:tab w:val="clear" w:pos="851"/>
      </w:tabs>
      <w:spacing w:before="125" w:after="125" w:line="360" w:lineRule="auto"/>
      <w:ind w:left="864" w:hanging="864"/>
    </w:pPr>
    <w:rPr>
      <w:rFonts w:hAnsi="华文中宋" w:eastAsia="华文中宋" w:cs="宋体"/>
      <w:b w:val="0"/>
      <w:w w:val="101"/>
      <w:sz w:val="25"/>
    </w:rPr>
  </w:style>
  <w:style w:type="paragraph" w:customStyle="1" w:styleId="2776">
    <w:name w:val="表头 Char Char Char"/>
    <w:basedOn w:val="12"/>
    <w:next w:val="1"/>
    <w:qFormat/>
    <w:uiPriority w:val="0"/>
    <w:pPr>
      <w:spacing w:before="120" w:afterLines="50" w:line="400" w:lineRule="exact"/>
    </w:pPr>
    <w:rPr>
      <w:rFonts w:ascii="宋体" w:hAnsi="宋体"/>
      <w:snapToGrid w:val="0"/>
    </w:rPr>
  </w:style>
  <w:style w:type="paragraph" w:customStyle="1" w:styleId="2777">
    <w:name w:val="列表 3E"/>
    <w:basedOn w:val="16"/>
    <w:qFormat/>
    <w:uiPriority w:val="0"/>
    <w:pPr>
      <w:tabs>
        <w:tab w:val="left" w:pos="907"/>
      </w:tabs>
      <w:spacing w:line="288" w:lineRule="auto"/>
      <w:ind w:left="907" w:leftChars="0" w:hanging="567" w:firstLineChars="0"/>
    </w:pPr>
    <w:rPr>
      <w:rFonts w:ascii="Arial" w:hAnsi="Arial"/>
      <w:color w:val="CCFFCC"/>
      <w:sz w:val="24"/>
      <w:szCs w:val="20"/>
    </w:rPr>
  </w:style>
  <w:style w:type="paragraph" w:customStyle="1" w:styleId="2778">
    <w:name w:val="列表 2N"/>
    <w:basedOn w:val="41"/>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779">
    <w:name w:val="文章"/>
    <w:basedOn w:val="1"/>
    <w:qFormat/>
    <w:uiPriority w:val="0"/>
    <w:pPr>
      <w:spacing w:after="120" w:line="360" w:lineRule="auto"/>
      <w:ind w:firstLine="482"/>
    </w:pPr>
    <w:rPr>
      <w:rFonts w:ascii="宋体"/>
      <w:kern w:val="24"/>
      <w:sz w:val="24"/>
    </w:rPr>
  </w:style>
  <w:style w:type="paragraph" w:customStyle="1" w:styleId="2780">
    <w:name w:val="表格文字左"/>
    <w:basedOn w:val="1"/>
    <w:qFormat/>
    <w:uiPriority w:val="0"/>
    <w:pPr>
      <w:spacing w:line="240" w:lineRule="atLeast"/>
      <w:jc w:val="center"/>
    </w:pPr>
    <w:rPr>
      <w:rFonts w:ascii="宋体" w:hAnsi="宋体"/>
      <w:color w:val="000000"/>
      <w:kern w:val="0"/>
      <w:sz w:val="24"/>
    </w:rPr>
  </w:style>
  <w:style w:type="paragraph" w:customStyle="1" w:styleId="2781">
    <w:name w:val="列表 4L"/>
    <w:basedOn w:val="81"/>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2782">
    <w:name w:val="样式 样式 标题 3 +"/>
    <w:basedOn w:val="1"/>
    <w:qFormat/>
    <w:uiPriority w:val="0"/>
    <w:pPr>
      <w:keepNext/>
      <w:keepLines/>
      <w:tabs>
        <w:tab w:val="left" w:pos="1540"/>
      </w:tabs>
      <w:spacing w:beforeLines="30" w:afterLines="30" w:line="360" w:lineRule="auto"/>
      <w:ind w:left="1540" w:hanging="864"/>
      <w:outlineLvl w:val="3"/>
    </w:pPr>
    <w:rPr>
      <w:rFonts w:eastAsia="华文细黑" w:cs="宋体"/>
      <w:b/>
      <w:bCs/>
    </w:rPr>
  </w:style>
  <w:style w:type="paragraph" w:customStyle="1" w:styleId="2783">
    <w:name w:val="列表 4X"/>
    <w:basedOn w:val="81"/>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2784">
    <w:name w:val="样式 样式 标题 4款标题1.1.1.1标题 4XW Char标题 4XW Char Char标题 4 Char标题 4XW....."/>
    <w:basedOn w:val="1"/>
    <w:qFormat/>
    <w:uiPriority w:val="0"/>
    <w:pPr>
      <w:keepNext/>
      <w:keepLines/>
      <w:spacing w:before="60" w:after="60" w:line="360" w:lineRule="auto"/>
      <w:ind w:left="855" w:hanging="360"/>
      <w:outlineLvl w:val="3"/>
    </w:pPr>
    <w:rPr>
      <w:rFonts w:cs="宋体"/>
      <w:b/>
      <w:bCs/>
      <w:kern w:val="44"/>
      <w:sz w:val="24"/>
      <w:lang w:val="fr-FR"/>
    </w:rPr>
  </w:style>
  <w:style w:type="paragraph" w:customStyle="1" w:styleId="2785">
    <w:name w:val="3"/>
    <w:basedOn w:val="1"/>
    <w:next w:val="49"/>
    <w:qFormat/>
    <w:uiPriority w:val="0"/>
    <w:rPr>
      <w:rFonts w:ascii="宋体" w:hAnsi="Courier New"/>
      <w:szCs w:val="21"/>
    </w:rPr>
  </w:style>
  <w:style w:type="paragraph" w:customStyle="1" w:styleId="2786">
    <w:name w:val="Char Char Char3 Char Char Char4 Char Char Char1"/>
    <w:basedOn w:val="1"/>
    <w:qFormat/>
    <w:uiPriority w:val="0"/>
    <w:pPr>
      <w:spacing w:line="360" w:lineRule="auto"/>
    </w:pPr>
    <w:rPr>
      <w:rFonts w:ascii="宋体" w:hAnsi="宋体" w:cs="宋体"/>
      <w:sz w:val="24"/>
    </w:rPr>
  </w:style>
  <w:style w:type="paragraph" w:customStyle="1" w:styleId="2787">
    <w:name w:val="font9"/>
    <w:basedOn w:val="1"/>
    <w:qFormat/>
    <w:uiPriority w:val="0"/>
    <w:pPr>
      <w:spacing w:before="100" w:beforeAutospacing="1" w:after="100" w:afterAutospacing="1"/>
      <w:jc w:val="left"/>
    </w:pPr>
    <w:rPr>
      <w:rFonts w:hint="eastAsia" w:ascii="宋体" w:hAnsi="宋体"/>
      <w:kern w:val="0"/>
      <w:sz w:val="20"/>
      <w:szCs w:val="20"/>
    </w:rPr>
  </w:style>
  <w:style w:type="paragraph" w:customStyle="1" w:styleId="2788">
    <w:name w:val="Char Char Char3 Char Char Char4 Char Char Char11"/>
    <w:basedOn w:val="1"/>
    <w:qFormat/>
    <w:uiPriority w:val="0"/>
    <w:pPr>
      <w:spacing w:line="360" w:lineRule="auto"/>
    </w:pPr>
    <w:rPr>
      <w:rFonts w:ascii="宋体" w:hAnsi="宋体" w:cs="宋体"/>
      <w:sz w:val="24"/>
    </w:rPr>
  </w:style>
  <w:style w:type="paragraph" w:customStyle="1" w:styleId="2789">
    <w:name w:val="尾消息标题"/>
    <w:basedOn w:val="1"/>
    <w:next w:val="38"/>
    <w:qFormat/>
    <w:uiPriority w:val="0"/>
    <w:pPr>
      <w:pBdr>
        <w:bottom w:val="single" w:color="auto" w:sz="6" w:space="19"/>
        <w:between w:val="single" w:color="auto" w:sz="6" w:space="19"/>
      </w:pBdr>
      <w:tabs>
        <w:tab w:val="left" w:pos="1260"/>
        <w:tab w:val="left" w:pos="2940"/>
      </w:tabs>
      <w:spacing w:line="0" w:lineRule="atLeast"/>
      <w:jc w:val="left"/>
    </w:pPr>
    <w:rPr>
      <w:kern w:val="0"/>
      <w:sz w:val="18"/>
      <w:szCs w:val="18"/>
    </w:rPr>
  </w:style>
  <w:style w:type="paragraph" w:customStyle="1" w:styleId="2790">
    <w:name w:val="标题 61"/>
    <w:basedOn w:val="1"/>
    <w:qFormat/>
    <w:uiPriority w:val="0"/>
    <w:pPr>
      <w:autoSpaceDE w:val="0"/>
      <w:autoSpaceDN w:val="0"/>
      <w:ind w:left="137"/>
      <w:jc w:val="left"/>
      <w:outlineLvl w:val="5"/>
    </w:pPr>
    <w:rPr>
      <w:rFonts w:ascii="Arial" w:hAnsi="Arial" w:cs="Arial"/>
      <w:kern w:val="0"/>
      <w:sz w:val="30"/>
      <w:szCs w:val="30"/>
    </w:rPr>
  </w:style>
  <w:style w:type="paragraph" w:customStyle="1" w:styleId="2791">
    <w:name w:val="样式 正文首行缩进 + 首行缩进:  2 字符"/>
    <w:basedOn w:val="89"/>
    <w:qFormat/>
    <w:uiPriority w:val="0"/>
    <w:pPr>
      <w:spacing w:line="300" w:lineRule="auto"/>
      <w:ind w:firstLine="560" w:firstLineChars="200"/>
    </w:pPr>
    <w:rPr>
      <w:rFonts w:cs="宋体"/>
      <w:szCs w:val="20"/>
    </w:rPr>
  </w:style>
  <w:style w:type="paragraph" w:customStyle="1" w:styleId="2792">
    <w:name w:val="样式 （一）标题 + 段前: 0.5 行"/>
    <w:basedOn w:val="1"/>
    <w:qFormat/>
    <w:uiPriority w:val="0"/>
    <w:pPr>
      <w:spacing w:line="360" w:lineRule="auto"/>
    </w:pPr>
    <w:rPr>
      <w:rFonts w:cs="宋体"/>
      <w:b/>
      <w:bCs/>
      <w:sz w:val="24"/>
    </w:rPr>
  </w:style>
  <w:style w:type="paragraph" w:customStyle="1" w:styleId="2793">
    <w:name w:val="尾注文本1"/>
    <w:basedOn w:val="1107"/>
    <w:qFormat/>
    <w:uiPriority w:val="0"/>
    <w:pPr>
      <w:textAlignment w:val="baseline"/>
    </w:pPr>
    <w:rPr>
      <w:sz w:val="21"/>
    </w:rPr>
  </w:style>
  <w:style w:type="paragraph" w:customStyle="1" w:styleId="2794">
    <w:name w:val="报告书"/>
    <w:basedOn w:val="1"/>
    <w:qFormat/>
    <w:uiPriority w:val="0"/>
    <w:pPr>
      <w:spacing w:beforeLines="50" w:afterLines="50" w:line="312" w:lineRule="auto"/>
      <w:jc w:val="center"/>
    </w:pPr>
    <w:rPr>
      <w:rFonts w:ascii="Times" w:hAnsi="Times" w:eastAsia="黑体"/>
      <w:snapToGrid w:val="0"/>
      <w:spacing w:val="16"/>
      <w:kern w:val="0"/>
      <w:sz w:val="72"/>
    </w:rPr>
  </w:style>
  <w:style w:type="paragraph" w:customStyle="1" w:styleId="2795">
    <w:name w:val="表格04左"/>
    <w:basedOn w:val="2599"/>
    <w:qFormat/>
    <w:uiPriority w:val="0"/>
    <w:pPr>
      <w:jc w:val="left"/>
    </w:pPr>
    <w:rPr>
      <w:spacing w:val="0"/>
    </w:rPr>
  </w:style>
  <w:style w:type="paragraph" w:customStyle="1" w:styleId="2796">
    <w:name w:val="表内文字，居左"/>
    <w:basedOn w:val="1"/>
    <w:qFormat/>
    <w:uiPriority w:val="0"/>
    <w:rPr>
      <w:spacing w:val="6"/>
    </w:rPr>
  </w:style>
  <w:style w:type="paragraph" w:customStyle="1" w:styleId="2797">
    <w:name w:val="样式 标题 2 + Times New Roman"/>
    <w:basedOn w:val="6"/>
    <w:qFormat/>
    <w:uiPriority w:val="0"/>
    <w:pPr>
      <w:keepNext w:val="0"/>
      <w:keepLines w:val="0"/>
      <w:tabs>
        <w:tab w:val="left" w:pos="420"/>
        <w:tab w:val="clear" w:pos="1080"/>
      </w:tabs>
      <w:spacing w:after="0" w:line="360" w:lineRule="auto"/>
      <w:ind w:left="0" w:firstLine="0"/>
    </w:pPr>
    <w:rPr>
      <w:rFonts w:ascii="黑体"/>
      <w:b w:val="0"/>
      <w:color w:val="000000"/>
      <w:sz w:val="30"/>
    </w:rPr>
  </w:style>
  <w:style w:type="paragraph" w:customStyle="1" w:styleId="2798">
    <w:name w:val="Char Char Char Char Char Char1"/>
    <w:basedOn w:val="1"/>
    <w:qFormat/>
    <w:uiPriority w:val="0"/>
  </w:style>
  <w:style w:type="paragraph" w:customStyle="1" w:styleId="2799">
    <w:name w:val="xl75"/>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2800">
    <w:name w:val="6表(图)头(治)"/>
    <w:next w:val="1"/>
    <w:qFormat/>
    <w:uiPriority w:val="0"/>
    <w:pPr>
      <w:widowControl w:val="0"/>
      <w:spacing w:line="320" w:lineRule="exact"/>
      <w:jc w:val="center"/>
    </w:pPr>
    <w:rPr>
      <w:rFonts w:ascii="Calibri" w:hAnsi="宋体" w:eastAsia="宋体" w:cs="Times New Roman"/>
      <w:b/>
      <w:color w:val="000000"/>
      <w:sz w:val="21"/>
      <w:szCs w:val="21"/>
      <w:lang w:val="en-US" w:eastAsia="zh-CN" w:bidi="ar-SA"/>
    </w:rPr>
  </w:style>
  <w:style w:type="paragraph" w:customStyle="1" w:styleId="2801">
    <w:name w:val="IDC A-Head (2nd Line)"/>
    <w:basedOn w:val="1"/>
    <w:next w:val="1"/>
    <w:qFormat/>
    <w:uiPriority w:val="0"/>
    <w:pPr>
      <w:jc w:val="center"/>
    </w:pPr>
    <w:rPr>
      <w:caps/>
      <w:kern w:val="0"/>
      <w:sz w:val="24"/>
      <w:szCs w:val="20"/>
    </w:rPr>
  </w:style>
  <w:style w:type="paragraph" w:customStyle="1" w:styleId="2802">
    <w:name w:val="样式 标题 3h33rd levelH33Head 3level_3PIM 3Level 3 Head二级节名...3"/>
    <w:basedOn w:val="7"/>
    <w:qFormat/>
    <w:uiPriority w:val="0"/>
    <w:pPr>
      <w:keepLines w:val="0"/>
      <w:tabs>
        <w:tab w:val="clear" w:pos="1440"/>
      </w:tabs>
      <w:spacing w:before="240" w:after="60"/>
      <w:ind w:left="1260" w:hanging="420"/>
    </w:pPr>
    <w:rPr>
      <w:rFonts w:ascii="Cambria" w:eastAsia="仿宋_GB2312"/>
      <w:kern w:val="2"/>
      <w:szCs w:val="26"/>
    </w:rPr>
  </w:style>
  <w:style w:type="paragraph" w:customStyle="1" w:styleId="2803">
    <w:name w:val="表标题12"/>
    <w:basedOn w:val="1"/>
    <w:qFormat/>
    <w:uiPriority w:val="0"/>
    <w:pPr>
      <w:spacing w:beforeLines="100"/>
    </w:pPr>
    <w:rPr>
      <w:rFonts w:eastAsia="黑体"/>
      <w:b/>
      <w:sz w:val="24"/>
    </w:rPr>
  </w:style>
  <w:style w:type="paragraph" w:customStyle="1" w:styleId="2804">
    <w:name w:val="Char Char Char Char Char Char1 Char3"/>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2805">
    <w:name w:val="样式 正文 + 首行缩进:  2 字符 + 宋体 四号 首行缩进:  2 字符"/>
    <w:basedOn w:val="1"/>
    <w:qFormat/>
    <w:uiPriority w:val="0"/>
    <w:pPr>
      <w:spacing w:line="480" w:lineRule="exact"/>
    </w:pPr>
    <w:rPr>
      <w:rFonts w:ascii="宋体" w:hAnsi="宋体"/>
      <w:szCs w:val="20"/>
    </w:rPr>
  </w:style>
  <w:style w:type="paragraph" w:customStyle="1" w:styleId="2806">
    <w:name w:val="通州正文"/>
    <w:next w:val="1"/>
    <w:qFormat/>
    <w:uiPriority w:val="0"/>
    <w:pPr>
      <w:spacing w:line="360" w:lineRule="auto"/>
      <w:ind w:firstLine="480"/>
      <w:jc w:val="center"/>
    </w:pPr>
    <w:rPr>
      <w:rFonts w:ascii="宋体" w:hAnsi="宋体" w:eastAsia="宋体" w:cs="Times New Roman"/>
      <w:kern w:val="2"/>
      <w:sz w:val="24"/>
      <w:szCs w:val="24"/>
      <w:lang w:val="en-US" w:eastAsia="zh-CN" w:bidi="ar-SA"/>
    </w:rPr>
  </w:style>
  <w:style w:type="paragraph" w:customStyle="1" w:styleId="2807">
    <w:name w:val="样式 样式2 + 段前: 6 磅 行距: 单倍行距2"/>
    <w:basedOn w:val="2336"/>
    <w:qFormat/>
    <w:uiPriority w:val="0"/>
    <w:pPr>
      <w:keepLines w:val="0"/>
      <w:pageBreakBefore w:val="0"/>
      <w:autoSpaceDE w:val="0"/>
      <w:autoSpaceDN w:val="0"/>
      <w:spacing w:before="120" w:beforeAutospacing="0" w:after="0" w:afterAutospacing="0" w:line="240" w:lineRule="auto"/>
      <w:jc w:val="center"/>
      <w:textAlignment w:val="baseline"/>
      <w:outlineLvl w:val="9"/>
    </w:pPr>
    <w:rPr>
      <w:rFonts w:ascii="Times New Roman" w:hAnsi="Times New Roman" w:eastAsia="宋体"/>
      <w:b w:val="0"/>
      <w:spacing w:val="-16"/>
      <w:sz w:val="21"/>
      <w:szCs w:val="21"/>
    </w:rPr>
  </w:style>
  <w:style w:type="paragraph" w:customStyle="1" w:styleId="2808">
    <w:name w:val="样式 表格标题 + 段后: 0.5 行3"/>
    <w:basedOn w:val="25"/>
    <w:qFormat/>
    <w:uiPriority w:val="0"/>
    <w:pPr>
      <w:tabs>
        <w:tab w:val="left" w:pos="0"/>
      </w:tabs>
      <w:spacing w:line="324" w:lineRule="auto"/>
      <w:ind w:right="482" w:firstLine="0" w:firstLineChars="0"/>
      <w:jc w:val="center"/>
    </w:pPr>
    <w:rPr>
      <w:rFonts w:eastAsia="黑体"/>
      <w:b/>
      <w:bCs/>
      <w:sz w:val="24"/>
      <w:szCs w:val="24"/>
      <w:lang w:val="zh-CN"/>
    </w:rPr>
  </w:style>
  <w:style w:type="paragraph" w:customStyle="1" w:styleId="2809">
    <w:name w:val="日期12"/>
    <w:basedOn w:val="1"/>
    <w:next w:val="1"/>
    <w:qFormat/>
    <w:uiPriority w:val="0"/>
    <w:pPr>
      <w:spacing w:line="312" w:lineRule="atLeast"/>
      <w:jc w:val="right"/>
      <w:textAlignment w:val="baseline"/>
    </w:pPr>
    <w:rPr>
      <w:rFonts w:ascii="宋体"/>
    </w:rPr>
  </w:style>
  <w:style w:type="paragraph" w:customStyle="1" w:styleId="2810">
    <w:name w:val="环保篇"/>
    <w:basedOn w:val="1"/>
    <w:qFormat/>
    <w:uiPriority w:val="0"/>
    <w:pPr>
      <w:tabs>
        <w:tab w:val="left" w:pos="360"/>
      </w:tabs>
      <w:spacing w:line="360" w:lineRule="auto"/>
      <w:textAlignment w:val="baseline"/>
    </w:pPr>
    <w:rPr>
      <w:szCs w:val="20"/>
    </w:rPr>
  </w:style>
  <w:style w:type="paragraph" w:customStyle="1" w:styleId="2811">
    <w:name w:val="样式 (中文) 黑体 小四 段前: 4.65 磅 段后: 4.65 磅 行距: 1.5 倍行距"/>
    <w:basedOn w:val="1"/>
    <w:qFormat/>
    <w:uiPriority w:val="0"/>
    <w:pPr>
      <w:spacing w:before="93" w:after="93" w:line="360" w:lineRule="auto"/>
    </w:pPr>
    <w:rPr>
      <w:rFonts w:eastAsia="黑体" w:cs="宋体"/>
      <w:color w:val="000000"/>
      <w:sz w:val="24"/>
      <w:szCs w:val="21"/>
    </w:rPr>
  </w:style>
  <w:style w:type="paragraph" w:customStyle="1" w:styleId="2812">
    <w:name w:val="报告书二级标题"/>
    <w:basedOn w:val="6"/>
    <w:qFormat/>
    <w:uiPriority w:val="0"/>
    <w:pPr>
      <w:keepLines w:val="0"/>
      <w:tabs>
        <w:tab w:val="clear" w:pos="1080"/>
      </w:tabs>
      <w:ind w:left="0" w:firstLine="200"/>
    </w:pPr>
    <w:rPr>
      <w:rFonts w:ascii="宋体" w:hAnsi="宋体" w:eastAsia="仿宋_GB2312"/>
      <w:bCs/>
      <w:i/>
      <w:iCs/>
      <w:kern w:val="2"/>
      <w:sz w:val="28"/>
    </w:rPr>
  </w:style>
  <w:style w:type="paragraph" w:customStyle="1" w:styleId="2813">
    <w:name w:val="xl32"/>
    <w:basedOn w:val="1"/>
    <w:qFormat/>
    <w:uiPriority w:val="0"/>
    <w:pPr>
      <w:pBdr>
        <w:left w:val="single" w:color="auto" w:sz="8"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2814">
    <w:name w:val="Char1 Char Char"/>
    <w:basedOn w:val="1"/>
    <w:qFormat/>
    <w:uiPriority w:val="0"/>
    <w:pPr>
      <w:spacing w:line="360" w:lineRule="auto"/>
    </w:pPr>
    <w:rPr>
      <w:sz w:val="24"/>
    </w:rPr>
  </w:style>
  <w:style w:type="paragraph" w:customStyle="1" w:styleId="2815">
    <w:name w:val="样式 标题 4款标题1.1.1.1标题 4XW Char标题 4XW Char Char标题 4 Char标题 4XW..."/>
    <w:basedOn w:val="10"/>
    <w:qFormat/>
    <w:uiPriority w:val="0"/>
    <w:pPr>
      <w:ind w:left="855" w:hanging="360"/>
      <w:textAlignment w:val="baseline"/>
    </w:pPr>
    <w:rPr>
      <w:rFonts w:cs="宋体"/>
      <w:spacing w:val="5"/>
      <w:kern w:val="44"/>
      <w:szCs w:val="20"/>
    </w:rPr>
  </w:style>
  <w:style w:type="paragraph" w:customStyle="1" w:styleId="2816">
    <w:name w:val="xl31"/>
    <w:basedOn w:val="1"/>
    <w:qFormat/>
    <w:uiPriority w:val="0"/>
    <w:pPr>
      <w:spacing w:before="100" w:beforeAutospacing="1" w:after="100" w:afterAutospacing="1" w:line="348" w:lineRule="auto"/>
      <w:jc w:val="center"/>
      <w:textAlignment w:val="center"/>
    </w:pPr>
    <w:rPr>
      <w:rFonts w:ascii="Arial Unicode MS" w:hAnsi="Arial Unicode MS" w:eastAsia="Arial Unicode MS"/>
      <w:kern w:val="0"/>
      <w:sz w:val="24"/>
    </w:rPr>
  </w:style>
  <w:style w:type="paragraph" w:customStyle="1" w:styleId="2817">
    <w:name w:val="样式 标题 4§1.1.1.1§1.1.1.1.H4Char + 黑色 首行缩进:  2 字符6"/>
    <w:basedOn w:val="10"/>
    <w:qFormat/>
    <w:uiPriority w:val="0"/>
    <w:pPr>
      <w:keepNext w:val="0"/>
      <w:keepLines w:val="0"/>
      <w:spacing w:after="0" w:line="300" w:lineRule="auto"/>
      <w:ind w:left="0" w:firstLine="200"/>
    </w:pPr>
    <w:rPr>
      <w:rFonts w:cs="宋体"/>
      <w:b w:val="0"/>
      <w:snapToGrid w:val="0"/>
      <w:color w:val="000000"/>
      <w:kern w:val="0"/>
    </w:rPr>
  </w:style>
  <w:style w:type="paragraph" w:customStyle="1" w:styleId="2818">
    <w:name w:val="Char4"/>
    <w:basedOn w:val="1"/>
    <w:qFormat/>
    <w:uiPriority w:val="0"/>
    <w:pPr>
      <w:tabs>
        <w:tab w:val="left" w:pos="360"/>
      </w:tabs>
      <w:ind w:firstLine="420" w:firstLineChars="150"/>
    </w:pPr>
    <w:rPr>
      <w:rFonts w:ascii="Arial" w:hAnsi="Arial" w:cs="Arial"/>
      <w:sz w:val="20"/>
    </w:rPr>
  </w:style>
  <w:style w:type="paragraph" w:customStyle="1" w:styleId="2819">
    <w:name w:val="xl16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FF0000"/>
      <w:kern w:val="0"/>
      <w:sz w:val="18"/>
      <w:szCs w:val="18"/>
    </w:rPr>
  </w:style>
  <w:style w:type="paragraph" w:customStyle="1" w:styleId="2820">
    <w:name w:val="april标题2"/>
    <w:basedOn w:val="6"/>
    <w:qFormat/>
    <w:uiPriority w:val="0"/>
    <w:pPr>
      <w:keepLines w:val="0"/>
      <w:tabs>
        <w:tab w:val="clear" w:pos="1080"/>
      </w:tabs>
      <w:spacing w:after="0"/>
      <w:ind w:left="0" w:firstLine="200"/>
    </w:pPr>
    <w:rPr>
      <w:rFonts w:eastAsia="仿宋_GB2312"/>
      <w:bCs/>
      <w:i/>
      <w:iCs/>
      <w:spacing w:val="6"/>
      <w:kern w:val="2"/>
      <w:sz w:val="28"/>
    </w:rPr>
  </w:style>
  <w:style w:type="paragraph" w:customStyle="1" w:styleId="2821">
    <w:name w:val="表格中的内容格式"/>
    <w:basedOn w:val="1"/>
    <w:next w:val="1"/>
    <w:qFormat/>
    <w:uiPriority w:val="0"/>
    <w:pPr>
      <w:spacing w:line="312" w:lineRule="exact"/>
      <w:jc w:val="center"/>
    </w:pPr>
    <w:rPr>
      <w:snapToGrid w:val="0"/>
      <w:color w:val="000000"/>
      <w:spacing w:val="-20"/>
      <w:w w:val="90"/>
      <w:kern w:val="0"/>
      <w:szCs w:val="21"/>
    </w:rPr>
  </w:style>
  <w:style w:type="paragraph" w:customStyle="1" w:styleId="2822">
    <w:name w:val="BG5"/>
    <w:basedOn w:val="1"/>
    <w:qFormat/>
    <w:uiPriority w:val="0"/>
    <w:pPr>
      <w:autoSpaceDE w:val="0"/>
      <w:autoSpaceDN w:val="0"/>
      <w:spacing w:line="200" w:lineRule="atLeast"/>
      <w:jc w:val="center"/>
    </w:pPr>
    <w:rPr>
      <w:rFonts w:hint="eastAsia" w:ascii="@宋体"/>
    </w:rPr>
  </w:style>
  <w:style w:type="paragraph" w:customStyle="1" w:styleId="2823">
    <w:name w:val="xl63"/>
    <w:basedOn w:val="1"/>
    <w:qFormat/>
    <w:uiPriority w:val="0"/>
    <w:pPr>
      <w:pBdr>
        <w:left w:val="single" w:color="auto" w:sz="8" w:space="0"/>
        <w:bottom w:val="single" w:color="auto" w:sz="4" w:space="0"/>
        <w:right w:val="single" w:color="auto" w:sz="4" w:space="0"/>
      </w:pBdr>
      <w:spacing w:before="100" w:beforeAutospacing="1" w:after="100" w:afterAutospacing="1"/>
      <w:jc w:val="center"/>
      <w:textAlignment w:val="center"/>
    </w:pPr>
    <w:rPr>
      <w:rFonts w:eastAsia="Arial Unicode MS"/>
      <w:kern w:val="0"/>
      <w:sz w:val="20"/>
      <w:szCs w:val="20"/>
    </w:rPr>
  </w:style>
  <w:style w:type="paragraph" w:customStyle="1" w:styleId="2824">
    <w:name w:val="报告书正文 Char Char Char Char"/>
    <w:basedOn w:val="1"/>
    <w:qFormat/>
    <w:uiPriority w:val="0"/>
    <w:pPr>
      <w:spacing w:line="300" w:lineRule="auto"/>
      <w:ind w:firstLine="480"/>
    </w:pPr>
    <w:rPr>
      <w:color w:val="000000"/>
      <w:sz w:val="24"/>
    </w:rPr>
  </w:style>
  <w:style w:type="paragraph" w:customStyle="1" w:styleId="2825">
    <w:name w:val="样式 标题 4§1.1.1.1§1.1.1.1.H4Char + 黑色 首行缩进:  2 字符1"/>
    <w:basedOn w:val="10"/>
    <w:qFormat/>
    <w:uiPriority w:val="0"/>
    <w:pPr>
      <w:keepNext w:val="0"/>
      <w:keepLines w:val="0"/>
      <w:spacing w:after="0" w:line="300" w:lineRule="auto"/>
      <w:ind w:left="0" w:firstLine="200"/>
    </w:pPr>
    <w:rPr>
      <w:rFonts w:cs="宋体"/>
      <w:b w:val="0"/>
      <w:snapToGrid w:val="0"/>
      <w:color w:val="000000"/>
      <w:kern w:val="0"/>
    </w:rPr>
  </w:style>
  <w:style w:type="paragraph" w:customStyle="1" w:styleId="2826">
    <w:name w:val="黑宋体"/>
    <w:basedOn w:val="10"/>
    <w:qFormat/>
    <w:uiPriority w:val="0"/>
    <w:pPr>
      <w:ind w:left="1680" w:hanging="420"/>
      <w:textAlignment w:val="baseline"/>
      <w:outlineLvl w:val="9"/>
    </w:pPr>
    <w:rPr>
      <w:snapToGrid w:val="0"/>
      <w:color w:val="000000"/>
    </w:rPr>
  </w:style>
  <w:style w:type="paragraph" w:customStyle="1" w:styleId="2827">
    <w:name w:val="reader-word-layer reader-word-s1-8"/>
    <w:basedOn w:val="1"/>
    <w:qFormat/>
    <w:uiPriority w:val="0"/>
    <w:pPr>
      <w:spacing w:before="100" w:beforeAutospacing="1" w:after="100" w:afterAutospacing="1"/>
      <w:jc w:val="left"/>
    </w:pPr>
    <w:rPr>
      <w:rFonts w:ascii="宋体" w:hAnsi="宋体" w:cs="宋体"/>
      <w:kern w:val="0"/>
      <w:sz w:val="24"/>
    </w:rPr>
  </w:style>
  <w:style w:type="paragraph" w:customStyle="1" w:styleId="2828">
    <w:name w:val="标题 1 + 段前: 0.5 行 段后: 0.5 行1"/>
    <w:basedOn w:val="1"/>
    <w:qFormat/>
    <w:uiPriority w:val="0"/>
    <w:pPr>
      <w:spacing w:before="120" w:after="120"/>
      <w:jc w:val="left"/>
      <w:outlineLvl w:val="0"/>
    </w:pPr>
    <w:rPr>
      <w:rFonts w:eastAsia="黑体" w:cs="宋体"/>
      <w:szCs w:val="20"/>
    </w:rPr>
  </w:style>
  <w:style w:type="paragraph" w:customStyle="1" w:styleId="2829">
    <w:name w:val="列表 4H"/>
    <w:basedOn w:val="81"/>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2830">
    <w:name w:val="佛表"/>
    <w:basedOn w:val="70"/>
    <w:qFormat/>
    <w:uiPriority w:val="0"/>
    <w:pPr>
      <w:ind w:left="0" w:firstLine="0" w:firstLineChars="0"/>
      <w:jc w:val="center"/>
    </w:pPr>
    <w:rPr>
      <w:rFonts w:ascii="Times New Roman" w:eastAsia="仿宋_GB2312"/>
      <w:color w:val="000000"/>
    </w:rPr>
  </w:style>
  <w:style w:type="paragraph" w:customStyle="1" w:styleId="2831">
    <w:name w:val="图表头"/>
    <w:basedOn w:val="1"/>
    <w:qFormat/>
    <w:uiPriority w:val="0"/>
    <w:pPr>
      <w:spacing w:line="360" w:lineRule="auto"/>
      <w:jc w:val="center"/>
      <w:textAlignment w:val="baseline"/>
    </w:pPr>
    <w:rPr>
      <w:rFonts w:ascii="黑体" w:eastAsia="黑体"/>
      <w:spacing w:val="5"/>
    </w:rPr>
  </w:style>
  <w:style w:type="paragraph" w:customStyle="1" w:styleId="2832">
    <w:name w:val="样式 标题 3H3H31H32H33u3条标题1.1.1Heading 3 - oldBold Headbh..."/>
    <w:basedOn w:val="11"/>
    <w:qFormat/>
    <w:uiPriority w:val="0"/>
    <w:pPr>
      <w:adjustRightInd/>
      <w:ind w:left="0" w:firstLine="0"/>
    </w:pPr>
    <w:rPr>
      <w:rFonts w:cs="宋体"/>
      <w:bCs w:val="0"/>
    </w:rPr>
  </w:style>
  <w:style w:type="paragraph" w:customStyle="1" w:styleId="2833">
    <w:name w:val="列表 5J"/>
    <w:basedOn w:val="73"/>
    <w:qFormat/>
    <w:uiPriority w:val="0"/>
    <w:pPr>
      <w:tabs>
        <w:tab w:val="left" w:pos="1134"/>
      </w:tabs>
      <w:ind w:left="1134" w:leftChars="0" w:hanging="425" w:firstLineChars="0"/>
    </w:pPr>
    <w:rPr>
      <w:rFonts w:ascii="Arial" w:hAnsi="Arial"/>
      <w:color w:val="99CCFF"/>
      <w:sz w:val="24"/>
      <w:szCs w:val="20"/>
    </w:rPr>
  </w:style>
  <w:style w:type="paragraph" w:customStyle="1" w:styleId="2834">
    <w:name w:val="Char Char Char3 Char2"/>
    <w:basedOn w:val="1"/>
    <w:qFormat/>
    <w:uiPriority w:val="0"/>
    <w:pPr>
      <w:spacing w:line="360" w:lineRule="auto"/>
    </w:pPr>
    <w:rPr>
      <w:rFonts w:ascii="宋体" w:hAnsi="宋体" w:cs="宋体"/>
      <w:sz w:val="24"/>
    </w:rPr>
  </w:style>
  <w:style w:type="paragraph" w:customStyle="1" w:styleId="2835">
    <w:name w:val="修订1"/>
    <w:qFormat/>
    <w:uiPriority w:val="0"/>
    <w:pPr>
      <w:spacing w:line="320" w:lineRule="exact"/>
      <w:jc w:val="center"/>
    </w:pPr>
    <w:rPr>
      <w:rFonts w:ascii="Calibri" w:hAnsi="Calibri" w:eastAsia="宋体" w:cs="Times New Roman"/>
      <w:kern w:val="2"/>
      <w:sz w:val="21"/>
      <w:szCs w:val="24"/>
      <w:lang w:val="en-US" w:eastAsia="zh-CN" w:bidi="ar-SA"/>
    </w:rPr>
  </w:style>
  <w:style w:type="paragraph" w:customStyle="1" w:styleId="2836">
    <w:name w:val="列表 4Z"/>
    <w:basedOn w:val="81"/>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2837">
    <w:name w:val="正文 + 宋体"/>
    <w:basedOn w:val="1"/>
    <w:qFormat/>
    <w:uiPriority w:val="0"/>
    <w:pPr>
      <w:spacing w:line="360" w:lineRule="auto"/>
      <w:ind w:firstLine="480"/>
    </w:pPr>
    <w:rPr>
      <w:rFonts w:ascii="宋体" w:hAnsi="宋体"/>
      <w:bCs/>
      <w:sz w:val="24"/>
    </w:rPr>
  </w:style>
  <w:style w:type="paragraph" w:customStyle="1" w:styleId="2838">
    <w:name w:val="Style37"/>
    <w:basedOn w:val="1"/>
    <w:qFormat/>
    <w:uiPriority w:val="0"/>
    <w:pPr>
      <w:spacing w:line="454" w:lineRule="exact"/>
      <w:ind w:firstLine="475"/>
    </w:pPr>
    <w:rPr>
      <w:rFonts w:ascii="宋体" w:hAnsi="Calibri"/>
      <w:kern w:val="0"/>
      <w:sz w:val="24"/>
    </w:rPr>
  </w:style>
  <w:style w:type="paragraph" w:customStyle="1" w:styleId="2839">
    <w:name w:val="xl4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int="eastAsia" w:ascii="宋体" w:hAnsi="宋体"/>
      <w:color w:val="000000"/>
      <w:kern w:val="0"/>
      <w:sz w:val="24"/>
    </w:rPr>
  </w:style>
  <w:style w:type="paragraph" w:customStyle="1" w:styleId="2840">
    <w:name w:val="正文999"/>
    <w:basedOn w:val="1"/>
    <w:qFormat/>
    <w:uiPriority w:val="0"/>
    <w:pPr>
      <w:spacing w:line="360" w:lineRule="auto"/>
      <w:ind w:firstLine="480"/>
    </w:pPr>
    <w:rPr>
      <w:rFonts w:ascii="宋体" w:hAnsi="宋体"/>
      <w:sz w:val="24"/>
    </w:rPr>
  </w:style>
  <w:style w:type="paragraph" w:customStyle="1" w:styleId="2841">
    <w:name w:val="样式 标题 2标题 2 CharSeHead wsa2 Char Char CharHead wsa2节标题Head..."/>
    <w:basedOn w:val="6"/>
    <w:qFormat/>
    <w:uiPriority w:val="0"/>
    <w:pPr>
      <w:keepLines w:val="0"/>
      <w:tabs>
        <w:tab w:val="left" w:pos="804"/>
        <w:tab w:val="clear" w:pos="1080"/>
      </w:tabs>
      <w:spacing w:beforeLines="50" w:afterLines="50"/>
      <w:ind w:left="840" w:hanging="420"/>
    </w:pPr>
    <w:rPr>
      <w:rFonts w:eastAsia="仿宋_GB2312" w:cs="宋体"/>
      <w:b w:val="0"/>
      <w:bCs/>
      <w:i/>
      <w:iCs/>
      <w:kern w:val="2"/>
      <w:sz w:val="30"/>
    </w:rPr>
  </w:style>
  <w:style w:type="paragraph" w:customStyle="1" w:styleId="2842">
    <w:name w:val="8"/>
    <w:basedOn w:val="1"/>
    <w:next w:val="39"/>
    <w:qFormat/>
    <w:uiPriority w:val="0"/>
    <w:pPr>
      <w:spacing w:line="400" w:lineRule="exact"/>
      <w:ind w:firstLine="516" w:firstLineChars="215"/>
    </w:pPr>
    <w:rPr>
      <w:sz w:val="24"/>
    </w:rPr>
  </w:style>
  <w:style w:type="paragraph" w:customStyle="1" w:styleId="2843">
    <w:name w:val="Char Char Char3 Char Char Char4 Char Char Char2"/>
    <w:basedOn w:val="1"/>
    <w:qFormat/>
    <w:uiPriority w:val="0"/>
    <w:pPr>
      <w:spacing w:line="360" w:lineRule="auto"/>
    </w:pPr>
    <w:rPr>
      <w:rFonts w:ascii="宋体" w:hAnsi="宋体" w:cs="宋体"/>
      <w:sz w:val="24"/>
    </w:rPr>
  </w:style>
  <w:style w:type="paragraph" w:customStyle="1" w:styleId="2844">
    <w:name w:val="图名"/>
    <w:basedOn w:val="1"/>
    <w:qFormat/>
    <w:uiPriority w:val="0"/>
    <w:pPr>
      <w:overflowPunct w:val="0"/>
      <w:autoSpaceDE w:val="0"/>
      <w:autoSpaceDN w:val="0"/>
      <w:spacing w:line="360" w:lineRule="auto"/>
      <w:jc w:val="center"/>
      <w:textAlignment w:val="baseline"/>
    </w:pPr>
    <w:rPr>
      <w:rFonts w:eastAsia="黑体"/>
      <w:kern w:val="0"/>
      <w:szCs w:val="20"/>
    </w:rPr>
  </w:style>
  <w:style w:type="paragraph" w:customStyle="1" w:styleId="2845">
    <w:name w:val="Char Char Char Char Char Char31"/>
    <w:basedOn w:val="1"/>
    <w:qFormat/>
    <w:uiPriority w:val="0"/>
    <w:pPr>
      <w:spacing w:line="360" w:lineRule="auto"/>
    </w:pPr>
    <w:rPr>
      <w:rFonts w:ascii="宋体" w:hAnsi="宋体" w:cs="宋体"/>
      <w:sz w:val="24"/>
    </w:rPr>
  </w:style>
  <w:style w:type="paragraph" w:customStyle="1" w:styleId="2846">
    <w:name w:val="Char Char Char Char Char Char Char Char Char Char Char"/>
    <w:basedOn w:val="1"/>
    <w:qFormat/>
    <w:uiPriority w:val="0"/>
    <w:rPr>
      <w:bCs/>
      <w:iCs/>
      <w:kern w:val="0"/>
    </w:rPr>
  </w:style>
  <w:style w:type="paragraph" w:customStyle="1" w:styleId="2847">
    <w:name w:val="普通(Web)1"/>
    <w:basedOn w:val="1"/>
    <w:qFormat/>
    <w:uiPriority w:val="0"/>
    <w:pPr>
      <w:spacing w:before="90" w:after="90"/>
      <w:ind w:firstLine="420"/>
    </w:pPr>
    <w:rPr>
      <w:rFonts w:ascii="宋体" w:hAnsi="宋体" w:cs="宋体"/>
      <w:sz w:val="24"/>
    </w:rPr>
  </w:style>
  <w:style w:type="paragraph" w:customStyle="1" w:styleId="2848">
    <w:name w:val="样式 标题 3三级标题标题3H3h33rd level第二层条ReHead 3 WSA标题03三级标题 3..."/>
    <w:basedOn w:val="7"/>
    <w:qFormat/>
    <w:uiPriority w:val="0"/>
    <w:pPr>
      <w:keepNext w:val="0"/>
      <w:keepLines w:val="0"/>
      <w:tabs>
        <w:tab w:val="left" w:pos="720"/>
        <w:tab w:val="left" w:pos="761"/>
        <w:tab w:val="clear" w:pos="709"/>
        <w:tab w:val="clear" w:pos="1440"/>
      </w:tabs>
      <w:spacing w:beforeLines="30" w:afterLines="30"/>
      <w:ind w:left="1522" w:hanging="720"/>
    </w:pPr>
    <w:rPr>
      <w:rFonts w:ascii="Cambria" w:eastAsia="华文细黑" w:cs="宋体"/>
      <w:b w:val="0"/>
      <w:bCs/>
      <w:color w:val="000000"/>
      <w:kern w:val="2"/>
    </w:rPr>
  </w:style>
  <w:style w:type="paragraph" w:customStyle="1" w:styleId="2849">
    <w:name w:val="xl30"/>
    <w:basedOn w:val="1"/>
    <w:qFormat/>
    <w:uiPriority w:val="0"/>
    <w:pPr>
      <w:pBdr>
        <w:left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kern w:val="0"/>
      <w:sz w:val="20"/>
      <w:szCs w:val="20"/>
    </w:rPr>
  </w:style>
  <w:style w:type="paragraph" w:customStyle="1" w:styleId="2850">
    <w:name w:val="样式 样式 样式 标题 3 + 段前: 0.5 行 + 段前: 0.5 行1 + 段前: 0.2 行 段后: 0.2 行"/>
    <w:basedOn w:val="1"/>
    <w:qFormat/>
    <w:uiPriority w:val="0"/>
    <w:pPr>
      <w:keepNext/>
      <w:keepLines/>
      <w:spacing w:beforeLines="50" w:line="360" w:lineRule="auto"/>
      <w:outlineLvl w:val="2"/>
    </w:pPr>
    <w:rPr>
      <w:rFonts w:ascii="宋体" w:hAnsi="宋体"/>
      <w:b/>
      <w:bCs/>
      <w:szCs w:val="28"/>
    </w:rPr>
  </w:style>
  <w:style w:type="paragraph" w:customStyle="1" w:styleId="2851">
    <w:name w:val="样式 备注 + 宋体 首行缩进:  2 字符"/>
    <w:basedOn w:val="2852"/>
    <w:qFormat/>
    <w:uiPriority w:val="0"/>
  </w:style>
  <w:style w:type="paragraph" w:customStyle="1" w:styleId="2852">
    <w:name w:val="备注"/>
    <w:basedOn w:val="1"/>
    <w:qFormat/>
    <w:uiPriority w:val="0"/>
    <w:pPr>
      <w:spacing w:line="360" w:lineRule="auto"/>
    </w:pPr>
    <w:rPr>
      <w:spacing w:val="6"/>
    </w:rPr>
  </w:style>
  <w:style w:type="paragraph" w:customStyle="1" w:styleId="2853">
    <w:name w:val="样式3wf"/>
    <w:basedOn w:val="2336"/>
    <w:qFormat/>
    <w:uiPriority w:val="0"/>
    <w:pPr>
      <w:keepLines w:val="0"/>
      <w:pageBreakBefore w:val="0"/>
      <w:autoSpaceDE w:val="0"/>
      <w:autoSpaceDN w:val="0"/>
      <w:spacing w:before="120" w:beforeAutospacing="0" w:after="0" w:afterAutospacing="0" w:line="240" w:lineRule="auto"/>
      <w:jc w:val="center"/>
      <w:textAlignment w:val="baseline"/>
      <w:outlineLvl w:val="9"/>
    </w:pPr>
    <w:rPr>
      <w:rFonts w:ascii="Times New Roman" w:hAnsi="Times New Roman" w:eastAsia="宋体"/>
      <w:b w:val="0"/>
      <w:sz w:val="21"/>
      <w:szCs w:val="21"/>
    </w:rPr>
  </w:style>
  <w:style w:type="paragraph" w:customStyle="1" w:styleId="2854">
    <w:name w:val="（一）标题"/>
    <w:basedOn w:val="1"/>
    <w:next w:val="39"/>
    <w:qFormat/>
    <w:uiPriority w:val="0"/>
    <w:pPr>
      <w:spacing w:beforeLines="50" w:line="480" w:lineRule="exact"/>
    </w:pPr>
    <w:rPr>
      <w:b/>
    </w:rPr>
  </w:style>
  <w:style w:type="paragraph" w:customStyle="1" w:styleId="2855">
    <w:name w:val="列表 4Q"/>
    <w:basedOn w:val="81"/>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2856">
    <w:name w:val="样式 纯文本 + 首行缩进:  2 字符 段前: 7.8 磅 段后: 7.8 磅 字符缩放: 105% 非加宽量 / 紧..."/>
    <w:basedOn w:val="49"/>
    <w:qFormat/>
    <w:uiPriority w:val="0"/>
    <w:pPr>
      <w:spacing w:before="156" w:after="156" w:line="300" w:lineRule="auto"/>
      <w:ind w:firstLine="503"/>
    </w:pPr>
    <w:rPr>
      <w:rFonts w:eastAsia="长城楷体_GB2312"/>
      <w:w w:val="105"/>
      <w:kern w:val="2"/>
      <w:sz w:val="24"/>
      <w:szCs w:val="24"/>
    </w:rPr>
  </w:style>
  <w:style w:type="paragraph" w:customStyle="1" w:styleId="2857">
    <w:name w:val="样式 表格内容 + 五号"/>
    <w:basedOn w:val="254"/>
    <w:qFormat/>
    <w:uiPriority w:val="0"/>
    <w:pPr>
      <w:adjustRightInd/>
      <w:snapToGrid/>
      <w:spacing w:line="240" w:lineRule="auto"/>
      <w:ind w:firstLine="200"/>
    </w:pPr>
    <w:rPr>
      <w:rFonts w:cs="宋体"/>
      <w:sz w:val="21"/>
      <w:szCs w:val="24"/>
    </w:rPr>
  </w:style>
  <w:style w:type="paragraph" w:customStyle="1" w:styleId="2858">
    <w:name w:val="p17"/>
    <w:basedOn w:val="1"/>
    <w:qFormat/>
    <w:uiPriority w:val="0"/>
    <w:rPr>
      <w:color w:val="000000"/>
      <w:kern w:val="0"/>
      <w:szCs w:val="21"/>
    </w:rPr>
  </w:style>
  <w:style w:type="paragraph" w:customStyle="1" w:styleId="2859">
    <w:name w:val="Char Char Char3 Char Char Char Char Char Char Char Char Char Char Char"/>
    <w:basedOn w:val="1"/>
    <w:qFormat/>
    <w:uiPriority w:val="0"/>
    <w:pPr>
      <w:spacing w:line="360" w:lineRule="auto"/>
    </w:pPr>
    <w:rPr>
      <w:rFonts w:ascii="宋体" w:hAnsi="宋体" w:cs="宋体"/>
      <w:sz w:val="24"/>
    </w:rPr>
  </w:style>
  <w:style w:type="paragraph" w:customStyle="1" w:styleId="2860">
    <w:name w:val="xl84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2861">
    <w:name w:val="标题样式1"/>
    <w:basedOn w:val="5"/>
    <w:qFormat/>
    <w:uiPriority w:val="0"/>
    <w:pPr>
      <w:spacing w:before="0" w:after="0" w:line="360" w:lineRule="auto"/>
      <w:jc w:val="left"/>
      <w:textAlignment w:val="baseline"/>
    </w:pPr>
    <w:rPr>
      <w:rFonts w:ascii="黑体" w:eastAsia="黑体"/>
      <w:bCs w:val="0"/>
      <w:sz w:val="24"/>
      <w:szCs w:val="20"/>
    </w:rPr>
  </w:style>
  <w:style w:type="paragraph" w:customStyle="1" w:styleId="2862">
    <w:name w:val="Char Char Char Char Char Char Char Char Char1 Char Char Char Char Char Char Char Char Char Char Char Char Char Char Char Char1"/>
    <w:basedOn w:val="1"/>
    <w:qFormat/>
    <w:uiPriority w:val="0"/>
    <w:pPr>
      <w:spacing w:line="360" w:lineRule="auto"/>
    </w:pPr>
    <w:rPr>
      <w:rFonts w:ascii="宋体" w:hAnsi="宋体" w:cs="宋体"/>
      <w:sz w:val="24"/>
    </w:rPr>
  </w:style>
  <w:style w:type="paragraph" w:customStyle="1" w:styleId="2863">
    <w:name w:val="Char Char Char2 Char1"/>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2864">
    <w:name w:val="列表 2R"/>
    <w:basedOn w:val="41"/>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865">
    <w:name w:val="正文文本 32"/>
    <w:basedOn w:val="1"/>
    <w:qFormat/>
    <w:uiPriority w:val="0"/>
    <w:pPr>
      <w:spacing w:line="240" w:lineRule="atLeast"/>
      <w:jc w:val="center"/>
      <w:textAlignment w:val="baseline"/>
    </w:pPr>
    <w:rPr>
      <w:rFonts w:ascii="宋体"/>
      <w:sz w:val="18"/>
    </w:rPr>
  </w:style>
  <w:style w:type="paragraph" w:customStyle="1" w:styleId="2866">
    <w:name w:val="xl45"/>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eastAsia="Arial Unicode MS"/>
      <w:kern w:val="0"/>
      <w:sz w:val="24"/>
    </w:rPr>
  </w:style>
  <w:style w:type="paragraph" w:customStyle="1" w:styleId="2867">
    <w:name w:val="xl20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kern w:val="0"/>
      <w:sz w:val="20"/>
      <w:szCs w:val="20"/>
    </w:rPr>
  </w:style>
  <w:style w:type="paragraph" w:customStyle="1" w:styleId="2868">
    <w:name w:val="xl16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2869">
    <w:name w:val="列表 4V"/>
    <w:basedOn w:val="81"/>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2870">
    <w:name w:val="表格，五宋"/>
    <w:qFormat/>
    <w:uiPriority w:val="0"/>
    <w:pPr>
      <w:adjustRightInd w:val="0"/>
      <w:spacing w:line="360" w:lineRule="exact"/>
      <w:jc w:val="center"/>
    </w:pPr>
    <w:rPr>
      <w:rFonts w:ascii="Calibri" w:hAnsi="Calibri" w:eastAsia="宋体" w:cs="Times New Roman"/>
      <w:sz w:val="21"/>
      <w:szCs w:val="22"/>
      <w:lang w:val="en-US" w:eastAsia="zh-CN" w:bidi="ar-SA"/>
    </w:rPr>
  </w:style>
  <w:style w:type="paragraph" w:customStyle="1" w:styleId="2871">
    <w:name w:val="xl829"/>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2872">
    <w:name w:val="Char Char Char1 Char Char Char Char Char Char Char Char Char Char Char Char Char Char Char Char Char Char Char Char Char Char Char Char Char"/>
    <w:basedOn w:val="1"/>
    <w:qFormat/>
    <w:uiPriority w:val="0"/>
  </w:style>
  <w:style w:type="paragraph" w:customStyle="1" w:styleId="2873">
    <w:name w:val="april标题1"/>
    <w:basedOn w:val="5"/>
    <w:qFormat/>
    <w:uiPriority w:val="0"/>
    <w:pPr>
      <w:keepLines w:val="0"/>
      <w:spacing w:before="480" w:after="480" w:line="520" w:lineRule="exact"/>
      <w:ind w:left="0" w:firstLine="200"/>
      <w:jc w:val="center"/>
      <w:textAlignment w:val="baseline"/>
    </w:pPr>
    <w:rPr>
      <w:rFonts w:ascii="Cambria"/>
      <w:bCs w:val="0"/>
      <w:spacing w:val="6"/>
      <w:kern w:val="32"/>
      <w:sz w:val="32"/>
      <w:szCs w:val="20"/>
    </w:rPr>
  </w:style>
  <w:style w:type="paragraph" w:customStyle="1" w:styleId="2874">
    <w:name w:val="表格文字2"/>
    <w:basedOn w:val="1"/>
    <w:qFormat/>
    <w:uiPriority w:val="0"/>
    <w:pPr>
      <w:tabs>
        <w:tab w:val="left" w:pos="277"/>
        <w:tab w:val="left" w:pos="600"/>
        <w:tab w:val="left" w:pos="780"/>
        <w:tab w:val="left" w:pos="2517"/>
      </w:tabs>
      <w:spacing w:before="60"/>
      <w:jc w:val="center"/>
      <w:textAlignment w:val="baseline"/>
    </w:pPr>
    <w:rPr>
      <w:kern w:val="0"/>
      <w:szCs w:val="21"/>
    </w:rPr>
  </w:style>
  <w:style w:type="paragraph" w:customStyle="1" w:styleId="2875">
    <w:name w:val="表格标题7"/>
    <w:basedOn w:val="82"/>
    <w:qFormat/>
    <w:uiPriority w:val="0"/>
    <w:pPr>
      <w:tabs>
        <w:tab w:val="left" w:pos="3393"/>
      </w:tabs>
      <w:adjustRightInd/>
      <w:snapToGrid/>
      <w:spacing w:after="0" w:line="360" w:lineRule="auto"/>
      <w:ind w:left="3393" w:leftChars="0" w:hanging="432"/>
      <w:jc w:val="center"/>
    </w:pPr>
    <w:rPr>
      <w:b/>
      <w:sz w:val="24"/>
    </w:rPr>
  </w:style>
  <w:style w:type="paragraph" w:customStyle="1" w:styleId="2876">
    <w:name w:val="Outline Char Char"/>
    <w:basedOn w:val="1"/>
    <w:qFormat/>
    <w:uiPriority w:val="0"/>
    <w:pPr>
      <w:spacing w:after="160" w:line="240" w:lineRule="exact"/>
      <w:jc w:val="left"/>
    </w:pPr>
    <w:rPr>
      <w:rFonts w:ascii="Verdana" w:hAnsi="Verdana"/>
      <w:kern w:val="0"/>
      <w:sz w:val="20"/>
      <w:szCs w:val="20"/>
      <w:lang w:eastAsia="en-US"/>
    </w:rPr>
  </w:style>
  <w:style w:type="paragraph" w:customStyle="1" w:styleId="2877">
    <w:name w:val="表芯"/>
    <w:basedOn w:val="1"/>
    <w:next w:val="1"/>
    <w:qFormat/>
    <w:uiPriority w:val="0"/>
    <w:pPr>
      <w:keepNext/>
      <w:spacing w:before="20" w:line="0" w:lineRule="atLeast"/>
      <w:jc w:val="center"/>
      <w:textAlignment w:val="baseline"/>
    </w:pPr>
    <w:rPr>
      <w:kern w:val="21"/>
    </w:rPr>
  </w:style>
  <w:style w:type="paragraph" w:customStyle="1" w:styleId="2878">
    <w:name w:val="列表 2U"/>
    <w:basedOn w:val="41"/>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879">
    <w:name w:val="样式 标题 3h33rd levelH33Head 3level_3PIM 3Level 3 Head二级节名...1"/>
    <w:basedOn w:val="7"/>
    <w:qFormat/>
    <w:uiPriority w:val="0"/>
    <w:pPr>
      <w:keepLines w:val="0"/>
      <w:tabs>
        <w:tab w:val="clear" w:pos="1440"/>
      </w:tabs>
      <w:spacing w:before="240" w:after="60"/>
      <w:ind w:left="0" w:firstLine="200"/>
    </w:pPr>
    <w:rPr>
      <w:rFonts w:ascii="Cambria" w:hAnsi="Cambria" w:eastAsia="仿宋_GB2312"/>
      <w:bCs/>
      <w:kern w:val="2"/>
      <w:sz w:val="26"/>
      <w:szCs w:val="26"/>
    </w:rPr>
  </w:style>
  <w:style w:type="paragraph" w:customStyle="1" w:styleId="2880">
    <w:name w:val="叁了缩减"/>
    <w:basedOn w:val="1942"/>
    <w:qFormat/>
    <w:uiPriority w:val="0"/>
    <w:pPr>
      <w:spacing w:before="240" w:after="20"/>
    </w:pPr>
    <w:rPr>
      <w:szCs w:val="20"/>
    </w:rPr>
  </w:style>
  <w:style w:type="paragraph" w:customStyle="1" w:styleId="2881">
    <w:name w:val="标题5 Char Char Char Char"/>
    <w:basedOn w:val="1"/>
    <w:qFormat/>
    <w:uiPriority w:val="0"/>
    <w:pPr>
      <w:tabs>
        <w:tab w:val="left" w:pos="840"/>
      </w:tabs>
      <w:spacing w:line="360" w:lineRule="auto"/>
      <w:ind w:left="840" w:hanging="420"/>
      <w:outlineLvl w:val="3"/>
    </w:pPr>
    <w:rPr>
      <w:sz w:val="24"/>
    </w:rPr>
  </w:style>
  <w:style w:type="paragraph" w:customStyle="1" w:styleId="2882">
    <w:name w:val="Char Char Char3 Char Char Char71"/>
    <w:basedOn w:val="1"/>
    <w:qFormat/>
    <w:uiPriority w:val="0"/>
    <w:pPr>
      <w:spacing w:line="360" w:lineRule="auto"/>
    </w:pPr>
    <w:rPr>
      <w:rFonts w:ascii="宋体" w:hAnsi="宋体" w:cs="宋体"/>
      <w:sz w:val="24"/>
    </w:rPr>
  </w:style>
  <w:style w:type="paragraph" w:customStyle="1" w:styleId="2883">
    <w:name w:val="xl73"/>
    <w:basedOn w:val="1"/>
    <w:qFormat/>
    <w:uiPriority w:val="0"/>
    <w:pPr>
      <w:spacing w:before="100" w:beforeAutospacing="1" w:after="100" w:afterAutospacing="1"/>
      <w:jc w:val="left"/>
    </w:pPr>
    <w:rPr>
      <w:rFonts w:ascii="Arial Unicode MS" w:hAnsi="Arial Unicode MS" w:eastAsia="Arial Unicode MS" w:cs="Arial Unicode MS"/>
      <w:kern w:val="0"/>
      <w:sz w:val="20"/>
      <w:szCs w:val="20"/>
      <w:u w:val="single"/>
    </w:rPr>
  </w:style>
  <w:style w:type="paragraph" w:customStyle="1" w:styleId="2884">
    <w:name w:val="正文文本 221"/>
    <w:basedOn w:val="1"/>
    <w:qFormat/>
    <w:uiPriority w:val="0"/>
    <w:pPr>
      <w:ind w:firstLine="600"/>
      <w:textAlignment w:val="baseline"/>
    </w:pPr>
    <w:rPr>
      <w:rFonts w:ascii="仿宋_GB2312"/>
      <w:sz w:val="30"/>
    </w:rPr>
  </w:style>
  <w:style w:type="paragraph" w:customStyle="1" w:styleId="2885">
    <w:name w:val="引言"/>
    <w:basedOn w:val="1"/>
    <w:next w:val="1"/>
    <w:qFormat/>
    <w:uiPriority w:val="0"/>
    <w:pPr>
      <w:autoSpaceDE w:val="0"/>
      <w:autoSpaceDN w:val="0"/>
      <w:spacing w:line="480" w:lineRule="exact"/>
      <w:jc w:val="center"/>
    </w:pPr>
    <w:rPr>
      <w:szCs w:val="21"/>
    </w:rPr>
  </w:style>
  <w:style w:type="paragraph" w:customStyle="1" w:styleId="2886">
    <w:name w:val="自定义正文 Char Char Char"/>
    <w:qFormat/>
    <w:uiPriority w:val="0"/>
    <w:pPr>
      <w:widowControl w:val="0"/>
      <w:adjustRightInd w:val="0"/>
      <w:snapToGrid w:val="0"/>
      <w:spacing w:line="360" w:lineRule="auto"/>
      <w:ind w:firstLine="510"/>
      <w:jc w:val="both"/>
    </w:pPr>
    <w:rPr>
      <w:rFonts w:ascii="Calibri" w:hAnsi="Calibri" w:eastAsia="宋体" w:cs="Times New Roman"/>
      <w:spacing w:val="-2"/>
      <w:kern w:val="2"/>
      <w:sz w:val="28"/>
      <w:szCs w:val="24"/>
      <w:lang w:val="en-US" w:eastAsia="zh-CN" w:bidi="ar-SA"/>
    </w:rPr>
  </w:style>
  <w:style w:type="paragraph" w:customStyle="1" w:styleId="2887">
    <w:name w:val="表文C"/>
    <w:basedOn w:val="2621"/>
    <w:qFormat/>
    <w:uiPriority w:val="0"/>
    <w:pPr>
      <w:spacing w:line="240" w:lineRule="auto"/>
    </w:pPr>
    <w:rPr>
      <w:rFonts w:ascii="Times New Roman"/>
    </w:rPr>
  </w:style>
  <w:style w:type="paragraph" w:customStyle="1" w:styleId="2888">
    <w:name w:val="xl169"/>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2889">
    <w:name w:val="表文LA"/>
    <w:qFormat/>
    <w:uiPriority w:val="0"/>
    <w:pPr>
      <w:tabs>
        <w:tab w:val="left" w:pos="0"/>
      </w:tabs>
      <w:adjustRightInd w:val="0"/>
      <w:snapToGrid w:val="0"/>
      <w:spacing w:before="31" w:after="31" w:line="320" w:lineRule="exact"/>
      <w:jc w:val="center"/>
    </w:pPr>
    <w:rPr>
      <w:rFonts w:ascii="宋体" w:hAnsi="Calibri" w:eastAsia="宋体" w:cs="Times New Roman"/>
      <w:sz w:val="21"/>
      <w:szCs w:val="22"/>
      <w:lang w:val="en-US" w:eastAsia="zh-CN" w:bidi="ar-SA"/>
    </w:rPr>
  </w:style>
  <w:style w:type="paragraph" w:customStyle="1" w:styleId="2890">
    <w:name w:val="样式 标题 3标题 3XW标题 3XW Char标题 3XW Char Char Char Char标题 3XW Cha...2"/>
    <w:basedOn w:val="7"/>
    <w:qFormat/>
    <w:uiPriority w:val="0"/>
    <w:pPr>
      <w:keepLines w:val="0"/>
      <w:tabs>
        <w:tab w:val="clear" w:pos="1440"/>
      </w:tabs>
      <w:spacing w:before="0" w:after="0"/>
      <w:ind w:left="0" w:firstLine="200"/>
    </w:pPr>
    <w:rPr>
      <w:rFonts w:ascii="Cambria" w:hAnsi="Cambria" w:eastAsia="仿宋_GB2312" w:cs="宋体"/>
      <w:color w:val="000000"/>
      <w:kern w:val="2"/>
    </w:rPr>
  </w:style>
  <w:style w:type="paragraph" w:customStyle="1" w:styleId="2891">
    <w:name w:val="Char Char Char Char Char Char Char Char Char Char Char Char1 Char Char Char Char Char Char Char Char Char Char Char Char1 Char"/>
    <w:basedOn w:val="1"/>
    <w:next w:val="1"/>
    <w:semiHidden/>
    <w:qFormat/>
    <w:uiPriority w:val="0"/>
    <w:pPr>
      <w:spacing w:line="336" w:lineRule="auto"/>
    </w:pPr>
    <w:rPr>
      <w:rFonts w:ascii="宋体" w:hAnsi="宋体" w:eastAsia="汉鼎简书宋" w:cs="宋体"/>
      <w:sz w:val="24"/>
    </w:rPr>
  </w:style>
  <w:style w:type="paragraph" w:customStyle="1" w:styleId="2892">
    <w:name w:val="正文缩"/>
    <w:basedOn w:val="1"/>
    <w:qFormat/>
    <w:uiPriority w:val="0"/>
    <w:pPr>
      <w:spacing w:line="480" w:lineRule="atLeast"/>
    </w:pPr>
    <w:rPr>
      <w:rFonts w:ascii="宋体"/>
      <w:snapToGrid w:val="0"/>
      <w:spacing w:val="6"/>
      <w:kern w:val="0"/>
    </w:rPr>
  </w:style>
  <w:style w:type="paragraph" w:customStyle="1" w:styleId="2893">
    <w:name w:val="自定义正文 Char Char Char Char Char Char Char Char Char Char Char Char Char"/>
    <w:qFormat/>
    <w:uiPriority w:val="0"/>
    <w:pPr>
      <w:widowControl w:val="0"/>
      <w:topLinePunct/>
      <w:adjustRightInd w:val="0"/>
      <w:snapToGrid w:val="0"/>
      <w:spacing w:line="360" w:lineRule="auto"/>
      <w:ind w:firstLine="510"/>
      <w:jc w:val="both"/>
    </w:pPr>
    <w:rPr>
      <w:rFonts w:ascii="Calibri" w:hAnsi="Calibri" w:eastAsia="宋体" w:cs="Times New Roman"/>
      <w:kern w:val="2"/>
      <w:position w:val="-28"/>
      <w:sz w:val="28"/>
      <w:szCs w:val="28"/>
      <w:lang w:val="en-US" w:eastAsia="zh-CN" w:bidi="ar-SA"/>
    </w:rPr>
  </w:style>
  <w:style w:type="paragraph" w:customStyle="1" w:styleId="2894">
    <w:name w:val="xl1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000000"/>
      <w:kern w:val="0"/>
      <w:sz w:val="18"/>
      <w:szCs w:val="18"/>
    </w:rPr>
  </w:style>
  <w:style w:type="paragraph" w:customStyle="1" w:styleId="2895">
    <w:name w:val="4标题(治)"/>
    <w:basedOn w:val="1"/>
    <w:next w:val="1"/>
    <w:qFormat/>
    <w:uiPriority w:val="0"/>
    <w:pPr>
      <w:spacing w:line="360" w:lineRule="auto"/>
      <w:textAlignment w:val="baseline"/>
      <w:outlineLvl w:val="3"/>
    </w:pPr>
    <w:rPr>
      <w:b/>
      <w:sz w:val="24"/>
    </w:rPr>
  </w:style>
  <w:style w:type="paragraph" w:customStyle="1" w:styleId="2896">
    <w:name w:val="样式 标题 4 + 非加粗"/>
    <w:basedOn w:val="10"/>
    <w:qFormat/>
    <w:uiPriority w:val="0"/>
    <w:pPr>
      <w:tabs>
        <w:tab w:val="left" w:pos="1260"/>
      </w:tabs>
      <w:spacing w:line="400" w:lineRule="exact"/>
      <w:ind w:left="0" w:firstLine="200"/>
    </w:pPr>
    <w:rPr>
      <w:szCs w:val="20"/>
    </w:rPr>
  </w:style>
  <w:style w:type="paragraph" w:customStyle="1" w:styleId="2897">
    <w:name w:val="Char Char Char Char Char Char Char Char Char Char Char Char Char Char Char Char4"/>
    <w:basedOn w:val="1"/>
    <w:qFormat/>
    <w:uiPriority w:val="0"/>
    <w:pPr>
      <w:spacing w:line="360" w:lineRule="auto"/>
    </w:pPr>
    <w:rPr>
      <w:rFonts w:ascii="宋体" w:hAnsi="宋体" w:cs="宋体"/>
      <w:sz w:val="24"/>
    </w:rPr>
  </w:style>
  <w:style w:type="paragraph" w:customStyle="1" w:styleId="2898">
    <w:name w:val="Char Char Char Char Char Char Char2"/>
    <w:basedOn w:val="1"/>
    <w:qFormat/>
    <w:uiPriority w:val="0"/>
    <w:pPr>
      <w:spacing w:line="360" w:lineRule="auto"/>
    </w:pPr>
    <w:rPr>
      <w:sz w:val="24"/>
    </w:rPr>
  </w:style>
  <w:style w:type="paragraph" w:customStyle="1" w:styleId="2899">
    <w:name w:val="表中文字5"/>
    <w:basedOn w:val="1"/>
    <w:qFormat/>
    <w:uiPriority w:val="0"/>
    <w:pPr>
      <w:spacing w:before="100" w:after="100"/>
      <w:ind w:right="-32"/>
      <w:jc w:val="center"/>
    </w:pPr>
    <w:rPr>
      <w:rFonts w:ascii="宋体"/>
      <w:color w:val="000000"/>
    </w:rPr>
  </w:style>
  <w:style w:type="paragraph" w:customStyle="1" w:styleId="2900">
    <w:name w:val="xl97"/>
    <w:basedOn w:val="1"/>
    <w:qFormat/>
    <w:uiPriority w:val="0"/>
    <w:pPr>
      <w:pBdr>
        <w:left w:val="single" w:color="auto" w:sz="8" w:space="0"/>
        <w:right w:val="single" w:color="auto" w:sz="4" w:space="0"/>
      </w:pBdr>
      <w:spacing w:before="100" w:beforeAutospacing="1" w:after="100" w:afterAutospacing="1"/>
      <w:jc w:val="center"/>
      <w:textAlignment w:val="center"/>
    </w:pPr>
    <w:rPr>
      <w:rFonts w:eastAsia="Arial Unicode MS"/>
      <w:kern w:val="0"/>
      <w:sz w:val="16"/>
      <w:szCs w:val="16"/>
    </w:rPr>
  </w:style>
  <w:style w:type="paragraph" w:customStyle="1" w:styleId="2901">
    <w:name w:val="第1.1节"/>
    <w:basedOn w:val="1"/>
    <w:qFormat/>
    <w:uiPriority w:val="0"/>
    <w:pPr>
      <w:spacing w:before="360" w:after="240" w:line="240" w:lineRule="atLeast"/>
      <w:outlineLvl w:val="1"/>
    </w:pPr>
    <w:rPr>
      <w:rFonts w:ascii="楷体_GB2312" w:eastAsia="楷体_GB2312"/>
      <w:b/>
      <w:spacing w:val="6"/>
    </w:rPr>
  </w:style>
  <w:style w:type="paragraph" w:customStyle="1" w:styleId="2902">
    <w:name w:val="1-表头"/>
    <w:basedOn w:val="1"/>
    <w:qFormat/>
    <w:uiPriority w:val="0"/>
    <w:pPr>
      <w:spacing w:beforeLines="50" w:afterLines="20"/>
      <w:jc w:val="center"/>
    </w:pPr>
    <w:rPr>
      <w:rFonts w:ascii="宋体" w:hAnsi="宋体"/>
      <w:szCs w:val="21"/>
    </w:rPr>
  </w:style>
  <w:style w:type="paragraph" w:customStyle="1" w:styleId="2903">
    <w:name w:val="a-文本缩2"/>
    <w:qFormat/>
    <w:uiPriority w:val="0"/>
    <w:pPr>
      <w:adjustRightInd w:val="0"/>
      <w:snapToGrid w:val="0"/>
      <w:spacing w:line="360" w:lineRule="auto"/>
      <w:ind w:firstLine="200" w:firstLineChars="200"/>
      <w:jc w:val="both"/>
    </w:pPr>
    <w:rPr>
      <w:rFonts w:ascii="Calibri" w:hAnsi="Calibri" w:eastAsia="宋体" w:cs="Times New Roman"/>
      <w:color w:val="000000"/>
      <w:kern w:val="2"/>
      <w:sz w:val="24"/>
      <w:szCs w:val="21"/>
      <w:lang w:val="en-US" w:eastAsia="zh-CN" w:bidi="ar-SA"/>
    </w:rPr>
  </w:style>
  <w:style w:type="paragraph" w:customStyle="1" w:styleId="2904">
    <w:name w:val="Char Char Char Char Char Char Char Char Char1 Char Char Char Char Char Char Char Char Char Char Char Char Char Char Char Char Char Char Char"/>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2905">
    <w:name w:val="wtext"/>
    <w:basedOn w:val="1"/>
    <w:qFormat/>
    <w:uiPriority w:val="0"/>
    <w:pPr>
      <w:spacing w:before="100" w:beforeAutospacing="1" w:after="100" w:afterAutospacing="1" w:line="312" w:lineRule="atLeast"/>
      <w:ind w:firstLine="480"/>
      <w:textAlignment w:val="baseline"/>
    </w:pPr>
    <w:rPr>
      <w:color w:val="000000"/>
      <w:sz w:val="22"/>
    </w:rPr>
  </w:style>
  <w:style w:type="paragraph" w:customStyle="1" w:styleId="2906">
    <w:name w:val="样式 标题 3条标题1.1.13h33rd levelH3l3CT头小标题小节标题头 Char标题 31..."/>
    <w:basedOn w:val="7"/>
    <w:qFormat/>
    <w:uiPriority w:val="0"/>
    <w:pPr>
      <w:keepNext w:val="0"/>
      <w:keepLines w:val="0"/>
      <w:tabs>
        <w:tab w:val="left" w:pos="720"/>
        <w:tab w:val="clear" w:pos="709"/>
        <w:tab w:val="clear" w:pos="1440"/>
      </w:tabs>
      <w:spacing w:after="120" w:line="360" w:lineRule="auto"/>
      <w:ind w:left="720" w:hanging="720"/>
    </w:pPr>
    <w:rPr>
      <w:rFonts w:cs="宋体"/>
      <w:bCs/>
      <w:sz w:val="24"/>
    </w:rPr>
  </w:style>
  <w:style w:type="paragraph" w:customStyle="1" w:styleId="2907">
    <w:name w:val="样式 题注 + 首行缩进:  2 字符"/>
    <w:basedOn w:val="26"/>
    <w:qFormat/>
    <w:uiPriority w:val="0"/>
    <w:pPr>
      <w:spacing w:before="152" w:after="160" w:line="360" w:lineRule="auto"/>
      <w:ind w:firstLine="400"/>
    </w:pPr>
    <w:rPr>
      <w:rFonts w:ascii="Arial" w:hAnsi="Arial" w:cs="宋体"/>
      <w:sz w:val="21"/>
    </w:rPr>
  </w:style>
  <w:style w:type="paragraph" w:customStyle="1" w:styleId="2908">
    <w:name w:val="正文文本2"/>
    <w:basedOn w:val="1"/>
    <w:qFormat/>
    <w:uiPriority w:val="0"/>
    <w:pPr>
      <w:spacing w:line="240" w:lineRule="atLeast"/>
      <w:jc w:val="center"/>
    </w:pPr>
    <w:rPr>
      <w:sz w:val="18"/>
      <w:szCs w:val="18"/>
    </w:rPr>
  </w:style>
  <w:style w:type="paragraph" w:customStyle="1" w:styleId="2909">
    <w:name w:val="报告书正文 Char Char Char Char Char Char Char Char Char"/>
    <w:basedOn w:val="1"/>
    <w:qFormat/>
    <w:uiPriority w:val="0"/>
    <w:pPr>
      <w:spacing w:line="300" w:lineRule="auto"/>
      <w:ind w:firstLine="480"/>
    </w:pPr>
    <w:rPr>
      <w:color w:val="000000"/>
      <w:sz w:val="24"/>
    </w:rPr>
  </w:style>
  <w:style w:type="paragraph" w:customStyle="1" w:styleId="2910">
    <w:name w:val="表内字五"/>
    <w:basedOn w:val="70"/>
    <w:qFormat/>
    <w:uiPriority w:val="0"/>
    <w:pPr>
      <w:tabs>
        <w:tab w:val="left" w:pos="255"/>
        <w:tab w:val="left" w:pos="540"/>
        <w:tab w:val="left" w:pos="600"/>
        <w:tab w:val="left" w:pos="720"/>
        <w:tab w:val="left" w:pos="1200"/>
        <w:tab w:val="left" w:pos="1440"/>
        <w:tab w:val="left" w:pos="2448"/>
        <w:tab w:val="left" w:pos="3000"/>
        <w:tab w:val="left" w:pos="3888"/>
        <w:tab w:val="left" w:pos="4800"/>
        <w:tab w:val="left" w:pos="5883"/>
        <w:tab w:val="left" w:pos="6300"/>
        <w:tab w:val="left" w:pos="7353"/>
        <w:tab w:val="left" w:pos="8613"/>
      </w:tabs>
      <w:autoSpaceDE w:val="0"/>
      <w:autoSpaceDN w:val="0"/>
      <w:spacing w:line="300" w:lineRule="auto"/>
      <w:ind w:left="0" w:firstLine="0"/>
      <w:jc w:val="center"/>
      <w:textAlignment w:val="baseline"/>
    </w:pPr>
    <w:rPr>
      <w:rFonts w:ascii="Times New Roman" w:eastAsia="宋体"/>
      <w:kern w:val="0"/>
      <w:sz w:val="21"/>
      <w:szCs w:val="21"/>
    </w:rPr>
  </w:style>
  <w:style w:type="paragraph" w:customStyle="1" w:styleId="2911">
    <w:name w:val="样式 表格单位 + 段后: 0.5 行1"/>
    <w:basedOn w:val="2912"/>
    <w:qFormat/>
    <w:uiPriority w:val="0"/>
    <w:pPr>
      <w:tabs>
        <w:tab w:val="left" w:pos="0"/>
      </w:tabs>
      <w:spacing w:afterLines="0"/>
    </w:pPr>
    <w:rPr>
      <w:rFonts w:cs="宋体"/>
    </w:rPr>
  </w:style>
  <w:style w:type="paragraph" w:customStyle="1" w:styleId="2912">
    <w:name w:val="表格单位"/>
    <w:basedOn w:val="25"/>
    <w:qFormat/>
    <w:uiPriority w:val="0"/>
    <w:pPr>
      <w:tabs>
        <w:tab w:val="left" w:pos="0"/>
      </w:tabs>
      <w:autoSpaceDE w:val="0"/>
      <w:autoSpaceDN w:val="0"/>
      <w:spacing w:afterLines="50"/>
      <w:ind w:firstLine="0" w:firstLineChars="0"/>
      <w:jc w:val="right"/>
      <w:textAlignment w:val="baseline"/>
    </w:pPr>
    <w:rPr>
      <w:rFonts w:eastAsia="宋体"/>
      <w:color w:val="000000"/>
      <w:kern w:val="0"/>
      <w:szCs w:val="24"/>
      <w:lang w:val="zh-CN"/>
    </w:rPr>
  </w:style>
  <w:style w:type="paragraph" w:customStyle="1" w:styleId="2913">
    <w:name w:val="Char6"/>
    <w:basedOn w:val="1"/>
    <w:qFormat/>
    <w:uiPriority w:val="0"/>
  </w:style>
  <w:style w:type="paragraph" w:customStyle="1" w:styleId="2914">
    <w:name w:val="样式 标题 4款标题1.1.1.1标题 4 Char + (中文) 楷体_GB2312 四号 加粗 段前: 3 磅 ..."/>
    <w:basedOn w:val="10"/>
    <w:qFormat/>
    <w:uiPriority w:val="0"/>
    <w:pPr>
      <w:spacing w:before="60"/>
      <w:ind w:left="1680" w:hanging="420"/>
    </w:pPr>
    <w:rPr>
      <w:rFonts w:cs="宋体"/>
      <w:bCs w:val="0"/>
      <w:spacing w:val="6"/>
      <w:szCs w:val="20"/>
    </w:rPr>
  </w:style>
  <w:style w:type="paragraph" w:customStyle="1" w:styleId="2915">
    <w:name w:val="表字"/>
    <w:basedOn w:val="1"/>
    <w:qFormat/>
    <w:uiPriority w:val="0"/>
    <w:pPr>
      <w:jc w:val="center"/>
    </w:pPr>
    <w:rPr>
      <w:rFonts w:ascii="宋体"/>
      <w:szCs w:val="20"/>
    </w:rPr>
  </w:style>
  <w:style w:type="paragraph" w:customStyle="1" w:styleId="2916">
    <w:name w:val="编写人固定EPAJW120926"/>
    <w:basedOn w:val="1"/>
    <w:qFormat/>
    <w:uiPriority w:val="0"/>
    <w:pPr>
      <w:spacing w:line="360" w:lineRule="auto"/>
      <w:jc w:val="center"/>
    </w:pPr>
    <w:rPr>
      <w:rFonts w:eastAsia="黑体" w:cs="宋体"/>
      <w:b/>
      <w:bCs/>
      <w:szCs w:val="20"/>
    </w:rPr>
  </w:style>
  <w:style w:type="paragraph" w:customStyle="1" w:styleId="2917">
    <w:name w:val="报告无缩进"/>
    <w:basedOn w:val="2794"/>
    <w:qFormat/>
    <w:uiPriority w:val="0"/>
    <w:pPr>
      <w:spacing w:beforeLines="0" w:afterLines="0" w:line="300" w:lineRule="auto"/>
      <w:ind w:firstLine="0" w:firstLineChars="0"/>
      <w:jc w:val="both"/>
    </w:pPr>
    <w:rPr>
      <w:rFonts w:ascii="Times New Roman" w:hAnsi="Times New Roman" w:eastAsia="仿宋_GB2312"/>
      <w:snapToGrid/>
      <w:spacing w:val="0"/>
      <w:kern w:val="2"/>
      <w:sz w:val="24"/>
    </w:rPr>
  </w:style>
  <w:style w:type="paragraph" w:customStyle="1" w:styleId="2918">
    <w:name w:val="xl1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18"/>
      <w:szCs w:val="18"/>
    </w:rPr>
  </w:style>
  <w:style w:type="paragraph" w:customStyle="1" w:styleId="2919">
    <w:name w:val="列表 J"/>
    <w:basedOn w:val="70"/>
    <w:qFormat/>
    <w:uiPriority w:val="0"/>
    <w:pPr>
      <w:tabs>
        <w:tab w:val="left" w:pos="425"/>
      </w:tabs>
      <w:spacing w:beforeLines="100" w:afterLines="50" w:line="288" w:lineRule="auto"/>
      <w:ind w:left="425" w:hanging="425"/>
    </w:pPr>
    <w:rPr>
      <w:rFonts w:ascii="Arial" w:hAnsi="Arial" w:eastAsia="宋体"/>
      <w:b/>
      <w:bCs/>
      <w:color w:val="FF99CC"/>
    </w:rPr>
  </w:style>
  <w:style w:type="paragraph" w:customStyle="1" w:styleId="2920">
    <w:name w:val="表格标题3"/>
    <w:basedOn w:val="40"/>
    <w:qFormat/>
    <w:uiPriority w:val="0"/>
    <w:pPr>
      <w:tabs>
        <w:tab w:val="left" w:pos="425"/>
        <w:tab w:val="clear" w:pos="1200"/>
      </w:tabs>
      <w:adjustRightInd/>
      <w:snapToGrid/>
      <w:spacing w:line="360" w:lineRule="auto"/>
      <w:ind w:left="425" w:leftChars="0" w:hanging="425" w:firstLineChars="0"/>
      <w:jc w:val="center"/>
    </w:pPr>
    <w:rPr>
      <w:sz w:val="24"/>
    </w:rPr>
  </w:style>
  <w:style w:type="paragraph" w:customStyle="1" w:styleId="2921">
    <w:name w:val="CM84"/>
    <w:basedOn w:val="2"/>
    <w:next w:val="2"/>
    <w:qFormat/>
    <w:uiPriority w:val="0"/>
    <w:pPr>
      <w:spacing w:after="115"/>
    </w:pPr>
    <w:rPr>
      <w:rFonts w:ascii="Sim Sun" w:eastAsia="Sim Sun" w:cs="Times New Roman"/>
      <w:color w:val="auto"/>
      <w:szCs w:val="20"/>
    </w:rPr>
  </w:style>
  <w:style w:type="paragraph" w:customStyle="1" w:styleId="2922">
    <w:name w:val="xl61"/>
    <w:basedOn w:val="1"/>
    <w:qFormat/>
    <w:uiPriority w:val="0"/>
    <w:pPr>
      <w:pBdr>
        <w:top w:val="single" w:color="auto" w:sz="4" w:space="0"/>
        <w:left w:val="single" w:color="auto" w:sz="8" w:space="0"/>
        <w:right w:val="single" w:color="auto" w:sz="4" w:space="0"/>
      </w:pBdr>
      <w:spacing w:before="100" w:beforeAutospacing="1" w:after="100" w:afterAutospacing="1"/>
      <w:jc w:val="center"/>
      <w:textAlignment w:val="center"/>
    </w:pPr>
    <w:rPr>
      <w:rFonts w:eastAsia="Arial Unicode MS"/>
      <w:kern w:val="0"/>
      <w:sz w:val="20"/>
      <w:szCs w:val="20"/>
    </w:rPr>
  </w:style>
  <w:style w:type="paragraph" w:customStyle="1" w:styleId="2923">
    <w:name w:val="列表 H"/>
    <w:basedOn w:val="70"/>
    <w:qFormat/>
    <w:uiPriority w:val="0"/>
    <w:pPr>
      <w:tabs>
        <w:tab w:val="left" w:pos="425"/>
      </w:tabs>
      <w:spacing w:beforeLines="100" w:afterLines="50" w:line="288" w:lineRule="auto"/>
      <w:ind w:left="425" w:hanging="425"/>
    </w:pPr>
    <w:rPr>
      <w:rFonts w:ascii="Arial" w:hAnsi="Arial" w:eastAsia="宋体"/>
      <w:b/>
      <w:bCs/>
      <w:color w:val="FF99CC"/>
    </w:rPr>
  </w:style>
  <w:style w:type="paragraph" w:customStyle="1" w:styleId="2924">
    <w:name w:val="xl19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FFFFFF"/>
      <w:kern w:val="0"/>
      <w:sz w:val="20"/>
      <w:szCs w:val="20"/>
    </w:rPr>
  </w:style>
  <w:style w:type="paragraph" w:customStyle="1" w:styleId="2925">
    <w:name w:val="Char Char Char Char Char Char Char Char Char Char Char Char Char Char Char Char Char Char Char3"/>
    <w:basedOn w:val="1"/>
    <w:qFormat/>
    <w:uiPriority w:val="0"/>
  </w:style>
  <w:style w:type="paragraph" w:customStyle="1" w:styleId="2926">
    <w:name w:val="表格样式"/>
    <w:basedOn w:val="1"/>
    <w:qFormat/>
    <w:uiPriority w:val="0"/>
    <w:pPr>
      <w:jc w:val="center"/>
      <w:textAlignment w:val="baseline"/>
    </w:pPr>
    <w:rPr>
      <w:rFonts w:ascii="宋体"/>
      <w:snapToGrid w:val="0"/>
      <w:color w:val="000000"/>
      <w:kern w:val="0"/>
      <w:sz w:val="24"/>
      <w:szCs w:val="20"/>
    </w:rPr>
  </w:style>
  <w:style w:type="paragraph" w:customStyle="1" w:styleId="2927">
    <w:name w:val="样式 燕山正文 + 首行缩进:  3.5 字符2"/>
    <w:basedOn w:val="1"/>
    <w:qFormat/>
    <w:uiPriority w:val="0"/>
    <w:pPr>
      <w:tabs>
        <w:tab w:val="left" w:pos="4680"/>
      </w:tabs>
      <w:spacing w:line="360" w:lineRule="auto"/>
      <w:ind w:firstLine="480"/>
    </w:pPr>
    <w:rPr>
      <w:rFonts w:ascii="Arial Narrow" w:hAnsi="宋体" w:cs="宋体"/>
      <w:color w:val="000000"/>
      <w:sz w:val="24"/>
    </w:rPr>
  </w:style>
  <w:style w:type="paragraph" w:customStyle="1" w:styleId="2928">
    <w:name w:val="a-图名"/>
    <w:basedOn w:val="49"/>
    <w:qFormat/>
    <w:uiPriority w:val="0"/>
    <w:pPr>
      <w:widowControl w:val="0"/>
      <w:spacing w:line="480" w:lineRule="auto"/>
      <w:jc w:val="center"/>
    </w:pPr>
    <w:rPr>
      <w:rFonts w:ascii="Times New Roman" w:hAnsi="Times New Roman" w:eastAsia="仿宋" w:cs="Courier New"/>
      <w:b/>
      <w:kern w:val="2"/>
      <w:sz w:val="24"/>
      <w:szCs w:val="22"/>
    </w:rPr>
  </w:style>
  <w:style w:type="paragraph" w:customStyle="1" w:styleId="2929">
    <w:name w:val="尾注文本2"/>
    <w:basedOn w:val="1854"/>
    <w:qFormat/>
    <w:uiPriority w:val="0"/>
    <w:rPr>
      <w:sz w:val="21"/>
    </w:rPr>
  </w:style>
  <w:style w:type="paragraph" w:customStyle="1" w:styleId="2930">
    <w:name w:val="正文14"/>
    <w:qFormat/>
    <w:uiPriority w:val="0"/>
    <w:pPr>
      <w:widowControl w:val="0"/>
      <w:adjustRightInd w:val="0"/>
      <w:spacing w:line="360" w:lineRule="atLeast"/>
      <w:jc w:val="center"/>
      <w:textAlignment w:val="baseline"/>
    </w:pPr>
    <w:rPr>
      <w:rFonts w:ascii="宋体" w:hAnsi="Calibri" w:eastAsia="宋体" w:cs="Times New Roman"/>
      <w:sz w:val="24"/>
      <w:lang w:val="en-US" w:eastAsia="zh-CN" w:bidi="ar-SA"/>
    </w:rPr>
  </w:style>
  <w:style w:type="paragraph" w:customStyle="1" w:styleId="2931">
    <w:name w:val="reader-word-layer reader-word-s1-3"/>
    <w:basedOn w:val="1"/>
    <w:qFormat/>
    <w:uiPriority w:val="0"/>
    <w:pPr>
      <w:spacing w:before="100" w:beforeAutospacing="1" w:after="100" w:afterAutospacing="1"/>
      <w:jc w:val="left"/>
    </w:pPr>
    <w:rPr>
      <w:rFonts w:ascii="宋体" w:hAnsi="宋体" w:cs="宋体"/>
      <w:kern w:val="0"/>
      <w:sz w:val="24"/>
    </w:rPr>
  </w:style>
  <w:style w:type="paragraph" w:customStyle="1" w:styleId="2932">
    <w:name w:val="无间隔3"/>
    <w:basedOn w:val="1"/>
    <w:qFormat/>
    <w:uiPriority w:val="0"/>
    <w:rPr>
      <w:rFonts w:eastAsia="Times New Roman"/>
      <w:sz w:val="24"/>
      <w:szCs w:val="32"/>
    </w:rPr>
  </w:style>
  <w:style w:type="paragraph" w:customStyle="1" w:styleId="2933">
    <w:name w:val="Date1"/>
    <w:basedOn w:val="1"/>
    <w:next w:val="1"/>
    <w:qFormat/>
    <w:uiPriority w:val="0"/>
    <w:pPr>
      <w:textAlignment w:val="baseline"/>
    </w:pPr>
    <w:rPr>
      <w:szCs w:val="20"/>
    </w:rPr>
  </w:style>
  <w:style w:type="paragraph" w:customStyle="1" w:styleId="2934">
    <w:name w:val="列出段落12"/>
    <w:basedOn w:val="1"/>
    <w:qFormat/>
    <w:uiPriority w:val="99"/>
    <w:pPr>
      <w:ind w:firstLine="420"/>
    </w:pPr>
    <w:rPr>
      <w:rFonts w:eastAsia="宋体"/>
    </w:rPr>
  </w:style>
  <w:style w:type="paragraph" w:customStyle="1" w:styleId="2935">
    <w:name w:val="正文13"/>
    <w:qFormat/>
    <w:uiPriority w:val="0"/>
    <w:pPr>
      <w:widowControl w:val="0"/>
      <w:adjustRightInd w:val="0"/>
      <w:spacing w:line="360" w:lineRule="atLeast"/>
      <w:jc w:val="center"/>
      <w:textAlignment w:val="baseline"/>
    </w:pPr>
    <w:rPr>
      <w:rFonts w:ascii="宋体" w:hAnsi="Calibri" w:eastAsia="宋体" w:cs="Times New Roman"/>
      <w:sz w:val="24"/>
      <w:lang w:val="en-US" w:eastAsia="zh-CN" w:bidi="ar-SA"/>
    </w:rPr>
  </w:style>
  <w:style w:type="paragraph" w:customStyle="1" w:styleId="2936">
    <w:name w:val="Normal_2"/>
    <w:qFormat/>
    <w:uiPriority w:val="0"/>
    <w:pPr>
      <w:spacing w:before="120" w:after="240" w:line="320" w:lineRule="exact"/>
      <w:jc w:val="both"/>
    </w:pPr>
    <w:rPr>
      <w:rFonts w:ascii="Calibri" w:hAnsi="Calibri" w:eastAsia="Calibri" w:cs="Times New Roman"/>
      <w:sz w:val="22"/>
      <w:szCs w:val="22"/>
      <w:lang w:val="ru-RU" w:eastAsia="en-US" w:bidi="ar-SA"/>
    </w:rPr>
  </w:style>
  <w:style w:type="paragraph" w:customStyle="1" w:styleId="2937">
    <w:name w:val="Char Char Char Char Char Char Char Char Char Char Char Char Char Char Char Char Char Char Char Char Char2"/>
    <w:basedOn w:val="1"/>
    <w:qFormat/>
    <w:uiPriority w:val="0"/>
    <w:pPr>
      <w:spacing w:line="360" w:lineRule="auto"/>
    </w:pPr>
    <w:rPr>
      <w:rFonts w:ascii="宋体" w:hAnsi="宋体" w:cs="宋体"/>
      <w:sz w:val="24"/>
    </w:rPr>
  </w:style>
  <w:style w:type="paragraph" w:customStyle="1" w:styleId="2938">
    <w:name w:val="Char Char1 Char Char Char Char Char Char Char"/>
    <w:basedOn w:val="1"/>
    <w:next w:val="1"/>
    <w:qFormat/>
    <w:uiPriority w:val="0"/>
    <w:pPr>
      <w:spacing w:line="360" w:lineRule="auto"/>
    </w:pPr>
  </w:style>
  <w:style w:type="paragraph" w:customStyle="1" w:styleId="2939">
    <w:name w:val="章标题(不加入目录内)"/>
    <w:basedOn w:val="87"/>
    <w:qFormat/>
    <w:uiPriority w:val="0"/>
    <w:pPr>
      <w:outlineLvl w:val="9"/>
    </w:pPr>
  </w:style>
  <w:style w:type="paragraph" w:customStyle="1" w:styleId="2940">
    <w:name w:val="Char Char Char Char Char Char Char Char Char Char Char2"/>
    <w:basedOn w:val="1"/>
    <w:qFormat/>
    <w:uiPriority w:val="0"/>
    <w:pPr>
      <w:widowControl w:val="0"/>
    </w:pPr>
  </w:style>
  <w:style w:type="paragraph" w:customStyle="1" w:styleId="2941">
    <w:name w:val="Char4 Char Char Char Char Char Char1"/>
    <w:basedOn w:val="1"/>
    <w:qFormat/>
    <w:uiPriority w:val="0"/>
    <w:pPr>
      <w:spacing w:line="360" w:lineRule="auto"/>
    </w:pPr>
    <w:rPr>
      <w:rFonts w:ascii="宋体" w:hAnsi="宋体" w:cs="宋体"/>
      <w:sz w:val="24"/>
    </w:rPr>
  </w:style>
  <w:style w:type="paragraph" w:customStyle="1" w:styleId="2942">
    <w:name w:val="基准篇眉"/>
    <w:basedOn w:val="1"/>
    <w:semiHidden/>
    <w:qFormat/>
    <w:uiPriority w:val="0"/>
    <w:pPr>
      <w:keepLines/>
      <w:tabs>
        <w:tab w:val="center" w:pos="7200"/>
        <w:tab w:val="right" w:pos="14400"/>
      </w:tabs>
      <w:overflowPunct w:val="0"/>
      <w:autoSpaceDE w:val="0"/>
      <w:autoSpaceDN w:val="0"/>
      <w:jc w:val="center"/>
      <w:textAlignment w:val="baseline"/>
    </w:pPr>
    <w:rPr>
      <w:spacing w:val="80"/>
      <w:sz w:val="20"/>
      <w:szCs w:val="20"/>
    </w:rPr>
  </w:style>
  <w:style w:type="paragraph" w:customStyle="1" w:styleId="2943">
    <w:name w:val="注×："/>
    <w:qFormat/>
    <w:uiPriority w:val="0"/>
    <w:pPr>
      <w:widowControl w:val="0"/>
      <w:tabs>
        <w:tab w:val="left" w:pos="630"/>
      </w:tabs>
      <w:autoSpaceDE w:val="0"/>
      <w:autoSpaceDN w:val="0"/>
      <w:spacing w:line="320" w:lineRule="exact"/>
      <w:jc w:val="both"/>
    </w:pPr>
    <w:rPr>
      <w:rFonts w:ascii="宋体" w:hAnsi="Calibri" w:eastAsia="宋体" w:cs="Times New Roman"/>
      <w:sz w:val="18"/>
      <w:lang w:val="en-US" w:eastAsia="zh-CN" w:bidi="ar-SA"/>
    </w:rPr>
  </w:style>
  <w:style w:type="paragraph" w:customStyle="1" w:styleId="2944">
    <w:name w:val="样式 列表 + 首行缩进:  2 字符"/>
    <w:basedOn w:val="70"/>
    <w:qFormat/>
    <w:uiPriority w:val="0"/>
    <w:pPr>
      <w:keepNext/>
      <w:widowControl w:val="0"/>
      <w:adjustRightInd/>
      <w:snapToGrid/>
      <w:ind w:left="0" w:firstLine="0"/>
      <w:jc w:val="center"/>
    </w:pPr>
    <w:rPr>
      <w:rFonts w:ascii="Times New Roman" w:eastAsia="仿宋_GB2312"/>
      <w:sz w:val="28"/>
    </w:rPr>
  </w:style>
  <w:style w:type="paragraph" w:customStyle="1" w:styleId="2945">
    <w:name w:val="xl1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18"/>
      <w:szCs w:val="18"/>
    </w:rPr>
  </w:style>
  <w:style w:type="paragraph" w:customStyle="1" w:styleId="2946">
    <w:name w:val="样式 标题 1一、1.标题 1标题 1 Char标1章节标题-*+章标题 1文章标题h11st level..."/>
    <w:basedOn w:val="5"/>
    <w:qFormat/>
    <w:uiPriority w:val="0"/>
    <w:pPr>
      <w:widowControl w:val="0"/>
      <w:tabs>
        <w:tab w:val="left" w:pos="720"/>
      </w:tabs>
      <w:spacing w:before="100" w:beforeAutospacing="1" w:afterLines="50" w:afterAutospacing="1" w:line="312" w:lineRule="auto"/>
      <w:ind w:left="720" w:right="227" w:hanging="360" w:firstLineChars="0"/>
      <w:jc w:val="left"/>
      <w:textAlignment w:val="baseline"/>
    </w:pPr>
    <w:rPr>
      <w:rFonts w:eastAsia="黑体" w:cs="宋体"/>
      <w:bCs w:val="0"/>
      <w:snapToGrid w:val="0"/>
      <w:kern w:val="0"/>
      <w:sz w:val="32"/>
      <w:szCs w:val="20"/>
    </w:rPr>
  </w:style>
  <w:style w:type="paragraph" w:customStyle="1" w:styleId="2947">
    <w:name w:val="列表 E"/>
    <w:basedOn w:val="70"/>
    <w:qFormat/>
    <w:uiPriority w:val="0"/>
    <w:pPr>
      <w:tabs>
        <w:tab w:val="left" w:pos="425"/>
      </w:tabs>
      <w:spacing w:beforeLines="100" w:afterLines="50" w:line="288" w:lineRule="auto"/>
      <w:ind w:left="425" w:hanging="425"/>
    </w:pPr>
    <w:rPr>
      <w:rFonts w:ascii="Arial" w:hAnsi="Arial" w:eastAsia="宋体"/>
      <w:b/>
      <w:bCs/>
      <w:color w:val="FF99CC"/>
    </w:rPr>
  </w:style>
  <w:style w:type="paragraph" w:customStyle="1" w:styleId="2948">
    <w:name w:val="样式 标题 3条标题1.1.1 + 宋体 加粗 段前: 13 磅 段后: 13 磅 行距: 多倍行距 1.73 字行"/>
    <w:basedOn w:val="7"/>
    <w:qFormat/>
    <w:uiPriority w:val="0"/>
    <w:pPr>
      <w:tabs>
        <w:tab w:val="clear" w:pos="1440"/>
      </w:tabs>
      <w:spacing w:before="0" w:after="0" w:line="416" w:lineRule="auto"/>
      <w:ind w:left="0" w:firstLine="0"/>
    </w:pPr>
    <w:rPr>
      <w:rFonts w:ascii="Arial Narrow" w:hAnsi="Arial Narrow" w:cs="宋体"/>
    </w:rPr>
  </w:style>
  <w:style w:type="paragraph" w:customStyle="1" w:styleId="2949">
    <w:name w:val="列表 2C"/>
    <w:basedOn w:val="41"/>
    <w:qFormat/>
    <w:uiPriority w:val="0"/>
    <w:pPr>
      <w:tabs>
        <w:tab w:val="left" w:pos="1275"/>
      </w:tabs>
      <w:adjustRightInd/>
      <w:spacing w:before="100" w:beforeAutospacing="1" w:after="100" w:afterAutospacing="1" w:line="288" w:lineRule="auto"/>
      <w:ind w:left="1275" w:hanging="705"/>
      <w:jc w:val="both"/>
      <w:textAlignment w:val="auto"/>
    </w:pPr>
    <w:rPr>
      <w:rFonts w:ascii="Arial" w:hAnsi="Arial"/>
      <w:color w:val="FFFF99"/>
      <w:kern w:val="2"/>
    </w:rPr>
  </w:style>
  <w:style w:type="paragraph" w:customStyle="1" w:styleId="2950">
    <w:name w:val="表格居中"/>
    <w:basedOn w:val="1"/>
    <w:qFormat/>
    <w:uiPriority w:val="0"/>
    <w:pPr>
      <w:jc w:val="center"/>
    </w:pPr>
    <w:rPr>
      <w:sz w:val="24"/>
    </w:rPr>
  </w:style>
  <w:style w:type="paragraph" w:customStyle="1" w:styleId="2951">
    <w:name w:val="DDDDDDDDDDDDDDDDDDDDDDDDDDDDDD"/>
    <w:basedOn w:val="1"/>
    <w:qFormat/>
    <w:uiPriority w:val="0"/>
    <w:pPr>
      <w:jc w:val="left"/>
      <w:outlineLvl w:val="0"/>
    </w:pPr>
    <w:rPr>
      <w:rFonts w:ascii="仿宋_GB2312"/>
      <w:b/>
      <w:szCs w:val="28"/>
    </w:rPr>
  </w:style>
  <w:style w:type="paragraph" w:customStyle="1" w:styleId="2952">
    <w:name w:val="Style (Asian) 宋体 11 pt"/>
    <w:basedOn w:val="1"/>
    <w:qFormat/>
    <w:uiPriority w:val="0"/>
    <w:pPr>
      <w:adjustRightInd/>
      <w:snapToGrid/>
      <w:ind w:firstLine="440"/>
      <w:jc w:val="left"/>
    </w:pPr>
    <w:rPr>
      <w:kern w:val="0"/>
      <w:sz w:val="24"/>
      <w:szCs w:val="20"/>
      <w:lang w:eastAsia="ko-KR"/>
    </w:rPr>
  </w:style>
  <w:style w:type="paragraph" w:customStyle="1" w:styleId="2953">
    <w:name w:val="正文7"/>
    <w:qFormat/>
    <w:uiPriority w:val="0"/>
    <w:pPr>
      <w:widowControl w:val="0"/>
      <w:adjustRightInd w:val="0"/>
      <w:spacing w:line="360" w:lineRule="atLeast"/>
      <w:jc w:val="center"/>
      <w:textAlignment w:val="baseline"/>
    </w:pPr>
    <w:rPr>
      <w:rFonts w:ascii="宋体" w:hAnsi="Calibri" w:eastAsia="宋体" w:cs="Times New Roman"/>
      <w:sz w:val="24"/>
      <w:lang w:val="en-US" w:eastAsia="zh-CN" w:bidi="ar-SA"/>
    </w:rPr>
  </w:style>
  <w:style w:type="paragraph" w:customStyle="1" w:styleId="2954">
    <w:name w:val="目录2"/>
    <w:qFormat/>
    <w:uiPriority w:val="0"/>
    <w:rPr>
      <w:rFonts w:ascii="Times New Roman" w:hAnsi="Times New Roman" w:eastAsia="宋体" w:cs="Times New Roman"/>
      <w:b/>
      <w:sz w:val="30"/>
      <w:szCs w:val="30"/>
      <w:lang w:val="en-US" w:eastAsia="zh-CN" w:bidi="ar-SA"/>
    </w:rPr>
  </w:style>
  <w:style w:type="paragraph" w:customStyle="1" w:styleId="2955">
    <w:name w:val="xl102"/>
    <w:basedOn w:val="1"/>
    <w:qFormat/>
    <w:uiPriority w:val="0"/>
    <w:pPr>
      <w:pBdr>
        <w:top w:val="single" w:color="auto" w:sz="4" w:space="0"/>
        <w:bottom w:val="single" w:color="auto" w:sz="4" w:space="0"/>
        <w:right w:val="single" w:color="auto" w:sz="8"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2956">
    <w:name w:val="xl54"/>
    <w:basedOn w:val="1"/>
    <w:qFormat/>
    <w:uiPriority w:val="0"/>
    <w:pPr>
      <w:pBdr>
        <w:left w:val="single" w:color="auto" w:sz="4" w:space="0"/>
        <w:bottom w:val="single" w:color="auto" w:sz="4" w:space="0"/>
      </w:pBdr>
      <w:spacing w:before="100" w:beforeAutospacing="1" w:after="100" w:afterAutospacing="1"/>
      <w:jc w:val="center"/>
      <w:textAlignment w:val="center"/>
    </w:pPr>
    <w:rPr>
      <w:rFonts w:eastAsia="Arial Unicode MS"/>
      <w:kern w:val="0"/>
      <w:sz w:val="24"/>
    </w:rPr>
  </w:style>
  <w:style w:type="paragraph" w:customStyle="1" w:styleId="2957">
    <w:name w:val="标题14"/>
    <w:basedOn w:val="1"/>
    <w:qFormat/>
    <w:uiPriority w:val="0"/>
    <w:pPr>
      <w:tabs>
        <w:tab w:val="left" w:pos="420"/>
      </w:tabs>
      <w:spacing w:line="300" w:lineRule="auto"/>
      <w:ind w:left="420" w:hanging="420"/>
      <w:jc w:val="center"/>
    </w:pPr>
    <w:rPr>
      <w:rFonts w:ascii="宋体" w:hAnsi="宋体" w:eastAsia="黑体"/>
      <w:b/>
      <w:bCs/>
    </w:rPr>
  </w:style>
  <w:style w:type="paragraph" w:customStyle="1" w:styleId="2958">
    <w:name w:val="列表 4O"/>
    <w:basedOn w:val="81"/>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2959">
    <w:name w:val="a-表名"/>
    <w:qFormat/>
    <w:uiPriority w:val="0"/>
    <w:pPr>
      <w:adjustRightInd w:val="0"/>
      <w:snapToGrid w:val="0"/>
      <w:spacing w:line="360" w:lineRule="auto"/>
      <w:jc w:val="center"/>
    </w:pPr>
    <w:rPr>
      <w:rFonts w:ascii="Calibri" w:hAnsi="Calibri" w:eastAsia="仿宋" w:cs="Times New Roman"/>
      <w:b/>
      <w:color w:val="000000"/>
      <w:kern w:val="2"/>
      <w:sz w:val="24"/>
      <w:szCs w:val="21"/>
      <w:lang w:val="en-US" w:eastAsia="zh-CN" w:bidi="ar-SA"/>
    </w:rPr>
  </w:style>
  <w:style w:type="paragraph" w:customStyle="1" w:styleId="2960">
    <w:name w:val="reader-word-layer reader-word-s1-17"/>
    <w:basedOn w:val="1"/>
    <w:qFormat/>
    <w:uiPriority w:val="0"/>
    <w:pPr>
      <w:spacing w:before="100" w:beforeAutospacing="1" w:after="100" w:afterAutospacing="1"/>
      <w:jc w:val="left"/>
    </w:pPr>
    <w:rPr>
      <w:rFonts w:ascii="宋体" w:hAnsi="宋体" w:cs="宋体"/>
      <w:kern w:val="0"/>
      <w:sz w:val="24"/>
    </w:rPr>
  </w:style>
  <w:style w:type="paragraph" w:customStyle="1" w:styleId="2961">
    <w:name w:val="样式 样式 正文缩进 + 首行缩进:  2 字符 + 首行缩进:  2 字符"/>
    <w:basedOn w:val="1"/>
    <w:qFormat/>
    <w:uiPriority w:val="0"/>
    <w:pPr>
      <w:tabs>
        <w:tab w:val="left" w:pos="480"/>
      </w:tabs>
      <w:autoSpaceDE w:val="0"/>
      <w:autoSpaceDN w:val="0"/>
      <w:spacing w:line="360" w:lineRule="auto"/>
      <w:ind w:firstLine="480"/>
      <w:textAlignment w:val="bottom"/>
    </w:pPr>
    <w:rPr>
      <w:rFonts w:cs="宋体"/>
      <w:sz w:val="26"/>
    </w:rPr>
  </w:style>
  <w:style w:type="paragraph" w:customStyle="1" w:styleId="2962">
    <w:name w:val="xl94"/>
    <w:basedOn w:val="1"/>
    <w:qFormat/>
    <w:uiPriority w:val="0"/>
    <w:pPr>
      <w:spacing w:before="100" w:beforeAutospacing="1" w:after="100" w:afterAutospacing="1"/>
      <w:jc w:val="center"/>
    </w:pPr>
    <w:rPr>
      <w:rFonts w:eastAsia="Arial Unicode MS"/>
      <w:kern w:val="0"/>
      <w:sz w:val="20"/>
      <w:szCs w:val="20"/>
    </w:rPr>
  </w:style>
  <w:style w:type="paragraph" w:customStyle="1" w:styleId="2963">
    <w:name w:val="列表 4F"/>
    <w:basedOn w:val="81"/>
    <w:qFormat/>
    <w:uiPriority w:val="0"/>
    <w:pPr>
      <w:tabs>
        <w:tab w:val="left" w:pos="980"/>
      </w:tabs>
      <w:spacing w:beforeLines="50" w:afterLines="30" w:line="288" w:lineRule="auto"/>
      <w:ind w:left="980" w:leftChars="0" w:hanging="420" w:firstLineChars="0"/>
    </w:pPr>
    <w:rPr>
      <w:rFonts w:ascii="Arial" w:hAnsi="Arial"/>
      <w:color w:val="CCFFFF"/>
      <w:sz w:val="24"/>
      <w:szCs w:val="20"/>
    </w:rPr>
  </w:style>
  <w:style w:type="paragraph" w:customStyle="1" w:styleId="2964">
    <w:name w:val="正文8"/>
    <w:qFormat/>
    <w:uiPriority w:val="0"/>
    <w:pPr>
      <w:widowControl w:val="0"/>
      <w:adjustRightInd w:val="0"/>
      <w:spacing w:line="360" w:lineRule="atLeast"/>
      <w:jc w:val="center"/>
      <w:textAlignment w:val="baseline"/>
    </w:pPr>
    <w:rPr>
      <w:rFonts w:ascii="宋体" w:hAnsi="Calibri" w:eastAsia="宋体" w:cs="Times New Roman"/>
      <w:sz w:val="24"/>
      <w:szCs w:val="22"/>
      <w:lang w:val="en-US" w:eastAsia="zh-CN" w:bidi="ar-SA"/>
    </w:rPr>
  </w:style>
  <w:style w:type="paragraph" w:customStyle="1" w:styleId="2965">
    <w:name w:val="xl89"/>
    <w:basedOn w:val="1"/>
    <w:qFormat/>
    <w:uiPriority w:val="0"/>
    <w:pPr>
      <w:pBdr>
        <w:top w:val="single" w:color="auto" w:sz="4" w:space="0"/>
        <w:bottom w:val="single" w:color="auto" w:sz="4" w:space="0"/>
        <w:right w:val="single" w:color="auto" w:sz="4" w:space="0"/>
      </w:pBdr>
      <w:spacing w:before="100" w:beforeAutospacing="1" w:after="100" w:afterAutospacing="1"/>
      <w:jc w:val="left"/>
    </w:pPr>
    <w:rPr>
      <w:rFonts w:eastAsia="Arial Unicode MS"/>
      <w:kern w:val="0"/>
      <w:sz w:val="16"/>
      <w:szCs w:val="16"/>
    </w:rPr>
  </w:style>
  <w:style w:type="paragraph" w:customStyle="1" w:styleId="2966">
    <w:name w:val="font16"/>
    <w:basedOn w:val="1"/>
    <w:qFormat/>
    <w:uiPriority w:val="0"/>
    <w:pPr>
      <w:spacing w:before="100" w:beforeAutospacing="1" w:after="100" w:afterAutospacing="1"/>
      <w:jc w:val="left"/>
    </w:pPr>
    <w:rPr>
      <w:rFonts w:hint="eastAsia" w:ascii="宋体" w:hAnsi="宋体" w:cs="Arial Unicode MS"/>
      <w:kern w:val="0"/>
      <w:sz w:val="20"/>
      <w:szCs w:val="20"/>
      <w:u w:val="single"/>
    </w:rPr>
  </w:style>
  <w:style w:type="paragraph" w:customStyle="1" w:styleId="2967">
    <w:name w:val="样式 样式 标题 3标题 13标题 3 Char + (中文) 黑体 小三 加粗 段前: 0.5 行 段后: 0.5 行 + 宋..."/>
    <w:basedOn w:val="1"/>
    <w:qFormat/>
    <w:uiPriority w:val="0"/>
    <w:pPr>
      <w:keepNext/>
      <w:keepLines/>
      <w:tabs>
        <w:tab w:val="left" w:pos="1080"/>
      </w:tabs>
      <w:spacing w:beforeLines="50" w:afterLines="50" w:line="500" w:lineRule="exact"/>
      <w:ind w:left="625" w:leftChars="200" w:hanging="425"/>
      <w:jc w:val="left"/>
      <w:outlineLvl w:val="2"/>
    </w:pPr>
    <w:rPr>
      <w:rFonts w:ascii="宋体" w:hAnsi="宋体" w:cs="宋体"/>
      <w:b/>
      <w:bCs/>
      <w:sz w:val="24"/>
      <w:szCs w:val="20"/>
    </w:rPr>
  </w:style>
  <w:style w:type="paragraph" w:customStyle="1" w:styleId="2968">
    <w:name w:val="表格横"/>
    <w:basedOn w:val="1"/>
    <w:qFormat/>
    <w:uiPriority w:val="0"/>
    <w:pPr>
      <w:spacing w:before="40" w:after="40" w:line="264" w:lineRule="auto"/>
      <w:jc w:val="center"/>
    </w:pPr>
    <w:rPr>
      <w:rFonts w:ascii="黑体"/>
      <w:b/>
      <w:bCs/>
      <w:kern w:val="0"/>
      <w:sz w:val="18"/>
      <w:szCs w:val="20"/>
    </w:rPr>
  </w:style>
  <w:style w:type="paragraph" w:customStyle="1" w:styleId="2969">
    <w:name w:val="小标题"/>
    <w:basedOn w:val="1"/>
    <w:qFormat/>
    <w:uiPriority w:val="0"/>
    <w:pPr>
      <w:overflowPunct w:val="0"/>
      <w:spacing w:beforeLines="40" w:line="480" w:lineRule="exact"/>
    </w:pPr>
    <w:rPr>
      <w:rFonts w:ascii="Arial" w:hAnsi="Arial"/>
      <w:b/>
      <w:szCs w:val="20"/>
    </w:rPr>
  </w:style>
  <w:style w:type="paragraph" w:customStyle="1" w:styleId="2970">
    <w:name w:val="样式 标题 2 + Times New Roman 小三 居中"/>
    <w:basedOn w:val="6"/>
    <w:semiHidden/>
    <w:qFormat/>
    <w:uiPriority w:val="0"/>
    <w:pPr>
      <w:tabs>
        <w:tab w:val="clear" w:pos="1080"/>
      </w:tabs>
      <w:spacing w:before="260" w:after="260" w:line="415" w:lineRule="auto"/>
      <w:ind w:left="0" w:firstLine="538" w:firstLineChars="192"/>
      <w:jc w:val="left"/>
    </w:pPr>
    <w:rPr>
      <w:rFonts w:cs="宋体"/>
      <w:sz w:val="30"/>
    </w:rPr>
  </w:style>
  <w:style w:type="paragraph" w:customStyle="1" w:styleId="2971">
    <w:name w:val="表格文字居中对齐"/>
    <w:basedOn w:val="2972"/>
    <w:qFormat/>
    <w:uiPriority w:val="0"/>
  </w:style>
  <w:style w:type="paragraph" w:customStyle="1" w:styleId="2972">
    <w:name w:val="表格文字左对齐"/>
    <w:basedOn w:val="1"/>
    <w:qFormat/>
    <w:uiPriority w:val="0"/>
    <w:pPr>
      <w:jc w:val="center"/>
    </w:pPr>
    <w:rPr>
      <w:rFonts w:ascii="宋体" w:hAnsi="宋体"/>
    </w:rPr>
  </w:style>
  <w:style w:type="paragraph" w:customStyle="1" w:styleId="2973">
    <w:name w:val="xl55"/>
    <w:basedOn w:val="1"/>
    <w:qFormat/>
    <w:uiPriority w:val="0"/>
    <w:pPr>
      <w:pBdr>
        <w:top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Cs w:val="21"/>
    </w:rPr>
  </w:style>
  <w:style w:type="paragraph" w:customStyle="1" w:styleId="2974">
    <w:name w:val="表头名称"/>
    <w:basedOn w:val="25"/>
    <w:qFormat/>
    <w:uiPriority w:val="0"/>
    <w:pPr>
      <w:autoSpaceDE w:val="0"/>
      <w:autoSpaceDN w:val="0"/>
      <w:spacing w:before="60"/>
      <w:ind w:firstLine="0"/>
      <w:jc w:val="center"/>
    </w:pPr>
    <w:rPr>
      <w:color w:val="000000"/>
      <w:kern w:val="0"/>
    </w:rPr>
  </w:style>
  <w:style w:type="paragraph" w:customStyle="1" w:styleId="2975">
    <w:name w:val="图表脚注"/>
    <w:next w:val="1739"/>
    <w:qFormat/>
    <w:uiPriority w:val="0"/>
    <w:pPr>
      <w:spacing w:line="320" w:lineRule="exact"/>
      <w:ind w:left="300" w:leftChars="200" w:hanging="100" w:hangingChars="100"/>
      <w:jc w:val="both"/>
    </w:pPr>
    <w:rPr>
      <w:rFonts w:ascii="宋体" w:hAnsi="Calibri" w:eastAsia="宋体" w:cs="Times New Roman"/>
      <w:sz w:val="18"/>
      <w:lang w:val="en-US" w:eastAsia="zh-CN" w:bidi="ar-SA"/>
    </w:rPr>
  </w:style>
  <w:style w:type="paragraph" w:customStyle="1" w:styleId="2976">
    <w:name w:val="表第一列"/>
    <w:basedOn w:val="89"/>
    <w:qFormat/>
    <w:uiPriority w:val="0"/>
    <w:pPr>
      <w:keepNext/>
      <w:keepLines/>
      <w:tabs>
        <w:tab w:val="left" w:pos="1727"/>
        <w:tab w:val="left" w:pos="1884"/>
        <w:tab w:val="left" w:pos="2940"/>
      </w:tabs>
      <w:spacing w:line="0" w:lineRule="atLeast"/>
      <w:ind w:firstLine="0" w:firstLineChars="0"/>
      <w:jc w:val="center"/>
    </w:pPr>
    <w:rPr>
      <w:rFonts w:ascii="宋体" w:hAnsi="宋体"/>
      <w:color w:val="000000"/>
      <w:szCs w:val="21"/>
    </w:rPr>
  </w:style>
  <w:style w:type="paragraph" w:customStyle="1" w:styleId="2977">
    <w:name w:val="样式 正文首行缩进 + 浅蓝 首行缩进:  2 字符"/>
    <w:basedOn w:val="89"/>
    <w:qFormat/>
    <w:uiPriority w:val="0"/>
    <w:pPr>
      <w:spacing w:line="300" w:lineRule="auto"/>
      <w:ind w:firstLine="560" w:firstLineChars="200"/>
    </w:pPr>
    <w:rPr>
      <w:rFonts w:cs="宋体"/>
      <w:color w:val="000000"/>
      <w:szCs w:val="20"/>
    </w:rPr>
  </w:style>
  <w:style w:type="paragraph" w:customStyle="1" w:styleId="2978">
    <w:name w:val="主要编写人及资格EPAJW120926"/>
    <w:basedOn w:val="1"/>
    <w:qFormat/>
    <w:uiPriority w:val="0"/>
    <w:pPr>
      <w:spacing w:before="142" w:line="360" w:lineRule="auto"/>
      <w:ind w:left="107" w:leftChars="51"/>
      <w:jc w:val="center"/>
    </w:pPr>
    <w:rPr>
      <w:rFonts w:eastAsia="黑体" w:cs="宋体"/>
      <w:b/>
      <w:bCs/>
      <w:sz w:val="32"/>
      <w:szCs w:val="20"/>
    </w:rPr>
  </w:style>
  <w:style w:type="paragraph" w:customStyle="1" w:styleId="2979">
    <w:name w:val="表内"/>
    <w:basedOn w:val="1"/>
    <w:qFormat/>
    <w:uiPriority w:val="0"/>
    <w:pPr>
      <w:spacing w:line="240" w:lineRule="atLeast"/>
      <w:jc w:val="center"/>
    </w:pPr>
  </w:style>
  <w:style w:type="paragraph" w:customStyle="1" w:styleId="2980">
    <w:name w:val="流程图文字"/>
    <w:basedOn w:val="1"/>
    <w:qFormat/>
    <w:uiPriority w:val="0"/>
    <w:pPr>
      <w:spacing w:before="100" w:beforeAutospacing="1" w:after="40"/>
      <w:jc w:val="center"/>
    </w:pPr>
  </w:style>
  <w:style w:type="paragraph" w:customStyle="1" w:styleId="2981">
    <w:name w:val="样式 正文首行缩进 + 首行缩进:  2 字符9"/>
    <w:basedOn w:val="89"/>
    <w:qFormat/>
    <w:uiPriority w:val="0"/>
    <w:pPr>
      <w:spacing w:line="300" w:lineRule="auto"/>
      <w:ind w:firstLine="560" w:firstLineChars="200"/>
    </w:pPr>
    <w:rPr>
      <w:rFonts w:cs="宋体"/>
      <w:szCs w:val="20"/>
    </w:rPr>
  </w:style>
  <w:style w:type="paragraph" w:customStyle="1" w:styleId="2982">
    <w:name w:val="壹下"/>
    <w:basedOn w:val="5"/>
    <w:qFormat/>
    <w:uiPriority w:val="0"/>
    <w:pPr>
      <w:spacing w:before="540" w:after="340"/>
    </w:pPr>
    <w:rPr>
      <w:w w:val="101"/>
    </w:rPr>
  </w:style>
  <w:style w:type="paragraph" w:customStyle="1" w:styleId="2983">
    <w:name w:val="中文报告书样式"/>
    <w:basedOn w:val="1"/>
    <w:qFormat/>
    <w:uiPriority w:val="0"/>
    <w:pPr>
      <w:spacing w:line="480" w:lineRule="atLeast"/>
      <w:ind w:firstLine="482"/>
      <w:textAlignment w:val="baseline"/>
    </w:pPr>
    <w:rPr>
      <w:kern w:val="24"/>
      <w:sz w:val="24"/>
      <w:szCs w:val="20"/>
    </w:rPr>
  </w:style>
  <w:style w:type="paragraph" w:customStyle="1" w:styleId="2984">
    <w:name w:val="列表 2W"/>
    <w:basedOn w:val="41"/>
    <w:qFormat/>
    <w:uiPriority w:val="0"/>
    <w:pPr>
      <w:tabs>
        <w:tab w:val="left" w:pos="737"/>
      </w:tabs>
      <w:adjustRightInd/>
      <w:spacing w:before="100" w:beforeAutospacing="1" w:after="100" w:afterAutospacing="1" w:line="288" w:lineRule="auto"/>
      <w:ind w:left="737" w:hanging="567"/>
      <w:jc w:val="both"/>
      <w:textAlignment w:val="auto"/>
    </w:pPr>
    <w:rPr>
      <w:rFonts w:ascii="Arial" w:hAnsi="Arial"/>
      <w:color w:val="FFFF99"/>
      <w:kern w:val="2"/>
    </w:rPr>
  </w:style>
  <w:style w:type="paragraph" w:customStyle="1" w:styleId="2985">
    <w:name w:val="样式 标题 3 + 左侧:  0.64 厘米"/>
    <w:basedOn w:val="7"/>
    <w:qFormat/>
    <w:uiPriority w:val="0"/>
    <w:pPr>
      <w:tabs>
        <w:tab w:val="left" w:pos="855"/>
        <w:tab w:val="clear" w:pos="709"/>
        <w:tab w:val="clear" w:pos="1440"/>
      </w:tabs>
      <w:spacing w:before="0" w:after="0" w:line="288" w:lineRule="auto"/>
      <w:ind w:left="855" w:hanging="855" w:hangingChars="6"/>
    </w:pPr>
    <w:rPr>
      <w:rFonts w:hAnsi="宋体" w:cs="宋体"/>
      <w:b w:val="0"/>
      <w:bCs/>
      <w:kern w:val="18"/>
    </w:rPr>
  </w:style>
  <w:style w:type="paragraph" w:customStyle="1" w:styleId="2986">
    <w:name w:val="Char Char Char4 Char Char Char Char2"/>
    <w:basedOn w:val="1"/>
    <w:qFormat/>
    <w:uiPriority w:val="0"/>
    <w:pPr>
      <w:spacing w:line="360" w:lineRule="auto"/>
    </w:pPr>
    <w:rPr>
      <w:rFonts w:ascii="宋体" w:hAnsi="宋体" w:cs="宋体"/>
      <w:sz w:val="24"/>
    </w:rPr>
  </w:style>
  <w:style w:type="paragraph" w:customStyle="1" w:styleId="2987">
    <w:name w:val="qilu"/>
    <w:basedOn w:val="1"/>
    <w:qFormat/>
    <w:uiPriority w:val="0"/>
    <w:pPr>
      <w:autoSpaceDE w:val="0"/>
      <w:autoSpaceDN w:val="0"/>
      <w:jc w:val="left"/>
      <w:textAlignment w:val="baseline"/>
    </w:pPr>
    <w:rPr>
      <w:rFonts w:ascii="宋体"/>
      <w:b/>
      <w:kern w:val="0"/>
      <w:szCs w:val="20"/>
    </w:rPr>
  </w:style>
  <w:style w:type="paragraph" w:customStyle="1" w:styleId="2988">
    <w:name w:val="TOC 标题21"/>
    <w:basedOn w:val="5"/>
    <w:next w:val="1"/>
    <w:qFormat/>
    <w:uiPriority w:val="0"/>
    <w:pPr>
      <w:keepLines w:val="0"/>
      <w:spacing w:before="240" w:after="60" w:line="520" w:lineRule="exact"/>
      <w:ind w:left="0" w:firstLine="200"/>
      <w:outlineLvl w:val="9"/>
    </w:pPr>
    <w:rPr>
      <w:rFonts w:ascii="Cambria" w:hAnsi="Cambria"/>
      <w:kern w:val="32"/>
      <w:sz w:val="32"/>
      <w:szCs w:val="32"/>
    </w:rPr>
  </w:style>
  <w:style w:type="paragraph" w:customStyle="1" w:styleId="2989">
    <w:name w:val="标题后正文"/>
    <w:basedOn w:val="1"/>
    <w:qFormat/>
    <w:uiPriority w:val="0"/>
    <w:pPr>
      <w:spacing w:line="360" w:lineRule="auto"/>
      <w:textAlignment w:val="baseline"/>
    </w:pPr>
    <w:rPr>
      <w:rFonts w:ascii="Arial" w:hAnsi="Arial"/>
      <w:snapToGrid w:val="0"/>
      <w:kern w:val="28"/>
      <w:sz w:val="24"/>
      <w:szCs w:val="20"/>
    </w:rPr>
  </w:style>
  <w:style w:type="paragraph" w:customStyle="1" w:styleId="2990">
    <w:name w:val="xl21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2991">
    <w:name w:val="xl21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kern w:val="0"/>
      <w:sz w:val="18"/>
      <w:szCs w:val="18"/>
    </w:rPr>
  </w:style>
  <w:style w:type="paragraph" w:customStyle="1" w:styleId="2992">
    <w:name w:val="日期3"/>
    <w:basedOn w:val="1"/>
    <w:next w:val="1"/>
    <w:qFormat/>
    <w:uiPriority w:val="0"/>
    <w:pPr>
      <w:spacing w:line="312" w:lineRule="atLeast"/>
      <w:jc w:val="right"/>
      <w:textAlignment w:val="baseline"/>
    </w:pPr>
    <w:rPr>
      <w:rFonts w:ascii="宋体"/>
    </w:rPr>
  </w:style>
  <w:style w:type="paragraph" w:customStyle="1" w:styleId="2993">
    <w:name w:val="正文 1"/>
    <w:basedOn w:val="1"/>
    <w:qFormat/>
    <w:uiPriority w:val="0"/>
    <w:pPr>
      <w:spacing w:line="480" w:lineRule="exact"/>
      <w:ind w:firstLine="567"/>
    </w:pPr>
    <w:rPr>
      <w:szCs w:val="20"/>
    </w:rPr>
  </w:style>
  <w:style w:type="paragraph" w:customStyle="1" w:styleId="2994">
    <w:name w:val="wenzi"/>
    <w:basedOn w:val="1"/>
    <w:qFormat/>
    <w:uiPriority w:val="0"/>
    <w:pPr>
      <w:spacing w:before="100" w:beforeAutospacing="1" w:after="100" w:afterAutospacing="1" w:line="316" w:lineRule="atLeast"/>
      <w:jc w:val="left"/>
    </w:pPr>
    <w:rPr>
      <w:color w:val="000000"/>
      <w:kern w:val="0"/>
      <w:szCs w:val="21"/>
    </w:rPr>
  </w:style>
  <w:style w:type="paragraph" w:customStyle="1" w:styleId="2995">
    <w:name w:val="样式 标题 4 + 两端对齐 段前: 2.85 磅 段后: 2.85 磅 行距: 固定值 20 磅"/>
    <w:basedOn w:val="10"/>
    <w:qFormat/>
    <w:uiPriority w:val="0"/>
    <w:pPr>
      <w:keepNext w:val="0"/>
      <w:keepLines w:val="0"/>
      <w:tabs>
        <w:tab w:val="left" w:pos="0"/>
        <w:tab w:val="left" w:pos="980"/>
        <w:tab w:val="left" w:pos="3190"/>
        <w:tab w:val="left" w:pos="8721"/>
      </w:tabs>
      <w:spacing w:before="57" w:after="57" w:line="400" w:lineRule="exact"/>
      <w:textAlignment w:val="baseline"/>
    </w:pPr>
    <w:rPr>
      <w:rFonts w:ascii="宋体" w:hAnsi="宋体" w:cs="宋体"/>
      <w:bCs w:val="0"/>
      <w:snapToGrid w:val="0"/>
      <w:kern w:val="0"/>
      <w:sz w:val="24"/>
    </w:rPr>
  </w:style>
  <w:style w:type="paragraph" w:customStyle="1" w:styleId="2996">
    <w:name w:val="Char Char Char1 Char6"/>
    <w:basedOn w:val="1"/>
    <w:qFormat/>
    <w:uiPriority w:val="0"/>
  </w:style>
  <w:style w:type="paragraph" w:customStyle="1" w:styleId="2997">
    <w:name w:val="表内字一"/>
    <w:basedOn w:val="1"/>
    <w:qFormat/>
    <w:uiPriority w:val="0"/>
    <w:pPr>
      <w:ind w:left="-105" w:right="-29"/>
      <w:jc w:val="center"/>
    </w:pPr>
    <w:rPr>
      <w:rFonts w:hint="eastAsia" w:ascii="宋体" w:hAnsi="宋体"/>
      <w:kern w:val="0"/>
      <w:szCs w:val="20"/>
    </w:rPr>
  </w:style>
  <w:style w:type="paragraph" w:customStyle="1" w:styleId="2998">
    <w:name w:val="xl96"/>
    <w:basedOn w:val="1"/>
    <w:qFormat/>
    <w:uiPriority w:val="0"/>
    <w:pPr>
      <w:pBdr>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2999">
    <w:name w:val="表体正文3"/>
    <w:basedOn w:val="1"/>
    <w:next w:val="1"/>
    <w:qFormat/>
    <w:uiPriority w:val="0"/>
    <w:pPr>
      <w:jc w:val="center"/>
    </w:pPr>
    <w:rPr>
      <w:rFonts w:ascii="宋体" w:hAnsi="宋体"/>
      <w:spacing w:val="-2"/>
      <w:sz w:val="18"/>
    </w:rPr>
  </w:style>
  <w:style w:type="paragraph" w:customStyle="1" w:styleId="3000">
    <w:name w:val="样式 首行缩进:  2.57 字符"/>
    <w:basedOn w:val="1"/>
    <w:qFormat/>
    <w:uiPriority w:val="0"/>
    <w:pPr>
      <w:ind w:firstLine="720" w:firstLineChars="257"/>
      <w:jc w:val="left"/>
    </w:pPr>
    <w:rPr>
      <w:rFonts w:cs="宋体"/>
      <w:szCs w:val="20"/>
    </w:rPr>
  </w:style>
  <w:style w:type="paragraph" w:customStyle="1" w:styleId="3001">
    <w:name w:val="文字缩"/>
    <w:basedOn w:val="1"/>
    <w:qFormat/>
    <w:uiPriority w:val="0"/>
    <w:pPr>
      <w:autoSpaceDE w:val="0"/>
      <w:autoSpaceDN w:val="0"/>
      <w:spacing w:line="480" w:lineRule="atLeast"/>
      <w:jc w:val="left"/>
    </w:pPr>
    <w:rPr>
      <w:rFonts w:ascii="宋体"/>
      <w:snapToGrid w:val="0"/>
      <w:spacing w:val="6"/>
      <w:kern w:val="0"/>
      <w:szCs w:val="20"/>
    </w:rPr>
  </w:style>
  <w:style w:type="paragraph" w:customStyle="1" w:styleId="3002">
    <w:name w:val="xl50"/>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Cs w:val="21"/>
    </w:rPr>
  </w:style>
  <w:style w:type="paragraph" w:customStyle="1" w:styleId="3003">
    <w:name w:val="列表 4W"/>
    <w:basedOn w:val="81"/>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3004">
    <w:name w:val="密级编号"/>
    <w:basedOn w:val="1"/>
    <w:qFormat/>
    <w:uiPriority w:val="0"/>
    <w:pPr>
      <w:jc w:val="center"/>
      <w:textAlignment w:val="baseline"/>
    </w:pPr>
    <w:rPr>
      <w:rFonts w:ascii="仿宋_GB2312"/>
      <w:kern w:val="0"/>
      <w:sz w:val="24"/>
      <w:szCs w:val="20"/>
    </w:rPr>
  </w:style>
  <w:style w:type="paragraph" w:customStyle="1" w:styleId="3005">
    <w:name w:val="表内5中"/>
    <w:basedOn w:val="1"/>
    <w:qFormat/>
    <w:uiPriority w:val="0"/>
    <w:pPr>
      <w:jc w:val="center"/>
    </w:pPr>
    <w:rPr>
      <w:rFonts w:ascii="宋体"/>
      <w:szCs w:val="21"/>
    </w:rPr>
  </w:style>
  <w:style w:type="paragraph" w:customStyle="1" w:styleId="3006">
    <w:name w:val="xl92"/>
    <w:basedOn w:val="1"/>
    <w:qFormat/>
    <w:uiPriority w:val="0"/>
    <w:pPr>
      <w:pBdr>
        <w:top w:val="single" w:color="auto" w:sz="4" w:space="0"/>
        <w:left w:val="single" w:color="auto" w:sz="4" w:space="0"/>
        <w:bottom w:val="single" w:color="auto" w:sz="8" w:space="0"/>
      </w:pBdr>
      <w:spacing w:before="100" w:beforeAutospacing="1" w:after="100" w:afterAutospacing="1"/>
      <w:jc w:val="center"/>
    </w:pPr>
    <w:rPr>
      <w:rFonts w:ascii="Arial Unicode MS" w:hAnsi="Arial Unicode MS" w:eastAsia="Arial Unicode MS" w:cs="Arial Unicode MS"/>
      <w:kern w:val="0"/>
      <w:sz w:val="16"/>
      <w:szCs w:val="16"/>
    </w:rPr>
  </w:style>
  <w:style w:type="paragraph" w:customStyle="1" w:styleId="3007">
    <w:name w:val="Char Char Char1 Char4"/>
    <w:basedOn w:val="1"/>
    <w:qFormat/>
    <w:uiPriority w:val="0"/>
    <w:pPr>
      <w:spacing w:line="360" w:lineRule="auto"/>
    </w:pPr>
    <w:rPr>
      <w:rFonts w:ascii="宋体" w:hAnsi="宋体"/>
      <w:sz w:val="24"/>
    </w:rPr>
  </w:style>
  <w:style w:type="paragraph" w:customStyle="1" w:styleId="3008">
    <w:name w:val="xl83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3009">
    <w:name w:val="列出段落41"/>
    <w:basedOn w:val="1"/>
    <w:qFormat/>
    <w:uiPriority w:val="0"/>
    <w:pPr>
      <w:ind w:firstLine="420"/>
    </w:pPr>
  </w:style>
  <w:style w:type="paragraph" w:customStyle="1" w:styleId="3010">
    <w:name w:val="样式 标题 4标题 4 Char§1.1.1.1§1.1.1.1.H4 + 左侧:  0 厘米 首行缩进:  0 厘米"/>
    <w:basedOn w:val="10"/>
    <w:qFormat/>
    <w:uiPriority w:val="0"/>
    <w:pPr>
      <w:keepNext w:val="0"/>
      <w:keepLines w:val="0"/>
      <w:tabs>
        <w:tab w:val="left" w:pos="975"/>
      </w:tabs>
      <w:overflowPunct w:val="0"/>
      <w:spacing w:before="120" w:after="0" w:line="300" w:lineRule="auto"/>
      <w:ind w:left="0" w:firstLine="0"/>
      <w:textAlignment w:val="baseline"/>
    </w:pPr>
    <w:rPr>
      <w:rFonts w:cs="宋体"/>
      <w:b w:val="0"/>
      <w:bCs w:val="0"/>
      <w:kern w:val="0"/>
    </w:rPr>
  </w:style>
  <w:style w:type="paragraph" w:customStyle="1" w:styleId="3011">
    <w:name w:val="Char Char Char Char Char Char Char Char Char Char4"/>
    <w:basedOn w:val="1"/>
    <w:qFormat/>
    <w:uiPriority w:val="0"/>
    <w:rPr>
      <w:rFonts w:ascii="宋体" w:hAnsi="宋体" w:cs="宋体"/>
      <w:sz w:val="24"/>
    </w:rPr>
  </w:style>
  <w:style w:type="paragraph" w:customStyle="1" w:styleId="3012">
    <w:name w:val="xl1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3013">
    <w:name w:val="xl16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3014">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eastAsia="Arial Unicode MS"/>
      <w:kern w:val="0"/>
      <w:sz w:val="16"/>
      <w:szCs w:val="16"/>
    </w:rPr>
  </w:style>
  <w:style w:type="paragraph" w:customStyle="1" w:styleId="3015">
    <w:name w:val="无间隔21"/>
    <w:basedOn w:val="1"/>
    <w:qFormat/>
    <w:uiPriority w:val="0"/>
    <w:rPr>
      <w:rFonts w:eastAsia="Times New Roman"/>
      <w:sz w:val="24"/>
      <w:szCs w:val="32"/>
    </w:rPr>
  </w:style>
  <w:style w:type="paragraph" w:customStyle="1" w:styleId="3016">
    <w:name w:val="z-窗体底端21"/>
    <w:basedOn w:val="1"/>
    <w:next w:val="1"/>
    <w:qFormat/>
    <w:uiPriority w:val="0"/>
    <w:pPr>
      <w:pBdr>
        <w:top w:val="single" w:color="auto" w:sz="6" w:space="1"/>
      </w:pBdr>
      <w:jc w:val="center"/>
    </w:pPr>
    <w:rPr>
      <w:rFonts w:ascii="Arial" w:hAnsi="Arial" w:eastAsia="Times New Roman"/>
      <w:vanish/>
      <w:sz w:val="16"/>
      <w:szCs w:val="16"/>
    </w:rPr>
  </w:style>
  <w:style w:type="paragraph" w:customStyle="1" w:styleId="3017">
    <w:name w:val="表格文字自调"/>
    <w:basedOn w:val="49"/>
    <w:qFormat/>
    <w:uiPriority w:val="0"/>
    <w:rPr>
      <w:rFonts w:ascii="Times New Roman" w:hAnsi="Times New Roman" w:cs="Courier New"/>
      <w:sz w:val="21"/>
      <w:szCs w:val="21"/>
    </w:rPr>
  </w:style>
  <w:style w:type="paragraph" w:customStyle="1" w:styleId="3018">
    <w:name w:val="样式 表格标题 + 段后: 0.5 行2"/>
    <w:basedOn w:val="25"/>
    <w:qFormat/>
    <w:uiPriority w:val="0"/>
    <w:pPr>
      <w:tabs>
        <w:tab w:val="left" w:pos="0"/>
      </w:tabs>
      <w:spacing w:line="324" w:lineRule="auto"/>
      <w:ind w:firstLine="480"/>
    </w:pPr>
    <w:rPr>
      <w:rFonts w:eastAsia="宋体"/>
      <w:bCs/>
      <w:sz w:val="24"/>
      <w:szCs w:val="24"/>
      <w:lang w:val="zh-CN"/>
    </w:rPr>
  </w:style>
  <w:style w:type="paragraph" w:customStyle="1" w:styleId="3019">
    <w:name w:val="样式 小四 行距: 1.5 倍行距"/>
    <w:basedOn w:val="1"/>
    <w:qFormat/>
    <w:uiPriority w:val="0"/>
    <w:pPr>
      <w:spacing w:line="300" w:lineRule="auto"/>
    </w:pPr>
    <w:rPr>
      <w:rFonts w:cs="宋体"/>
      <w:szCs w:val="28"/>
    </w:rPr>
  </w:style>
  <w:style w:type="paragraph" w:customStyle="1" w:styleId="3020">
    <w:name w:val="缩进4宋125"/>
    <w:basedOn w:val="1"/>
    <w:qFormat/>
    <w:uiPriority w:val="0"/>
    <w:pPr>
      <w:jc w:val="center"/>
    </w:pPr>
    <w:rPr>
      <w:b/>
    </w:rPr>
  </w:style>
  <w:style w:type="paragraph" w:customStyle="1" w:styleId="3021">
    <w:name w:val="样式 正文缩进正文缩进 Char + 首行缩进:  2 字符"/>
    <w:basedOn w:val="25"/>
    <w:qFormat/>
    <w:uiPriority w:val="0"/>
    <w:pPr>
      <w:spacing w:line="360" w:lineRule="auto"/>
      <w:ind w:firstLine="480"/>
    </w:pPr>
    <w:rPr>
      <w:snapToGrid w:val="0"/>
      <w:kern w:val="0"/>
      <w:sz w:val="24"/>
      <w:szCs w:val="24"/>
    </w:rPr>
  </w:style>
  <w:style w:type="paragraph" w:customStyle="1" w:styleId="3022">
    <w:name w:val="附录"/>
    <w:basedOn w:val="5"/>
    <w:next w:val="1"/>
    <w:qFormat/>
    <w:uiPriority w:val="0"/>
    <w:pPr>
      <w:tabs>
        <w:tab w:val="left" w:pos="720"/>
      </w:tabs>
      <w:spacing w:before="0" w:after="220" w:line="360" w:lineRule="auto"/>
      <w:ind w:left="680" w:hanging="680"/>
      <w:jc w:val="center"/>
    </w:pPr>
    <w:rPr>
      <w:bCs w:val="0"/>
      <w:spacing w:val="-10"/>
      <w:kern w:val="28"/>
      <w:sz w:val="30"/>
      <w:szCs w:val="20"/>
    </w:rPr>
  </w:style>
  <w:style w:type="paragraph" w:customStyle="1" w:styleId="3023">
    <w:name w:val="Char Char Char Char Char Char Char Char Char2"/>
    <w:basedOn w:val="1"/>
    <w:qFormat/>
    <w:uiPriority w:val="0"/>
    <w:pPr>
      <w:spacing w:line="360" w:lineRule="auto"/>
    </w:pPr>
    <w:rPr>
      <w:rFonts w:ascii="宋体" w:hAnsi="宋体" w:cs="宋体"/>
      <w:sz w:val="24"/>
    </w:rPr>
  </w:style>
  <w:style w:type="paragraph" w:customStyle="1" w:styleId="3024">
    <w:name w:val="样式 首行缩进:  2 字符1"/>
    <w:basedOn w:val="1"/>
    <w:qFormat/>
    <w:uiPriority w:val="0"/>
    <w:pPr>
      <w:ind w:firstLine="560"/>
    </w:pPr>
    <w:rPr>
      <w:rFonts w:cs="宋体"/>
      <w:szCs w:val="20"/>
    </w:rPr>
  </w:style>
  <w:style w:type="paragraph" w:customStyle="1" w:styleId="3025">
    <w:name w:val="xl1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kern w:val="0"/>
      <w:sz w:val="20"/>
      <w:szCs w:val="20"/>
    </w:rPr>
  </w:style>
  <w:style w:type="paragraph" w:customStyle="1" w:styleId="3026">
    <w:name w:val="样式 标题 4款标题1.1.1.1标题 4 Char[三级节名]h4H4条 2[三级节名]1[三级节名]2四...3"/>
    <w:basedOn w:val="10"/>
    <w:qFormat/>
    <w:uiPriority w:val="0"/>
    <w:pPr>
      <w:spacing w:before="80" w:after="80"/>
      <w:ind w:left="1680" w:hanging="420"/>
    </w:pPr>
    <w:rPr>
      <w:rFonts w:cs="宋体"/>
      <w:bCs w:val="0"/>
      <w:szCs w:val="20"/>
    </w:rPr>
  </w:style>
  <w:style w:type="paragraph" w:customStyle="1" w:styleId="3027">
    <w:name w:val="xl69"/>
    <w:basedOn w:val="1"/>
    <w:qFormat/>
    <w:uiPriority w:val="0"/>
    <w:pPr>
      <w:pBdr>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kern w:val="0"/>
      <w:szCs w:val="21"/>
    </w:rPr>
  </w:style>
  <w:style w:type="paragraph" w:customStyle="1" w:styleId="3028">
    <w:name w:val="Char Char Char Char Char Char1 Char Char Char Char Char Char3 Char"/>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3029">
    <w:name w:val="燕正文"/>
    <w:basedOn w:val="39"/>
    <w:qFormat/>
    <w:uiPriority w:val="0"/>
    <w:pPr>
      <w:spacing w:after="0" w:line="480" w:lineRule="atLeast"/>
      <w:ind w:left="0" w:leftChars="0" w:firstLine="480"/>
      <w:textAlignment w:val="baseline"/>
    </w:pPr>
    <w:rPr>
      <w:rFonts w:cs="宋体"/>
      <w:kern w:val="0"/>
      <w:sz w:val="24"/>
    </w:rPr>
  </w:style>
  <w:style w:type="paragraph" w:customStyle="1" w:styleId="3030">
    <w:name w:val="font10"/>
    <w:basedOn w:val="1"/>
    <w:qFormat/>
    <w:uiPriority w:val="0"/>
    <w:pPr>
      <w:spacing w:before="100" w:beforeAutospacing="1" w:after="100" w:afterAutospacing="1"/>
      <w:jc w:val="left"/>
    </w:pPr>
    <w:rPr>
      <w:rFonts w:hint="eastAsia" w:ascii="宋体" w:hAnsi="宋体"/>
      <w:kern w:val="0"/>
      <w:sz w:val="20"/>
      <w:szCs w:val="20"/>
    </w:rPr>
  </w:style>
  <w:style w:type="paragraph" w:customStyle="1" w:styleId="3031">
    <w:name w:val="样式 标题 4 +"/>
    <w:basedOn w:val="10"/>
    <w:qFormat/>
    <w:uiPriority w:val="0"/>
    <w:pPr>
      <w:tabs>
        <w:tab w:val="left" w:pos="964"/>
      </w:tabs>
      <w:ind w:left="964" w:hanging="964"/>
    </w:pPr>
    <w:rPr>
      <w:rFonts w:ascii="Arial" w:hAnsi="Arial" w:eastAsia="黑体"/>
    </w:rPr>
  </w:style>
  <w:style w:type="paragraph" w:customStyle="1" w:styleId="3032">
    <w:name w:val="列表 4M"/>
    <w:basedOn w:val="81"/>
    <w:qFormat/>
    <w:uiPriority w:val="0"/>
    <w:pPr>
      <w:tabs>
        <w:tab w:val="left" w:pos="1021"/>
      </w:tabs>
      <w:spacing w:beforeLines="50" w:afterLines="30" w:line="288" w:lineRule="auto"/>
      <w:ind w:left="1021" w:leftChars="0" w:hanging="454" w:firstLineChars="0"/>
    </w:pPr>
    <w:rPr>
      <w:rFonts w:ascii="Arial" w:hAnsi="Arial"/>
      <w:color w:val="CCFFFF"/>
      <w:sz w:val="24"/>
      <w:szCs w:val="20"/>
    </w:rPr>
  </w:style>
  <w:style w:type="paragraph" w:customStyle="1" w:styleId="3033">
    <w:name w:val="公司名"/>
    <w:basedOn w:val="1"/>
    <w:qFormat/>
    <w:uiPriority w:val="0"/>
    <w:pPr>
      <w:keepNext/>
      <w:keepLines/>
      <w:spacing w:beforeLines="50" w:afterLines="50" w:line="320" w:lineRule="atLeast"/>
      <w:jc w:val="center"/>
    </w:pPr>
    <w:rPr>
      <w:rFonts w:ascii="Arial" w:hAnsi="Arial" w:eastAsia="楷体_GB2312"/>
      <w:b/>
      <w:bCs/>
      <w:color w:val="CCFFCC"/>
      <w:kern w:val="28"/>
      <w:sz w:val="32"/>
      <w:szCs w:val="20"/>
      <w:lang w:bidi="he-IL"/>
    </w:rPr>
  </w:style>
  <w:style w:type="paragraph" w:customStyle="1" w:styleId="3034">
    <w:name w:val="Char Char Char Char Char Char Char Char Char Char Char Char Char Char Char Char Char Char Char Char Char1"/>
    <w:basedOn w:val="1"/>
    <w:qFormat/>
    <w:uiPriority w:val="0"/>
    <w:pPr>
      <w:spacing w:line="360" w:lineRule="auto"/>
    </w:pPr>
    <w:rPr>
      <w:rFonts w:ascii="宋体" w:hAnsi="宋体" w:cs="宋体"/>
      <w:sz w:val="24"/>
    </w:rPr>
  </w:style>
  <w:style w:type="paragraph" w:customStyle="1" w:styleId="3035">
    <w:name w:val="R表格"/>
    <w:basedOn w:val="1"/>
    <w:qFormat/>
    <w:uiPriority w:val="0"/>
    <w:pPr>
      <w:jc w:val="center"/>
    </w:pPr>
    <w:rPr>
      <w:kern w:val="0"/>
      <w:szCs w:val="21"/>
    </w:rPr>
  </w:style>
  <w:style w:type="paragraph" w:customStyle="1" w:styleId="3036">
    <w:name w:val="样式 左"/>
    <w:basedOn w:val="1"/>
    <w:qFormat/>
    <w:uiPriority w:val="0"/>
    <w:pPr>
      <w:autoSpaceDE w:val="0"/>
      <w:autoSpaceDN w:val="0"/>
      <w:spacing w:line="360" w:lineRule="auto"/>
    </w:pPr>
    <w:rPr>
      <w:rFonts w:ascii="宋体" w:hAnsi="宋体"/>
      <w:color w:val="000000"/>
      <w:sz w:val="24"/>
    </w:rPr>
  </w:style>
  <w:style w:type="paragraph" w:customStyle="1" w:styleId="3037">
    <w:name w:val="列表 G"/>
    <w:basedOn w:val="70"/>
    <w:qFormat/>
    <w:uiPriority w:val="0"/>
    <w:pPr>
      <w:tabs>
        <w:tab w:val="left" w:pos="425"/>
      </w:tabs>
      <w:spacing w:beforeLines="100" w:afterLines="50" w:line="288" w:lineRule="auto"/>
      <w:ind w:left="425" w:hanging="425"/>
    </w:pPr>
    <w:rPr>
      <w:rFonts w:ascii="Arial" w:hAnsi="Arial" w:eastAsia="宋体"/>
      <w:b/>
      <w:bCs/>
      <w:color w:val="FF99CC"/>
    </w:rPr>
  </w:style>
  <w:style w:type="paragraph" w:customStyle="1" w:styleId="3038">
    <w:name w:val="表名LA"/>
    <w:basedOn w:val="1"/>
    <w:qFormat/>
    <w:uiPriority w:val="0"/>
    <w:pPr>
      <w:tabs>
        <w:tab w:val="left" w:pos="0"/>
      </w:tabs>
      <w:spacing w:beforeLines="80" w:afterLines="20"/>
      <w:jc w:val="center"/>
    </w:pPr>
    <w:rPr>
      <w:b/>
      <w:snapToGrid w:val="0"/>
    </w:rPr>
  </w:style>
  <w:style w:type="paragraph" w:customStyle="1" w:styleId="3039">
    <w:name w:val="样式 样式 样式13 + 小二 + 段前: 0 磅 段后: 0 磅"/>
    <w:basedOn w:val="3040"/>
    <w:qFormat/>
    <w:uiPriority w:val="0"/>
    <w:pPr>
      <w:spacing w:before="0" w:after="0"/>
    </w:pPr>
    <w:rPr>
      <w:rFonts w:cs="Times New Roman"/>
      <w:szCs w:val="20"/>
    </w:rPr>
  </w:style>
  <w:style w:type="paragraph" w:customStyle="1" w:styleId="3040">
    <w:name w:val="样式 样式13 + 小二"/>
    <w:basedOn w:val="3041"/>
    <w:qFormat/>
    <w:uiPriority w:val="0"/>
    <w:rPr>
      <w:sz w:val="36"/>
    </w:rPr>
  </w:style>
  <w:style w:type="paragraph" w:customStyle="1" w:styleId="3041">
    <w:name w:val="样式13"/>
    <w:basedOn w:val="87"/>
    <w:qFormat/>
    <w:uiPriority w:val="0"/>
    <w:pPr>
      <w:keepLines w:val="0"/>
      <w:pageBreakBefore w:val="0"/>
      <w:widowControl/>
      <w:spacing w:after="60" w:line="360" w:lineRule="auto"/>
      <w:ind w:firstLine="288"/>
    </w:pPr>
    <w:rPr>
      <w:rFonts w:ascii="Arial" w:hAnsi="Arial" w:cs="Arial"/>
      <w:bCs/>
      <w:kern w:val="28"/>
      <w:sz w:val="44"/>
      <w:szCs w:val="44"/>
    </w:rPr>
  </w:style>
  <w:style w:type="paragraph" w:customStyle="1" w:styleId="3042">
    <w:name w:val="表格项目"/>
    <w:basedOn w:val="2755"/>
    <w:qFormat/>
    <w:uiPriority w:val="0"/>
    <w:pPr>
      <w:spacing w:line="240" w:lineRule="auto"/>
      <w:ind w:firstLine="0"/>
      <w:jc w:val="center"/>
    </w:pPr>
    <w:rPr>
      <w:szCs w:val="20"/>
    </w:rPr>
  </w:style>
  <w:style w:type="paragraph" w:customStyle="1" w:styleId="3043">
    <w:name w:val="表中正文"/>
    <w:basedOn w:val="1"/>
    <w:qFormat/>
    <w:uiPriority w:val="0"/>
    <w:pPr>
      <w:spacing w:line="240" w:lineRule="atLeast"/>
    </w:pPr>
  </w:style>
  <w:style w:type="paragraph" w:customStyle="1" w:styleId="3044">
    <w:name w:val="1正文段落"/>
    <w:basedOn w:val="1"/>
    <w:qFormat/>
    <w:uiPriority w:val="0"/>
    <w:pPr>
      <w:spacing w:line="360" w:lineRule="auto"/>
      <w:jc w:val="left"/>
    </w:pPr>
    <w:rPr>
      <w:snapToGrid w:val="0"/>
      <w:kern w:val="0"/>
      <w:sz w:val="24"/>
    </w:rPr>
  </w:style>
  <w:style w:type="paragraph" w:customStyle="1" w:styleId="3045">
    <w:name w:val="Char Char Char Char Char Char1 Char Char Char Char2"/>
    <w:basedOn w:val="1"/>
    <w:qFormat/>
    <w:uiPriority w:val="0"/>
  </w:style>
  <w:style w:type="paragraph" w:customStyle="1" w:styleId="3046">
    <w:name w:val="1 Char"/>
    <w:basedOn w:val="1"/>
    <w:qFormat/>
    <w:uiPriority w:val="0"/>
    <w:pPr>
      <w:jc w:val="left"/>
      <w:textAlignment w:val="baseline"/>
    </w:pPr>
    <w:rPr>
      <w:rFonts w:eastAsia="楷体_GB2312"/>
      <w:kern w:val="0"/>
      <w:sz w:val="24"/>
    </w:rPr>
  </w:style>
  <w:style w:type="paragraph" w:customStyle="1" w:styleId="3047">
    <w:name w:val="样式 样式 样式 样式 正文首行缩进 + 首行缩进:  2 字符 + 首行缩进:  2 字符 + 宋体 + (中文) 宋体"/>
    <w:basedOn w:val="2099"/>
    <w:qFormat/>
    <w:uiPriority w:val="0"/>
  </w:style>
  <w:style w:type="paragraph" w:customStyle="1" w:styleId="3048">
    <w:name w:val="标题 11"/>
    <w:basedOn w:val="1"/>
    <w:qFormat/>
    <w:uiPriority w:val="0"/>
    <w:pPr>
      <w:spacing w:before="100" w:beforeAutospacing="1" w:after="100" w:afterAutospacing="1"/>
      <w:outlineLvl w:val="1"/>
    </w:pPr>
    <w:rPr>
      <w:rFonts w:ascii="黑体" w:hAnsi="宋体" w:eastAsia="黑体" w:cs="宋体"/>
      <w:b/>
      <w:bCs/>
      <w:kern w:val="36"/>
      <w:sz w:val="24"/>
    </w:rPr>
  </w:style>
  <w:style w:type="paragraph" w:customStyle="1" w:styleId="3049">
    <w:name w:val="Body Text First Indent3"/>
    <w:basedOn w:val="38"/>
    <w:qFormat/>
    <w:uiPriority w:val="0"/>
    <w:pPr>
      <w:spacing w:after="0" w:line="312" w:lineRule="auto"/>
      <w:ind w:firstLine="567"/>
      <w:textAlignment w:val="baseline"/>
    </w:pPr>
    <w:rPr>
      <w:kern w:val="0"/>
      <w:szCs w:val="20"/>
    </w:rPr>
  </w:style>
  <w:style w:type="paragraph" w:customStyle="1" w:styleId="3050">
    <w:name w:val="表格1粗"/>
    <w:basedOn w:val="3051"/>
    <w:qFormat/>
    <w:uiPriority w:val="0"/>
    <w:pPr>
      <w:spacing w:line="240" w:lineRule="atLeast"/>
      <w:ind w:left="206" w:leftChars="100" w:right="206" w:rightChars="100"/>
      <w:textAlignment w:val="auto"/>
    </w:pPr>
    <w:rPr>
      <w:rFonts w:ascii="宋体" w:hAnsi="宋体"/>
      <w:bCs/>
      <w:iCs/>
      <w:spacing w:val="-20"/>
      <w:kern w:val="2"/>
      <w:sz w:val="21"/>
      <w:szCs w:val="21"/>
    </w:rPr>
  </w:style>
  <w:style w:type="paragraph" w:customStyle="1" w:styleId="3051">
    <w:name w:val="表格1"/>
    <w:basedOn w:val="1"/>
    <w:qFormat/>
    <w:uiPriority w:val="0"/>
    <w:pPr>
      <w:spacing w:line="360" w:lineRule="atLeast"/>
      <w:jc w:val="center"/>
      <w:textAlignment w:val="baseline"/>
    </w:pPr>
    <w:rPr>
      <w:rFonts w:ascii="CG Times (WN)"/>
      <w:spacing w:val="6"/>
      <w:kern w:val="0"/>
      <w:sz w:val="24"/>
      <w:szCs w:val="20"/>
    </w:rPr>
  </w:style>
  <w:style w:type="paragraph" w:customStyle="1" w:styleId="3052">
    <w:name w:val="表尾"/>
    <w:basedOn w:val="1"/>
    <w:qFormat/>
    <w:uiPriority w:val="0"/>
    <w:pPr>
      <w:tabs>
        <w:tab w:val="left" w:pos="1021"/>
      </w:tabs>
      <w:spacing w:line="200" w:lineRule="exact"/>
    </w:pPr>
    <w:rPr>
      <w:sz w:val="10"/>
      <w:szCs w:val="20"/>
    </w:rPr>
  </w:style>
  <w:style w:type="paragraph" w:customStyle="1" w:styleId="3053">
    <w:name w:val="正文A"/>
    <w:qFormat/>
    <w:uiPriority w:val="0"/>
    <w:pPr>
      <w:widowControl w:val="0"/>
      <w:tabs>
        <w:tab w:val="left" w:pos="0"/>
      </w:tabs>
      <w:adjustRightInd w:val="0"/>
      <w:spacing w:line="360" w:lineRule="auto"/>
      <w:ind w:firstLine="200" w:firstLineChars="200"/>
      <w:jc w:val="both"/>
      <w:textAlignment w:val="baseline"/>
    </w:pPr>
    <w:rPr>
      <w:rFonts w:ascii="Calibri" w:hAnsi="Calibri" w:eastAsia="宋体" w:cs="Times New Roman"/>
      <w:snapToGrid w:val="0"/>
      <w:sz w:val="24"/>
      <w:szCs w:val="22"/>
      <w:lang w:val="en-US" w:eastAsia="zh-CN" w:bidi="ar-SA"/>
    </w:rPr>
  </w:style>
  <w:style w:type="paragraph" w:customStyle="1" w:styleId="3054">
    <w:name w:val="附录1"/>
    <w:basedOn w:val="5"/>
    <w:next w:val="1"/>
    <w:qFormat/>
    <w:uiPriority w:val="0"/>
    <w:pPr>
      <w:tabs>
        <w:tab w:val="left" w:pos="720"/>
      </w:tabs>
      <w:spacing w:before="0" w:after="220" w:line="360" w:lineRule="auto"/>
      <w:ind w:left="680" w:hanging="680"/>
      <w:jc w:val="center"/>
    </w:pPr>
    <w:rPr>
      <w:bCs w:val="0"/>
      <w:spacing w:val="-10"/>
      <w:kern w:val="28"/>
      <w:sz w:val="30"/>
      <w:szCs w:val="20"/>
    </w:rPr>
  </w:style>
  <w:style w:type="paragraph" w:customStyle="1" w:styleId="3055">
    <w:name w:val="样式 标题 2节标题 1.1h2l22nd levelTitre22Header 2H2 + Times New..."/>
    <w:basedOn w:val="6"/>
    <w:qFormat/>
    <w:uiPriority w:val="0"/>
    <w:pPr>
      <w:keepLines w:val="0"/>
      <w:tabs>
        <w:tab w:val="left" w:pos="240"/>
        <w:tab w:val="left" w:pos="600"/>
        <w:tab w:val="left" w:pos="3960"/>
        <w:tab w:val="left" w:pos="5400"/>
        <w:tab w:val="left" w:pos="6840"/>
        <w:tab w:val="clear" w:pos="1080"/>
      </w:tabs>
      <w:spacing w:beforeLines="50" w:afterLines="50"/>
      <w:ind w:left="0" w:firstLine="200"/>
    </w:pPr>
    <w:rPr>
      <w:rFonts w:eastAsia="仿宋_GB2312"/>
      <w:bCs/>
      <w:i/>
      <w:iCs/>
      <w:kern w:val="2"/>
      <w:sz w:val="28"/>
    </w:rPr>
  </w:style>
  <w:style w:type="paragraph" w:customStyle="1" w:styleId="3056">
    <w:name w:val="xl1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18"/>
      <w:szCs w:val="18"/>
    </w:rPr>
  </w:style>
  <w:style w:type="paragraph" w:customStyle="1" w:styleId="3057">
    <w:name w:val="正文02"/>
    <w:basedOn w:val="25"/>
    <w:qFormat/>
    <w:uiPriority w:val="0"/>
    <w:pPr>
      <w:spacing w:before="400" w:line="460" w:lineRule="exact"/>
      <w:ind w:firstLine="200"/>
    </w:pPr>
    <w:rPr>
      <w:sz w:val="24"/>
      <w:szCs w:val="24"/>
    </w:rPr>
  </w:style>
  <w:style w:type="paragraph" w:customStyle="1" w:styleId="3058">
    <w:name w:val="标题 21"/>
    <w:basedOn w:val="1"/>
    <w:qFormat/>
    <w:uiPriority w:val="0"/>
    <w:pPr>
      <w:autoSpaceDE w:val="0"/>
      <w:autoSpaceDN w:val="0"/>
      <w:jc w:val="left"/>
      <w:outlineLvl w:val="1"/>
    </w:pPr>
    <w:rPr>
      <w:rFonts w:ascii="宋体" w:cs="宋体"/>
      <w:kern w:val="0"/>
      <w:sz w:val="240"/>
      <w:szCs w:val="240"/>
    </w:rPr>
  </w:style>
  <w:style w:type="paragraph" w:customStyle="1" w:styleId="3059">
    <w:name w:val="正文表标题"/>
    <w:next w:val="10"/>
    <w:qFormat/>
    <w:uiPriority w:val="0"/>
    <w:pPr>
      <w:spacing w:line="320" w:lineRule="exact"/>
      <w:ind w:left="840" w:hanging="360"/>
      <w:jc w:val="center"/>
    </w:pPr>
    <w:rPr>
      <w:rFonts w:ascii="黑体" w:hAnsi="Calibri" w:eastAsia="黑体" w:cs="Times New Roman"/>
      <w:sz w:val="21"/>
      <w:lang w:val="en-US" w:eastAsia="zh-CN" w:bidi="ar-SA"/>
    </w:rPr>
  </w:style>
  <w:style w:type="paragraph" w:customStyle="1" w:styleId="3060">
    <w:name w:val="列表D"/>
    <w:basedOn w:val="70"/>
    <w:qFormat/>
    <w:uiPriority w:val="0"/>
    <w:pPr>
      <w:tabs>
        <w:tab w:val="left" w:pos="425"/>
      </w:tabs>
      <w:spacing w:beforeLines="100" w:afterLines="50" w:line="288" w:lineRule="auto"/>
      <w:ind w:left="425" w:hanging="425"/>
    </w:pPr>
    <w:rPr>
      <w:rFonts w:ascii="Arial" w:hAnsi="Arial" w:eastAsia="宋体"/>
      <w:b/>
      <w:bCs/>
      <w:color w:val="FF99CC"/>
    </w:rPr>
  </w:style>
  <w:style w:type="paragraph" w:customStyle="1" w:styleId="3061">
    <w:name w:val="xl18"/>
    <w:basedOn w:val="1"/>
    <w:qFormat/>
    <w:uiPriority w:val="0"/>
    <w:pPr>
      <w:spacing w:before="100" w:beforeAutospacing="1" w:after="100" w:afterAutospacing="1"/>
      <w:jc w:val="left"/>
    </w:pPr>
    <w:rPr>
      <w:rFonts w:eastAsia="Arial Unicode MS"/>
      <w:kern w:val="0"/>
      <w:sz w:val="24"/>
    </w:rPr>
  </w:style>
  <w:style w:type="paragraph" w:customStyle="1" w:styleId="3062">
    <w:name w:val="页脚2"/>
    <w:basedOn w:val="1107"/>
    <w:qFormat/>
    <w:uiPriority w:val="0"/>
    <w:pPr>
      <w:tabs>
        <w:tab w:val="center" w:pos="4153"/>
        <w:tab w:val="right" w:pos="8306"/>
      </w:tabs>
      <w:spacing w:line="240" w:lineRule="atLeast"/>
      <w:textAlignment w:val="baseline"/>
    </w:pPr>
    <w:rPr>
      <w:sz w:val="18"/>
    </w:rPr>
  </w:style>
  <w:style w:type="paragraph" w:customStyle="1" w:styleId="3063">
    <w:name w:val="基准标题"/>
    <w:basedOn w:val="1"/>
    <w:semiHidden/>
    <w:qFormat/>
    <w:uiPriority w:val="0"/>
    <w:pPr>
      <w:spacing w:beforeLines="20" w:afterLines="20" w:line="312" w:lineRule="auto"/>
      <w:jc w:val="center"/>
    </w:pPr>
    <w:rPr>
      <w:kern w:val="0"/>
      <w:szCs w:val="21"/>
    </w:rPr>
  </w:style>
  <w:style w:type="paragraph" w:customStyle="1" w:styleId="3064">
    <w:name w:val="德胜二级标题"/>
    <w:basedOn w:val="1"/>
    <w:qFormat/>
    <w:uiPriority w:val="0"/>
    <w:pPr>
      <w:keepNext/>
      <w:keepLines/>
      <w:spacing w:line="360" w:lineRule="auto"/>
      <w:jc w:val="left"/>
      <w:outlineLvl w:val="1"/>
    </w:pPr>
    <w:rPr>
      <w:b/>
      <w:bCs/>
      <w:snapToGrid w:val="0"/>
      <w:color w:val="0000FF"/>
      <w:kern w:val="0"/>
      <w:szCs w:val="28"/>
    </w:rPr>
  </w:style>
  <w:style w:type="paragraph" w:customStyle="1" w:styleId="3065">
    <w:name w:val="xl21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3066">
    <w:name w:val="xl83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18"/>
      <w:szCs w:val="18"/>
    </w:rPr>
  </w:style>
  <w:style w:type="paragraph" w:customStyle="1" w:styleId="3067">
    <w:name w:val="图号样式"/>
    <w:basedOn w:val="1"/>
    <w:qFormat/>
    <w:uiPriority w:val="0"/>
    <w:pPr>
      <w:spacing w:line="360" w:lineRule="auto"/>
      <w:jc w:val="center"/>
    </w:pPr>
    <w:rPr>
      <w:sz w:val="24"/>
    </w:rPr>
  </w:style>
  <w:style w:type="paragraph" w:customStyle="1" w:styleId="3068">
    <w:name w:val="xl19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3069">
    <w:name w:val="样式 标题 4 + 两端对齐"/>
    <w:basedOn w:val="10"/>
    <w:qFormat/>
    <w:uiPriority w:val="0"/>
    <w:pPr>
      <w:keepNext w:val="0"/>
      <w:keepLines w:val="0"/>
      <w:spacing w:after="0" w:line="300" w:lineRule="auto"/>
      <w:ind w:left="420"/>
      <w:jc w:val="right"/>
    </w:pPr>
    <w:rPr>
      <w:rFonts w:cs="宋体"/>
      <w:b w:val="0"/>
      <w:snapToGrid w:val="0"/>
      <w:kern w:val="0"/>
    </w:rPr>
  </w:style>
  <w:style w:type="paragraph" w:customStyle="1" w:styleId="3070">
    <w:name w:val="xl82"/>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3071">
    <w:name w:val="xl17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3072">
    <w:name w:val="图"/>
    <w:basedOn w:val="38"/>
    <w:qFormat/>
    <w:uiPriority w:val="0"/>
    <w:pPr>
      <w:spacing w:after="0" w:line="288" w:lineRule="auto"/>
      <w:jc w:val="center"/>
      <w:textAlignment w:val="baseline"/>
    </w:pPr>
    <w:rPr>
      <w:rFonts w:ascii="黑体" w:eastAsia="黑体"/>
      <w:b/>
      <w:kern w:val="0"/>
      <w:szCs w:val="20"/>
    </w:rPr>
  </w:style>
  <w:style w:type="paragraph" w:customStyle="1" w:styleId="3073">
    <w:name w:val="e3_ParaNum"/>
    <w:basedOn w:val="1"/>
    <w:qFormat/>
    <w:uiPriority w:val="0"/>
    <w:pPr>
      <w:keepLines/>
      <w:tabs>
        <w:tab w:val="left" w:pos="2551"/>
      </w:tabs>
      <w:suppressAutoHyphens/>
      <w:spacing w:before="240"/>
      <w:ind w:left="2551" w:hanging="567"/>
    </w:pPr>
    <w:rPr>
      <w:rFonts w:ascii="Arial" w:hAnsi="Arial" w:cs="Arial"/>
      <w:kern w:val="0"/>
      <w:sz w:val="24"/>
      <w:szCs w:val="20"/>
      <w:lang w:val="de-DE" w:eastAsia="de-DE"/>
    </w:rPr>
  </w:style>
  <w:style w:type="paragraph" w:customStyle="1" w:styleId="3074">
    <w:name w:val="列表 4K"/>
    <w:basedOn w:val="81"/>
    <w:qFormat/>
    <w:uiPriority w:val="0"/>
    <w:pPr>
      <w:tabs>
        <w:tab w:val="left" w:pos="1000"/>
      </w:tabs>
      <w:spacing w:beforeLines="50" w:afterLines="30" w:line="288" w:lineRule="auto"/>
      <w:ind w:left="1000" w:leftChars="0" w:hanging="720" w:firstLineChars="0"/>
    </w:pPr>
    <w:rPr>
      <w:rFonts w:ascii="Arial" w:hAnsi="Arial"/>
      <w:color w:val="CCFFFF"/>
      <w:sz w:val="24"/>
      <w:szCs w:val="20"/>
    </w:rPr>
  </w:style>
  <w:style w:type="paragraph" w:customStyle="1" w:styleId="3075">
    <w:name w:val="列表 5B"/>
    <w:basedOn w:val="73"/>
    <w:qFormat/>
    <w:uiPriority w:val="0"/>
    <w:pPr>
      <w:tabs>
        <w:tab w:val="left" w:pos="1134"/>
      </w:tabs>
      <w:ind w:left="1134" w:leftChars="0" w:hanging="425" w:firstLineChars="0"/>
    </w:pPr>
    <w:rPr>
      <w:rFonts w:ascii="Arial" w:hAnsi="Arial"/>
      <w:color w:val="99CCFF"/>
      <w:sz w:val="24"/>
      <w:szCs w:val="20"/>
    </w:rPr>
  </w:style>
  <w:style w:type="paragraph" w:customStyle="1" w:styleId="3076">
    <w:name w:val="样式1－表头"/>
    <w:basedOn w:val="1"/>
    <w:qFormat/>
    <w:uiPriority w:val="0"/>
    <w:pPr>
      <w:spacing w:beforeLines="50" w:afterLines="50" w:line="336" w:lineRule="auto"/>
      <w:jc w:val="center"/>
    </w:pPr>
    <w:rPr>
      <w:rFonts w:eastAsia="黑体"/>
      <w:spacing w:val="6"/>
      <w:sz w:val="24"/>
      <w:szCs w:val="20"/>
    </w:rPr>
  </w:style>
  <w:style w:type="paragraph" w:customStyle="1" w:styleId="3077">
    <w:name w:val="缩絖"/>
    <w:basedOn w:val="38"/>
    <w:qFormat/>
    <w:uiPriority w:val="0"/>
    <w:pPr>
      <w:spacing w:line="312" w:lineRule="atLeast"/>
      <w:ind w:firstLine="420"/>
      <w:textAlignment w:val="baseline"/>
    </w:pPr>
    <w:rPr>
      <w:rFonts w:ascii="Arial" w:hAnsi="Arial"/>
      <w:color w:val="000000"/>
      <w:kern w:val="0"/>
      <w:sz w:val="27"/>
      <w:szCs w:val="20"/>
    </w:rPr>
  </w:style>
  <w:style w:type="paragraph" w:customStyle="1" w:styleId="3078">
    <w:name w:val="±êÌâ 3"/>
    <w:basedOn w:val="25"/>
    <w:next w:val="2084"/>
    <w:qFormat/>
    <w:uiPriority w:val="0"/>
    <w:pPr>
      <w:keepNext/>
      <w:overflowPunct w:val="0"/>
      <w:autoSpaceDE w:val="0"/>
      <w:autoSpaceDN w:val="0"/>
      <w:ind w:firstLine="0"/>
      <w:jc w:val="center"/>
      <w:textAlignment w:val="baseline"/>
    </w:pPr>
    <w:rPr>
      <w:szCs w:val="20"/>
    </w:rPr>
  </w:style>
  <w:style w:type="paragraph" w:customStyle="1" w:styleId="3079">
    <w:name w:val="样式 宋体 首行缩进:  0.85 厘米"/>
    <w:basedOn w:val="1"/>
    <w:qFormat/>
    <w:uiPriority w:val="0"/>
    <w:pPr>
      <w:spacing w:line="480" w:lineRule="exact"/>
    </w:pPr>
    <w:rPr>
      <w:rFonts w:cs="宋体"/>
      <w:sz w:val="24"/>
    </w:rPr>
  </w:style>
  <w:style w:type="paragraph" w:customStyle="1" w:styleId="3080">
    <w:name w:val="普通 (Web)"/>
    <w:basedOn w:val="1"/>
    <w:qFormat/>
    <w:uiPriority w:val="0"/>
    <w:pPr>
      <w:spacing w:before="100" w:after="100"/>
      <w:jc w:val="left"/>
    </w:pPr>
    <w:rPr>
      <w:rFonts w:ascii="宋体" w:hAnsi="宋体"/>
      <w:kern w:val="0"/>
      <w:sz w:val="24"/>
      <w:szCs w:val="20"/>
    </w:rPr>
  </w:style>
  <w:style w:type="paragraph" w:customStyle="1" w:styleId="3081">
    <w:name w:val="标1"/>
    <w:basedOn w:val="5"/>
    <w:qFormat/>
    <w:uiPriority w:val="0"/>
  </w:style>
  <w:style w:type="paragraph" w:customStyle="1" w:styleId="3082">
    <w:name w:val="1.1.1"/>
    <w:basedOn w:val="1"/>
    <w:qFormat/>
    <w:uiPriority w:val="0"/>
    <w:rPr>
      <w:rFonts w:ascii="黑体"/>
      <w:sz w:val="24"/>
    </w:rPr>
  </w:style>
  <w:style w:type="paragraph" w:customStyle="1" w:styleId="3083">
    <w:name w:val="样式 表格 32 + 首行缩进:  2 字符"/>
    <w:basedOn w:val="1"/>
    <w:qFormat/>
    <w:uiPriority w:val="0"/>
    <w:pPr>
      <w:autoSpaceDE w:val="0"/>
      <w:autoSpaceDN w:val="0"/>
      <w:spacing w:line="0" w:lineRule="atLeast"/>
      <w:jc w:val="center"/>
      <w:textAlignment w:val="baseline"/>
    </w:pPr>
    <w:rPr>
      <w:rFonts w:cs="宋体"/>
      <w:kern w:val="0"/>
      <w:szCs w:val="21"/>
    </w:rPr>
  </w:style>
  <w:style w:type="paragraph" w:customStyle="1" w:styleId="3084">
    <w:name w:val="pic-info"/>
    <w:basedOn w:val="1"/>
    <w:qFormat/>
    <w:uiPriority w:val="0"/>
    <w:pPr>
      <w:spacing w:before="100" w:beforeAutospacing="1" w:after="100" w:afterAutospacing="1"/>
      <w:jc w:val="left"/>
    </w:pPr>
    <w:rPr>
      <w:rFonts w:ascii="宋体" w:hAnsi="宋体" w:cs="宋体"/>
      <w:kern w:val="0"/>
      <w:sz w:val="24"/>
    </w:rPr>
  </w:style>
  <w:style w:type="paragraph" w:customStyle="1" w:styleId="3085">
    <w:name w:val="mtitle"/>
    <w:basedOn w:val="1"/>
    <w:qFormat/>
    <w:uiPriority w:val="0"/>
    <w:pPr>
      <w:spacing w:before="100" w:beforeAutospacing="1" w:after="100" w:afterAutospacing="1"/>
      <w:jc w:val="left"/>
    </w:pPr>
    <w:rPr>
      <w:rFonts w:ascii="宋体" w:hAnsi="宋体" w:cs="宋体"/>
      <w:kern w:val="0"/>
      <w:sz w:val="24"/>
    </w:rPr>
  </w:style>
  <w:style w:type="paragraph" w:customStyle="1" w:styleId="3086">
    <w:name w:val="area"/>
    <w:basedOn w:val="1"/>
    <w:qFormat/>
    <w:uiPriority w:val="0"/>
    <w:pPr>
      <w:spacing w:before="100" w:beforeAutospacing="1" w:after="100" w:afterAutospacing="1"/>
      <w:jc w:val="left"/>
    </w:pPr>
    <w:rPr>
      <w:rFonts w:ascii="宋体" w:hAnsi="宋体" w:cs="宋体"/>
      <w:kern w:val="0"/>
      <w:sz w:val="24"/>
    </w:rPr>
  </w:style>
  <w:style w:type="paragraph" w:customStyle="1" w:styleId="3087">
    <w:name w:val="表格 32"/>
    <w:basedOn w:val="1"/>
    <w:qFormat/>
    <w:uiPriority w:val="0"/>
    <w:pPr>
      <w:autoSpaceDE w:val="0"/>
      <w:autoSpaceDN w:val="0"/>
      <w:jc w:val="center"/>
      <w:textAlignment w:val="baseline"/>
    </w:pPr>
    <w:rPr>
      <w:kern w:val="0"/>
      <w:sz w:val="24"/>
      <w:szCs w:val="20"/>
    </w:rPr>
  </w:style>
  <w:style w:type="paragraph" w:customStyle="1" w:styleId="3088">
    <w:name w:val="文本"/>
    <w:qFormat/>
    <w:uiPriority w:val="0"/>
    <w:pPr>
      <w:spacing w:line="520" w:lineRule="exact"/>
      <w:ind w:firstLine="200" w:firstLineChars="200"/>
      <w:jc w:val="center"/>
    </w:pPr>
    <w:rPr>
      <w:rFonts w:ascii="Calibri" w:hAnsi="Calibri" w:eastAsia="仿宋_GB2312" w:cs="宋体"/>
      <w:kern w:val="2"/>
      <w:sz w:val="32"/>
      <w:lang w:val="en-US" w:eastAsia="zh-CN" w:bidi="ar-SA"/>
    </w:rPr>
  </w:style>
  <w:style w:type="paragraph" w:customStyle="1" w:styleId="3089">
    <w:name w:val="reader-word-layer reader-word-s1-2"/>
    <w:basedOn w:val="1"/>
    <w:qFormat/>
    <w:uiPriority w:val="0"/>
    <w:pPr>
      <w:spacing w:before="100" w:beforeAutospacing="1" w:after="100" w:afterAutospacing="1"/>
      <w:jc w:val="left"/>
    </w:pPr>
    <w:rPr>
      <w:rFonts w:ascii="宋体" w:hAnsi="宋体" w:cs="宋体"/>
      <w:kern w:val="0"/>
      <w:sz w:val="24"/>
    </w:rPr>
  </w:style>
  <w:style w:type="paragraph" w:customStyle="1" w:styleId="3090">
    <w:name w:val="reader-word-layer reader-word-s1-5"/>
    <w:basedOn w:val="1"/>
    <w:qFormat/>
    <w:uiPriority w:val="0"/>
    <w:pPr>
      <w:spacing w:before="100" w:beforeAutospacing="1" w:after="100" w:afterAutospacing="1"/>
      <w:jc w:val="left"/>
    </w:pPr>
    <w:rPr>
      <w:rFonts w:ascii="宋体" w:hAnsi="宋体" w:cs="宋体"/>
      <w:kern w:val="0"/>
      <w:sz w:val="24"/>
    </w:rPr>
  </w:style>
  <w:style w:type="paragraph" w:customStyle="1" w:styleId="3091">
    <w:name w:val="reader-word-layer reader-word-s1-7"/>
    <w:basedOn w:val="1"/>
    <w:qFormat/>
    <w:uiPriority w:val="0"/>
    <w:pPr>
      <w:spacing w:before="100" w:beforeAutospacing="1" w:after="100" w:afterAutospacing="1"/>
      <w:jc w:val="left"/>
    </w:pPr>
    <w:rPr>
      <w:rFonts w:ascii="宋体" w:hAnsi="宋体" w:cs="宋体"/>
      <w:kern w:val="0"/>
      <w:sz w:val="24"/>
    </w:rPr>
  </w:style>
  <w:style w:type="paragraph" w:customStyle="1" w:styleId="3092">
    <w:name w:val="reader-word-layer reader-word-s1-4"/>
    <w:basedOn w:val="1"/>
    <w:qFormat/>
    <w:uiPriority w:val="0"/>
    <w:pPr>
      <w:spacing w:before="100" w:beforeAutospacing="1" w:after="100" w:afterAutospacing="1"/>
      <w:jc w:val="left"/>
    </w:pPr>
    <w:rPr>
      <w:rFonts w:ascii="宋体" w:hAnsi="宋体" w:cs="宋体"/>
      <w:kern w:val="0"/>
      <w:sz w:val="24"/>
    </w:rPr>
  </w:style>
  <w:style w:type="paragraph" w:customStyle="1" w:styleId="3093">
    <w:name w:val="Char Char Char Char Char Char Char Char Char Char Char Char Char Char Char Char Char Char Char5"/>
    <w:basedOn w:val="1"/>
    <w:qFormat/>
    <w:uiPriority w:val="0"/>
    <w:pPr>
      <w:spacing w:after="160" w:line="240" w:lineRule="exact"/>
      <w:jc w:val="left"/>
    </w:pPr>
    <w:rPr>
      <w:rFonts w:ascii="Verdana" w:hAnsi="Verdana"/>
      <w:kern w:val="0"/>
      <w:sz w:val="20"/>
      <w:szCs w:val="20"/>
      <w:lang w:eastAsia="en-US"/>
    </w:rPr>
  </w:style>
  <w:style w:type="paragraph" w:customStyle="1" w:styleId="3094">
    <w:name w:val="hao01-0"/>
    <w:qFormat/>
    <w:uiPriority w:val="0"/>
    <w:pPr>
      <w:spacing w:line="360" w:lineRule="auto"/>
      <w:ind w:firstLine="200" w:firstLineChars="200"/>
      <w:jc w:val="center"/>
    </w:pPr>
    <w:rPr>
      <w:rFonts w:ascii="Calibri" w:hAnsi="Calibri" w:eastAsia="宋体" w:cs="Times New Roman"/>
      <w:kern w:val="2"/>
      <w:sz w:val="24"/>
      <w:szCs w:val="24"/>
      <w:lang w:val="en-US" w:eastAsia="zh-CN" w:bidi="ar-SA"/>
    </w:rPr>
  </w:style>
  <w:style w:type="paragraph" w:customStyle="1" w:styleId="3095">
    <w:name w:val="表格内"/>
    <w:basedOn w:val="1"/>
    <w:qFormat/>
    <w:uiPriority w:val="0"/>
    <w:pPr>
      <w:spacing w:line="360" w:lineRule="exact"/>
      <w:jc w:val="center"/>
    </w:pPr>
    <w:rPr>
      <w:snapToGrid w:val="0"/>
      <w:kern w:val="0"/>
      <w:szCs w:val="21"/>
    </w:rPr>
  </w:style>
  <w:style w:type="paragraph" w:customStyle="1" w:styleId="3096">
    <w:name w:val="Char Char Char Char1 Char Char Char"/>
    <w:basedOn w:val="1"/>
    <w:qFormat/>
    <w:uiPriority w:val="0"/>
    <w:pPr>
      <w:spacing w:after="160" w:line="240" w:lineRule="exact"/>
      <w:jc w:val="left"/>
    </w:pPr>
    <w:rPr>
      <w:rFonts w:ascii="Verdana" w:hAnsi="Verdana"/>
      <w:kern w:val="0"/>
      <w:sz w:val="20"/>
      <w:szCs w:val="20"/>
      <w:lang w:eastAsia="en-US"/>
    </w:rPr>
  </w:style>
  <w:style w:type="paragraph" w:customStyle="1" w:styleId="3097">
    <w:name w:val="表头0"/>
    <w:basedOn w:val="1328"/>
    <w:qFormat/>
    <w:uiPriority w:val="0"/>
    <w:pPr>
      <w:spacing w:afterLines="0" w:line="240" w:lineRule="auto"/>
      <w:ind w:firstLine="0" w:firstLineChars="0"/>
      <w:jc w:val="center"/>
    </w:pPr>
  </w:style>
  <w:style w:type="paragraph" w:customStyle="1" w:styleId="3098">
    <w:name w:val="样式 标题 3标题3H3h33rd level第二层条头 + 小四 加粗 左侧:  0 厘米 首行缩进:  0..."/>
    <w:basedOn w:val="7"/>
    <w:qFormat/>
    <w:uiPriority w:val="0"/>
  </w:style>
  <w:style w:type="paragraph" w:customStyle="1" w:styleId="3099">
    <w:name w:val="正文B"/>
    <w:basedOn w:val="1"/>
    <w:qFormat/>
    <w:uiPriority w:val="0"/>
    <w:pPr>
      <w:spacing w:line="390" w:lineRule="exact"/>
      <w:ind w:firstLine="601"/>
      <w:textAlignment w:val="baseline"/>
    </w:pPr>
    <w:rPr>
      <w:rFonts w:eastAsia="楷体_GB2312"/>
      <w:spacing w:val="8"/>
      <w:kern w:val="0"/>
      <w:szCs w:val="20"/>
    </w:rPr>
  </w:style>
  <w:style w:type="paragraph" w:customStyle="1" w:styleId="3100">
    <w:name w:val="样式 标题 3标题 3 Char Char标题 3 Char Char Char Char Char标题 3 Char C...3"/>
    <w:basedOn w:val="7"/>
    <w:qFormat/>
    <w:uiPriority w:val="0"/>
  </w:style>
  <w:style w:type="paragraph" w:customStyle="1" w:styleId="3101">
    <w:name w:val="Char Char Char Char1 Char Char Char2"/>
    <w:basedOn w:val="1"/>
    <w:qFormat/>
    <w:uiPriority w:val="0"/>
    <w:pPr>
      <w:spacing w:after="160" w:line="240" w:lineRule="exact"/>
      <w:jc w:val="left"/>
    </w:pPr>
    <w:rPr>
      <w:rFonts w:ascii="Verdana" w:hAnsi="Verdana"/>
      <w:kern w:val="0"/>
      <w:sz w:val="20"/>
      <w:szCs w:val="20"/>
      <w:lang w:eastAsia="en-US"/>
    </w:rPr>
  </w:style>
  <w:style w:type="paragraph" w:customStyle="1" w:styleId="3102">
    <w:name w:val="表格统一样式 小五 局中"/>
    <w:basedOn w:val="1"/>
    <w:qFormat/>
    <w:uiPriority w:val="0"/>
    <w:pPr>
      <w:autoSpaceDE w:val="0"/>
      <w:autoSpaceDN w:val="0"/>
      <w:jc w:val="center"/>
    </w:pPr>
    <w:rPr>
      <w:color w:val="000000"/>
      <w:kern w:val="0"/>
      <w:sz w:val="18"/>
      <w:szCs w:val="20"/>
    </w:rPr>
  </w:style>
  <w:style w:type="paragraph" w:customStyle="1" w:styleId="3103">
    <w:name w:val="填表内容"/>
    <w:basedOn w:val="1"/>
    <w:qFormat/>
    <w:uiPriority w:val="0"/>
    <w:pPr>
      <w:spacing w:line="480" w:lineRule="exact"/>
      <w:ind w:firstLine="560"/>
      <w:jc w:val="left"/>
      <w:textAlignment w:val="baseline"/>
    </w:pPr>
    <w:rPr>
      <w:rFonts w:ascii="楷体_GB2312" w:eastAsia="楷体_GB2312"/>
      <w:szCs w:val="20"/>
    </w:rPr>
  </w:style>
  <w:style w:type="paragraph" w:customStyle="1" w:styleId="3104">
    <w:name w:val="zxz5"/>
    <w:next w:val="1"/>
    <w:qFormat/>
    <w:uiPriority w:val="0"/>
    <w:pPr>
      <w:tabs>
        <w:tab w:val="left" w:pos="0"/>
      </w:tabs>
      <w:spacing w:line="320" w:lineRule="exact"/>
      <w:jc w:val="center"/>
    </w:pPr>
    <w:rPr>
      <w:rFonts w:ascii="宋体" w:hAnsi="宋体" w:eastAsia="Times New Roman" w:cs="宋体"/>
      <w:bCs/>
      <w:kern w:val="2"/>
      <w:sz w:val="18"/>
      <w:szCs w:val="18"/>
      <w:lang w:val="en-US" w:eastAsia="zh-CN" w:bidi="ar-SA"/>
    </w:rPr>
  </w:style>
  <w:style w:type="paragraph" w:customStyle="1" w:styleId="3105">
    <w:name w:val="图标"/>
    <w:basedOn w:val="1"/>
    <w:qFormat/>
    <w:uiPriority w:val="0"/>
    <w:pPr>
      <w:tabs>
        <w:tab w:val="left" w:pos="6395"/>
      </w:tabs>
      <w:spacing w:line="480" w:lineRule="exact"/>
      <w:jc w:val="center"/>
      <w:outlineLvl w:val="5"/>
    </w:pPr>
    <w:rPr>
      <w:rFonts w:ascii="宋体" w:hAnsi="宋体"/>
      <w:b/>
      <w:bCs/>
      <w:sz w:val="36"/>
      <w:szCs w:val="20"/>
    </w:rPr>
  </w:style>
  <w:style w:type="paragraph" w:customStyle="1" w:styleId="3106">
    <w:name w:val="Char Char1 Char Char Char Char Char Char Char Char Char Char Char Char Char Char Char Char Char Char Char Char1 Char"/>
    <w:basedOn w:val="1"/>
    <w:qFormat/>
    <w:uiPriority w:val="0"/>
    <w:pPr>
      <w:spacing w:line="360" w:lineRule="auto"/>
    </w:pPr>
    <w:rPr>
      <w:rFonts w:ascii="宋体" w:hAnsi="宋体" w:cs="宋体"/>
      <w:sz w:val="24"/>
    </w:rPr>
  </w:style>
  <w:style w:type="paragraph" w:customStyle="1" w:styleId="3107">
    <w:name w:val="标题3 Char Char Char Char"/>
    <w:basedOn w:val="1"/>
    <w:qFormat/>
    <w:uiPriority w:val="0"/>
    <w:pPr>
      <w:spacing w:afterLines="50" w:line="560" w:lineRule="exact"/>
    </w:pPr>
    <w:rPr>
      <w:rFonts w:eastAsia="黑体"/>
      <w:sz w:val="30"/>
      <w:szCs w:val="30"/>
    </w:rPr>
  </w:style>
  <w:style w:type="paragraph" w:customStyle="1" w:styleId="3108">
    <w:name w:val="表中正文居中"/>
    <w:qFormat/>
    <w:uiPriority w:val="0"/>
    <w:pPr>
      <w:spacing w:before="120" w:after="120" w:line="240" w:lineRule="atLeast"/>
      <w:jc w:val="center"/>
    </w:pPr>
    <w:rPr>
      <w:rFonts w:ascii="宋体" w:hAnsi="Calibri" w:eastAsia="宋体" w:cs="Times New Roman"/>
      <w:kern w:val="2"/>
      <w:sz w:val="21"/>
      <w:lang w:val="en-US" w:eastAsia="zh-CN" w:bidi="ar-SA"/>
    </w:rPr>
  </w:style>
  <w:style w:type="paragraph" w:customStyle="1" w:styleId="3109">
    <w:name w:val="样式 表格文字统一样式 + Arial 小五 非加粗 自动设置 行距: 单倍行距"/>
    <w:basedOn w:val="1325"/>
    <w:qFormat/>
    <w:uiPriority w:val="0"/>
    <w:rPr>
      <w:rFonts w:ascii="Arial" w:hAnsi="Arial"/>
      <w:b/>
    </w:rPr>
  </w:style>
  <w:style w:type="paragraph" w:customStyle="1" w:styleId="3110">
    <w:name w:val="文本框文字"/>
    <w:basedOn w:val="49"/>
    <w:next w:val="49"/>
    <w:qFormat/>
    <w:uiPriority w:val="0"/>
    <w:pPr>
      <w:spacing w:line="360" w:lineRule="exact"/>
    </w:pPr>
    <w:rPr>
      <w:kern w:val="2"/>
      <w:sz w:val="24"/>
      <w:szCs w:val="22"/>
    </w:rPr>
  </w:style>
  <w:style w:type="paragraph" w:customStyle="1" w:styleId="3111">
    <w:name w:val="正文居中"/>
    <w:basedOn w:val="1"/>
    <w:qFormat/>
    <w:uiPriority w:val="0"/>
    <w:pPr>
      <w:spacing w:line="400" w:lineRule="exact"/>
      <w:jc w:val="center"/>
    </w:pPr>
    <w:rPr>
      <w:sz w:val="24"/>
      <w:szCs w:val="20"/>
    </w:rPr>
  </w:style>
  <w:style w:type="paragraph" w:customStyle="1" w:styleId="3112">
    <w:name w:val="正文文本3"/>
    <w:basedOn w:val="1"/>
    <w:next w:val="1"/>
    <w:qFormat/>
    <w:uiPriority w:val="0"/>
    <w:pPr>
      <w:autoSpaceDE w:val="0"/>
      <w:autoSpaceDN w:val="0"/>
      <w:spacing w:before="60" w:after="60"/>
      <w:jc w:val="left"/>
    </w:pPr>
    <w:rPr>
      <w:rFonts w:ascii="宋体"/>
      <w:kern w:val="0"/>
      <w:sz w:val="24"/>
      <w:lang w:eastAsia="en-US"/>
    </w:rPr>
  </w:style>
  <w:style w:type="paragraph" w:customStyle="1" w:styleId="3113">
    <w:name w:val="表格式样新"/>
    <w:basedOn w:val="1"/>
    <w:qFormat/>
    <w:uiPriority w:val="0"/>
    <w:pPr>
      <w:autoSpaceDE w:val="0"/>
      <w:autoSpaceDN w:val="0"/>
      <w:spacing w:line="360" w:lineRule="exact"/>
      <w:ind w:left="-15" w:leftChars="-51" w:hanging="107" w:hangingChars="51"/>
      <w:jc w:val="center"/>
    </w:pPr>
    <w:rPr>
      <w:rFonts w:ascii="仿宋_GB2312"/>
      <w:szCs w:val="20"/>
    </w:rPr>
  </w:style>
  <w:style w:type="paragraph" w:customStyle="1" w:styleId="3114">
    <w:name w:val="样式 表格文字统一样式 + Arial 非加粗 自动设置 行距: 单倍行距"/>
    <w:basedOn w:val="1325"/>
    <w:qFormat/>
    <w:uiPriority w:val="0"/>
    <w:pPr>
      <w:ind w:firstLine="405" w:firstLineChars="193"/>
      <w:jc w:val="both"/>
    </w:pPr>
    <w:rPr>
      <w:rFonts w:ascii="Arial" w:hAnsi="Arial"/>
    </w:rPr>
  </w:style>
  <w:style w:type="paragraph" w:customStyle="1" w:styleId="3115">
    <w:name w:val="样式 标题 11.标题 1一、标题 1 Char Char Char Char + 小四"/>
    <w:basedOn w:val="5"/>
    <w:qFormat/>
    <w:uiPriority w:val="0"/>
  </w:style>
  <w:style w:type="paragraph" w:customStyle="1" w:styleId="3116">
    <w:name w:val="样式 标题 3标题3H3h33rd level第二层条头小标题小节标题标题 3 Char Char一海港标...1"/>
    <w:basedOn w:val="7"/>
    <w:qFormat/>
    <w:uiPriority w:val="0"/>
  </w:style>
  <w:style w:type="paragraph" w:customStyle="1" w:styleId="3117">
    <w:name w:val="正文缩近"/>
    <w:basedOn w:val="1"/>
    <w:qFormat/>
    <w:uiPriority w:val="0"/>
    <w:pPr>
      <w:spacing w:line="360" w:lineRule="auto"/>
      <w:ind w:firstLine="560"/>
    </w:pPr>
    <w:rPr>
      <w:szCs w:val="28"/>
    </w:rPr>
  </w:style>
  <w:style w:type="paragraph" w:customStyle="1" w:styleId="3118">
    <w:name w:val="样式 段后: 6 磅 行距: 多倍行距 1.2 字行"/>
    <w:basedOn w:val="1"/>
    <w:qFormat/>
    <w:uiPriority w:val="0"/>
    <w:pPr>
      <w:tabs>
        <w:tab w:val="left" w:pos="272"/>
      </w:tabs>
      <w:spacing w:after="120" w:line="288" w:lineRule="auto"/>
      <w:ind w:left="-227" w:firstLine="227"/>
    </w:pPr>
    <w:rPr>
      <w:sz w:val="24"/>
      <w:szCs w:val="20"/>
    </w:rPr>
  </w:style>
  <w:style w:type="paragraph" w:customStyle="1" w:styleId="3119">
    <w:name w:val="样式 标题 2标题2二级 标题 2H2h2第一层条标题 2 Char节标题节11 Char标题 2 Cha..."/>
    <w:basedOn w:val="6"/>
    <w:qFormat/>
    <w:uiPriority w:val="0"/>
  </w:style>
  <w:style w:type="paragraph" w:customStyle="1" w:styleId="3120">
    <w:name w:val="小标题@"/>
    <w:basedOn w:val="1"/>
    <w:qFormat/>
    <w:uiPriority w:val="0"/>
    <w:pPr>
      <w:tabs>
        <w:tab w:val="left" w:pos="840"/>
      </w:tabs>
      <w:spacing w:before="60" w:after="60"/>
      <w:ind w:left="828" w:hanging="348"/>
      <w:textAlignment w:val="baseline"/>
    </w:pPr>
    <w:rPr>
      <w:sz w:val="24"/>
      <w:szCs w:val="20"/>
    </w:rPr>
  </w:style>
  <w:style w:type="paragraph" w:customStyle="1" w:styleId="3121">
    <w:name w:val="样式 居中 首行缩进:  0.01 厘米 段后: 6 磅"/>
    <w:basedOn w:val="1"/>
    <w:qFormat/>
    <w:uiPriority w:val="0"/>
    <w:pPr>
      <w:spacing w:after="120"/>
      <w:ind w:firstLine="4"/>
      <w:jc w:val="center"/>
    </w:pPr>
    <w:rPr>
      <w:rFonts w:eastAsia="华文仿宋"/>
      <w:szCs w:val="20"/>
    </w:rPr>
  </w:style>
  <w:style w:type="paragraph" w:customStyle="1" w:styleId="3122">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spacing w:line="320" w:lineRule="exact"/>
      <w:jc w:val="both"/>
    </w:pPr>
    <w:rPr>
      <w:rFonts w:ascii="Calibri" w:hAnsi="Calibri" w:eastAsia="宋体" w:cs="Times New Roman"/>
      <w:kern w:val="2"/>
      <w:sz w:val="24"/>
      <w:szCs w:val="24"/>
      <w:lang w:val="en-US" w:eastAsia="zh-CN" w:bidi="ar-SA"/>
    </w:rPr>
  </w:style>
  <w:style w:type="paragraph" w:customStyle="1" w:styleId="3123">
    <w:name w:val="页脚22"/>
    <w:basedOn w:val="3124"/>
    <w:qFormat/>
    <w:uiPriority w:val="0"/>
    <w:pPr>
      <w:tabs>
        <w:tab w:val="center" w:pos="4153"/>
        <w:tab w:val="right" w:pos="8306"/>
      </w:tabs>
      <w:spacing w:line="240" w:lineRule="atLeast"/>
    </w:pPr>
    <w:rPr>
      <w:kern w:val="2"/>
      <w:sz w:val="18"/>
      <w:szCs w:val="22"/>
    </w:rPr>
  </w:style>
  <w:style w:type="paragraph" w:customStyle="1" w:styleId="3124">
    <w:name w:val="正文15"/>
    <w:qFormat/>
    <w:uiPriority w:val="0"/>
    <w:pPr>
      <w:widowControl w:val="0"/>
      <w:adjustRightInd w:val="0"/>
      <w:spacing w:line="360" w:lineRule="atLeast"/>
      <w:jc w:val="center"/>
      <w:textAlignment w:val="baseline"/>
    </w:pPr>
    <w:rPr>
      <w:rFonts w:ascii="宋体" w:hAnsi="Calibri" w:eastAsia="宋体" w:cs="Times New Roman"/>
      <w:sz w:val="24"/>
      <w:lang w:val="en-US" w:eastAsia="zh-CN" w:bidi="ar-SA"/>
    </w:rPr>
  </w:style>
  <w:style w:type="paragraph" w:customStyle="1" w:styleId="3125">
    <w:name w:val="目录 2 Char Char"/>
    <w:basedOn w:val="1"/>
    <w:next w:val="1"/>
    <w:qFormat/>
    <w:uiPriority w:val="0"/>
    <w:pPr>
      <w:spacing w:line="461" w:lineRule="auto"/>
      <w:ind w:left="420"/>
      <w:textAlignment w:val="bottom"/>
    </w:pPr>
    <w:rPr>
      <w:color w:val="000000"/>
      <w:kern w:val="0"/>
      <w:szCs w:val="20"/>
    </w:rPr>
  </w:style>
  <w:style w:type="paragraph" w:customStyle="1" w:styleId="3126">
    <w:name w:val="样式 标题 1 + 左侧:  0 厘米 首行缩进:  0 厘米"/>
    <w:basedOn w:val="5"/>
    <w:qFormat/>
    <w:uiPriority w:val="0"/>
  </w:style>
  <w:style w:type="paragraph" w:customStyle="1" w:styleId="3127">
    <w:name w:val="页眉3"/>
    <w:basedOn w:val="1270"/>
    <w:qFormat/>
    <w:uiPriority w:val="0"/>
    <w:pPr>
      <w:pBdr>
        <w:bottom w:val="single" w:color="auto" w:sz="6" w:space="1"/>
      </w:pBdr>
      <w:tabs>
        <w:tab w:val="center" w:pos="4153"/>
        <w:tab w:val="right" w:pos="8306"/>
      </w:tabs>
      <w:spacing w:line="240" w:lineRule="atLeast"/>
      <w:textAlignment w:val="baseline"/>
    </w:pPr>
    <w:rPr>
      <w:kern w:val="2"/>
      <w:sz w:val="18"/>
      <w:szCs w:val="22"/>
    </w:rPr>
  </w:style>
  <w:style w:type="paragraph" w:customStyle="1" w:styleId="3128">
    <w:name w:val="正文文本缩进 211"/>
    <w:basedOn w:val="1"/>
    <w:qFormat/>
    <w:uiPriority w:val="0"/>
    <w:pPr>
      <w:spacing w:line="360" w:lineRule="auto"/>
      <w:ind w:firstLine="510"/>
      <w:textAlignment w:val="baseline"/>
    </w:pPr>
    <w:rPr>
      <w:rFonts w:ascii="宋体" w:hAnsi="宋体"/>
      <w:szCs w:val="20"/>
    </w:rPr>
  </w:style>
  <w:style w:type="paragraph" w:customStyle="1" w:styleId="3129">
    <w:name w:val="样式 首行缩进:  2 字符 行距: 固定值 26 磅"/>
    <w:basedOn w:val="1"/>
    <w:qFormat/>
    <w:uiPriority w:val="0"/>
    <w:pPr>
      <w:spacing w:line="480" w:lineRule="exact"/>
    </w:pPr>
    <w:rPr>
      <w:rFonts w:cs="宋体"/>
      <w:szCs w:val="20"/>
    </w:rPr>
  </w:style>
  <w:style w:type="paragraph" w:customStyle="1" w:styleId="3130">
    <w:name w:val="Char Char Char12"/>
    <w:basedOn w:val="1"/>
    <w:qFormat/>
    <w:uiPriority w:val="0"/>
  </w:style>
  <w:style w:type="paragraph" w:customStyle="1" w:styleId="3131">
    <w:name w:val="样式 标题 3一标题3H3h33rd level第二层条头标题 3 Char Char标题 3 Char2标..."/>
    <w:basedOn w:val="7"/>
    <w:qFormat/>
    <w:uiPriority w:val="0"/>
  </w:style>
  <w:style w:type="paragraph" w:customStyle="1" w:styleId="3132">
    <w:name w:val="海港表格文字"/>
    <w:basedOn w:val="839"/>
    <w:qFormat/>
    <w:uiPriority w:val="0"/>
    <w:pPr>
      <w:spacing w:before="0" w:after="0" w:line="300" w:lineRule="exact"/>
      <w:ind w:left="-56" w:leftChars="-30" w:right="-63" w:rightChars="-30"/>
      <w:textAlignment w:val="baseline"/>
    </w:pPr>
    <w:rPr>
      <w:kern w:val="21"/>
      <w:sz w:val="20"/>
    </w:rPr>
  </w:style>
  <w:style w:type="paragraph" w:customStyle="1" w:styleId="3133">
    <w:name w:val="Char Char Char Char6"/>
    <w:basedOn w:val="1"/>
    <w:qFormat/>
    <w:uiPriority w:val="0"/>
  </w:style>
  <w:style w:type="paragraph" w:customStyle="1" w:styleId="3134">
    <w:name w:val="Char Char Char Char Char Char Char Char Char Char Char Char Char Char Char Char3"/>
    <w:basedOn w:val="1"/>
    <w:qFormat/>
    <w:uiPriority w:val="0"/>
    <w:pPr>
      <w:spacing w:line="360" w:lineRule="auto"/>
    </w:pPr>
    <w:rPr>
      <w:rFonts w:ascii="宋体" w:hAnsi="宋体" w:cs="宋体"/>
      <w:sz w:val="24"/>
    </w:rPr>
  </w:style>
  <w:style w:type="paragraph" w:customStyle="1" w:styleId="3135">
    <w:name w:val="样式 (中文) 仿宋_GB2312 段前: 0 磅"/>
    <w:basedOn w:val="1"/>
    <w:qFormat/>
    <w:uiPriority w:val="0"/>
    <w:pPr>
      <w:textAlignment w:val="baseline"/>
    </w:pPr>
    <w:rPr>
      <w:sz w:val="24"/>
      <w:szCs w:val="20"/>
    </w:rPr>
  </w:style>
  <w:style w:type="paragraph" w:customStyle="1" w:styleId="3136">
    <w:name w:val="Char Char Char1 Char5"/>
    <w:basedOn w:val="1"/>
    <w:qFormat/>
    <w:uiPriority w:val="0"/>
    <w:pPr>
      <w:ind w:left="432" w:hanging="432"/>
    </w:pPr>
    <w:rPr>
      <w:szCs w:val="20"/>
    </w:rPr>
  </w:style>
  <w:style w:type="paragraph" w:customStyle="1" w:styleId="3137">
    <w:name w:val="标题二"/>
    <w:basedOn w:val="1"/>
    <w:qFormat/>
    <w:uiPriority w:val="0"/>
    <w:rPr>
      <w:sz w:val="24"/>
      <w:szCs w:val="20"/>
    </w:rPr>
  </w:style>
  <w:style w:type="paragraph" w:customStyle="1" w:styleId="3138">
    <w:name w:val="图表目录12"/>
    <w:basedOn w:val="3124"/>
    <w:next w:val="3124"/>
    <w:qFormat/>
    <w:uiPriority w:val="0"/>
    <w:pPr>
      <w:tabs>
        <w:tab w:val="right" w:leader="dot" w:pos="8051"/>
      </w:tabs>
      <w:ind w:left="840" w:hanging="840"/>
    </w:pPr>
    <w:rPr>
      <w:kern w:val="2"/>
      <w:szCs w:val="22"/>
    </w:rPr>
  </w:style>
  <w:style w:type="paragraph" w:customStyle="1" w:styleId="3139">
    <w:name w:val="样式 正文文本正文文字 + 仿宋_GB2312 四号 红色 首行缩进:  2 字符"/>
    <w:basedOn w:val="38"/>
    <w:qFormat/>
    <w:uiPriority w:val="0"/>
    <w:pPr>
      <w:spacing w:before="60" w:after="60" w:line="264" w:lineRule="auto"/>
      <w:ind w:firstLine="560"/>
      <w:textAlignment w:val="baseline"/>
    </w:pPr>
    <w:rPr>
      <w:rFonts w:ascii="仿宋_GB2312"/>
      <w:snapToGrid w:val="0"/>
      <w:color w:val="FF0000"/>
      <w:kern w:val="0"/>
      <w:sz w:val="24"/>
      <w:szCs w:val="20"/>
    </w:rPr>
  </w:style>
  <w:style w:type="paragraph" w:customStyle="1" w:styleId="3140">
    <w:name w:val="Char Char Char Char Char Char1 Char Char Char Char Char Char Char Char Char Char1"/>
    <w:basedOn w:val="1"/>
    <w:qFormat/>
    <w:uiPriority w:val="0"/>
    <w:rPr>
      <w:rFonts w:ascii="宋体" w:hAnsi="宋体" w:cs="Courier New"/>
      <w:sz w:val="32"/>
      <w:szCs w:val="32"/>
    </w:rPr>
  </w:style>
  <w:style w:type="paragraph" w:customStyle="1" w:styleId="3141">
    <w:name w:val="正文一"/>
    <w:basedOn w:val="10"/>
    <w:qFormat/>
    <w:uiPriority w:val="0"/>
  </w:style>
  <w:style w:type="paragraph" w:customStyle="1" w:styleId="3142">
    <w:name w:val="表中文字1"/>
    <w:qFormat/>
    <w:uiPriority w:val="0"/>
    <w:pPr>
      <w:widowControl w:val="0"/>
      <w:adjustRightInd w:val="0"/>
      <w:snapToGrid w:val="0"/>
      <w:spacing w:line="320" w:lineRule="exact"/>
      <w:jc w:val="center"/>
    </w:pPr>
    <w:rPr>
      <w:rFonts w:ascii="仿宋_GB2312" w:hAnsi="华文仿宋" w:eastAsia="仿宋_GB2312" w:cs="Times New Roman"/>
      <w:b/>
      <w:kern w:val="2"/>
      <w:sz w:val="21"/>
      <w:szCs w:val="21"/>
      <w:lang w:val="en-US" w:eastAsia="zh-CN" w:bidi="ar-SA"/>
    </w:rPr>
  </w:style>
  <w:style w:type="paragraph" w:customStyle="1" w:styleId="3143">
    <w:name w:val="正文文本缩进 Char Char"/>
    <w:basedOn w:val="1"/>
    <w:qFormat/>
    <w:uiPriority w:val="0"/>
    <w:pPr>
      <w:spacing w:line="595" w:lineRule="atLeast"/>
      <w:ind w:left="840" w:firstLine="522"/>
      <w:textAlignment w:val="bottom"/>
    </w:pPr>
    <w:rPr>
      <w:color w:val="000000"/>
      <w:kern w:val="0"/>
      <w:szCs w:val="20"/>
    </w:rPr>
  </w:style>
  <w:style w:type="paragraph" w:customStyle="1" w:styleId="3144">
    <w:name w:val="表格小四"/>
    <w:basedOn w:val="1"/>
    <w:qFormat/>
    <w:uiPriority w:val="0"/>
    <w:pPr>
      <w:jc w:val="center"/>
    </w:pPr>
    <w:rPr>
      <w:rFonts w:ascii="仿宋_GB2312"/>
      <w:sz w:val="24"/>
      <w:szCs w:val="20"/>
    </w:rPr>
  </w:style>
  <w:style w:type="paragraph" w:customStyle="1" w:styleId="3145">
    <w:name w:val="默认段落字体 Para Char Char Char Char Char Char Char Char Char Char"/>
    <w:basedOn w:val="7"/>
    <w:qFormat/>
    <w:uiPriority w:val="0"/>
  </w:style>
  <w:style w:type="paragraph" w:customStyle="1" w:styleId="3146">
    <w:name w:val="表格内正文"/>
    <w:qFormat/>
    <w:uiPriority w:val="0"/>
    <w:pPr>
      <w:widowControl w:val="0"/>
      <w:spacing w:line="360" w:lineRule="exact"/>
      <w:ind w:firstLine="420" w:firstLineChars="200"/>
      <w:jc w:val="both"/>
    </w:pPr>
    <w:rPr>
      <w:rFonts w:ascii="Calibri" w:hAnsi="Calibri" w:eastAsia="宋体" w:cs="Times New Roman"/>
      <w:kern w:val="2"/>
      <w:sz w:val="21"/>
      <w:szCs w:val="24"/>
      <w:lang w:val="en-US" w:eastAsia="zh-CN" w:bidi="ar-SA"/>
    </w:rPr>
  </w:style>
  <w:style w:type="paragraph" w:customStyle="1" w:styleId="3147">
    <w:name w:val="热电厂正文"/>
    <w:basedOn w:val="1"/>
    <w:qFormat/>
    <w:uiPriority w:val="0"/>
    <w:pPr>
      <w:spacing w:line="440" w:lineRule="exact"/>
    </w:pPr>
    <w:rPr>
      <w:sz w:val="24"/>
    </w:rPr>
  </w:style>
  <w:style w:type="paragraph" w:customStyle="1" w:styleId="3148">
    <w:name w:val="正文首缩快"/>
    <w:basedOn w:val="1"/>
    <w:qFormat/>
    <w:uiPriority w:val="0"/>
    <w:pPr>
      <w:ind w:firstLine="539"/>
    </w:pPr>
    <w:rPr>
      <w:szCs w:val="20"/>
    </w:rPr>
  </w:style>
  <w:style w:type="paragraph" w:customStyle="1" w:styleId="3149">
    <w:name w:val="样式 标题 1标题 1 1 + 黑体 小二 非加粗 蓝色 段前: 0 磅 段后: 7.8 磅 行距: 单倍行距"/>
    <w:basedOn w:val="5"/>
    <w:qFormat/>
    <w:uiPriority w:val="0"/>
  </w:style>
  <w:style w:type="paragraph" w:customStyle="1" w:styleId="3150">
    <w:name w:val="样式 样式 表格文字统一样式 + Arial 小五 非加粗 自动设置 行距: 单倍行距1 + 段后: 0.5 行1"/>
    <w:basedOn w:val="1663"/>
    <w:qFormat/>
    <w:uiPriority w:val="0"/>
  </w:style>
  <w:style w:type="paragraph" w:customStyle="1" w:styleId="3151">
    <w:name w:val="Plain Text2"/>
    <w:basedOn w:val="1"/>
    <w:qFormat/>
    <w:uiPriority w:val="0"/>
    <w:pPr>
      <w:textAlignment w:val="baseline"/>
    </w:pPr>
    <w:rPr>
      <w:rFonts w:ascii="宋体" w:hAnsi="Courier New"/>
      <w:szCs w:val="20"/>
    </w:rPr>
  </w:style>
  <w:style w:type="paragraph" w:customStyle="1" w:styleId="3152">
    <w:name w:val="样式 样式 样式 样式 标题 3标题3H3h33rd level第二层条头小标题小节标题标题 3 Char Char一海港标....."/>
    <w:basedOn w:val="1793"/>
    <w:qFormat/>
    <w:uiPriority w:val="0"/>
    <w:pPr>
      <w:spacing w:beforeLines="0"/>
    </w:pPr>
  </w:style>
  <w:style w:type="paragraph" w:customStyle="1" w:styleId="3153">
    <w:name w:val="样式 宋体 黑色 居中"/>
    <w:basedOn w:val="1"/>
    <w:qFormat/>
    <w:uiPriority w:val="0"/>
    <w:pPr>
      <w:ind w:firstLine="405" w:firstLineChars="193"/>
      <w:jc w:val="center"/>
    </w:pPr>
    <w:rPr>
      <w:rFonts w:ascii="宋体"/>
      <w:color w:val="000000"/>
      <w:kern w:val="0"/>
      <w:szCs w:val="20"/>
    </w:rPr>
  </w:style>
  <w:style w:type="paragraph" w:customStyle="1" w:styleId="3154">
    <w:name w:val="样式 标题 3条标题头标题3H3h33rd level第二层条小标题小节标题标题 3 Char Char第..."/>
    <w:basedOn w:val="7"/>
    <w:qFormat/>
    <w:uiPriority w:val="0"/>
  </w:style>
  <w:style w:type="paragraph" w:customStyle="1" w:styleId="3155">
    <w:name w:val="2.1.1"/>
    <w:basedOn w:val="1"/>
    <w:qFormat/>
    <w:uiPriority w:val="0"/>
    <w:rPr>
      <w:sz w:val="24"/>
      <w:szCs w:val="20"/>
    </w:rPr>
  </w:style>
  <w:style w:type="paragraph" w:customStyle="1" w:styleId="3156">
    <w:name w:val="样式 样式 标题 2标题2二级 标题 2H2h2第一层条标题 2 Char节标题节11 Char标题 2 Cha... +"/>
    <w:basedOn w:val="3119"/>
    <w:qFormat/>
    <w:uiPriority w:val="0"/>
    <w:pPr>
      <w:keepNext w:val="0"/>
      <w:keepLines w:val="0"/>
      <w:tabs>
        <w:tab w:val="left" w:pos="840"/>
        <w:tab w:val="left" w:pos="900"/>
        <w:tab w:val="clear" w:pos="1080"/>
      </w:tabs>
      <w:spacing w:before="0" w:after="0" w:line="240" w:lineRule="auto"/>
      <w:ind w:left="180" w:hanging="420"/>
      <w:textAlignment w:val="baseline"/>
      <w:outlineLvl w:val="9"/>
    </w:pPr>
    <w:rPr>
      <w:rFonts w:ascii="宋体" w:hAnsi="宋体" w:eastAsia="宋体"/>
      <w:color w:val="000000"/>
      <w:kern w:val="2"/>
      <w:sz w:val="24"/>
    </w:rPr>
  </w:style>
  <w:style w:type="paragraph" w:customStyle="1" w:styleId="3157">
    <w:name w:val="表格后正文"/>
    <w:basedOn w:val="1668"/>
    <w:qFormat/>
    <w:uiPriority w:val="0"/>
    <w:pPr>
      <w:spacing w:before="200"/>
    </w:pPr>
  </w:style>
  <w:style w:type="paragraph" w:customStyle="1" w:styleId="3158">
    <w:name w:val="小五表格"/>
    <w:basedOn w:val="1"/>
    <w:qFormat/>
    <w:uiPriority w:val="0"/>
    <w:pPr>
      <w:jc w:val="left"/>
    </w:pPr>
    <w:rPr>
      <w:sz w:val="18"/>
      <w:szCs w:val="20"/>
    </w:rPr>
  </w:style>
  <w:style w:type="paragraph" w:customStyle="1" w:styleId="3159">
    <w:name w:val="f4"/>
    <w:basedOn w:val="1"/>
    <w:qFormat/>
    <w:uiPriority w:val="0"/>
    <w:pPr>
      <w:spacing w:before="100" w:beforeAutospacing="1" w:after="100" w:afterAutospacing="1"/>
      <w:jc w:val="left"/>
    </w:pPr>
    <w:rPr>
      <w:rFonts w:ascii="宋体" w:hAnsi="宋体"/>
      <w:color w:val="333333"/>
      <w:kern w:val="0"/>
      <w:szCs w:val="21"/>
    </w:rPr>
  </w:style>
  <w:style w:type="paragraph" w:customStyle="1" w:styleId="3160">
    <w:name w:val="仪征1.1.1"/>
    <w:basedOn w:val="7"/>
    <w:qFormat/>
    <w:uiPriority w:val="0"/>
  </w:style>
  <w:style w:type="paragraph" w:customStyle="1" w:styleId="3161">
    <w:name w:val="样式 标题 4标题 4 Char标题 4（修改） + 左 段前: 0.5 行 段后: 0.2 行 行距: 多倍行距 1..."/>
    <w:basedOn w:val="10"/>
    <w:qFormat/>
    <w:uiPriority w:val="0"/>
  </w:style>
  <w:style w:type="paragraph" w:customStyle="1" w:styleId="3162">
    <w:name w:val="Char Char1 Char Char1 Char Char1 Char Char1 Char Char Char Char Char Char Char"/>
    <w:basedOn w:val="1"/>
    <w:qFormat/>
    <w:uiPriority w:val="0"/>
    <w:rPr>
      <w:szCs w:val="20"/>
    </w:rPr>
  </w:style>
  <w:style w:type="paragraph" w:customStyle="1" w:styleId="3163">
    <w:name w:val="样式 标题 4 + 左侧:  -0 厘米 首行缩进:  0 厘米 段后: 1.8 磅"/>
    <w:basedOn w:val="10"/>
    <w:qFormat/>
    <w:uiPriority w:val="0"/>
  </w:style>
  <w:style w:type="paragraph" w:customStyle="1" w:styleId="3164">
    <w:name w:val="PP 行"/>
    <w:basedOn w:val="62"/>
    <w:qFormat/>
    <w:uiPriority w:val="0"/>
    <w:rPr>
      <w:rFonts w:ascii="宋体"/>
      <w:spacing w:val="5"/>
      <w:sz w:val="25"/>
      <w:szCs w:val="25"/>
    </w:rPr>
  </w:style>
  <w:style w:type="paragraph" w:customStyle="1" w:styleId="3165">
    <w:name w:val="样式 标题 3头标题3H3h33rd level第二层条标题 3 Char小标题小节标题标题 3 Char ...1"/>
    <w:basedOn w:val="7"/>
    <w:qFormat/>
    <w:uiPriority w:val="0"/>
  </w:style>
  <w:style w:type="paragraph" w:customStyle="1" w:styleId="3166">
    <w:name w:val="海港文字"/>
    <w:basedOn w:val="38"/>
    <w:qFormat/>
    <w:uiPriority w:val="0"/>
    <w:pPr>
      <w:spacing w:after="0" w:line="360" w:lineRule="auto"/>
      <w:ind w:firstLine="480"/>
    </w:pPr>
    <w:rPr>
      <w:rFonts w:ascii="宋体" w:hAnsi="宋体"/>
      <w:sz w:val="24"/>
      <w:szCs w:val="20"/>
    </w:rPr>
  </w:style>
  <w:style w:type="paragraph" w:customStyle="1" w:styleId="3167">
    <w:name w:val="海港标题2"/>
    <w:basedOn w:val="6"/>
    <w:qFormat/>
    <w:uiPriority w:val="0"/>
  </w:style>
  <w:style w:type="paragraph" w:customStyle="1" w:styleId="3168">
    <w:name w:val="样式 标题 11.标题 1一、标题 1 Char Char Char Char1 南陵标题 1标题 1 Char标题..."/>
    <w:basedOn w:val="5"/>
    <w:qFormat/>
    <w:uiPriority w:val="0"/>
  </w:style>
  <w:style w:type="paragraph" w:customStyle="1" w:styleId="3169">
    <w:name w:val="样式 标题 1标题 1 Char Char + Times New Roman 段后: 0.5 行"/>
    <w:basedOn w:val="5"/>
    <w:qFormat/>
    <w:uiPriority w:val="0"/>
  </w:style>
  <w:style w:type="paragraph" w:customStyle="1" w:styleId="3170">
    <w:name w:val="样式 标题 1标题 1 1 + 小二"/>
    <w:basedOn w:val="5"/>
    <w:qFormat/>
    <w:uiPriority w:val="0"/>
  </w:style>
  <w:style w:type="paragraph" w:customStyle="1" w:styleId="3171">
    <w:name w:val="二级标题 Char Char Char"/>
    <w:basedOn w:val="1"/>
    <w:next w:val="1"/>
    <w:qFormat/>
    <w:uiPriority w:val="0"/>
    <w:pPr>
      <w:spacing w:line="529" w:lineRule="exact"/>
    </w:pPr>
    <w:rPr>
      <w:rFonts w:ascii="宋体" w:hAnsi="宋体" w:cs="宋体"/>
      <w:sz w:val="24"/>
    </w:rPr>
  </w:style>
  <w:style w:type="paragraph" w:customStyle="1" w:styleId="3172">
    <w:name w:val="样式 标题 2标题2节（节） + 左 段前: 6 磅 段后: 6 磅 行距: 单倍行距"/>
    <w:basedOn w:val="6"/>
    <w:qFormat/>
    <w:uiPriority w:val="0"/>
  </w:style>
  <w:style w:type="paragraph" w:customStyle="1" w:styleId="3173">
    <w:name w:val="三"/>
    <w:basedOn w:val="1"/>
    <w:qFormat/>
    <w:uiPriority w:val="0"/>
    <w:rPr>
      <w:rFonts w:ascii="宋体"/>
      <w:sz w:val="24"/>
      <w:szCs w:val="20"/>
    </w:rPr>
  </w:style>
  <w:style w:type="paragraph" w:customStyle="1" w:styleId="3174">
    <w:name w:val="样式 标题 4标题 4 Char标题 4（修改） + 段前: 0.5 行 段后: 0.2 行 行距: 多倍行距 1.2 ..."/>
    <w:basedOn w:val="10"/>
    <w:qFormat/>
    <w:uiPriority w:val="0"/>
  </w:style>
  <w:style w:type="paragraph" w:customStyle="1" w:styleId="3175">
    <w:name w:val="Char Char Char1 Char11"/>
    <w:basedOn w:val="1"/>
    <w:qFormat/>
    <w:uiPriority w:val="0"/>
  </w:style>
  <w:style w:type="paragraph" w:customStyle="1" w:styleId="3176">
    <w:name w:val="样式 正文文本正文文字 + 四号 红色 首行缩进:  2 字符"/>
    <w:basedOn w:val="38"/>
    <w:qFormat/>
    <w:uiPriority w:val="0"/>
    <w:pPr>
      <w:spacing w:before="60" w:after="60" w:line="264" w:lineRule="auto"/>
      <w:ind w:firstLine="560"/>
      <w:textAlignment w:val="baseline"/>
    </w:pPr>
    <w:rPr>
      <w:rFonts w:ascii="Calibri"/>
      <w:snapToGrid w:val="0"/>
      <w:color w:val="FF0000"/>
      <w:kern w:val="0"/>
      <w:sz w:val="24"/>
      <w:szCs w:val="20"/>
    </w:rPr>
  </w:style>
  <w:style w:type="paragraph" w:customStyle="1" w:styleId="3177">
    <w:name w:val="五号表格"/>
    <w:basedOn w:val="1"/>
    <w:qFormat/>
    <w:uiPriority w:val="0"/>
    <w:pPr>
      <w:spacing w:line="240" w:lineRule="atLeast"/>
      <w:jc w:val="center"/>
    </w:pPr>
    <w:rPr>
      <w:szCs w:val="20"/>
    </w:rPr>
  </w:style>
  <w:style w:type="paragraph" w:customStyle="1" w:styleId="3178">
    <w:name w:val="框图文字1"/>
    <w:basedOn w:val="1"/>
    <w:qFormat/>
    <w:uiPriority w:val="0"/>
    <w:pPr>
      <w:spacing w:beforeLines="25"/>
      <w:jc w:val="center"/>
      <w:textAlignment w:val="baseline"/>
    </w:pPr>
    <w:rPr>
      <w:sz w:val="18"/>
      <w:szCs w:val="20"/>
    </w:rPr>
  </w:style>
  <w:style w:type="paragraph" w:customStyle="1" w:styleId="3179">
    <w:name w:val="样式 宋体 小四 段后: 2.5 磅 行距: 固定值 20 磅"/>
    <w:basedOn w:val="1"/>
    <w:qFormat/>
    <w:uiPriority w:val="0"/>
    <w:pPr>
      <w:spacing w:after="50" w:line="400" w:lineRule="exact"/>
      <w:ind w:firstLine="720" w:firstLineChars="300"/>
    </w:pPr>
    <w:rPr>
      <w:rFonts w:ascii="宋体" w:hAnsi="宋体"/>
      <w:sz w:val="24"/>
      <w:szCs w:val="20"/>
    </w:rPr>
  </w:style>
  <w:style w:type="paragraph" w:customStyle="1" w:styleId="3180">
    <w:name w:val="(1)"/>
    <w:basedOn w:val="1"/>
    <w:qFormat/>
    <w:uiPriority w:val="0"/>
    <w:rPr>
      <w:sz w:val="24"/>
      <w:szCs w:val="20"/>
    </w:rPr>
  </w:style>
  <w:style w:type="paragraph" w:customStyle="1" w:styleId="3181">
    <w:name w:val="表粗"/>
    <w:basedOn w:val="1"/>
    <w:qFormat/>
    <w:uiPriority w:val="0"/>
    <w:pPr>
      <w:spacing w:line="360" w:lineRule="exact"/>
      <w:jc w:val="center"/>
      <w:outlineLvl w:val="8"/>
    </w:pPr>
    <w:rPr>
      <w:rFonts w:ascii="Arial" w:hAnsi="Arial"/>
      <w:b/>
      <w:szCs w:val="20"/>
    </w:rPr>
  </w:style>
  <w:style w:type="paragraph" w:customStyle="1" w:styleId="3182">
    <w:name w:val="表格文字gh"/>
    <w:basedOn w:val="1"/>
    <w:qFormat/>
    <w:uiPriority w:val="0"/>
    <w:pPr>
      <w:spacing w:line="280" w:lineRule="exact"/>
      <w:jc w:val="center"/>
    </w:pPr>
    <w:rPr>
      <w:rFonts w:ascii="仿宋_GB2312"/>
      <w:color w:val="000000"/>
      <w:szCs w:val="20"/>
    </w:rPr>
  </w:style>
  <w:style w:type="paragraph" w:customStyle="1" w:styleId="3183">
    <w:name w:val="Char Char Char13"/>
    <w:basedOn w:val="1"/>
    <w:qFormat/>
    <w:uiPriority w:val="0"/>
  </w:style>
  <w:style w:type="paragraph" w:customStyle="1" w:styleId="3184">
    <w:name w:val="样式 标题 3一标题3H3h33rd level第二层条头标题 3 Char Char标题 3 Char2标...1"/>
    <w:basedOn w:val="7"/>
    <w:qFormat/>
    <w:uiPriority w:val="0"/>
  </w:style>
  <w:style w:type="paragraph" w:customStyle="1" w:styleId="3185">
    <w:name w:val="9"/>
    <w:next w:val="1"/>
    <w:qFormat/>
    <w:uiPriority w:val="0"/>
    <w:pPr>
      <w:widowControl w:val="0"/>
      <w:spacing w:line="320" w:lineRule="exact"/>
      <w:jc w:val="both"/>
    </w:pPr>
    <w:rPr>
      <w:rFonts w:ascii="Calibri" w:hAnsi="Calibri" w:eastAsia="宋体" w:cs="Times New Roman"/>
      <w:kern w:val="2"/>
      <w:sz w:val="21"/>
      <w:szCs w:val="24"/>
      <w:lang w:val="en-US" w:eastAsia="zh-CN" w:bidi="ar-SA"/>
    </w:rPr>
  </w:style>
  <w:style w:type="paragraph" w:customStyle="1" w:styleId="3186">
    <w:name w:val="Char Char1 Char3"/>
    <w:basedOn w:val="1"/>
    <w:next w:val="1"/>
    <w:qFormat/>
    <w:uiPriority w:val="0"/>
    <w:pPr>
      <w:spacing w:line="360" w:lineRule="auto"/>
    </w:pPr>
    <w:rPr>
      <w:rFonts w:ascii="宋体" w:hAnsi="宋体" w:cs="宋体"/>
      <w:sz w:val="24"/>
    </w:rPr>
  </w:style>
  <w:style w:type="paragraph" w:customStyle="1" w:styleId="3187">
    <w:name w:val="cauc-0"/>
    <w:qFormat/>
    <w:uiPriority w:val="0"/>
    <w:pPr>
      <w:spacing w:line="360" w:lineRule="auto"/>
      <w:ind w:firstLine="480" w:firstLineChars="200"/>
      <w:jc w:val="center"/>
    </w:pPr>
    <w:rPr>
      <w:rFonts w:ascii="Calibri" w:hAnsi="Calibri" w:eastAsia="宋体" w:cs="Times New Roman"/>
      <w:kern w:val="2"/>
      <w:sz w:val="24"/>
      <w:szCs w:val="24"/>
      <w:lang w:val="en-US" w:eastAsia="zh-CN" w:bidi="ar-SA"/>
    </w:rPr>
  </w:style>
  <w:style w:type="paragraph" w:customStyle="1" w:styleId="3188">
    <w:name w:val="cauc-TB"/>
    <w:qFormat/>
    <w:uiPriority w:val="0"/>
    <w:pPr>
      <w:spacing w:line="320" w:lineRule="exact"/>
      <w:jc w:val="center"/>
    </w:pPr>
    <w:rPr>
      <w:rFonts w:ascii="Calibri" w:hAnsi="Calibri" w:eastAsia="宋体" w:cs="Times New Roman"/>
      <w:kern w:val="2"/>
      <w:sz w:val="24"/>
      <w:szCs w:val="24"/>
      <w:lang w:val="en-US" w:eastAsia="zh-CN" w:bidi="ar-SA"/>
    </w:rPr>
  </w:style>
  <w:style w:type="paragraph" w:customStyle="1" w:styleId="3189">
    <w:name w:val="黑体强调"/>
    <w:basedOn w:val="1"/>
    <w:qFormat/>
    <w:uiPriority w:val="0"/>
    <w:pPr>
      <w:spacing w:beforeLines="35" w:afterLines="35" w:line="300" w:lineRule="auto"/>
    </w:pPr>
    <w:rPr>
      <w:rFonts w:eastAsia="黑体"/>
    </w:rPr>
  </w:style>
  <w:style w:type="paragraph" w:customStyle="1" w:styleId="3190">
    <w:name w:val="陈_标题1"/>
    <w:basedOn w:val="1"/>
    <w:qFormat/>
    <w:uiPriority w:val="0"/>
    <w:pPr>
      <w:spacing w:before="240" w:after="120"/>
      <w:jc w:val="center"/>
      <w:outlineLvl w:val="0"/>
    </w:pPr>
    <w:rPr>
      <w:rFonts w:eastAsia="黑体"/>
      <w:b/>
      <w:kern w:val="0"/>
      <w:sz w:val="44"/>
      <w:szCs w:val="20"/>
    </w:rPr>
  </w:style>
  <w:style w:type="paragraph" w:customStyle="1" w:styleId="3191">
    <w:name w:val="标题样式"/>
    <w:basedOn w:val="1"/>
    <w:qFormat/>
    <w:uiPriority w:val="0"/>
    <w:pPr>
      <w:tabs>
        <w:tab w:val="left" w:pos="567"/>
      </w:tabs>
      <w:spacing w:line="360" w:lineRule="auto"/>
    </w:pPr>
    <w:rPr>
      <w:rFonts w:ascii="黑体" w:eastAsia="黑体"/>
      <w:b/>
      <w:spacing w:val="20"/>
      <w:sz w:val="24"/>
      <w:szCs w:val="20"/>
    </w:rPr>
  </w:style>
  <w:style w:type="paragraph" w:customStyle="1" w:styleId="3192">
    <w:name w:val="表格文字样式"/>
    <w:basedOn w:val="1668"/>
    <w:qFormat/>
    <w:uiPriority w:val="0"/>
    <w:pPr>
      <w:spacing w:line="240" w:lineRule="auto"/>
      <w:ind w:firstLine="0"/>
      <w:jc w:val="center"/>
    </w:pPr>
  </w:style>
  <w:style w:type="paragraph" w:customStyle="1" w:styleId="3193">
    <w:name w:val="环评章标题"/>
    <w:basedOn w:val="1841"/>
    <w:qFormat/>
    <w:uiPriority w:val="0"/>
    <w:pPr>
      <w:tabs>
        <w:tab w:val="clear" w:pos="567"/>
      </w:tabs>
    </w:pPr>
    <w:rPr>
      <w:rFonts w:eastAsia="黑体"/>
      <w:b/>
      <w:sz w:val="36"/>
    </w:rPr>
  </w:style>
  <w:style w:type="paragraph" w:customStyle="1" w:styleId="3194">
    <w:name w:val="Char Char1 Char1"/>
    <w:basedOn w:val="1"/>
    <w:next w:val="1"/>
    <w:qFormat/>
    <w:uiPriority w:val="0"/>
    <w:pPr>
      <w:spacing w:line="360" w:lineRule="auto"/>
    </w:pPr>
    <w:rPr>
      <w:rFonts w:ascii="宋体" w:hAnsi="宋体" w:cs="宋体"/>
      <w:sz w:val="24"/>
    </w:rPr>
  </w:style>
  <w:style w:type="paragraph" w:customStyle="1" w:styleId="3195">
    <w:name w:val="Char Char Char Char Char Char Char1"/>
    <w:basedOn w:val="1"/>
    <w:qFormat/>
    <w:uiPriority w:val="0"/>
    <w:pPr>
      <w:spacing w:line="360" w:lineRule="auto"/>
    </w:pPr>
    <w:rPr>
      <w:rFonts w:ascii="宋体" w:hAnsi="宋体" w:cs="宋体"/>
      <w:sz w:val="24"/>
    </w:rPr>
  </w:style>
  <w:style w:type="paragraph" w:customStyle="1" w:styleId="3196">
    <w:name w:val="正文（我）"/>
    <w:basedOn w:val="1"/>
    <w:qFormat/>
    <w:uiPriority w:val="0"/>
    <w:pPr>
      <w:spacing w:line="440" w:lineRule="exact"/>
    </w:pPr>
  </w:style>
  <w:style w:type="paragraph" w:customStyle="1" w:styleId="3197">
    <w:name w:val="1.1.1.1"/>
    <w:basedOn w:val="10"/>
    <w:qFormat/>
    <w:uiPriority w:val="0"/>
  </w:style>
  <w:style w:type="paragraph" w:customStyle="1" w:styleId="3198">
    <w:name w:val="reader-word-layer reader-word-s3-36"/>
    <w:basedOn w:val="1"/>
    <w:qFormat/>
    <w:uiPriority w:val="0"/>
    <w:pPr>
      <w:spacing w:before="100" w:beforeAutospacing="1" w:after="100" w:afterAutospacing="1"/>
      <w:jc w:val="left"/>
    </w:pPr>
    <w:rPr>
      <w:rFonts w:ascii="宋体" w:hAnsi="宋体" w:cs="宋体"/>
      <w:kern w:val="0"/>
      <w:sz w:val="24"/>
    </w:rPr>
  </w:style>
  <w:style w:type="paragraph" w:customStyle="1" w:styleId="3199">
    <w:name w:val="reader-word-layer reader-word-s3-10"/>
    <w:basedOn w:val="1"/>
    <w:qFormat/>
    <w:uiPriority w:val="0"/>
    <w:pPr>
      <w:spacing w:before="100" w:beforeAutospacing="1" w:after="100" w:afterAutospacing="1"/>
      <w:jc w:val="left"/>
    </w:pPr>
    <w:rPr>
      <w:rFonts w:ascii="宋体" w:hAnsi="宋体" w:cs="宋体"/>
      <w:kern w:val="0"/>
      <w:sz w:val="24"/>
    </w:rPr>
  </w:style>
  <w:style w:type="paragraph" w:customStyle="1" w:styleId="3200">
    <w:name w:val="reader-word-layer reader-word-s3-0"/>
    <w:basedOn w:val="1"/>
    <w:qFormat/>
    <w:uiPriority w:val="0"/>
    <w:pPr>
      <w:spacing w:before="100" w:beforeAutospacing="1" w:after="100" w:afterAutospacing="1"/>
      <w:jc w:val="left"/>
    </w:pPr>
    <w:rPr>
      <w:rFonts w:ascii="宋体" w:hAnsi="宋体" w:cs="宋体"/>
      <w:kern w:val="0"/>
      <w:sz w:val="24"/>
    </w:rPr>
  </w:style>
  <w:style w:type="paragraph" w:customStyle="1" w:styleId="3201">
    <w:name w:val="reader-word-layer reader-word-s3-38"/>
    <w:basedOn w:val="1"/>
    <w:qFormat/>
    <w:uiPriority w:val="0"/>
    <w:pPr>
      <w:spacing w:before="100" w:beforeAutospacing="1" w:after="100" w:afterAutospacing="1"/>
      <w:jc w:val="left"/>
    </w:pPr>
    <w:rPr>
      <w:rFonts w:ascii="宋体" w:hAnsi="宋体" w:cs="宋体"/>
      <w:kern w:val="0"/>
      <w:sz w:val="24"/>
    </w:rPr>
  </w:style>
  <w:style w:type="paragraph" w:customStyle="1" w:styleId="3202">
    <w:name w:val="正文文字缩进A"/>
    <w:basedOn w:val="1"/>
    <w:qFormat/>
    <w:uiPriority w:val="0"/>
    <w:pPr>
      <w:spacing w:line="360" w:lineRule="auto"/>
      <w:ind w:firstLine="480"/>
      <w:jc w:val="left"/>
    </w:pPr>
    <w:rPr>
      <w:rFonts w:ascii="黑体" w:hAnsi="黑体" w:eastAsia="黑体"/>
      <w:b/>
      <w:color w:val="000000"/>
      <w:kern w:val="0"/>
      <w:sz w:val="24"/>
      <w:szCs w:val="20"/>
    </w:rPr>
  </w:style>
  <w:style w:type="paragraph" w:customStyle="1" w:styleId="3203">
    <w:name w:val="Char Char2 Char Char Char Char Char Char Char Char Char Char Char Char Char Char Char Char"/>
    <w:basedOn w:val="1"/>
    <w:qFormat/>
    <w:uiPriority w:val="0"/>
  </w:style>
  <w:style w:type="paragraph" w:customStyle="1" w:styleId="3204">
    <w:name w:val="单行首行"/>
    <w:basedOn w:val="1"/>
    <w:qFormat/>
    <w:uiPriority w:val="0"/>
    <w:pPr>
      <w:spacing w:line="560" w:lineRule="exact"/>
    </w:pPr>
  </w:style>
  <w:style w:type="paragraph" w:customStyle="1" w:styleId="3205">
    <w:name w:val="表名称2"/>
    <w:basedOn w:val="1"/>
    <w:qFormat/>
    <w:uiPriority w:val="0"/>
    <w:pPr>
      <w:tabs>
        <w:tab w:val="right" w:pos="8400"/>
      </w:tabs>
      <w:autoSpaceDE w:val="0"/>
      <w:autoSpaceDN w:val="0"/>
      <w:ind w:right="6"/>
      <w:textAlignment w:val="bottom"/>
      <w:outlineLvl w:val="0"/>
    </w:pPr>
    <w:rPr>
      <w:rFonts w:ascii="Arial" w:hAnsi="Arial" w:eastAsia="楷体_GB2312" w:cs="Arial"/>
      <w:kern w:val="0"/>
      <w:position w:val="-36"/>
      <w:szCs w:val="20"/>
    </w:rPr>
  </w:style>
  <w:style w:type="paragraph" w:customStyle="1" w:styleId="3206">
    <w:name w:val="样式 标题 3 + 黑体 四号 非加粗 段前: 7.8 磅 段后: 3.9 磅 行距: 固定值 28 磅1"/>
    <w:basedOn w:val="7"/>
    <w:qFormat/>
    <w:uiPriority w:val="0"/>
  </w:style>
  <w:style w:type="paragraph" w:customStyle="1" w:styleId="3207">
    <w:name w:val="表题注"/>
    <w:basedOn w:val="26"/>
    <w:qFormat/>
    <w:uiPriority w:val="0"/>
    <w:pPr>
      <w:spacing w:beforeLines="75" w:afterLines="50" w:line="360" w:lineRule="auto"/>
    </w:pPr>
    <w:rPr>
      <w:rFonts w:ascii="Times New Roman" w:hAnsi="Times New Roman" w:cs="Arial"/>
      <w:sz w:val="24"/>
      <w:szCs w:val="21"/>
    </w:rPr>
  </w:style>
  <w:style w:type="paragraph" w:customStyle="1" w:styleId="3208">
    <w:name w:val="正文文本内容"/>
    <w:basedOn w:val="1"/>
    <w:qFormat/>
    <w:uiPriority w:val="0"/>
    <w:pPr>
      <w:spacing w:line="360" w:lineRule="auto"/>
      <w:ind w:firstLine="602"/>
    </w:pPr>
    <w:rPr>
      <w:rFonts w:cs="宋体"/>
      <w:szCs w:val="30"/>
    </w:rPr>
  </w:style>
  <w:style w:type="paragraph" w:customStyle="1" w:styleId="3209">
    <w:name w:val="Char Char7 Char Char"/>
    <w:basedOn w:val="1"/>
    <w:qFormat/>
    <w:uiPriority w:val="0"/>
    <w:pPr>
      <w:spacing w:after="160" w:line="240" w:lineRule="exact"/>
      <w:jc w:val="left"/>
    </w:pPr>
    <w:rPr>
      <w:rFonts w:ascii="Verdana" w:hAnsi="Verdana"/>
      <w:kern w:val="0"/>
      <w:sz w:val="20"/>
      <w:szCs w:val="20"/>
      <w:lang w:eastAsia="en-US"/>
    </w:rPr>
  </w:style>
  <w:style w:type="paragraph" w:customStyle="1" w:styleId="3210">
    <w:name w:val="博士论文正文"/>
    <w:basedOn w:val="1"/>
    <w:qFormat/>
    <w:uiPriority w:val="0"/>
    <w:pPr>
      <w:spacing w:beforeLines="20" w:afterLines="20" w:line="360" w:lineRule="auto"/>
    </w:pPr>
    <w:rPr>
      <w:sz w:val="24"/>
    </w:rPr>
  </w:style>
  <w:style w:type="paragraph" w:customStyle="1" w:styleId="3211">
    <w:name w:val="表格名称"/>
    <w:basedOn w:val="1"/>
    <w:next w:val="1"/>
    <w:qFormat/>
    <w:uiPriority w:val="0"/>
    <w:pPr>
      <w:tabs>
        <w:tab w:val="left" w:pos="2100"/>
      </w:tabs>
      <w:ind w:left="992" w:hanging="420"/>
      <w:jc w:val="center"/>
    </w:pPr>
    <w:rPr>
      <w:b/>
      <w:sz w:val="24"/>
    </w:rPr>
  </w:style>
  <w:style w:type="paragraph" w:customStyle="1" w:styleId="3212">
    <w:name w:val="样式 标题 3头小节标题 + 宋体 小四 非加粗 段前: 0 磅 段后: 0 磅 行距: 1.5 倍行距"/>
    <w:basedOn w:val="7"/>
    <w:qFormat/>
    <w:uiPriority w:val="0"/>
  </w:style>
  <w:style w:type="paragraph" w:customStyle="1" w:styleId="3213">
    <w:name w:val="样式 标题 1标题1H1H11H12H13H14H15H16H17H18第A章第*部分章节一、一级..."/>
    <w:basedOn w:val="5"/>
    <w:qFormat/>
    <w:uiPriority w:val="0"/>
  </w:style>
  <w:style w:type="paragraph" w:customStyle="1" w:styleId="3214">
    <w:name w:val="样式 表格正文"/>
    <w:basedOn w:val="1049"/>
    <w:qFormat/>
    <w:uiPriority w:val="0"/>
    <w:pPr>
      <w:autoSpaceDE w:val="0"/>
      <w:autoSpaceDN w:val="0"/>
      <w:spacing w:line="300" w:lineRule="auto"/>
      <w:jc w:val="center"/>
      <w:textAlignment w:val="auto"/>
    </w:pPr>
    <w:rPr>
      <w:rFonts w:ascii="宋体" w:hAnsi="宋体" w:cs="宋体"/>
      <w:spacing w:val="10"/>
    </w:rPr>
  </w:style>
  <w:style w:type="paragraph" w:customStyle="1" w:styleId="3215">
    <w:name w:val="TZ Char"/>
    <w:basedOn w:val="1"/>
    <w:qFormat/>
    <w:uiPriority w:val="0"/>
    <w:pPr>
      <w:autoSpaceDE w:val="0"/>
      <w:autoSpaceDN w:val="0"/>
      <w:spacing w:line="360" w:lineRule="auto"/>
      <w:ind w:left="-420" w:leftChars="-200" w:firstLine="480"/>
      <w:jc w:val="center"/>
    </w:pPr>
    <w:rPr>
      <w:rFonts w:ascii="黑体" w:hAnsi="黑体" w:eastAsia="黑体" w:cs="黑体"/>
      <w:sz w:val="24"/>
    </w:rPr>
  </w:style>
  <w:style w:type="paragraph" w:customStyle="1" w:styleId="3216">
    <w:name w:val="行楷"/>
    <w:basedOn w:val="1"/>
    <w:qFormat/>
    <w:uiPriority w:val="0"/>
    <w:pPr>
      <w:spacing w:line="400" w:lineRule="exact"/>
    </w:pPr>
    <w:rPr>
      <w:rFonts w:ascii="文鼎CS行楷" w:eastAsia="文鼎CS行楷"/>
      <w:color w:val="000000"/>
      <w:sz w:val="30"/>
      <w:szCs w:val="20"/>
    </w:rPr>
  </w:style>
  <w:style w:type="paragraph" w:customStyle="1" w:styleId="3217">
    <w:name w:val="环评页角"/>
    <w:basedOn w:val="1"/>
    <w:qFormat/>
    <w:uiPriority w:val="0"/>
    <w:pPr>
      <w:pBdr>
        <w:top w:val="single" w:color="auto" w:sz="4" w:space="1"/>
      </w:pBdr>
    </w:pPr>
    <w:rPr>
      <w:rFonts w:ascii="宋体" w:hAnsi="宋体"/>
      <w:sz w:val="18"/>
      <w:szCs w:val="18"/>
    </w:rPr>
  </w:style>
  <w:style w:type="paragraph" w:customStyle="1" w:styleId="3218">
    <w:name w:val="Char Char1 Char Char Char Char2"/>
    <w:basedOn w:val="1"/>
    <w:qFormat/>
    <w:uiPriority w:val="0"/>
  </w:style>
  <w:style w:type="paragraph" w:customStyle="1" w:styleId="3219">
    <w:name w:val="kt1"/>
    <w:basedOn w:val="1"/>
    <w:qFormat/>
    <w:uiPriority w:val="0"/>
    <w:pPr>
      <w:jc w:val="center"/>
    </w:pPr>
    <w:rPr>
      <w:color w:val="000000"/>
      <w:szCs w:val="20"/>
    </w:rPr>
  </w:style>
  <w:style w:type="paragraph" w:customStyle="1" w:styleId="3220">
    <w:name w:val="样式 Arial 13 磅 行距: 固定值 25 磅1"/>
    <w:basedOn w:val="1"/>
    <w:qFormat/>
    <w:uiPriority w:val="0"/>
    <w:pPr>
      <w:spacing w:line="500" w:lineRule="exact"/>
    </w:pPr>
    <w:rPr>
      <w:rFonts w:ascii="Arial" w:hAnsi="Arial" w:cs="宋体"/>
      <w:sz w:val="26"/>
      <w:szCs w:val="20"/>
    </w:rPr>
  </w:style>
  <w:style w:type="paragraph" w:customStyle="1" w:styleId="3221">
    <w:name w:val="标题 1 + 小二"/>
    <w:basedOn w:val="5"/>
    <w:qFormat/>
    <w:uiPriority w:val="0"/>
  </w:style>
  <w:style w:type="paragraph" w:customStyle="1" w:styleId="3222">
    <w:name w:val="样式 标题 1 + 小二 居中"/>
    <w:basedOn w:val="5"/>
    <w:qFormat/>
    <w:uiPriority w:val="0"/>
  </w:style>
  <w:style w:type="paragraph" w:customStyle="1" w:styleId="3223">
    <w:name w:val="样式 标题 2 + 首行缩进:  2.5 字符"/>
    <w:basedOn w:val="6"/>
    <w:qFormat/>
    <w:uiPriority w:val="0"/>
  </w:style>
  <w:style w:type="paragraph" w:customStyle="1" w:styleId="3224">
    <w:name w:val="表 头"/>
    <w:basedOn w:val="1"/>
    <w:qFormat/>
    <w:uiPriority w:val="0"/>
    <w:pPr>
      <w:spacing w:line="440" w:lineRule="exact"/>
      <w:jc w:val="center"/>
      <w:textAlignment w:val="baseline"/>
    </w:pPr>
    <w:rPr>
      <w:rFonts w:eastAsia="黑体"/>
      <w:color w:val="000000"/>
      <w:spacing w:val="-8"/>
      <w:kern w:val="0"/>
      <w:sz w:val="24"/>
      <w:szCs w:val="20"/>
    </w:rPr>
  </w:style>
  <w:style w:type="paragraph" w:customStyle="1" w:styleId="3225">
    <w:name w:val="样式 样式2 + 首行缩进:  1.96 字符"/>
    <w:basedOn w:val="1"/>
    <w:qFormat/>
    <w:uiPriority w:val="0"/>
    <w:pPr>
      <w:keepNext/>
      <w:keepLines/>
      <w:spacing w:before="60" w:after="60" w:line="578" w:lineRule="auto"/>
      <w:ind w:firstLine="551" w:firstLineChars="196"/>
      <w:jc w:val="left"/>
      <w:outlineLvl w:val="0"/>
    </w:pPr>
    <w:rPr>
      <w:b/>
      <w:bCs/>
      <w:kern w:val="32"/>
      <w:szCs w:val="20"/>
    </w:rPr>
  </w:style>
  <w:style w:type="paragraph" w:customStyle="1" w:styleId="3226">
    <w:name w:val="正文-2"/>
    <w:basedOn w:val="1"/>
    <w:qFormat/>
    <w:uiPriority w:val="0"/>
    <w:pPr>
      <w:spacing w:line="500" w:lineRule="exact"/>
    </w:pPr>
    <w:rPr>
      <w:rFonts w:ascii="宋体"/>
      <w:szCs w:val="28"/>
    </w:rPr>
  </w:style>
  <w:style w:type="paragraph" w:customStyle="1" w:styleId="3227">
    <w:name w:val="电镀正文"/>
    <w:basedOn w:val="25"/>
    <w:qFormat/>
    <w:uiPriority w:val="0"/>
    <w:pPr>
      <w:spacing w:line="312" w:lineRule="auto"/>
      <w:ind w:firstLine="200"/>
      <w:jc w:val="left"/>
    </w:pPr>
    <w:rPr>
      <w:rFonts w:ascii="宋体" w:hAnsi="宋体"/>
      <w:sz w:val="24"/>
      <w:szCs w:val="24"/>
    </w:rPr>
  </w:style>
  <w:style w:type="paragraph" w:customStyle="1" w:styleId="3228">
    <w:name w:val="_Style 25"/>
    <w:basedOn w:val="1"/>
    <w:qFormat/>
    <w:uiPriority w:val="0"/>
    <w:pPr>
      <w:spacing w:line="360" w:lineRule="auto"/>
      <w:jc w:val="left"/>
    </w:pPr>
    <w:rPr>
      <w:szCs w:val="20"/>
    </w:rPr>
  </w:style>
  <w:style w:type="paragraph" w:customStyle="1" w:styleId="3229">
    <w:name w:val="样式 报告 + 段前: 0.3 行 段后: 0.3 行1"/>
    <w:basedOn w:val="1"/>
    <w:qFormat/>
    <w:uiPriority w:val="0"/>
    <w:pPr>
      <w:overflowPunct w:val="0"/>
      <w:autoSpaceDE w:val="0"/>
      <w:autoSpaceDN w:val="0"/>
      <w:spacing w:line="360" w:lineRule="auto"/>
      <w:ind w:firstLine="540" w:firstLineChars="225"/>
      <w:jc w:val="left"/>
      <w:textAlignment w:val="baseline"/>
    </w:pPr>
    <w:rPr>
      <w:color w:val="000000"/>
      <w:kern w:val="0"/>
      <w:sz w:val="24"/>
      <w:szCs w:val="20"/>
    </w:rPr>
  </w:style>
  <w:style w:type="paragraph" w:customStyle="1" w:styleId="3230">
    <w:name w:val="引用1"/>
    <w:basedOn w:val="1"/>
    <w:next w:val="1"/>
    <w:qFormat/>
    <w:uiPriority w:val="0"/>
    <w:rPr>
      <w:i/>
      <w:sz w:val="24"/>
    </w:rPr>
  </w:style>
  <w:style w:type="paragraph" w:customStyle="1" w:styleId="3231">
    <w:name w:val="reader-word-layer reader-word-s5-5"/>
    <w:basedOn w:val="1"/>
    <w:qFormat/>
    <w:uiPriority w:val="0"/>
    <w:pPr>
      <w:spacing w:before="100" w:beforeAutospacing="1" w:after="100" w:afterAutospacing="1"/>
      <w:jc w:val="left"/>
    </w:pPr>
    <w:rPr>
      <w:rFonts w:ascii="宋体" w:hAnsi="宋体" w:cs="宋体"/>
      <w:kern w:val="0"/>
      <w:sz w:val="24"/>
    </w:rPr>
  </w:style>
  <w:style w:type="paragraph" w:customStyle="1" w:styleId="3232">
    <w:name w:val="reader-word-layer reader-word-s5-10"/>
    <w:basedOn w:val="1"/>
    <w:qFormat/>
    <w:uiPriority w:val="0"/>
    <w:pPr>
      <w:spacing w:before="100" w:beforeAutospacing="1" w:after="100" w:afterAutospacing="1"/>
      <w:jc w:val="left"/>
    </w:pPr>
    <w:rPr>
      <w:rFonts w:ascii="宋体" w:hAnsi="宋体" w:cs="宋体"/>
      <w:kern w:val="0"/>
      <w:sz w:val="24"/>
    </w:rPr>
  </w:style>
  <w:style w:type="paragraph" w:customStyle="1" w:styleId="3233">
    <w:name w:val="Char Char Char Char Char Char Char Char Char Char Char Char Char Char Char Char Char Char Char2"/>
    <w:basedOn w:val="1"/>
    <w:qFormat/>
    <w:uiPriority w:val="0"/>
    <w:pPr>
      <w:spacing w:after="160" w:line="240" w:lineRule="exact"/>
      <w:jc w:val="left"/>
    </w:pPr>
    <w:rPr>
      <w:rFonts w:ascii="Verdana" w:hAnsi="Verdana"/>
      <w:kern w:val="0"/>
      <w:sz w:val="20"/>
      <w:szCs w:val="20"/>
      <w:lang w:eastAsia="en-US"/>
    </w:rPr>
  </w:style>
  <w:style w:type="paragraph" w:customStyle="1" w:styleId="3234">
    <w:name w:val="Char Char Char Char Char Char Char Char Char Char Char Char Char Char Char Char Char Char Char1"/>
    <w:basedOn w:val="1"/>
    <w:qFormat/>
    <w:uiPriority w:val="0"/>
    <w:pPr>
      <w:spacing w:after="160" w:line="240" w:lineRule="exact"/>
      <w:jc w:val="left"/>
    </w:pPr>
    <w:rPr>
      <w:rFonts w:ascii="Verdana" w:hAnsi="Verdana"/>
      <w:kern w:val="0"/>
      <w:sz w:val="20"/>
      <w:szCs w:val="20"/>
      <w:lang w:eastAsia="en-US"/>
    </w:rPr>
  </w:style>
  <w:style w:type="paragraph" w:customStyle="1" w:styleId="3235">
    <w:name w:val="reader-word-layer reader-word-s19-6"/>
    <w:basedOn w:val="1"/>
    <w:qFormat/>
    <w:uiPriority w:val="0"/>
    <w:pPr>
      <w:spacing w:before="100" w:beforeAutospacing="1" w:after="100" w:afterAutospacing="1"/>
      <w:jc w:val="left"/>
    </w:pPr>
    <w:rPr>
      <w:rFonts w:ascii="宋体" w:hAnsi="宋体" w:cs="宋体"/>
      <w:kern w:val="0"/>
      <w:sz w:val="24"/>
    </w:rPr>
  </w:style>
  <w:style w:type="paragraph" w:customStyle="1" w:styleId="3236">
    <w:name w:val="reader-word-layer reader-word-s26-7"/>
    <w:basedOn w:val="1"/>
    <w:qFormat/>
    <w:uiPriority w:val="0"/>
    <w:pPr>
      <w:spacing w:before="100" w:beforeAutospacing="1" w:after="100" w:afterAutospacing="1"/>
      <w:jc w:val="left"/>
    </w:pPr>
    <w:rPr>
      <w:rFonts w:ascii="宋体" w:hAnsi="宋体" w:cs="宋体"/>
      <w:kern w:val="0"/>
      <w:sz w:val="24"/>
    </w:rPr>
  </w:style>
  <w:style w:type="paragraph" w:customStyle="1" w:styleId="3237">
    <w:name w:val="默认段落字体 Para Char Char Char Char Char Char Char Char Char Char1 Char Char Char"/>
    <w:basedOn w:val="1"/>
    <w:qFormat/>
    <w:uiPriority w:val="0"/>
    <w:rPr>
      <w:rFonts w:ascii="Tahoma" w:hAnsi="Tahoma" w:cs="Arial"/>
      <w:sz w:val="24"/>
      <w:szCs w:val="21"/>
    </w:rPr>
  </w:style>
  <w:style w:type="paragraph" w:customStyle="1" w:styleId="3238">
    <w:name w:val="标准正文"/>
    <w:qFormat/>
    <w:uiPriority w:val="0"/>
    <w:pPr>
      <w:spacing w:line="360" w:lineRule="auto"/>
      <w:ind w:firstLine="200" w:firstLineChars="200"/>
      <w:jc w:val="both"/>
    </w:pPr>
    <w:rPr>
      <w:rFonts w:ascii="Calibri" w:hAnsi="Calibri" w:eastAsia="宋体" w:cs="Times New Roman"/>
      <w:kern w:val="2"/>
      <w:sz w:val="24"/>
      <w:szCs w:val="24"/>
      <w:lang w:val="en-US" w:eastAsia="zh-CN" w:bidi="ar-SA"/>
    </w:rPr>
  </w:style>
  <w:style w:type="paragraph" w:customStyle="1" w:styleId="3239">
    <w:name w:val="xl21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40">
    <w:name w:val="xl23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41">
    <w:name w:val="xl23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42">
    <w:name w:val="xl247"/>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3243">
    <w:name w:val="xl248"/>
    <w:basedOn w:val="1"/>
    <w:qFormat/>
    <w:uiPriority w:val="0"/>
    <w:pPr>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44">
    <w:name w:val="xl252"/>
    <w:basedOn w:val="1"/>
    <w:qFormat/>
    <w:uiPriority w:val="0"/>
    <w:pPr>
      <w:pBdr>
        <w:left w:val="single" w:color="auto" w:sz="4" w:space="0"/>
      </w:pBdr>
      <w:spacing w:before="100" w:beforeAutospacing="1" w:after="100" w:afterAutospacing="1"/>
      <w:jc w:val="left"/>
    </w:pPr>
    <w:rPr>
      <w:rFonts w:ascii="宋体" w:hAnsi="宋体" w:cs="宋体"/>
      <w:kern w:val="0"/>
      <w:sz w:val="20"/>
      <w:szCs w:val="20"/>
    </w:rPr>
  </w:style>
  <w:style w:type="paragraph" w:customStyle="1" w:styleId="3245">
    <w:name w:val="xl254"/>
    <w:basedOn w:val="1"/>
    <w:qFormat/>
    <w:uiPriority w:val="0"/>
    <w:pPr>
      <w:pBdr>
        <w:top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46">
    <w:name w:val="xl25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47">
    <w:name w:val="样式 标题 2 + 行距: 最小值 12 磅"/>
    <w:basedOn w:val="6"/>
    <w:qFormat/>
    <w:uiPriority w:val="0"/>
    <w:pPr>
      <w:keepLines w:val="0"/>
      <w:tabs>
        <w:tab w:val="left" w:pos="576"/>
        <w:tab w:val="left" w:pos="768"/>
        <w:tab w:val="clear" w:pos="567"/>
        <w:tab w:val="clear" w:pos="1080"/>
      </w:tabs>
      <w:spacing w:after="60" w:line="240" w:lineRule="atLeast"/>
      <w:ind w:left="576" w:hanging="576"/>
    </w:pPr>
    <w:rPr>
      <w:rFonts w:ascii="黑体" w:hAnsi="Cambria" w:eastAsia="仿宋_GB2312" w:cs="宋体"/>
      <w:bCs/>
      <w:i/>
      <w:iCs/>
      <w:kern w:val="2"/>
      <w:sz w:val="28"/>
      <w:szCs w:val="28"/>
    </w:rPr>
  </w:style>
  <w:style w:type="paragraph" w:customStyle="1" w:styleId="3248">
    <w:name w:val="xl258"/>
    <w:basedOn w:val="1"/>
    <w:qFormat/>
    <w:uiPriority w:val="0"/>
    <w:pPr>
      <w:spacing w:before="100" w:beforeAutospacing="1" w:after="100" w:afterAutospacing="1"/>
      <w:jc w:val="left"/>
    </w:pPr>
    <w:rPr>
      <w:rFonts w:ascii="宋体" w:hAnsi="宋体" w:cs="宋体"/>
      <w:kern w:val="0"/>
      <w:sz w:val="20"/>
      <w:szCs w:val="20"/>
    </w:rPr>
  </w:style>
  <w:style w:type="paragraph" w:customStyle="1" w:styleId="3249">
    <w:name w:val="F正文"/>
    <w:qFormat/>
    <w:uiPriority w:val="0"/>
    <w:pPr>
      <w:widowControl w:val="0"/>
      <w:adjustRightInd w:val="0"/>
      <w:spacing w:line="360" w:lineRule="atLeast"/>
      <w:jc w:val="center"/>
      <w:textAlignment w:val="baseline"/>
    </w:pPr>
    <w:rPr>
      <w:rFonts w:ascii="Calibri" w:hAnsi="Calibri" w:eastAsia="宋体" w:cs="Times New Roman"/>
      <w:spacing w:val="12"/>
      <w:sz w:val="24"/>
      <w:szCs w:val="22"/>
      <w:lang w:val="en-US" w:eastAsia="zh-CN" w:bidi="ar-SA"/>
    </w:rPr>
  </w:style>
  <w:style w:type="paragraph" w:customStyle="1" w:styleId="3250">
    <w:name w:val="xl25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3251">
    <w:name w:val="xl262"/>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bottom"/>
    </w:pPr>
    <w:rPr>
      <w:rFonts w:ascii="宋体" w:hAnsi="宋体" w:cs="宋体"/>
      <w:b/>
      <w:bCs/>
      <w:kern w:val="0"/>
      <w:sz w:val="20"/>
      <w:szCs w:val="20"/>
    </w:rPr>
  </w:style>
  <w:style w:type="paragraph" w:customStyle="1" w:styleId="3252">
    <w:name w:val="xl263"/>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b/>
      <w:bCs/>
      <w:kern w:val="0"/>
      <w:sz w:val="20"/>
      <w:szCs w:val="20"/>
    </w:rPr>
  </w:style>
  <w:style w:type="paragraph" w:customStyle="1" w:styleId="3253">
    <w:name w:val="xl265"/>
    <w:basedOn w:val="1"/>
    <w:qFormat/>
    <w:uiPriority w:val="0"/>
    <w:pPr>
      <w:pBdr>
        <w:top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54">
    <w:name w:val="xl266"/>
    <w:basedOn w:val="1"/>
    <w:qFormat/>
    <w:uiPriority w:val="0"/>
    <w:pPr>
      <w:pBdr>
        <w:top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55">
    <w:name w:val="xl267"/>
    <w:basedOn w:val="1"/>
    <w:qFormat/>
    <w:uiPriority w:val="0"/>
    <w:pPr>
      <w:pBdr>
        <w:top w:val="single" w:color="auto" w:sz="4" w:space="0"/>
        <w:left w:val="single" w:color="auto" w:sz="4" w:space="0"/>
        <w:bottom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3256">
    <w:name w:val="样式 表格文字 + 小四"/>
    <w:basedOn w:val="623"/>
    <w:qFormat/>
    <w:uiPriority w:val="0"/>
    <w:pPr>
      <w:autoSpaceDE w:val="0"/>
      <w:autoSpaceDN w:val="0"/>
      <w:spacing w:line="240" w:lineRule="auto"/>
      <w:ind w:firstLine="200"/>
    </w:pPr>
    <w:rPr>
      <w:rFonts w:ascii="Times New Roman" w:hAnsi="Times New Roman"/>
      <w:sz w:val="21"/>
      <w:szCs w:val="21"/>
    </w:rPr>
  </w:style>
  <w:style w:type="paragraph" w:customStyle="1" w:styleId="3257">
    <w:name w:val="xl2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3258">
    <w:name w:val="样式 标题 3标题 32标题 311Re11Head 3 WSA11h311标题 3 Char Char1Re2..."/>
    <w:basedOn w:val="7"/>
    <w:qFormat/>
    <w:uiPriority w:val="0"/>
    <w:pPr>
      <w:keepLines w:val="0"/>
      <w:tabs>
        <w:tab w:val="clear" w:pos="1440"/>
      </w:tabs>
      <w:spacing w:beforeLines="50" w:afterLines="50" w:line="480" w:lineRule="auto"/>
      <w:ind w:left="1260" w:hanging="420"/>
      <w:textAlignment w:val="baseline"/>
    </w:pPr>
    <w:rPr>
      <w:rFonts w:ascii="Cambria" w:hAnsi="Cambria" w:eastAsia="仿宋_GB2312" w:cs="宋体"/>
      <w:kern w:val="2"/>
    </w:rPr>
  </w:style>
  <w:style w:type="paragraph" w:customStyle="1" w:styleId="3259">
    <w:name w:val="xl269"/>
    <w:basedOn w:val="1"/>
    <w:qFormat/>
    <w:uiPriority w:val="0"/>
    <w:pPr>
      <w:pBdr>
        <w:top w:val="single" w:color="auto" w:sz="4" w:space="0"/>
        <w:left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3260">
    <w:name w:val="xl270"/>
    <w:basedOn w:val="1"/>
    <w:qFormat/>
    <w:uiPriority w:val="0"/>
    <w:pPr>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3261">
    <w:name w:val="xl2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3262">
    <w:name w:val="xl273"/>
    <w:basedOn w:val="1"/>
    <w:qFormat/>
    <w:uiPriority w:val="0"/>
    <w:pPr>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kern w:val="0"/>
      <w:sz w:val="20"/>
      <w:szCs w:val="20"/>
    </w:rPr>
  </w:style>
  <w:style w:type="paragraph" w:customStyle="1" w:styleId="3263">
    <w:name w:val="xl2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3264">
    <w:name w:val="xl276"/>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bottom"/>
    </w:pPr>
    <w:rPr>
      <w:rFonts w:ascii="宋体" w:hAnsi="宋体" w:cs="宋体"/>
      <w:b/>
      <w:bCs/>
      <w:kern w:val="0"/>
      <w:sz w:val="20"/>
      <w:szCs w:val="20"/>
    </w:rPr>
  </w:style>
  <w:style w:type="paragraph" w:customStyle="1" w:styleId="3265">
    <w:name w:val="xl280"/>
    <w:basedOn w:val="1"/>
    <w:qFormat/>
    <w:uiPriority w:val="0"/>
    <w:pPr>
      <w:pBdr>
        <w:top w:val="single" w:color="auto" w:sz="4" w:space="0"/>
        <w:left w:val="single" w:color="auto" w:sz="4" w:space="0"/>
        <w:bottom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3266">
    <w:name w:val="xl281"/>
    <w:basedOn w:val="1"/>
    <w:qFormat/>
    <w:uiPriority w:val="0"/>
    <w:pPr>
      <w:pBdr>
        <w:top w:val="single" w:color="auto" w:sz="4" w:space="0"/>
        <w:left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3267">
    <w:name w:val="xl283"/>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b/>
      <w:bCs/>
      <w:kern w:val="0"/>
      <w:sz w:val="20"/>
      <w:szCs w:val="20"/>
    </w:rPr>
  </w:style>
  <w:style w:type="paragraph" w:customStyle="1" w:styleId="3268">
    <w:name w:val="xl28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69">
    <w:name w:val="xl2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70">
    <w:name w:val="xl2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71">
    <w:name w:val="xl2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3272">
    <w:name w:val="xl2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73">
    <w:name w:val="xl29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3274">
    <w:name w:val="xl29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0"/>
      <w:szCs w:val="20"/>
    </w:rPr>
  </w:style>
  <w:style w:type="paragraph" w:customStyle="1" w:styleId="3275">
    <w:name w:val="xl29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3276">
    <w:name w:val="xl294"/>
    <w:basedOn w:val="1"/>
    <w:qFormat/>
    <w:uiPriority w:val="0"/>
    <w:pPr>
      <w:spacing w:before="100" w:beforeAutospacing="1" w:after="100" w:afterAutospacing="1"/>
      <w:jc w:val="left"/>
      <w:textAlignment w:val="bottom"/>
    </w:pPr>
    <w:rPr>
      <w:rFonts w:ascii="宋体" w:hAnsi="宋体" w:cs="宋体"/>
      <w:kern w:val="0"/>
      <w:sz w:val="20"/>
      <w:szCs w:val="20"/>
    </w:rPr>
  </w:style>
  <w:style w:type="paragraph" w:customStyle="1" w:styleId="3277">
    <w:name w:val="xl29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b/>
      <w:bCs/>
      <w:kern w:val="0"/>
      <w:sz w:val="20"/>
      <w:szCs w:val="20"/>
    </w:rPr>
  </w:style>
  <w:style w:type="paragraph" w:customStyle="1" w:styleId="3278">
    <w:name w:val="xl29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79">
    <w:name w:val="xl299"/>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80">
    <w:name w:val="xl300"/>
    <w:basedOn w:val="1"/>
    <w:qFormat/>
    <w:uiPriority w:val="0"/>
    <w:pPr>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81">
    <w:name w:val="xl30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3282">
    <w:name w:val="xl304"/>
    <w:basedOn w:val="1"/>
    <w:qFormat/>
    <w:uiPriority w:val="0"/>
    <w:pPr>
      <w:spacing w:before="100" w:beforeAutospacing="1" w:after="100" w:afterAutospacing="1"/>
      <w:jc w:val="left"/>
    </w:pPr>
    <w:rPr>
      <w:rFonts w:ascii="宋体" w:hAnsi="宋体" w:cs="宋体"/>
      <w:kern w:val="0"/>
      <w:sz w:val="20"/>
      <w:szCs w:val="20"/>
    </w:rPr>
  </w:style>
  <w:style w:type="paragraph" w:customStyle="1" w:styleId="3283">
    <w:name w:val="xl30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b/>
      <w:bCs/>
      <w:kern w:val="0"/>
      <w:sz w:val="20"/>
      <w:szCs w:val="20"/>
    </w:rPr>
  </w:style>
  <w:style w:type="paragraph" w:customStyle="1" w:styleId="3284">
    <w:name w:val="xl30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85">
    <w:name w:val="xl307"/>
    <w:basedOn w:val="1"/>
    <w:qFormat/>
    <w:uiPriority w:val="0"/>
    <w:pPr>
      <w:spacing w:before="100" w:beforeAutospacing="1" w:after="100" w:afterAutospacing="1"/>
      <w:jc w:val="center"/>
    </w:pPr>
    <w:rPr>
      <w:rFonts w:ascii="宋体" w:hAnsi="宋体" w:cs="宋体"/>
      <w:kern w:val="0"/>
      <w:sz w:val="20"/>
      <w:szCs w:val="20"/>
    </w:rPr>
  </w:style>
  <w:style w:type="paragraph" w:customStyle="1" w:styleId="3286">
    <w:name w:val="样式 Times New Roman 五号 居中1"/>
    <w:basedOn w:val="1"/>
    <w:qFormat/>
    <w:uiPriority w:val="0"/>
    <w:pPr>
      <w:jc w:val="center"/>
    </w:pPr>
    <w:rPr>
      <w:rFonts w:cs="宋体"/>
      <w:szCs w:val="20"/>
    </w:rPr>
  </w:style>
  <w:style w:type="paragraph" w:customStyle="1" w:styleId="3287">
    <w:name w:val="lyh 正文"/>
    <w:basedOn w:val="74"/>
    <w:qFormat/>
    <w:uiPriority w:val="0"/>
    <w:pPr>
      <w:spacing w:after="0" w:line="360" w:lineRule="auto"/>
      <w:ind w:left="0" w:leftChars="0"/>
    </w:pPr>
    <w:rPr>
      <w:rFonts w:ascii="宋体"/>
      <w:sz w:val="28"/>
      <w:szCs w:val="28"/>
    </w:rPr>
  </w:style>
  <w:style w:type="paragraph" w:customStyle="1" w:styleId="3288">
    <w:name w:val="样式 Times New Roman 五号 居中"/>
    <w:basedOn w:val="1"/>
    <w:qFormat/>
    <w:uiPriority w:val="99"/>
    <w:pPr>
      <w:jc w:val="center"/>
    </w:pPr>
    <w:rPr>
      <w:rFonts w:cs="宋体"/>
      <w:szCs w:val="20"/>
    </w:rPr>
  </w:style>
  <w:style w:type="paragraph" w:customStyle="1" w:styleId="3289">
    <w:name w:val="Char Char Char3 Char Char Char4 Char"/>
    <w:basedOn w:val="1"/>
    <w:qFormat/>
    <w:uiPriority w:val="0"/>
    <w:pPr>
      <w:spacing w:line="360" w:lineRule="auto"/>
    </w:pPr>
    <w:rPr>
      <w:rFonts w:ascii="宋体" w:hAnsi="宋体" w:cs="宋体"/>
      <w:sz w:val="24"/>
    </w:rPr>
  </w:style>
  <w:style w:type="paragraph" w:customStyle="1" w:styleId="3290">
    <w:name w:val="表格标题2"/>
    <w:basedOn w:val="18"/>
    <w:qFormat/>
    <w:uiPriority w:val="0"/>
    <w:pPr>
      <w:tabs>
        <w:tab w:val="left" w:pos="1260"/>
        <w:tab w:val="clear" w:pos="780"/>
      </w:tabs>
      <w:ind w:left="1260" w:leftChars="0" w:hanging="425" w:firstLineChars="200"/>
      <w:jc w:val="center"/>
    </w:pPr>
    <w:rPr>
      <w:b/>
      <w:sz w:val="24"/>
    </w:rPr>
  </w:style>
  <w:style w:type="paragraph" w:customStyle="1" w:styleId="3291">
    <w:name w:val="左五"/>
    <w:basedOn w:val="1"/>
    <w:qFormat/>
    <w:uiPriority w:val="0"/>
    <w:pPr>
      <w:spacing w:line="280" w:lineRule="exact"/>
    </w:pPr>
    <w:rPr>
      <w:rFonts w:ascii="宋体" w:hAnsi="Symusic"/>
      <w:color w:val="000000"/>
      <w:sz w:val="18"/>
      <w:lang w:bidi="he-IL"/>
    </w:rPr>
  </w:style>
  <w:style w:type="paragraph" w:customStyle="1" w:styleId="3292">
    <w:name w:val="2.1"/>
    <w:basedOn w:val="6"/>
    <w:next w:val="38"/>
    <w:qFormat/>
    <w:uiPriority w:val="0"/>
    <w:pPr>
      <w:keepLines w:val="0"/>
      <w:tabs>
        <w:tab w:val="right" w:leader="dot" w:pos="8296"/>
        <w:tab w:val="clear" w:pos="1080"/>
      </w:tabs>
      <w:spacing w:before="0" w:after="0"/>
      <w:ind w:left="0" w:firstLine="200"/>
    </w:pPr>
    <w:rPr>
      <w:rFonts w:eastAsia="仿宋_GB2312"/>
      <w:i/>
      <w:iCs/>
      <w:kern w:val="2"/>
      <w:sz w:val="30"/>
      <w:szCs w:val="32"/>
    </w:rPr>
  </w:style>
  <w:style w:type="paragraph" w:customStyle="1" w:styleId="3293">
    <w:name w:val="表注+左对齐"/>
    <w:basedOn w:val="1"/>
    <w:qFormat/>
    <w:uiPriority w:val="0"/>
    <w:pPr>
      <w:spacing w:line="240" w:lineRule="atLeast"/>
      <w:textAlignment w:val="baseline"/>
    </w:pPr>
    <w:rPr>
      <w:rFonts w:ascii="仿宋_GB2312"/>
    </w:rPr>
  </w:style>
  <w:style w:type="paragraph" w:customStyle="1" w:styleId="3294">
    <w:name w:val="关键词"/>
    <w:basedOn w:val="1"/>
    <w:qFormat/>
    <w:uiPriority w:val="0"/>
    <w:pPr>
      <w:spacing w:line="312" w:lineRule="atLeast"/>
      <w:textAlignment w:val="baseline"/>
    </w:pPr>
    <w:rPr>
      <w:rFonts w:eastAsia="黑体"/>
      <w:sz w:val="18"/>
    </w:rPr>
  </w:style>
  <w:style w:type="paragraph" w:customStyle="1" w:styleId="3295">
    <w:name w:val="标题3，小四黑体，6磅"/>
    <w:basedOn w:val="1"/>
    <w:qFormat/>
    <w:uiPriority w:val="0"/>
    <w:pPr>
      <w:keepNext/>
      <w:keepLines/>
      <w:spacing w:before="120" w:after="120" w:line="413" w:lineRule="auto"/>
      <w:outlineLvl w:val="2"/>
    </w:pPr>
    <w:rPr>
      <w:rFonts w:ascii="黑体" w:eastAsia="黑体"/>
      <w:b/>
      <w:bCs/>
      <w:sz w:val="24"/>
      <w:szCs w:val="32"/>
    </w:rPr>
  </w:style>
  <w:style w:type="paragraph" w:customStyle="1" w:styleId="3296">
    <w:name w:val="Char Char Char Char Char Char Char Char Char Char Char Char Char Char Char Char Char Char Char Char Char Char1"/>
    <w:basedOn w:val="1"/>
    <w:next w:val="1"/>
    <w:qFormat/>
    <w:uiPriority w:val="0"/>
    <w:pPr>
      <w:pBdr>
        <w:right w:val="single" w:color="auto" w:sz="12" w:space="4"/>
      </w:pBdr>
      <w:spacing w:line="360" w:lineRule="auto"/>
    </w:pPr>
    <w:rPr>
      <w:rFonts w:ascii="宋体" w:hAnsi="宋体" w:cs="宋体"/>
      <w:sz w:val="24"/>
    </w:rPr>
  </w:style>
  <w:style w:type="paragraph" w:customStyle="1" w:styleId="3297">
    <w:name w:val="标题 2新"/>
    <w:basedOn w:val="6"/>
    <w:qFormat/>
    <w:uiPriority w:val="0"/>
    <w:pPr>
      <w:keepLines w:val="0"/>
      <w:tabs>
        <w:tab w:val="left" w:pos="0"/>
        <w:tab w:val="clear" w:pos="1080"/>
      </w:tabs>
      <w:spacing w:before="0" w:after="0" w:line="720" w:lineRule="auto"/>
      <w:ind w:left="0" w:firstLine="200"/>
    </w:pPr>
    <w:rPr>
      <w:rFonts w:hint="eastAsia" w:ascii="黑体" w:hAnsi="Cambria" w:eastAsia="仿宋_GB2312" w:cs="宋体"/>
      <w:i/>
      <w:iCs/>
      <w:kern w:val="2"/>
    </w:rPr>
  </w:style>
  <w:style w:type="paragraph" w:customStyle="1" w:styleId="3298">
    <w:name w:val="标题四"/>
    <w:basedOn w:val="10"/>
    <w:qFormat/>
    <w:uiPriority w:val="0"/>
    <w:pPr>
      <w:tabs>
        <w:tab w:val="left" w:pos="4156"/>
      </w:tabs>
      <w:spacing w:line="374" w:lineRule="auto"/>
      <w:ind w:left="1984" w:hanging="708"/>
      <w:textAlignment w:val="baseline"/>
    </w:pPr>
    <w:rPr>
      <w:rFonts w:ascii="Arial" w:hAnsi="Arial" w:eastAsia="黑体"/>
      <w:bCs w:val="0"/>
    </w:rPr>
  </w:style>
  <w:style w:type="paragraph" w:customStyle="1" w:styleId="3299">
    <w:name w:val="样式 标题 3条标题1.1.1BSH-3BT33h33rd levelH3l3CT二级节名标题 3 Cha..."/>
    <w:basedOn w:val="7"/>
    <w:qFormat/>
    <w:uiPriority w:val="0"/>
    <w:pPr>
      <w:keepLines w:val="0"/>
      <w:tabs>
        <w:tab w:val="clear" w:pos="1440"/>
      </w:tabs>
      <w:spacing w:before="0" w:after="0"/>
      <w:ind w:left="0" w:firstLine="200"/>
    </w:pPr>
    <w:rPr>
      <w:rFonts w:ascii="Cambria" w:eastAsia="仿宋_GB2312" w:cs="宋体"/>
      <w:b w:val="0"/>
      <w:bCs/>
      <w:kern w:val="2"/>
    </w:rPr>
  </w:style>
  <w:style w:type="paragraph" w:customStyle="1" w:styleId="3300">
    <w:name w:val="样式1 Char Char Char Char Char"/>
    <w:basedOn w:val="1"/>
    <w:qFormat/>
    <w:uiPriority w:val="0"/>
    <w:pPr>
      <w:spacing w:line="560" w:lineRule="atLeast"/>
      <w:ind w:firstLine="480"/>
    </w:pPr>
    <w:rPr>
      <w:rFonts w:ascii="宋体" w:hAnsi="宋体"/>
      <w:sz w:val="24"/>
    </w:rPr>
  </w:style>
  <w:style w:type="paragraph" w:customStyle="1" w:styleId="3301">
    <w:name w:val="样式 样式 表名图名 + 两端对齐 首行缩进:  0.63 厘米 + 宋体 首行缩进:  0 厘米"/>
    <w:basedOn w:val="1"/>
    <w:qFormat/>
    <w:uiPriority w:val="0"/>
    <w:pPr>
      <w:spacing w:line="360" w:lineRule="auto"/>
    </w:pPr>
    <w:rPr>
      <w:rFonts w:cs="宋体"/>
      <w:b/>
      <w:bCs/>
      <w:sz w:val="24"/>
    </w:rPr>
  </w:style>
  <w:style w:type="paragraph" w:customStyle="1" w:styleId="3302">
    <w:name w:val="正文段落S"/>
    <w:basedOn w:val="1"/>
    <w:qFormat/>
    <w:uiPriority w:val="0"/>
    <w:pPr>
      <w:spacing w:line="360" w:lineRule="auto"/>
      <w:ind w:firstLine="420"/>
    </w:pPr>
    <w:rPr>
      <w:snapToGrid w:val="0"/>
      <w:sz w:val="24"/>
    </w:rPr>
  </w:style>
  <w:style w:type="paragraph" w:customStyle="1" w:styleId="3303">
    <w:name w:val="Char Char1 Char Char Char Char Char Char1"/>
    <w:basedOn w:val="1"/>
    <w:qFormat/>
    <w:uiPriority w:val="0"/>
  </w:style>
  <w:style w:type="paragraph" w:customStyle="1" w:styleId="3304">
    <w:name w:val="样式 标题 3h33rd levelH33Head 3level_3PIM 3Level 3 Head二级节名..."/>
    <w:basedOn w:val="7"/>
    <w:qFormat/>
    <w:uiPriority w:val="0"/>
    <w:pPr>
      <w:keepLines w:val="0"/>
      <w:tabs>
        <w:tab w:val="clear" w:pos="1440"/>
      </w:tabs>
      <w:spacing w:before="240" w:after="60"/>
      <w:ind w:left="0" w:firstLine="200"/>
    </w:pPr>
    <w:rPr>
      <w:rFonts w:ascii="Cambria" w:hAnsi="Cambria" w:eastAsia="仿宋_GB2312"/>
      <w:bCs/>
      <w:kern w:val="2"/>
      <w:sz w:val="26"/>
      <w:szCs w:val="26"/>
    </w:rPr>
  </w:style>
  <w:style w:type="paragraph" w:customStyle="1" w:styleId="3305">
    <w:name w:val="正文文本 314"/>
    <w:basedOn w:val="1"/>
    <w:qFormat/>
    <w:uiPriority w:val="0"/>
    <w:pPr>
      <w:spacing w:line="240" w:lineRule="atLeast"/>
      <w:jc w:val="center"/>
      <w:textAlignment w:val="baseline"/>
    </w:pPr>
    <w:rPr>
      <w:rFonts w:ascii="宋体"/>
      <w:sz w:val="18"/>
    </w:rPr>
  </w:style>
  <w:style w:type="paragraph" w:customStyle="1" w:styleId="3306">
    <w:name w:val="标题11"/>
    <w:basedOn w:val="1"/>
    <w:qFormat/>
    <w:uiPriority w:val="0"/>
    <w:pPr>
      <w:tabs>
        <w:tab w:val="left" w:pos="720"/>
      </w:tabs>
      <w:spacing w:line="360" w:lineRule="auto"/>
      <w:ind w:left="567" w:hanging="567"/>
    </w:pPr>
  </w:style>
  <w:style w:type="paragraph" w:customStyle="1" w:styleId="3307">
    <w:name w:val="Char Char Char31"/>
    <w:basedOn w:val="1"/>
    <w:qFormat/>
    <w:uiPriority w:val="0"/>
    <w:pPr>
      <w:spacing w:line="360" w:lineRule="auto"/>
    </w:pPr>
    <w:rPr>
      <w:rFonts w:ascii="宋体" w:hAnsi="宋体" w:cs="宋体"/>
      <w:sz w:val="24"/>
    </w:rPr>
  </w:style>
  <w:style w:type="paragraph" w:customStyle="1" w:styleId="3308">
    <w:name w:val="俺的正文"/>
    <w:basedOn w:val="1"/>
    <w:qFormat/>
    <w:uiPriority w:val="0"/>
    <w:pPr>
      <w:spacing w:line="460" w:lineRule="exact"/>
    </w:pPr>
    <w:rPr>
      <w:sz w:val="24"/>
    </w:rPr>
  </w:style>
  <w:style w:type="paragraph" w:customStyle="1" w:styleId="3309">
    <w:name w:val="图表1"/>
    <w:basedOn w:val="70"/>
    <w:qFormat/>
    <w:uiPriority w:val="0"/>
    <w:pPr>
      <w:spacing w:line="360" w:lineRule="exact"/>
      <w:ind w:left="0" w:firstLine="0" w:firstLineChars="0"/>
      <w:jc w:val="center"/>
    </w:pPr>
    <w:rPr>
      <w:rFonts w:ascii="宋体" w:hAnsi="宋体" w:eastAsia="仿宋_GB2312"/>
      <w:spacing w:val="6"/>
      <w:szCs w:val="24"/>
    </w:rPr>
  </w:style>
  <w:style w:type="paragraph" w:customStyle="1" w:styleId="3310">
    <w:name w:val="Char Char Char Char Char Char Char3"/>
    <w:basedOn w:val="1"/>
    <w:next w:val="1"/>
    <w:qFormat/>
    <w:uiPriority w:val="0"/>
    <w:pPr>
      <w:spacing w:line="360" w:lineRule="auto"/>
    </w:pPr>
    <w:rPr>
      <w:rFonts w:ascii="宋体" w:hAnsi="宋体" w:cs="宋体"/>
      <w:sz w:val="24"/>
    </w:rPr>
  </w:style>
  <w:style w:type="paragraph" w:customStyle="1" w:styleId="3311">
    <w:name w:val="样式 标题 3 + 段前: 10 磅 段后: 10 磅"/>
    <w:basedOn w:val="7"/>
    <w:qFormat/>
    <w:uiPriority w:val="0"/>
    <w:pPr>
      <w:keepLines w:val="0"/>
      <w:tabs>
        <w:tab w:val="clear" w:pos="1440"/>
      </w:tabs>
      <w:spacing w:beforeLines="25" w:afterLines="25"/>
      <w:ind w:left="0" w:firstLine="200"/>
      <w:textAlignment w:val="baseline"/>
    </w:pPr>
    <w:rPr>
      <w:rFonts w:ascii="黑体" w:hAnsi="Cambria"/>
      <w:kern w:val="2"/>
      <w:sz w:val="26"/>
    </w:rPr>
  </w:style>
  <w:style w:type="paragraph" w:customStyle="1" w:styleId="3312">
    <w:name w:val="样式 标题 2 + Times New Roman 段前: 12 磅 段后: 0 磅"/>
    <w:basedOn w:val="6"/>
    <w:qFormat/>
    <w:uiPriority w:val="0"/>
    <w:pPr>
      <w:keepLines w:val="0"/>
      <w:tabs>
        <w:tab w:val="clear" w:pos="1080"/>
      </w:tabs>
      <w:spacing w:afterLines="50" w:line="300" w:lineRule="auto"/>
      <w:ind w:left="0" w:firstLine="200"/>
    </w:pPr>
    <w:rPr>
      <w:rFonts w:eastAsia="仿宋_GB2312" w:cs="宋体"/>
      <w:i/>
      <w:iCs/>
      <w:kern w:val="2"/>
      <w:sz w:val="28"/>
    </w:rPr>
  </w:style>
  <w:style w:type="paragraph" w:customStyle="1" w:styleId="3313">
    <w:name w:val="Char Char Char3 Char Char Char4 Char Char Char1 Char Char"/>
    <w:basedOn w:val="1"/>
    <w:qFormat/>
    <w:uiPriority w:val="0"/>
    <w:pPr>
      <w:spacing w:line="360" w:lineRule="auto"/>
    </w:pPr>
    <w:rPr>
      <w:rFonts w:ascii="宋体" w:hAnsi="宋体" w:cs="宋体"/>
      <w:sz w:val="24"/>
    </w:rPr>
  </w:style>
  <w:style w:type="paragraph" w:customStyle="1" w:styleId="3314">
    <w:name w:val="报告书正文 Char Char Char1"/>
    <w:basedOn w:val="1"/>
    <w:qFormat/>
    <w:uiPriority w:val="0"/>
    <w:pPr>
      <w:spacing w:line="300" w:lineRule="auto"/>
      <w:ind w:firstLine="480"/>
    </w:pPr>
    <w:rPr>
      <w:color w:val="000000"/>
      <w:sz w:val="24"/>
    </w:rPr>
  </w:style>
  <w:style w:type="paragraph" w:customStyle="1" w:styleId="3315">
    <w:name w:val="Char Char Char3 Char1"/>
    <w:basedOn w:val="1"/>
    <w:qFormat/>
    <w:uiPriority w:val="0"/>
    <w:pPr>
      <w:spacing w:line="360" w:lineRule="auto"/>
    </w:pPr>
    <w:rPr>
      <w:rFonts w:ascii="宋体" w:hAnsi="宋体" w:cs="宋体"/>
      <w:sz w:val="24"/>
    </w:rPr>
  </w:style>
  <w:style w:type="paragraph" w:customStyle="1" w:styleId="3316">
    <w:name w:val="统一正文"/>
    <w:basedOn w:val="1"/>
    <w:qFormat/>
    <w:uiPriority w:val="0"/>
    <w:pPr>
      <w:spacing w:line="360" w:lineRule="auto"/>
      <w:ind w:firstLine="480"/>
    </w:pPr>
    <w:rPr>
      <w:sz w:val="24"/>
    </w:rPr>
  </w:style>
  <w:style w:type="paragraph" w:customStyle="1" w:styleId="3317">
    <w:name w:val="Char Char Char Char Char2"/>
    <w:basedOn w:val="1"/>
    <w:qFormat/>
    <w:uiPriority w:val="0"/>
  </w:style>
  <w:style w:type="paragraph" w:customStyle="1" w:styleId="3318">
    <w:name w:val="样式 (中文) 黑体 小四 首行缩进:  0.95 厘米 段前: 6 磅 行距: 1.5 倍行距"/>
    <w:basedOn w:val="1"/>
    <w:qFormat/>
    <w:uiPriority w:val="0"/>
    <w:pPr>
      <w:spacing w:before="120" w:line="360" w:lineRule="auto"/>
      <w:ind w:firstLine="539"/>
      <w:textAlignment w:val="baseline"/>
    </w:pPr>
    <w:rPr>
      <w:rFonts w:cs="宋体"/>
      <w:spacing w:val="5"/>
      <w:sz w:val="24"/>
    </w:rPr>
  </w:style>
  <w:style w:type="paragraph" w:customStyle="1" w:styleId="3319">
    <w:name w:val="!表标题(alt+h)"/>
    <w:next w:val="1"/>
    <w:qFormat/>
    <w:uiPriority w:val="0"/>
    <w:pPr>
      <w:spacing w:before="120" w:after="80" w:line="360" w:lineRule="exact"/>
      <w:ind w:firstLine="482"/>
      <w:jc w:val="center"/>
      <w:outlineLvl w:val="4"/>
    </w:pPr>
    <w:rPr>
      <w:rFonts w:ascii="Calibri" w:hAnsi="Calibri" w:eastAsia="黑体" w:cs="Times New Roman"/>
      <w:sz w:val="24"/>
      <w:szCs w:val="24"/>
      <w:lang w:val="en-US" w:eastAsia="zh-CN" w:bidi="ar-SA"/>
    </w:rPr>
  </w:style>
  <w:style w:type="paragraph" w:customStyle="1" w:styleId="3320">
    <w:name w:val="105v"/>
    <w:basedOn w:val="1"/>
    <w:qFormat/>
    <w:uiPriority w:val="0"/>
    <w:pPr>
      <w:spacing w:before="100" w:beforeAutospacing="1" w:after="100" w:afterAutospacing="1"/>
    </w:pPr>
    <w:rPr>
      <w:rFonts w:ascii="宋体" w:hAnsi="宋体" w:cs="宋体"/>
      <w:szCs w:val="21"/>
    </w:rPr>
  </w:style>
  <w:style w:type="paragraph" w:customStyle="1" w:styleId="3321">
    <w:name w:val="凯里"/>
    <w:basedOn w:val="998"/>
    <w:qFormat/>
    <w:uiPriority w:val="0"/>
    <w:rPr>
      <w:snapToGrid/>
      <w:kern w:val="24"/>
    </w:rPr>
  </w:style>
  <w:style w:type="paragraph" w:customStyle="1" w:styleId="3322">
    <w:name w:val="样式 表格内容 + 五号 两端对齐"/>
    <w:basedOn w:val="254"/>
    <w:qFormat/>
    <w:uiPriority w:val="0"/>
    <w:pPr>
      <w:adjustRightInd/>
      <w:snapToGrid/>
      <w:spacing w:line="240" w:lineRule="auto"/>
      <w:ind w:firstLine="200"/>
      <w:jc w:val="both"/>
    </w:pPr>
    <w:rPr>
      <w:rFonts w:cs="宋体"/>
      <w:kern w:val="0"/>
      <w:sz w:val="21"/>
    </w:rPr>
  </w:style>
  <w:style w:type="paragraph" w:customStyle="1" w:styleId="3323">
    <w:name w:val="样式 标题 22nd levelh22Header 2H2UNDERRUBRIK 1-2Titre2l2一级节..."/>
    <w:basedOn w:val="6"/>
    <w:qFormat/>
    <w:uiPriority w:val="0"/>
    <w:pPr>
      <w:keepLines w:val="0"/>
      <w:tabs>
        <w:tab w:val="clear" w:pos="1080"/>
      </w:tabs>
      <w:spacing w:after="60"/>
      <w:ind w:left="0" w:firstLine="200"/>
    </w:pPr>
    <w:rPr>
      <w:rFonts w:ascii="Cambria" w:hAnsi="Cambria" w:eastAsia="仿宋_GB2312"/>
      <w:b w:val="0"/>
      <w:bCs/>
      <w:i/>
      <w:iCs/>
      <w:kern w:val="2"/>
      <w:sz w:val="28"/>
      <w:szCs w:val="28"/>
    </w:rPr>
  </w:style>
  <w:style w:type="paragraph" w:customStyle="1" w:styleId="3324">
    <w:name w:val="Char Char Char1 Char Char Char Char Char Char Char Char Char Char Char Char1 Char"/>
    <w:basedOn w:val="1"/>
    <w:qFormat/>
    <w:uiPriority w:val="0"/>
    <w:pPr>
      <w:spacing w:line="360" w:lineRule="auto"/>
    </w:pPr>
    <w:rPr>
      <w:rFonts w:ascii="宋体" w:hAnsi="宋体" w:cs="宋体"/>
      <w:sz w:val="24"/>
    </w:rPr>
  </w:style>
  <w:style w:type="paragraph" w:customStyle="1" w:styleId="3325">
    <w:name w:val="标题5"/>
    <w:basedOn w:val="11"/>
    <w:next w:val="1"/>
    <w:qFormat/>
    <w:uiPriority w:val="0"/>
    <w:pPr>
      <w:tabs>
        <w:tab w:val="left" w:pos="360"/>
        <w:tab w:val="left" w:pos="632"/>
        <w:tab w:val="left" w:pos="900"/>
      </w:tabs>
      <w:spacing w:before="0" w:after="0" w:line="400" w:lineRule="exact"/>
      <w:ind w:left="632" w:firstLine="200"/>
    </w:pPr>
    <w:rPr>
      <w:b w:val="0"/>
      <w:kern w:val="24"/>
    </w:rPr>
  </w:style>
  <w:style w:type="paragraph" w:customStyle="1" w:styleId="3326">
    <w:name w:val="样式 默认段落字体 Para Char + Times New Roman1"/>
    <w:basedOn w:val="2640"/>
    <w:qFormat/>
    <w:uiPriority w:val="0"/>
    <w:pPr>
      <w:ind w:firstLine="480"/>
    </w:pPr>
    <w:rPr>
      <w:rFonts w:ascii="Times New Roman" w:hAnsi="Times New Roman"/>
      <w:color w:val="000000"/>
      <w:szCs w:val="21"/>
    </w:rPr>
  </w:style>
  <w:style w:type="paragraph" w:customStyle="1" w:styleId="3327">
    <w:name w:val="样式 标题 4款标题1.1.1.1标题 4 Char[三级节名]h4H4条 2[三级节名]1[三级节名]2四...1"/>
    <w:basedOn w:val="10"/>
    <w:qFormat/>
    <w:uiPriority w:val="0"/>
    <w:pPr>
      <w:ind w:left="1680" w:hanging="420"/>
    </w:pPr>
  </w:style>
  <w:style w:type="paragraph" w:customStyle="1" w:styleId="3328">
    <w:name w:val="Char Char Char Char Char Char Char Char Char Char Char Char3"/>
    <w:basedOn w:val="1"/>
    <w:qFormat/>
    <w:uiPriority w:val="0"/>
    <w:pPr>
      <w:spacing w:line="360" w:lineRule="auto"/>
    </w:pPr>
    <w:rPr>
      <w:sz w:val="24"/>
    </w:rPr>
  </w:style>
  <w:style w:type="paragraph" w:customStyle="1" w:styleId="3329">
    <w:name w:val="正文居中粗"/>
    <w:basedOn w:val="1"/>
    <w:qFormat/>
    <w:uiPriority w:val="0"/>
    <w:pPr>
      <w:jc w:val="center"/>
    </w:pPr>
    <w:rPr>
      <w:rFonts w:ascii="宋体"/>
      <w:b/>
      <w:bCs/>
      <w:color w:val="000000"/>
      <w:spacing w:val="4"/>
    </w:rPr>
  </w:style>
  <w:style w:type="paragraph" w:customStyle="1" w:styleId="3330">
    <w:name w:val="样式 样式 表号 + 首行缩进:  0.85 厘米 + 首行缩进:  0 厘米"/>
    <w:basedOn w:val="1"/>
    <w:qFormat/>
    <w:uiPriority w:val="0"/>
    <w:pPr>
      <w:widowControl w:val="0"/>
      <w:spacing w:line="500" w:lineRule="exact"/>
      <w:jc w:val="center"/>
      <w:outlineLvl w:val="3"/>
    </w:pPr>
    <w:rPr>
      <w:rFonts w:ascii="黑体" w:eastAsia="黑体" w:cs="宋体"/>
      <w:sz w:val="24"/>
      <w:szCs w:val="21"/>
    </w:rPr>
  </w:style>
  <w:style w:type="paragraph" w:customStyle="1" w:styleId="3331">
    <w:name w:val="Char Char Char Char Char Char3"/>
    <w:basedOn w:val="1"/>
    <w:qFormat/>
    <w:uiPriority w:val="0"/>
    <w:pPr>
      <w:spacing w:line="360" w:lineRule="auto"/>
    </w:pPr>
    <w:rPr>
      <w:rFonts w:ascii="宋体" w:hAnsi="宋体" w:cs="宋体"/>
      <w:sz w:val="24"/>
    </w:rPr>
  </w:style>
  <w:style w:type="paragraph" w:customStyle="1" w:styleId="3332">
    <w:name w:val="正文格式111"/>
    <w:basedOn w:val="1"/>
    <w:qFormat/>
    <w:uiPriority w:val="0"/>
    <w:pPr>
      <w:spacing w:line="300" w:lineRule="auto"/>
      <w:ind w:firstLine="480"/>
    </w:pPr>
    <w:rPr>
      <w:rFonts w:hint="eastAsia" w:ascii="宋体" w:hAnsi="宋体"/>
      <w:kern w:val="24"/>
      <w:sz w:val="24"/>
    </w:rPr>
  </w:style>
  <w:style w:type="paragraph" w:customStyle="1" w:styleId="3333">
    <w:name w:val="修订2"/>
    <w:qFormat/>
    <w:uiPriority w:val="0"/>
    <w:rPr>
      <w:rFonts w:ascii="Times New Roman" w:hAnsi="Times New Roman" w:eastAsia="宋体" w:cs="Times New Roman"/>
      <w:kern w:val="2"/>
      <w:sz w:val="21"/>
      <w:szCs w:val="24"/>
      <w:lang w:val="en-US" w:eastAsia="zh-CN" w:bidi="ar-SA"/>
    </w:rPr>
  </w:style>
  <w:style w:type="paragraph" w:customStyle="1" w:styleId="3334">
    <w:name w:val="报告书正文 Char Char Char Char Char Char Char1"/>
    <w:basedOn w:val="1"/>
    <w:qFormat/>
    <w:uiPriority w:val="0"/>
    <w:pPr>
      <w:spacing w:line="300" w:lineRule="auto"/>
      <w:ind w:firstLine="480"/>
    </w:pPr>
    <w:rPr>
      <w:rFonts w:ascii="宋体" w:hAnsi="宋体"/>
      <w:sz w:val="24"/>
    </w:rPr>
  </w:style>
  <w:style w:type="paragraph" w:customStyle="1" w:styleId="3335">
    <w:name w:val="Char Char Char Char Char Char Char Char Char1 Char"/>
    <w:basedOn w:val="1"/>
    <w:qFormat/>
    <w:uiPriority w:val="0"/>
    <w:rPr>
      <w:rFonts w:ascii="Tahoma" w:hAnsi="Tahoma" w:cs="仿宋_GB2312"/>
      <w:sz w:val="24"/>
    </w:rPr>
  </w:style>
  <w:style w:type="paragraph" w:customStyle="1" w:styleId="3336">
    <w:name w:val="样式 样式 两端对齐 首行缩进:  2 字符 + 首行缩进:  2 字符 段前: 0.5 行 段后: 0.5 行"/>
    <w:basedOn w:val="1"/>
    <w:qFormat/>
    <w:uiPriority w:val="0"/>
    <w:pPr>
      <w:widowControl w:val="0"/>
      <w:adjustRightInd/>
      <w:snapToGrid/>
      <w:spacing w:line="360" w:lineRule="auto"/>
      <w:jc w:val="center"/>
    </w:pPr>
    <w:rPr>
      <w:rFonts w:eastAsia="黑体"/>
      <w:szCs w:val="28"/>
    </w:rPr>
  </w:style>
  <w:style w:type="paragraph" w:customStyle="1" w:styleId="3337">
    <w:name w:val="名录"/>
    <w:basedOn w:val="1"/>
    <w:qFormat/>
    <w:uiPriority w:val="0"/>
    <w:pPr>
      <w:spacing w:line="360" w:lineRule="auto"/>
      <w:jc w:val="center"/>
    </w:pPr>
    <w:rPr>
      <w:spacing w:val="6"/>
    </w:rPr>
  </w:style>
  <w:style w:type="paragraph" w:customStyle="1" w:styleId="3338">
    <w:name w:val="标题B"/>
    <w:qFormat/>
    <w:uiPriority w:val="0"/>
    <w:pPr>
      <w:adjustRightInd w:val="0"/>
      <w:snapToGrid w:val="0"/>
      <w:spacing w:before="400" w:line="320" w:lineRule="exact"/>
      <w:jc w:val="center"/>
      <w:outlineLvl w:val="1"/>
    </w:pPr>
    <w:rPr>
      <w:rFonts w:ascii="Calibri" w:hAnsi="Calibri" w:eastAsia="宋体" w:cs="Times New Roman"/>
      <w:b/>
      <w:snapToGrid w:val="0"/>
      <w:sz w:val="30"/>
      <w:szCs w:val="22"/>
      <w:lang w:val="en-US" w:eastAsia="zh-CN" w:bidi="ar-SA"/>
    </w:rPr>
  </w:style>
  <w:style w:type="paragraph" w:customStyle="1" w:styleId="3339">
    <w:name w:val="Char Char Char Char Char Char Char Char Char Char1 Char Char Char Char Char Char Char Char Char Char Char Char Char Char Char Char Char Char Char Char Char Char Char Char Char1"/>
    <w:basedOn w:val="1"/>
    <w:qFormat/>
    <w:uiPriority w:val="0"/>
    <w:pPr>
      <w:widowControl w:val="0"/>
      <w:adjustRightInd/>
      <w:snapToGrid/>
    </w:pPr>
  </w:style>
  <w:style w:type="paragraph" w:customStyle="1" w:styleId="3340">
    <w:name w:val="a表格"/>
    <w:basedOn w:val="1"/>
    <w:qFormat/>
    <w:uiPriority w:val="0"/>
    <w:pPr>
      <w:jc w:val="center"/>
    </w:pPr>
    <w:rPr>
      <w:rFonts w:hAnsi="宋体"/>
      <w:bCs/>
      <w:szCs w:val="21"/>
    </w:rPr>
  </w:style>
  <w:style w:type="paragraph" w:customStyle="1" w:styleId="3341">
    <w:name w:val="Char Char Char Char Char Char Char Char Char Char Char Char Char Char Char1"/>
    <w:basedOn w:val="1"/>
    <w:qFormat/>
    <w:uiPriority w:val="0"/>
    <w:pPr>
      <w:spacing w:line="360" w:lineRule="auto"/>
    </w:pPr>
    <w:rPr>
      <w:rFonts w:ascii="仿宋_GB2312" w:hAnsi="仿宋_GB2312" w:cs="宋体"/>
      <w:sz w:val="24"/>
    </w:rPr>
  </w:style>
  <w:style w:type="paragraph" w:customStyle="1" w:styleId="3342">
    <w:name w:val="样式 标题 + 非加粗 黑色"/>
    <w:basedOn w:val="87"/>
    <w:qFormat/>
    <w:uiPriority w:val="0"/>
    <w:pPr>
      <w:keepLines w:val="0"/>
      <w:pageBreakBefore w:val="0"/>
      <w:widowControl/>
      <w:spacing w:line="360" w:lineRule="auto"/>
    </w:pPr>
    <w:rPr>
      <w:rFonts w:eastAsia="仿宋_GB2312" w:cs="Arial"/>
      <w:kern w:val="28"/>
      <w:sz w:val="28"/>
      <w:szCs w:val="28"/>
    </w:rPr>
  </w:style>
  <w:style w:type="paragraph" w:customStyle="1" w:styleId="3343">
    <w:name w:val="CM18"/>
    <w:basedOn w:val="1"/>
    <w:next w:val="1"/>
    <w:qFormat/>
    <w:uiPriority w:val="0"/>
    <w:pPr>
      <w:widowControl w:val="0"/>
      <w:autoSpaceDE w:val="0"/>
      <w:autoSpaceDN w:val="0"/>
      <w:snapToGrid/>
      <w:spacing w:line="468" w:lineRule="atLeast"/>
      <w:jc w:val="left"/>
    </w:pPr>
    <w:rPr>
      <w:rFonts w:ascii="宋体"/>
      <w:kern w:val="0"/>
      <w:sz w:val="24"/>
      <w:szCs w:val="20"/>
    </w:rPr>
  </w:style>
  <w:style w:type="paragraph" w:customStyle="1" w:styleId="3344">
    <w:name w:val="环评正文"/>
    <w:basedOn w:val="1"/>
    <w:qFormat/>
    <w:uiPriority w:val="0"/>
    <w:pPr>
      <w:autoSpaceDE w:val="0"/>
      <w:autoSpaceDN w:val="0"/>
      <w:spacing w:line="400" w:lineRule="exact"/>
      <w:ind w:firstLine="480"/>
    </w:pPr>
    <w:rPr>
      <w:color w:val="000000"/>
      <w:sz w:val="24"/>
      <w:lang w:val="zh-CN"/>
    </w:rPr>
  </w:style>
  <w:style w:type="paragraph" w:customStyle="1" w:styleId="3345">
    <w:name w:val="Char Char Char Char Char Char Char Char Char Char6"/>
    <w:basedOn w:val="1"/>
    <w:qFormat/>
    <w:uiPriority w:val="0"/>
    <w:rPr>
      <w:rFonts w:ascii="宋体" w:hAnsi="宋体" w:cs="宋体"/>
      <w:sz w:val="24"/>
    </w:rPr>
  </w:style>
  <w:style w:type="paragraph" w:customStyle="1" w:styleId="3346">
    <w:name w:val="Char1 Char Char Char Char Char Char2"/>
    <w:basedOn w:val="1"/>
    <w:qFormat/>
    <w:uiPriority w:val="0"/>
    <w:pPr>
      <w:widowControl w:val="0"/>
      <w:adjustRightInd/>
      <w:spacing w:line="360" w:lineRule="auto"/>
    </w:pPr>
    <w:rPr>
      <w:sz w:val="24"/>
    </w:rPr>
  </w:style>
  <w:style w:type="paragraph" w:customStyle="1" w:styleId="3347">
    <w:name w:val="表格_dg"/>
    <w:basedOn w:val="1"/>
    <w:qFormat/>
    <w:uiPriority w:val="0"/>
    <w:pPr>
      <w:spacing w:line="360" w:lineRule="exact"/>
      <w:jc w:val="center"/>
      <w:textAlignment w:val="center"/>
    </w:pPr>
    <w:rPr>
      <w:rFonts w:ascii="宋体" w:hAnsi="宋体"/>
      <w:szCs w:val="21"/>
    </w:rPr>
  </w:style>
  <w:style w:type="paragraph" w:customStyle="1" w:styleId="3348">
    <w:name w:val="Char Char Char Char Char Char Char Char Char Char1"/>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3349">
    <w:name w:val="Char Char2 Char"/>
    <w:basedOn w:val="1"/>
    <w:qFormat/>
    <w:uiPriority w:val="0"/>
    <w:pPr>
      <w:widowControl w:val="0"/>
      <w:adjustRightInd/>
      <w:snapToGrid/>
      <w:spacing w:line="240" w:lineRule="auto"/>
      <w:ind w:firstLine="0" w:firstLineChars="0"/>
    </w:pPr>
    <w:rPr>
      <w:rFonts w:eastAsia="宋体"/>
      <w:sz w:val="21"/>
    </w:rPr>
  </w:style>
  <w:style w:type="paragraph" w:customStyle="1" w:styleId="3350">
    <w:name w:val="Char Char Char3 Char Char Char Char"/>
    <w:basedOn w:val="1"/>
    <w:qFormat/>
    <w:uiPriority w:val="0"/>
    <w:pPr>
      <w:spacing w:line="360" w:lineRule="auto"/>
    </w:pPr>
    <w:rPr>
      <w:rFonts w:ascii="宋体" w:hAnsi="宋体" w:cs="宋体"/>
      <w:sz w:val="24"/>
    </w:rPr>
  </w:style>
  <w:style w:type="paragraph" w:customStyle="1" w:styleId="3351">
    <w:name w:val="Char13 Char Char Char Char Char Char Char Char Char"/>
    <w:basedOn w:val="1"/>
    <w:qFormat/>
    <w:uiPriority w:val="0"/>
    <w:pPr>
      <w:spacing w:line="360" w:lineRule="auto"/>
    </w:pPr>
    <w:rPr>
      <w:rFonts w:ascii="宋体" w:hAnsi="宋体" w:cs="宋体"/>
      <w:sz w:val="24"/>
    </w:rPr>
  </w:style>
  <w:style w:type="paragraph" w:customStyle="1" w:styleId="3352">
    <w:name w:val="(文字) (文字)1"/>
    <w:basedOn w:val="1"/>
    <w:qFormat/>
    <w:uiPriority w:val="0"/>
    <w:pPr>
      <w:spacing w:after="160" w:line="240" w:lineRule="exact"/>
      <w:jc w:val="left"/>
    </w:pPr>
    <w:rPr>
      <w:rFonts w:ascii="Verdana" w:hAnsi="Verdana"/>
      <w:kern w:val="0"/>
      <w:sz w:val="24"/>
      <w:szCs w:val="20"/>
      <w:lang w:eastAsia="en-US"/>
    </w:rPr>
  </w:style>
  <w:style w:type="paragraph" w:customStyle="1" w:styleId="3353">
    <w:name w:val="表格标题5"/>
    <w:basedOn w:val="69"/>
    <w:qFormat/>
    <w:uiPriority w:val="0"/>
    <w:pPr>
      <w:tabs>
        <w:tab w:val="left" w:pos="432"/>
        <w:tab w:val="clear" w:pos="2040"/>
      </w:tabs>
      <w:adjustRightInd/>
      <w:snapToGrid/>
      <w:spacing w:line="360" w:lineRule="auto"/>
      <w:ind w:left="432" w:leftChars="0" w:hanging="432" w:firstLineChars="0"/>
      <w:jc w:val="center"/>
    </w:pPr>
    <w:rPr>
      <w:b/>
      <w:sz w:val="24"/>
    </w:rPr>
  </w:style>
  <w:style w:type="paragraph" w:customStyle="1" w:styleId="3354">
    <w:name w:val="6表内文字 居左"/>
    <w:basedOn w:val="172"/>
    <w:qFormat/>
    <w:uiPriority w:val="0"/>
    <w:pPr>
      <w:spacing w:line="240" w:lineRule="exact"/>
      <w:ind w:firstLine="0" w:firstLineChars="0"/>
    </w:pPr>
    <w:rPr>
      <w:rFonts w:cs="宋体"/>
      <w:sz w:val="21"/>
      <w:szCs w:val="20"/>
    </w:rPr>
  </w:style>
  <w:style w:type="paragraph" w:customStyle="1" w:styleId="3355">
    <w:name w:val="样式 正文首行缩进 + 首行缩进:  1 字符"/>
    <w:basedOn w:val="89"/>
    <w:qFormat/>
    <w:uiPriority w:val="0"/>
    <w:pPr>
      <w:spacing w:line="440" w:lineRule="exact"/>
      <w:ind w:firstLine="200" w:firstLineChars="200"/>
    </w:pPr>
    <w:rPr>
      <w:rFonts w:cs="宋体"/>
      <w:spacing w:val="6"/>
      <w:sz w:val="24"/>
    </w:rPr>
  </w:style>
  <w:style w:type="paragraph" w:customStyle="1" w:styleId="3356">
    <w:name w:val="左齐"/>
    <w:basedOn w:val="1"/>
    <w:qFormat/>
    <w:uiPriority w:val="0"/>
    <w:pPr>
      <w:spacing w:line="280" w:lineRule="exact"/>
    </w:pPr>
    <w:rPr>
      <w:rFonts w:ascii="仿宋_GB2312"/>
      <w:color w:val="000000"/>
      <w:sz w:val="18"/>
      <w:szCs w:val="30"/>
      <w:lang w:bidi="he-IL"/>
    </w:rPr>
  </w:style>
  <w:style w:type="paragraph" w:customStyle="1" w:styleId="3357">
    <w:name w:val="Char Char Char Char Char Char Char Char Char Char Char Char Char Char Char2"/>
    <w:basedOn w:val="1"/>
    <w:qFormat/>
    <w:uiPriority w:val="0"/>
    <w:pPr>
      <w:spacing w:line="360" w:lineRule="auto"/>
    </w:pPr>
    <w:rPr>
      <w:rFonts w:ascii="宋体" w:hAnsi="宋体" w:cs="宋体"/>
      <w:sz w:val="24"/>
    </w:rPr>
  </w:style>
  <w:style w:type="paragraph" w:customStyle="1" w:styleId="3358">
    <w:name w:val="样式 表格 + 居中"/>
    <w:basedOn w:val="208"/>
    <w:qFormat/>
    <w:uiPriority w:val="0"/>
    <w:pPr>
      <w:snapToGrid/>
      <w:spacing w:before="0" w:after="0" w:line="0" w:lineRule="atLeast"/>
      <w:textAlignment w:val="auto"/>
    </w:pPr>
    <w:rPr>
      <w:rFonts w:eastAsia="楷体_GB2312"/>
      <w:b/>
      <w:kern w:val="2"/>
      <w:sz w:val="28"/>
      <w:szCs w:val="56"/>
    </w:rPr>
  </w:style>
  <w:style w:type="paragraph" w:customStyle="1" w:styleId="3359">
    <w:name w:val="Char Char Char Char Char Char Char Char Char7"/>
    <w:basedOn w:val="1"/>
    <w:qFormat/>
    <w:uiPriority w:val="0"/>
    <w:pPr>
      <w:spacing w:line="360" w:lineRule="auto"/>
    </w:pPr>
    <w:rPr>
      <w:rFonts w:ascii="宋体" w:hAnsi="宋体" w:cs="宋体"/>
      <w:sz w:val="24"/>
    </w:rPr>
  </w:style>
  <w:style w:type="paragraph" w:customStyle="1" w:styleId="3360">
    <w:name w:val="p29"/>
    <w:basedOn w:val="1"/>
    <w:qFormat/>
    <w:uiPriority w:val="0"/>
    <w:pPr>
      <w:spacing w:before="100" w:beforeAutospacing="1" w:after="100" w:afterAutospacing="1" w:line="315" w:lineRule="atLeast"/>
      <w:ind w:firstLine="420"/>
    </w:pPr>
    <w:rPr>
      <w:rFonts w:ascii="宋体" w:hAnsi="宋体" w:cs="宋体"/>
      <w:color w:val="000000"/>
      <w:sz w:val="24"/>
    </w:rPr>
  </w:style>
  <w:style w:type="paragraph" w:customStyle="1" w:styleId="3361">
    <w:name w:val="Char Char2 Char Char Char Char2"/>
    <w:basedOn w:val="1"/>
    <w:qFormat/>
    <w:uiPriority w:val="0"/>
    <w:pPr>
      <w:widowControl w:val="0"/>
      <w:adjustRightInd/>
      <w:snapToGrid/>
    </w:pPr>
    <w:rPr>
      <w:szCs w:val="21"/>
    </w:rPr>
  </w:style>
  <w:style w:type="paragraph" w:customStyle="1" w:styleId="3362">
    <w:name w:val="样式 标题 2 + 段前: 6 磅 段后: 6 磅 行距: 多倍行距 1.4 字行"/>
    <w:basedOn w:val="6"/>
    <w:qFormat/>
    <w:uiPriority w:val="0"/>
    <w:pPr>
      <w:keepLines w:val="0"/>
      <w:tabs>
        <w:tab w:val="clear" w:pos="1080"/>
      </w:tabs>
      <w:spacing w:after="60" w:line="336" w:lineRule="auto"/>
      <w:ind w:left="0" w:firstLine="200"/>
    </w:pPr>
    <w:rPr>
      <w:rFonts w:ascii="Cambria" w:hAnsi="Cambria" w:eastAsia="仿宋_GB2312" w:cs="宋体"/>
      <w:i/>
      <w:iCs/>
      <w:kern w:val="2"/>
    </w:rPr>
  </w:style>
  <w:style w:type="paragraph" w:customStyle="1" w:styleId="3363">
    <w:name w:val="样式 表格单位 + 段后: 0.5 行"/>
    <w:basedOn w:val="2912"/>
    <w:qFormat/>
    <w:uiPriority w:val="0"/>
    <w:pPr>
      <w:spacing w:afterLines="0"/>
    </w:pPr>
    <w:rPr>
      <w:rFonts w:cs="宋体"/>
      <w:color w:val="auto"/>
      <w:szCs w:val="21"/>
    </w:rPr>
  </w:style>
  <w:style w:type="paragraph" w:customStyle="1" w:styleId="3364">
    <w:name w:val="zww"/>
    <w:basedOn w:val="49"/>
    <w:qFormat/>
    <w:uiPriority w:val="0"/>
    <w:pPr>
      <w:widowControl w:val="0"/>
      <w:spacing w:line="400" w:lineRule="atLeast"/>
      <w:ind w:firstLine="397"/>
    </w:pPr>
    <w:rPr>
      <w:rFonts w:ascii="Arial Narrow" w:hAnsi="Arial Narrow" w:eastAsia="宋体" w:cs="Arial Narrow"/>
      <w:kern w:val="32"/>
      <w:sz w:val="22"/>
      <w:szCs w:val="22"/>
    </w:rPr>
  </w:style>
  <w:style w:type="paragraph" w:customStyle="1" w:styleId="3365">
    <w:name w:val="reader-word-layer reader-word-s1-0"/>
    <w:basedOn w:val="1"/>
    <w:qFormat/>
    <w:uiPriority w:val="0"/>
    <w:pPr>
      <w:adjustRightInd/>
      <w:snapToGrid/>
      <w:spacing w:before="100" w:beforeAutospacing="1" w:after="100" w:afterAutospacing="1"/>
      <w:jc w:val="left"/>
    </w:pPr>
    <w:rPr>
      <w:rFonts w:ascii="宋体" w:hAnsi="宋体" w:cs="宋体"/>
      <w:kern w:val="0"/>
      <w:sz w:val="24"/>
    </w:rPr>
  </w:style>
  <w:style w:type="paragraph" w:customStyle="1" w:styleId="3366">
    <w:name w:val="白洋淀"/>
    <w:basedOn w:val="1"/>
    <w:qFormat/>
    <w:uiPriority w:val="0"/>
    <w:pPr>
      <w:spacing w:line="360" w:lineRule="auto"/>
    </w:pPr>
    <w:rPr>
      <w:rFonts w:cs="宋体"/>
      <w:sz w:val="24"/>
    </w:rPr>
  </w:style>
  <w:style w:type="paragraph" w:customStyle="1" w:styleId="3367">
    <w:name w:val="reader-word-layer reader-word-s1-0 reader-word-s1-1"/>
    <w:basedOn w:val="1"/>
    <w:qFormat/>
    <w:uiPriority w:val="0"/>
    <w:pPr>
      <w:adjustRightInd/>
      <w:snapToGrid/>
      <w:spacing w:before="100" w:beforeAutospacing="1" w:after="100" w:afterAutospacing="1"/>
      <w:jc w:val="left"/>
    </w:pPr>
    <w:rPr>
      <w:rFonts w:ascii="宋体" w:hAnsi="宋体" w:cs="宋体"/>
      <w:kern w:val="0"/>
      <w:sz w:val="24"/>
    </w:rPr>
  </w:style>
  <w:style w:type="paragraph" w:customStyle="1" w:styleId="3368">
    <w:name w:val="表头！！！！！！！！！！！！！！！"/>
    <w:basedOn w:val="1"/>
    <w:qFormat/>
    <w:uiPriority w:val="0"/>
    <w:pPr>
      <w:spacing w:line="500" w:lineRule="exact"/>
      <w:jc w:val="center"/>
    </w:pPr>
    <w:rPr>
      <w:rFonts w:ascii="宋体" w:hAnsi="宋体" w:cs="宋体"/>
      <w:b/>
      <w:sz w:val="24"/>
    </w:rPr>
  </w:style>
  <w:style w:type="paragraph" w:customStyle="1" w:styleId="3369">
    <w:name w:val="样式 样式 标题 3 + 段前: 0.5 行 + 段前: 0.5 行"/>
    <w:basedOn w:val="1"/>
    <w:qFormat/>
    <w:uiPriority w:val="0"/>
    <w:pPr>
      <w:keepNext/>
      <w:keepLines/>
      <w:spacing w:beforeLines="50" w:line="360" w:lineRule="auto"/>
      <w:outlineLvl w:val="2"/>
    </w:pPr>
    <w:rPr>
      <w:rFonts w:ascii="Arial" w:hAnsi="Arial" w:cs="宋体"/>
      <w:b/>
      <w:bCs/>
      <w:kern w:val="44"/>
      <w:szCs w:val="28"/>
    </w:rPr>
  </w:style>
  <w:style w:type="paragraph" w:customStyle="1" w:styleId="3370">
    <w:name w:val="主体文字"/>
    <w:basedOn w:val="1"/>
    <w:qFormat/>
    <w:uiPriority w:val="0"/>
    <w:pPr>
      <w:spacing w:line="360" w:lineRule="auto"/>
      <w:ind w:firstLine="420"/>
    </w:pPr>
    <w:rPr>
      <w:color w:val="339966"/>
      <w:kern w:val="24"/>
      <w:sz w:val="24"/>
    </w:rPr>
  </w:style>
  <w:style w:type="paragraph" w:customStyle="1" w:styleId="3371">
    <w:name w:val="正文文本缩进12"/>
    <w:basedOn w:val="1"/>
    <w:qFormat/>
    <w:uiPriority w:val="0"/>
    <w:pPr>
      <w:ind w:left="720" w:firstLine="480"/>
      <w:outlineLvl w:val="0"/>
    </w:pPr>
    <w:rPr>
      <w:rFonts w:ascii="仿宋_GB2312"/>
    </w:rPr>
  </w:style>
  <w:style w:type="paragraph" w:customStyle="1" w:styleId="3372">
    <w:name w:val="样式 标题 3 + 左侧:  0 厘米 首行缩进:  0 厘米"/>
    <w:basedOn w:val="7"/>
    <w:qFormat/>
    <w:uiPriority w:val="0"/>
    <w:pPr>
      <w:keepLines w:val="0"/>
      <w:tabs>
        <w:tab w:val="left" w:pos="720"/>
        <w:tab w:val="clear" w:pos="709"/>
        <w:tab w:val="clear" w:pos="1440"/>
      </w:tabs>
      <w:spacing w:before="240" w:after="0"/>
      <w:ind w:left="720" w:hanging="720"/>
    </w:pPr>
    <w:rPr>
      <w:rFonts w:ascii="Cambria" w:hAnsi="Cambria" w:eastAsia="仿宋_GB2312" w:cs="宋体"/>
      <w:bCs/>
      <w:kern w:val="2"/>
    </w:rPr>
  </w:style>
  <w:style w:type="paragraph" w:customStyle="1" w:styleId="3373">
    <w:name w:val="CM83"/>
    <w:basedOn w:val="2"/>
    <w:next w:val="2"/>
    <w:qFormat/>
    <w:uiPriority w:val="0"/>
    <w:pPr>
      <w:spacing w:after="210"/>
    </w:pPr>
    <w:rPr>
      <w:rFonts w:ascii="Sim Sun" w:eastAsia="Sim Sun" w:cs="Times New Roman"/>
      <w:color w:val="auto"/>
      <w:szCs w:val="20"/>
    </w:rPr>
  </w:style>
  <w:style w:type="paragraph" w:customStyle="1" w:styleId="3374">
    <w:name w:val="尾注文本12"/>
    <w:basedOn w:val="3124"/>
    <w:qFormat/>
    <w:uiPriority w:val="0"/>
    <w:rPr>
      <w:kern w:val="2"/>
      <w:sz w:val="21"/>
      <w:szCs w:val="22"/>
    </w:rPr>
  </w:style>
  <w:style w:type="paragraph" w:customStyle="1" w:styleId="3375">
    <w:name w:val="样式 样式 标题 2 + Times New Roman 段前: 12 磅 段后: 0 磅 + 段后: 0.5 行"/>
    <w:basedOn w:val="3312"/>
    <w:qFormat/>
    <w:uiPriority w:val="0"/>
  </w:style>
  <w:style w:type="paragraph" w:customStyle="1" w:styleId="3376">
    <w:name w:val="Char Char Char Char Char Char1 Char Char Char Char1"/>
    <w:basedOn w:val="7"/>
    <w:qFormat/>
    <w:uiPriority w:val="0"/>
    <w:pPr>
      <w:keepLines w:val="0"/>
      <w:tabs>
        <w:tab w:val="left" w:pos="360"/>
        <w:tab w:val="left" w:pos="900"/>
        <w:tab w:val="clear" w:pos="1440"/>
      </w:tabs>
      <w:spacing w:before="240" w:after="60"/>
      <w:ind w:left="542" w:leftChars="-12" w:firstLine="200"/>
    </w:pPr>
    <w:rPr>
      <w:rFonts w:ascii="Cambria" w:hAnsi="Cambria"/>
      <w:kern w:val="2"/>
      <w:sz w:val="26"/>
      <w:szCs w:val="24"/>
    </w:rPr>
  </w:style>
  <w:style w:type="paragraph" w:customStyle="1" w:styleId="3377">
    <w:name w:val="样式 表格 +"/>
    <w:basedOn w:val="208"/>
    <w:qFormat/>
    <w:uiPriority w:val="0"/>
    <w:pPr>
      <w:snapToGrid/>
      <w:spacing w:before="0" w:after="0" w:line="0" w:lineRule="atLeast"/>
      <w:textAlignment w:val="auto"/>
    </w:pPr>
    <w:rPr>
      <w:rFonts w:eastAsia="楷体_GB2312"/>
      <w:b/>
      <w:kern w:val="2"/>
      <w:sz w:val="28"/>
      <w:szCs w:val="56"/>
    </w:rPr>
  </w:style>
  <w:style w:type="paragraph" w:customStyle="1" w:styleId="3378">
    <w:name w:val="样式 标题 3标题 3 CharH3B Head + 宋体 小三 Char Char Char"/>
    <w:basedOn w:val="7"/>
    <w:qFormat/>
    <w:uiPriority w:val="0"/>
    <w:pPr>
      <w:keepLines w:val="0"/>
      <w:tabs>
        <w:tab w:val="left" w:pos="1412"/>
        <w:tab w:val="clear" w:pos="1440"/>
      </w:tabs>
      <w:spacing w:before="240"/>
    </w:pPr>
    <w:rPr>
      <w:rFonts w:ascii="宋体" w:hAnsi="宋体"/>
      <w:bCs/>
      <w:kern w:val="2"/>
      <w:sz w:val="30"/>
      <w:szCs w:val="26"/>
    </w:rPr>
  </w:style>
  <w:style w:type="paragraph" w:customStyle="1" w:styleId="3379">
    <w:name w:val="album-div"/>
    <w:basedOn w:val="1"/>
    <w:qFormat/>
    <w:uiPriority w:val="0"/>
    <w:pPr>
      <w:spacing w:before="100" w:beforeAutospacing="1" w:after="100" w:afterAutospacing="1"/>
    </w:pPr>
    <w:rPr>
      <w:rFonts w:ascii="宋体" w:hAnsi="宋体" w:cs="宋体"/>
      <w:sz w:val="24"/>
    </w:rPr>
  </w:style>
  <w:style w:type="paragraph" w:customStyle="1" w:styleId="3380">
    <w:name w:val="Char Char1 Char Char Char Char Char Char2"/>
    <w:basedOn w:val="1"/>
    <w:qFormat/>
    <w:uiPriority w:val="0"/>
  </w:style>
  <w:style w:type="paragraph" w:customStyle="1" w:styleId="3381">
    <w:name w:val="!标题3(alt+3)"/>
    <w:next w:val="1"/>
    <w:qFormat/>
    <w:uiPriority w:val="0"/>
    <w:pPr>
      <w:spacing w:before="100" w:after="60" w:line="600" w:lineRule="exact"/>
      <w:jc w:val="center"/>
      <w:outlineLvl w:val="2"/>
    </w:pPr>
    <w:rPr>
      <w:rFonts w:ascii="Calibri" w:hAnsi="Calibri" w:eastAsia="黑体" w:cs="Times New Roman"/>
      <w:kern w:val="2"/>
      <w:sz w:val="28"/>
      <w:szCs w:val="24"/>
      <w:lang w:val="en-US" w:eastAsia="zh-CN" w:bidi="ar-SA"/>
    </w:rPr>
  </w:style>
  <w:style w:type="paragraph" w:customStyle="1" w:styleId="3382">
    <w:name w:val="BBT"/>
    <w:basedOn w:val="1"/>
    <w:qFormat/>
    <w:uiPriority w:val="0"/>
    <w:pPr>
      <w:spacing w:beforeLines="50" w:afterLines="50"/>
      <w:jc w:val="center"/>
    </w:pPr>
    <w:rPr>
      <w:rFonts w:ascii="宋体" w:hAnsi="宋体"/>
      <w:b/>
      <w:bCs/>
      <w:spacing w:val="6"/>
      <w:sz w:val="24"/>
    </w:rPr>
  </w:style>
  <w:style w:type="paragraph" w:customStyle="1" w:styleId="3383">
    <w:name w:val="usersign1"/>
    <w:basedOn w:val="1"/>
    <w:qFormat/>
    <w:uiPriority w:val="0"/>
    <w:pPr>
      <w:spacing w:before="100" w:beforeAutospacing="1" w:after="100" w:afterAutospacing="1"/>
    </w:pPr>
    <w:rPr>
      <w:rFonts w:ascii="宋体" w:hAnsi="宋体" w:cs="宋体"/>
      <w:sz w:val="24"/>
    </w:rPr>
  </w:style>
  <w:style w:type="paragraph" w:customStyle="1" w:styleId="3384">
    <w:name w:val="a标准 Char"/>
    <w:qFormat/>
    <w:uiPriority w:val="0"/>
    <w:pPr>
      <w:spacing w:line="360" w:lineRule="auto"/>
      <w:ind w:firstLine="200" w:firstLineChars="200"/>
      <w:jc w:val="center"/>
    </w:pPr>
    <w:rPr>
      <w:rFonts w:ascii="Calibri" w:hAnsi="Calibri" w:eastAsia="宋体" w:cs="Times New Roman"/>
      <w:sz w:val="24"/>
      <w:szCs w:val="40"/>
      <w:lang w:val="en-US" w:eastAsia="zh-CN" w:bidi="ar-SA"/>
    </w:rPr>
  </w:style>
  <w:style w:type="paragraph" w:customStyle="1" w:styleId="3385">
    <w:name w:val="样式 标题 3 + 段前: 6 磅 段后: 3 磅 行距: 固定值 24 磅"/>
    <w:basedOn w:val="7"/>
    <w:qFormat/>
    <w:uiPriority w:val="0"/>
    <w:pPr>
      <w:keepLines w:val="0"/>
      <w:tabs>
        <w:tab w:val="left" w:pos="0"/>
        <w:tab w:val="clear" w:pos="1440"/>
      </w:tabs>
      <w:spacing w:before="0" w:after="0" w:line="480" w:lineRule="auto"/>
      <w:ind w:left="0" w:firstLine="200"/>
    </w:pPr>
    <w:rPr>
      <w:rFonts w:ascii="Cambria" w:eastAsia="仿宋_GB2312"/>
      <w:b w:val="0"/>
      <w:bCs/>
      <w:color w:val="FF0000"/>
      <w:kern w:val="2"/>
      <w:sz w:val="30"/>
      <w:szCs w:val="30"/>
    </w:rPr>
  </w:style>
  <w:style w:type="paragraph" w:customStyle="1" w:styleId="3386">
    <w:name w:val="p19"/>
    <w:basedOn w:val="1"/>
    <w:qFormat/>
    <w:uiPriority w:val="0"/>
    <w:pPr>
      <w:spacing w:line="360" w:lineRule="auto"/>
      <w:jc w:val="center"/>
    </w:pPr>
    <w:rPr>
      <w:b/>
      <w:bCs/>
      <w:szCs w:val="21"/>
    </w:rPr>
  </w:style>
  <w:style w:type="paragraph" w:customStyle="1" w:styleId="3387">
    <w:name w:val="Char Char Char4 Char Char Char Char1"/>
    <w:basedOn w:val="1"/>
    <w:qFormat/>
    <w:uiPriority w:val="0"/>
    <w:pPr>
      <w:spacing w:line="360" w:lineRule="auto"/>
    </w:pPr>
    <w:rPr>
      <w:rFonts w:ascii="宋体" w:hAnsi="宋体" w:cs="宋体"/>
      <w:sz w:val="24"/>
    </w:rPr>
  </w:style>
  <w:style w:type="paragraph" w:customStyle="1" w:styleId="3388">
    <w:name w:val="标题1使用"/>
    <w:basedOn w:val="6"/>
    <w:next w:val="1"/>
    <w:qFormat/>
    <w:uiPriority w:val="0"/>
    <w:pPr>
      <w:keepLines w:val="0"/>
      <w:tabs>
        <w:tab w:val="clear" w:pos="1080"/>
      </w:tabs>
      <w:spacing w:beforeLines="50"/>
      <w:ind w:left="0" w:firstLine="200"/>
      <w:jc w:val="center"/>
    </w:pPr>
    <w:rPr>
      <w:rFonts w:eastAsia="仿宋_GB2312" w:cs="宋体"/>
      <w:i/>
      <w:iCs/>
      <w:kern w:val="2"/>
      <w:sz w:val="44"/>
      <w:szCs w:val="44"/>
    </w:rPr>
  </w:style>
  <w:style w:type="paragraph" w:customStyle="1" w:styleId="3389">
    <w:name w:val="Char Char1 Char Char Char Char Char Char"/>
    <w:basedOn w:val="1"/>
    <w:qFormat/>
    <w:uiPriority w:val="0"/>
    <w:pPr>
      <w:spacing w:line="360" w:lineRule="auto"/>
    </w:pPr>
    <w:rPr>
      <w:rFonts w:ascii="宋体" w:hAnsi="宋体" w:cs="宋体"/>
      <w:sz w:val="24"/>
    </w:rPr>
  </w:style>
  <w:style w:type="paragraph" w:customStyle="1" w:styleId="3390">
    <w:name w:val="样式 标题 4款标题1.1.1.1标题 4 Char[三级节名]h4H4条 2[三级节名]1[三级节名]2四...4"/>
    <w:basedOn w:val="10"/>
    <w:qFormat/>
    <w:uiPriority w:val="0"/>
    <w:pPr>
      <w:spacing w:before="80" w:after="80"/>
      <w:ind w:left="1680" w:hanging="420"/>
    </w:pPr>
    <w:rPr>
      <w:rFonts w:cs="宋体"/>
      <w:b w:val="0"/>
      <w:szCs w:val="20"/>
    </w:rPr>
  </w:style>
  <w:style w:type="paragraph" w:customStyle="1" w:styleId="3391">
    <w:name w:val="正文文本缩进2"/>
    <w:basedOn w:val="1"/>
    <w:qFormat/>
    <w:uiPriority w:val="0"/>
    <w:pPr>
      <w:ind w:left="720" w:firstLine="480"/>
      <w:outlineLvl w:val="0"/>
    </w:pPr>
    <w:rPr>
      <w:rFonts w:ascii="仿宋_GB2312"/>
    </w:rPr>
  </w:style>
  <w:style w:type="paragraph" w:customStyle="1" w:styleId="3392">
    <w:name w:val="俺的题目三"/>
    <w:basedOn w:val="3308"/>
    <w:next w:val="3308"/>
    <w:qFormat/>
    <w:uiPriority w:val="0"/>
    <w:pPr>
      <w:outlineLvl w:val="2"/>
    </w:pPr>
    <w:rPr>
      <w:rFonts w:eastAsia="黑体"/>
      <w:b/>
      <w:bCs/>
    </w:rPr>
  </w:style>
  <w:style w:type="paragraph" w:customStyle="1" w:styleId="3393">
    <w:name w:val="Char Char Char3"/>
    <w:basedOn w:val="1"/>
    <w:qFormat/>
    <w:uiPriority w:val="0"/>
    <w:pPr>
      <w:spacing w:line="360" w:lineRule="auto"/>
    </w:pPr>
    <w:rPr>
      <w:rFonts w:ascii="宋体" w:hAnsi="宋体" w:cs="宋体"/>
      <w:sz w:val="24"/>
    </w:rPr>
  </w:style>
  <w:style w:type="paragraph" w:customStyle="1" w:styleId="3394">
    <w:name w:val="In Table"/>
    <w:basedOn w:val="1"/>
    <w:qFormat/>
    <w:uiPriority w:val="0"/>
    <w:pPr>
      <w:tabs>
        <w:tab w:val="left" w:pos="2200"/>
        <w:tab w:val="left" w:pos="3960"/>
        <w:tab w:val="left" w:pos="5280"/>
      </w:tabs>
      <w:spacing w:before="96" w:after="96" w:line="0" w:lineRule="atLeast"/>
      <w:jc w:val="center"/>
    </w:pPr>
    <w:rPr>
      <w:rFonts w:ascii="Tahoma" w:hAnsi="Tahoma" w:eastAsia="华文中宋"/>
    </w:rPr>
  </w:style>
  <w:style w:type="paragraph" w:customStyle="1" w:styleId="3395">
    <w:name w:val="p3"/>
    <w:basedOn w:val="1"/>
    <w:qFormat/>
    <w:uiPriority w:val="0"/>
    <w:pPr>
      <w:spacing w:before="100" w:beforeAutospacing="1" w:after="100" w:afterAutospacing="1" w:line="312" w:lineRule="atLeast"/>
      <w:textAlignment w:val="baseline"/>
    </w:pPr>
    <w:rPr>
      <w:rFonts w:hint="eastAsia" w:ascii="宋体" w:hAnsi="宋体"/>
      <w:color w:val="039F4B"/>
      <w:sz w:val="24"/>
    </w:rPr>
  </w:style>
  <w:style w:type="paragraph" w:customStyle="1" w:styleId="3396">
    <w:name w:val="报告书正文 Char Char Char Char Char Char Char Char Char Char"/>
    <w:basedOn w:val="1"/>
    <w:qFormat/>
    <w:uiPriority w:val="0"/>
    <w:pPr>
      <w:spacing w:line="300" w:lineRule="auto"/>
      <w:ind w:firstLine="480"/>
    </w:pPr>
    <w:rPr>
      <w:color w:val="000000"/>
      <w:sz w:val="24"/>
    </w:rPr>
  </w:style>
  <w:style w:type="paragraph" w:customStyle="1" w:styleId="3397">
    <w:name w:val="Char Char Char Char Char Char Char Char Char11"/>
    <w:basedOn w:val="1"/>
    <w:qFormat/>
    <w:uiPriority w:val="0"/>
    <w:pPr>
      <w:spacing w:line="360" w:lineRule="auto"/>
    </w:pPr>
    <w:rPr>
      <w:rFonts w:ascii="宋体" w:hAnsi="宋体" w:cs="宋体"/>
      <w:sz w:val="24"/>
    </w:rPr>
  </w:style>
  <w:style w:type="paragraph" w:customStyle="1" w:styleId="3398">
    <w:name w:val="表格标题12"/>
    <w:basedOn w:val="57"/>
    <w:qFormat/>
    <w:uiPriority w:val="0"/>
    <w:pPr>
      <w:spacing w:after="0" w:line="360" w:lineRule="auto"/>
      <w:ind w:left="0" w:leftChars="0"/>
      <w:jc w:val="center"/>
    </w:pPr>
    <w:rPr>
      <w:rFonts w:eastAsia="黑体"/>
      <w:b/>
      <w:sz w:val="24"/>
    </w:rPr>
  </w:style>
  <w:style w:type="paragraph" w:customStyle="1" w:styleId="3399">
    <w:name w:val="样式 标题 4 + Times New Roman 非加粗 首行缩进:  2 字符"/>
    <w:basedOn w:val="10"/>
    <w:qFormat/>
    <w:uiPriority w:val="0"/>
    <w:pPr>
      <w:spacing w:before="100" w:beforeAutospacing="1" w:after="100" w:afterAutospacing="1"/>
      <w:ind w:left="1680" w:firstLine="480"/>
    </w:pPr>
    <w:rPr>
      <w:rFonts w:cs="宋体"/>
      <w:bCs w:val="0"/>
    </w:rPr>
  </w:style>
  <w:style w:type="paragraph" w:customStyle="1" w:styleId="3400">
    <w:name w:val="图形中文字"/>
    <w:basedOn w:val="1"/>
    <w:qFormat/>
    <w:uiPriority w:val="0"/>
    <w:pPr>
      <w:autoSpaceDE w:val="0"/>
      <w:autoSpaceDN w:val="0"/>
      <w:spacing w:line="360" w:lineRule="auto"/>
      <w:jc w:val="center"/>
    </w:pPr>
    <w:rPr>
      <w:rFonts w:ascii="宋体" w:hAnsi="Tms Rmn" w:cs="宋体"/>
      <w:sz w:val="24"/>
    </w:rPr>
  </w:style>
  <w:style w:type="paragraph" w:customStyle="1" w:styleId="3401">
    <w:name w:val="Char Char Char6"/>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3402">
    <w:name w:val="1标2"/>
    <w:basedOn w:val="1"/>
    <w:qFormat/>
    <w:uiPriority w:val="0"/>
    <w:pPr>
      <w:keepNext/>
      <w:keepLines/>
      <w:spacing w:before="240" w:after="120" w:line="480" w:lineRule="exact"/>
      <w:outlineLvl w:val="1"/>
    </w:pPr>
    <w:rPr>
      <w:rFonts w:eastAsia="黑体"/>
      <w:b/>
      <w:sz w:val="32"/>
      <w:szCs w:val="32"/>
    </w:rPr>
  </w:style>
  <w:style w:type="paragraph" w:customStyle="1" w:styleId="3403">
    <w:name w:val="样式1-正文z Char Char Char"/>
    <w:basedOn w:val="1"/>
    <w:qFormat/>
    <w:uiPriority w:val="0"/>
    <w:pPr>
      <w:spacing w:line="380" w:lineRule="exact"/>
      <w:ind w:firstLine="482"/>
      <w:textAlignment w:val="center"/>
    </w:pPr>
    <w:rPr>
      <w:snapToGrid w:val="0"/>
      <w:sz w:val="24"/>
    </w:rPr>
  </w:style>
  <w:style w:type="paragraph" w:customStyle="1" w:styleId="3404">
    <w:name w:val="报告书正文 Char Char Char Char Char Char Char2"/>
    <w:basedOn w:val="1"/>
    <w:qFormat/>
    <w:uiPriority w:val="0"/>
    <w:pPr>
      <w:spacing w:line="300" w:lineRule="auto"/>
      <w:ind w:firstLine="480"/>
    </w:pPr>
    <w:rPr>
      <w:rFonts w:ascii="宋体" w:hAnsi="宋体"/>
      <w:sz w:val="24"/>
    </w:rPr>
  </w:style>
  <w:style w:type="paragraph" w:customStyle="1" w:styleId="3405">
    <w:name w:val="样式 正文缩进identication图表表正文正文非缩进Paragraph2Paragraph3Paragrap..."/>
    <w:basedOn w:val="25"/>
    <w:qFormat/>
    <w:uiPriority w:val="0"/>
    <w:pPr>
      <w:tabs>
        <w:tab w:val="left" w:pos="0"/>
      </w:tabs>
      <w:spacing w:line="360" w:lineRule="auto"/>
      <w:ind w:firstLine="480"/>
    </w:pPr>
    <w:rPr>
      <w:rFonts w:eastAsia="宋体"/>
      <w:color w:val="000000"/>
      <w:sz w:val="24"/>
      <w:lang w:val="zh-CN"/>
    </w:rPr>
  </w:style>
  <w:style w:type="paragraph" w:customStyle="1" w:styleId="3406">
    <w:name w:val="样式 表格内容 + 五号 首行缩进:  0.74 厘米"/>
    <w:basedOn w:val="254"/>
    <w:qFormat/>
    <w:uiPriority w:val="0"/>
    <w:pPr>
      <w:adjustRightInd/>
      <w:snapToGrid/>
      <w:spacing w:line="240" w:lineRule="auto"/>
      <w:ind w:firstLine="200"/>
      <w:jc w:val="both"/>
    </w:pPr>
    <w:rPr>
      <w:rFonts w:cs="宋体"/>
      <w:sz w:val="21"/>
    </w:rPr>
  </w:style>
  <w:style w:type="paragraph" w:customStyle="1" w:styleId="3407">
    <w:name w:val="正文2000"/>
    <w:basedOn w:val="1"/>
    <w:qFormat/>
    <w:uiPriority w:val="0"/>
    <w:pPr>
      <w:tabs>
        <w:tab w:val="left" w:pos="170"/>
      </w:tabs>
      <w:spacing w:line="300" w:lineRule="auto"/>
      <w:jc w:val="center"/>
    </w:pPr>
    <w:rPr>
      <w:rFonts w:ascii="宋体" w:hAnsi="宋体"/>
      <w:sz w:val="24"/>
    </w:rPr>
  </w:style>
  <w:style w:type="paragraph" w:customStyle="1" w:styleId="3408">
    <w:name w:val="Char Char Char Char Char Char1 Char1"/>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3409">
    <w:name w:val="Char Char Char Char Char1"/>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3410">
    <w:name w:val="样式 小四 加粗 段前: 0 磅 段后: 0 磅 行距: 固定值 21 磅"/>
    <w:basedOn w:val="1"/>
    <w:qFormat/>
    <w:uiPriority w:val="0"/>
    <w:pPr>
      <w:spacing w:afterLines="50" w:line="360" w:lineRule="auto"/>
      <w:ind w:firstLine="560"/>
      <w:textAlignment w:val="baseline"/>
    </w:pPr>
    <w:rPr>
      <w:rFonts w:ascii="宋体" w:hAnsi="宋体"/>
    </w:rPr>
  </w:style>
  <w:style w:type="paragraph" w:customStyle="1" w:styleId="3411">
    <w:name w:val="样式 标题 3 + 首行缩进:  2 字符"/>
    <w:basedOn w:val="7"/>
    <w:qFormat/>
    <w:uiPriority w:val="0"/>
    <w:pPr>
      <w:keepLines w:val="0"/>
      <w:tabs>
        <w:tab w:val="clear" w:pos="1440"/>
      </w:tabs>
      <w:spacing w:before="240" w:after="60"/>
      <w:ind w:left="0" w:firstLine="200"/>
    </w:pPr>
    <w:rPr>
      <w:rFonts w:ascii="Cambria" w:hAnsi="Cambria"/>
      <w:kern w:val="2"/>
    </w:rPr>
  </w:style>
  <w:style w:type="paragraph" w:customStyle="1" w:styleId="3412">
    <w:name w:val="简要报告正文"/>
    <w:basedOn w:val="1"/>
    <w:qFormat/>
    <w:uiPriority w:val="0"/>
    <w:pPr>
      <w:spacing w:line="360" w:lineRule="auto"/>
    </w:pPr>
    <w:rPr>
      <w:rFonts w:cs="宋体"/>
      <w:color w:val="000000"/>
      <w:sz w:val="24"/>
      <w:szCs w:val="21"/>
    </w:rPr>
  </w:style>
  <w:style w:type="paragraph" w:customStyle="1" w:styleId="3413">
    <w:name w:val="报告书一级标题"/>
    <w:qFormat/>
    <w:uiPriority w:val="0"/>
    <w:pPr>
      <w:spacing w:before="480" w:after="240" w:line="320" w:lineRule="exact"/>
      <w:jc w:val="center"/>
    </w:pPr>
    <w:rPr>
      <w:rFonts w:ascii="黑体" w:hAnsi="Calibri" w:eastAsia="黑体" w:cs="Times New Roman"/>
      <w:kern w:val="44"/>
      <w:sz w:val="32"/>
      <w:szCs w:val="32"/>
      <w:lang w:val="en-US" w:eastAsia="zh-CN" w:bidi="ar-SA"/>
    </w:rPr>
  </w:style>
  <w:style w:type="paragraph" w:customStyle="1" w:styleId="3414">
    <w:name w:val="1章(治)"/>
    <w:basedOn w:val="1"/>
    <w:next w:val="1"/>
    <w:qFormat/>
    <w:uiPriority w:val="0"/>
    <w:pPr>
      <w:spacing w:line="360" w:lineRule="auto"/>
      <w:jc w:val="center"/>
      <w:outlineLvl w:val="0"/>
    </w:pPr>
    <w:rPr>
      <w:rFonts w:eastAsia="黑体"/>
      <w:b/>
      <w:sz w:val="44"/>
    </w:rPr>
  </w:style>
  <w:style w:type="paragraph" w:customStyle="1" w:styleId="3415">
    <w:name w:val="凯里2"/>
    <w:basedOn w:val="998"/>
    <w:qFormat/>
    <w:uiPriority w:val="0"/>
    <w:pPr>
      <w:ind w:firstLine="480"/>
    </w:pPr>
    <w:rPr>
      <w:rFonts w:eastAsia="Times New Roman"/>
      <w:snapToGrid/>
      <w:kern w:val="24"/>
    </w:rPr>
  </w:style>
  <w:style w:type="paragraph" w:customStyle="1" w:styleId="3416">
    <w:name w:val="样式 正文 首行缩进:  2 字符 + 首行缩进:  2 字符"/>
    <w:basedOn w:val="1"/>
    <w:qFormat/>
    <w:uiPriority w:val="0"/>
    <w:pPr>
      <w:spacing w:before="164" w:after="164" w:line="360" w:lineRule="auto"/>
      <w:ind w:firstLine="480"/>
    </w:pPr>
  </w:style>
  <w:style w:type="paragraph" w:customStyle="1" w:styleId="3417">
    <w:name w:val="XCHG论文正文"/>
    <w:basedOn w:val="1"/>
    <w:qFormat/>
    <w:uiPriority w:val="0"/>
    <w:pPr>
      <w:spacing w:line="360" w:lineRule="auto"/>
    </w:pPr>
    <w:rPr>
      <w:color w:val="000000"/>
      <w:sz w:val="24"/>
    </w:rPr>
  </w:style>
  <w:style w:type="paragraph" w:customStyle="1" w:styleId="3418">
    <w:name w:val="!表格(alt+t)"/>
    <w:next w:val="1"/>
    <w:qFormat/>
    <w:uiPriority w:val="0"/>
    <w:pPr>
      <w:adjustRightInd w:val="0"/>
      <w:spacing w:line="320" w:lineRule="exact"/>
      <w:jc w:val="center"/>
      <w:textAlignment w:val="center"/>
    </w:pPr>
    <w:rPr>
      <w:rFonts w:ascii="Calibri" w:hAnsi="Calibri" w:eastAsia="宋体" w:cs="Times New Roman"/>
      <w:sz w:val="21"/>
      <w:szCs w:val="21"/>
      <w:lang w:val="en-US" w:eastAsia="zh-CN" w:bidi="ar-SA"/>
    </w:rPr>
  </w:style>
  <w:style w:type="paragraph" w:customStyle="1" w:styleId="3419">
    <w:name w:val="自定义正文 Char Char Char Char Char Char Char Char Char"/>
    <w:qFormat/>
    <w:uiPriority w:val="0"/>
    <w:pPr>
      <w:widowControl w:val="0"/>
      <w:topLinePunct/>
      <w:adjustRightInd w:val="0"/>
      <w:snapToGrid w:val="0"/>
      <w:spacing w:line="360" w:lineRule="auto"/>
      <w:ind w:firstLine="510"/>
      <w:jc w:val="both"/>
    </w:pPr>
    <w:rPr>
      <w:rFonts w:ascii="Calibri" w:hAnsi="Calibri" w:eastAsia="宋体" w:cs="Times New Roman"/>
      <w:kern w:val="2"/>
      <w:position w:val="-28"/>
      <w:sz w:val="28"/>
      <w:szCs w:val="28"/>
      <w:lang w:val="en-US" w:eastAsia="zh-CN" w:bidi="ar-SA"/>
    </w:rPr>
  </w:style>
  <w:style w:type="paragraph" w:customStyle="1" w:styleId="3420">
    <w:name w:val="样式 纯文本孙普文字Plain Text普通文字 Char Char普通文字 Char + 首行缩进:  0.6 字符"/>
    <w:basedOn w:val="49"/>
    <w:qFormat/>
    <w:uiPriority w:val="0"/>
    <w:rPr>
      <w:rFonts w:ascii="Times New Roman" w:hAnsi="Times New Roman" w:cs="宋体"/>
      <w:kern w:val="2"/>
      <w:sz w:val="24"/>
      <w:szCs w:val="24"/>
    </w:rPr>
  </w:style>
  <w:style w:type="paragraph" w:customStyle="1" w:styleId="3421">
    <w:name w:val="CM26"/>
    <w:basedOn w:val="2"/>
    <w:next w:val="2"/>
    <w:qFormat/>
    <w:uiPriority w:val="0"/>
    <w:pPr>
      <w:spacing w:line="468" w:lineRule="atLeast"/>
    </w:pPr>
    <w:rPr>
      <w:rFonts w:ascii="Sim Sun" w:eastAsia="Sim Sun" w:cs="Times New Roman"/>
      <w:color w:val="auto"/>
      <w:szCs w:val="20"/>
    </w:rPr>
  </w:style>
  <w:style w:type="paragraph" w:customStyle="1" w:styleId="3422">
    <w:name w:val="ourfont3"/>
    <w:basedOn w:val="1"/>
    <w:qFormat/>
    <w:uiPriority w:val="0"/>
    <w:pPr>
      <w:spacing w:before="100" w:beforeAutospacing="1" w:after="100" w:afterAutospacing="1" w:line="340" w:lineRule="atLeast"/>
      <w:textAlignment w:val="baseline"/>
    </w:pPr>
    <w:rPr>
      <w:rFonts w:ascii="宋体" w:hAnsi="宋体" w:cs="宋体"/>
      <w:spacing w:val="20"/>
      <w:szCs w:val="21"/>
    </w:rPr>
  </w:style>
  <w:style w:type="paragraph" w:customStyle="1" w:styleId="3423">
    <w:name w:val="pvc1.1"/>
    <w:basedOn w:val="6"/>
    <w:next w:val="6"/>
    <w:qFormat/>
    <w:uiPriority w:val="0"/>
    <w:pPr>
      <w:keepLines w:val="0"/>
      <w:tabs>
        <w:tab w:val="left" w:pos="576"/>
        <w:tab w:val="left" w:pos="768"/>
        <w:tab w:val="clear" w:pos="567"/>
        <w:tab w:val="clear" w:pos="1080"/>
      </w:tabs>
      <w:spacing w:beforeLines="100" w:afterLines="100" w:line="324" w:lineRule="auto"/>
      <w:ind w:left="576" w:hanging="576"/>
    </w:pPr>
    <w:rPr>
      <w:rFonts w:ascii="黑体" w:hAnsi="Cambria" w:eastAsia="华文中宋" w:cs="宋体"/>
      <w:b w:val="0"/>
      <w:bCs/>
      <w:i/>
      <w:iCs/>
      <w:kern w:val="2"/>
      <w:sz w:val="44"/>
      <w:szCs w:val="44"/>
    </w:rPr>
  </w:style>
  <w:style w:type="paragraph" w:customStyle="1" w:styleId="3424">
    <w:name w:val="4 Char"/>
    <w:basedOn w:val="1"/>
    <w:qFormat/>
    <w:uiPriority w:val="0"/>
  </w:style>
  <w:style w:type="paragraph" w:customStyle="1" w:styleId="3425">
    <w:name w:val="Char Char Char Char1 Char Char Char Char Char Char"/>
    <w:basedOn w:val="1"/>
    <w:qFormat/>
    <w:uiPriority w:val="0"/>
    <w:pPr>
      <w:spacing w:line="360" w:lineRule="auto"/>
    </w:pPr>
    <w:rPr>
      <w:rFonts w:ascii="仿宋_GB2312" w:hAnsi="仿宋_GB2312" w:cs="宋体"/>
      <w:sz w:val="24"/>
    </w:rPr>
  </w:style>
  <w:style w:type="paragraph" w:customStyle="1" w:styleId="3426">
    <w:name w:val="Char Char Char3 Char Char Char7 Char Char Char"/>
    <w:basedOn w:val="1"/>
    <w:qFormat/>
    <w:uiPriority w:val="0"/>
    <w:pPr>
      <w:spacing w:line="360" w:lineRule="auto"/>
    </w:pPr>
    <w:rPr>
      <w:rFonts w:ascii="宋体" w:hAnsi="宋体" w:cs="宋体"/>
      <w:sz w:val="24"/>
    </w:rPr>
  </w:style>
  <w:style w:type="paragraph" w:customStyle="1" w:styleId="3427">
    <w:name w:val="样式 表格 + 居中1"/>
    <w:basedOn w:val="208"/>
    <w:qFormat/>
    <w:uiPriority w:val="0"/>
    <w:pPr>
      <w:snapToGrid/>
      <w:spacing w:before="0" w:after="0" w:line="0" w:lineRule="atLeast"/>
      <w:textAlignment w:val="auto"/>
    </w:pPr>
    <w:rPr>
      <w:rFonts w:eastAsia="楷体_GB2312"/>
      <w:b/>
      <w:kern w:val="2"/>
      <w:sz w:val="28"/>
      <w:szCs w:val="56"/>
    </w:rPr>
  </w:style>
  <w:style w:type="paragraph" w:customStyle="1" w:styleId="3428">
    <w:name w:val="样式 标题 1 + (中文) 华文中宋 居中 行距: 多倍行距 1.4 字行"/>
    <w:basedOn w:val="5"/>
    <w:qFormat/>
    <w:uiPriority w:val="0"/>
    <w:pPr>
      <w:keepLines w:val="0"/>
      <w:spacing w:line="336" w:lineRule="auto"/>
      <w:ind w:left="0" w:firstLine="200"/>
      <w:jc w:val="center"/>
    </w:pPr>
    <w:rPr>
      <w:rFonts w:ascii="Cambria" w:hAnsi="Cambria" w:eastAsia="华文中宋" w:cs="宋体"/>
      <w:bCs w:val="0"/>
      <w:kern w:val="32"/>
      <w:szCs w:val="20"/>
    </w:rPr>
  </w:style>
  <w:style w:type="paragraph" w:customStyle="1" w:styleId="3429">
    <w:name w:val="0714正文"/>
    <w:basedOn w:val="38"/>
    <w:qFormat/>
    <w:uiPriority w:val="0"/>
    <w:pPr>
      <w:spacing w:after="0" w:line="360" w:lineRule="auto"/>
    </w:pPr>
    <w:rPr>
      <w:sz w:val="24"/>
    </w:rPr>
  </w:style>
  <w:style w:type="paragraph" w:customStyle="1" w:styleId="3430">
    <w:name w:val="样式 列表 + 11 磅"/>
    <w:basedOn w:val="70"/>
    <w:qFormat/>
    <w:uiPriority w:val="0"/>
    <w:pPr>
      <w:ind w:left="0" w:firstLine="0" w:firstLineChars="0"/>
    </w:pPr>
    <w:rPr>
      <w:rFonts w:ascii="Times New Roman" w:eastAsia="仿宋_GB2312"/>
      <w:sz w:val="18"/>
    </w:rPr>
  </w:style>
  <w:style w:type="paragraph" w:customStyle="1" w:styleId="3431">
    <w:name w:val="Char Char1"/>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3432">
    <w:name w:val="样式 样式 标题 4款标题1.1.1.1标题 4 Char + 黑体 四号 加粗 段前: 3 磅 段后: 3 磅 + (中文) ..."/>
    <w:basedOn w:val="3433"/>
    <w:qFormat/>
    <w:uiPriority w:val="0"/>
    <w:pPr>
      <w:tabs>
        <w:tab w:val="left" w:pos="851"/>
      </w:tabs>
    </w:pPr>
  </w:style>
  <w:style w:type="paragraph" w:customStyle="1" w:styleId="3433">
    <w:name w:val="样式 标题 4款标题1.1.1.1标题 4 Char + 黑体 四号 加粗 段前: 3 磅 段后: 3 磅"/>
    <w:basedOn w:val="10"/>
    <w:qFormat/>
    <w:uiPriority w:val="0"/>
    <w:pPr>
      <w:spacing w:before="60"/>
      <w:ind w:left="1680" w:hanging="420"/>
    </w:pPr>
    <w:rPr>
      <w:rFonts w:ascii="黑体" w:eastAsia="Times New Roman" w:cs="宋体"/>
      <w:bCs w:val="0"/>
      <w:spacing w:val="6"/>
      <w:szCs w:val="20"/>
    </w:rPr>
  </w:style>
  <w:style w:type="paragraph" w:customStyle="1" w:styleId="3434">
    <w:name w:val="表格标题11"/>
    <w:basedOn w:val="64"/>
    <w:qFormat/>
    <w:uiPriority w:val="0"/>
    <w:pPr>
      <w:tabs>
        <w:tab w:val="left" w:pos="0"/>
      </w:tabs>
      <w:spacing w:after="0" w:line="240" w:lineRule="atLeast"/>
      <w:ind w:left="0" w:leftChars="0"/>
      <w:jc w:val="center"/>
    </w:pPr>
    <w:rPr>
      <w:b/>
      <w:sz w:val="24"/>
    </w:rPr>
  </w:style>
  <w:style w:type="paragraph" w:customStyle="1" w:styleId="3435">
    <w:name w:val="正文段落"/>
    <w:basedOn w:val="1"/>
    <w:qFormat/>
    <w:uiPriority w:val="0"/>
    <w:pPr>
      <w:autoSpaceDE w:val="0"/>
      <w:autoSpaceDN w:val="0"/>
      <w:spacing w:line="480" w:lineRule="exact"/>
      <w:textAlignment w:val="baseline"/>
    </w:pPr>
    <w:rPr>
      <w:rFonts w:ascii="@宋体"/>
      <w:sz w:val="24"/>
    </w:rPr>
  </w:style>
  <w:style w:type="paragraph" w:customStyle="1" w:styleId="3436">
    <w:name w:val="样式 标题 1 + 行距: 最小值 12 磅"/>
    <w:basedOn w:val="5"/>
    <w:qFormat/>
    <w:uiPriority w:val="0"/>
    <w:pPr>
      <w:keepLines w:val="0"/>
      <w:tabs>
        <w:tab w:val="left" w:pos="360"/>
        <w:tab w:val="left" w:pos="432"/>
        <w:tab w:val="clear" w:pos="425"/>
      </w:tabs>
      <w:spacing w:before="240" w:after="120" w:line="240" w:lineRule="atLeast"/>
      <w:ind w:left="432" w:hanging="432"/>
    </w:pPr>
    <w:rPr>
      <w:rFonts w:ascii="华文中宋" w:eastAsia="华文中宋" w:cs="宋体"/>
      <w:b w:val="0"/>
      <w:bCs w:val="0"/>
      <w:kern w:val="32"/>
      <w:sz w:val="32"/>
      <w:szCs w:val="32"/>
    </w:rPr>
  </w:style>
  <w:style w:type="paragraph" w:customStyle="1" w:styleId="3437">
    <w:name w:val="右齐"/>
    <w:basedOn w:val="2285"/>
    <w:qFormat/>
    <w:uiPriority w:val="0"/>
    <w:pPr>
      <w:ind w:firstLine="0"/>
      <w:jc w:val="right"/>
    </w:pPr>
    <w:rPr>
      <w:rFonts w:ascii="仿宋_GB2312"/>
      <w:color w:val="000000"/>
      <w:szCs w:val="30"/>
      <w:lang w:bidi="he-IL"/>
    </w:rPr>
  </w:style>
  <w:style w:type="paragraph" w:customStyle="1" w:styleId="3438">
    <w:name w:val="报告书正文 Char Char Char Char Char Char"/>
    <w:basedOn w:val="1"/>
    <w:qFormat/>
    <w:uiPriority w:val="0"/>
    <w:pPr>
      <w:spacing w:line="300" w:lineRule="auto"/>
      <w:ind w:firstLine="480"/>
    </w:pPr>
    <w:rPr>
      <w:color w:val="000000"/>
      <w:sz w:val="24"/>
    </w:rPr>
  </w:style>
  <w:style w:type="paragraph" w:customStyle="1" w:styleId="3439">
    <w:name w:val="样式 正文文本缩进 2 + 红色"/>
    <w:basedOn w:val="55"/>
    <w:qFormat/>
    <w:uiPriority w:val="0"/>
    <w:pPr>
      <w:spacing w:after="0" w:line="300" w:lineRule="auto"/>
      <w:ind w:left="0" w:leftChars="0" w:firstLine="539"/>
    </w:pPr>
    <w:rPr>
      <w:color w:val="FF0000"/>
      <w:sz w:val="24"/>
    </w:rPr>
  </w:style>
  <w:style w:type="paragraph" w:customStyle="1" w:styleId="3440">
    <w:name w:val="标3"/>
    <w:basedOn w:val="7"/>
    <w:qFormat/>
    <w:uiPriority w:val="0"/>
    <w:pPr>
      <w:keepLines w:val="0"/>
      <w:tabs>
        <w:tab w:val="left" w:pos="720"/>
        <w:tab w:val="left" w:pos="960"/>
        <w:tab w:val="clear" w:pos="709"/>
        <w:tab w:val="clear" w:pos="1440"/>
      </w:tabs>
      <w:spacing w:before="240" w:after="60" w:line="480" w:lineRule="exact"/>
      <w:ind w:left="720" w:hanging="720"/>
      <w:textAlignment w:val="baseline"/>
    </w:pPr>
    <w:rPr>
      <w:rFonts w:ascii="黑体"/>
      <w:kern w:val="2"/>
      <w:szCs w:val="26"/>
    </w:rPr>
  </w:style>
  <w:style w:type="paragraph" w:customStyle="1" w:styleId="3441">
    <w:name w:val="小标题2"/>
    <w:basedOn w:val="1"/>
    <w:qFormat/>
    <w:uiPriority w:val="0"/>
    <w:pPr>
      <w:keepNext/>
      <w:keepLines/>
      <w:spacing w:beforeLines="50" w:afterLines="50"/>
      <w:outlineLvl w:val="0"/>
    </w:pPr>
    <w:rPr>
      <w:rFonts w:cs="宋体"/>
      <w:b/>
      <w:bCs/>
      <w:kern w:val="44"/>
      <w:sz w:val="30"/>
      <w:szCs w:val="30"/>
    </w:rPr>
  </w:style>
  <w:style w:type="paragraph" w:customStyle="1" w:styleId="3442">
    <w:name w:val="表内文字，居中"/>
    <w:basedOn w:val="1"/>
    <w:qFormat/>
    <w:uiPriority w:val="0"/>
    <w:pPr>
      <w:jc w:val="center"/>
    </w:pPr>
  </w:style>
  <w:style w:type="paragraph" w:customStyle="1" w:styleId="3443">
    <w:name w:val="Char Char Char2 Char Char Char Char"/>
    <w:basedOn w:val="1"/>
    <w:qFormat/>
    <w:uiPriority w:val="0"/>
    <w:pPr>
      <w:spacing w:line="360" w:lineRule="auto"/>
    </w:pPr>
    <w:rPr>
      <w:rFonts w:ascii="宋体" w:hAnsi="宋体" w:cs="宋体"/>
      <w:sz w:val="24"/>
    </w:rPr>
  </w:style>
  <w:style w:type="paragraph" w:customStyle="1" w:styleId="3444">
    <w:name w:val="Char Char Char3 Char Char Char6"/>
    <w:basedOn w:val="1"/>
    <w:qFormat/>
    <w:uiPriority w:val="0"/>
    <w:pPr>
      <w:spacing w:line="360" w:lineRule="auto"/>
    </w:pPr>
    <w:rPr>
      <w:rFonts w:ascii="宋体" w:hAnsi="宋体" w:cs="宋体"/>
      <w:sz w:val="24"/>
    </w:rPr>
  </w:style>
  <w:style w:type="paragraph" w:customStyle="1" w:styleId="3445">
    <w:name w:val="april正文"/>
    <w:basedOn w:val="172"/>
    <w:qFormat/>
    <w:uiPriority w:val="0"/>
    <w:pPr>
      <w:spacing w:line="300" w:lineRule="auto"/>
      <w:ind w:firstLine="504"/>
    </w:pPr>
    <w:rPr>
      <w:snapToGrid w:val="0"/>
      <w:spacing w:val="6"/>
      <w:kern w:val="0"/>
    </w:rPr>
  </w:style>
  <w:style w:type="paragraph" w:customStyle="1" w:styleId="3446">
    <w:name w:val="正文 楷体"/>
    <w:basedOn w:val="1"/>
    <w:qFormat/>
    <w:uiPriority w:val="0"/>
    <w:pPr>
      <w:spacing w:line="500" w:lineRule="exact"/>
    </w:pPr>
    <w:rPr>
      <w:rFonts w:ascii="楷体_GB2312" w:hAnsi="宋体" w:eastAsia="楷体_GB2312"/>
      <w:sz w:val="24"/>
    </w:rPr>
  </w:style>
  <w:style w:type="paragraph" w:customStyle="1" w:styleId="3447">
    <w:name w:val="标4 Char Char Char"/>
    <w:qFormat/>
    <w:uiPriority w:val="0"/>
    <w:pPr>
      <w:spacing w:line="560" w:lineRule="atLeast"/>
      <w:jc w:val="both"/>
      <w:outlineLvl w:val="3"/>
    </w:pPr>
    <w:rPr>
      <w:rFonts w:ascii="宋体" w:hAnsi="宋体" w:eastAsia="宋体" w:cs="Times New Roman"/>
      <w:kern w:val="2"/>
      <w:sz w:val="24"/>
      <w:szCs w:val="30"/>
      <w:lang w:val="en-US" w:eastAsia="zh-CN" w:bidi="ar-SA"/>
    </w:rPr>
  </w:style>
  <w:style w:type="paragraph" w:customStyle="1" w:styleId="3448">
    <w:name w:val="CM95"/>
    <w:basedOn w:val="2"/>
    <w:next w:val="2"/>
    <w:qFormat/>
    <w:uiPriority w:val="0"/>
    <w:pPr>
      <w:spacing w:after="588"/>
    </w:pPr>
    <w:rPr>
      <w:rFonts w:ascii="Sim Sun" w:eastAsia="Sim Sun" w:cs="Times New Roman"/>
      <w:color w:val="auto"/>
      <w:szCs w:val="20"/>
    </w:rPr>
  </w:style>
  <w:style w:type="paragraph" w:customStyle="1" w:styleId="3449">
    <w:name w:val="Char Char Char Char Char Char Char Char Char4"/>
    <w:basedOn w:val="1"/>
    <w:next w:val="1"/>
    <w:qFormat/>
    <w:uiPriority w:val="0"/>
    <w:pPr>
      <w:pBdr>
        <w:right w:val="single" w:color="auto" w:sz="12" w:space="4"/>
      </w:pBdr>
      <w:spacing w:line="360" w:lineRule="auto"/>
    </w:pPr>
    <w:rPr>
      <w:rFonts w:ascii="宋体" w:hAnsi="宋体"/>
      <w:sz w:val="24"/>
    </w:rPr>
  </w:style>
  <w:style w:type="paragraph" w:customStyle="1" w:styleId="3450">
    <w:name w:val="Char Char Char3 Char"/>
    <w:basedOn w:val="1"/>
    <w:qFormat/>
    <w:uiPriority w:val="0"/>
    <w:pPr>
      <w:spacing w:line="360" w:lineRule="auto"/>
    </w:pPr>
    <w:rPr>
      <w:rFonts w:ascii="宋体" w:hAnsi="宋体" w:cs="宋体"/>
      <w:sz w:val="24"/>
    </w:rPr>
  </w:style>
  <w:style w:type="paragraph" w:customStyle="1" w:styleId="3451">
    <w:name w:val="样式1 Char Char"/>
    <w:basedOn w:val="1"/>
    <w:qFormat/>
    <w:uiPriority w:val="0"/>
    <w:pPr>
      <w:spacing w:line="560" w:lineRule="atLeast"/>
      <w:ind w:firstLine="480"/>
    </w:pPr>
    <w:rPr>
      <w:rFonts w:ascii="宋体" w:hAnsi="宋体"/>
      <w:sz w:val="24"/>
    </w:rPr>
  </w:style>
  <w:style w:type="paragraph" w:customStyle="1" w:styleId="3452">
    <w:name w:val="表左"/>
    <w:basedOn w:val="1"/>
    <w:qFormat/>
    <w:uiPriority w:val="0"/>
    <w:pPr>
      <w:overflowPunct w:val="0"/>
      <w:spacing w:line="280" w:lineRule="exact"/>
      <w:jc w:val="center"/>
      <w:textAlignment w:val="baseline"/>
    </w:pPr>
    <w:rPr>
      <w:color w:val="000000"/>
      <w:kern w:val="24"/>
      <w:sz w:val="18"/>
    </w:rPr>
  </w:style>
  <w:style w:type="paragraph" w:customStyle="1" w:styleId="3453">
    <w:name w:val="Char Char Char Char Char Char11"/>
    <w:basedOn w:val="1"/>
    <w:qFormat/>
    <w:uiPriority w:val="0"/>
    <w:pPr>
      <w:spacing w:line="360" w:lineRule="auto"/>
    </w:pPr>
    <w:rPr>
      <w:rFonts w:ascii="宋体" w:hAnsi="宋体" w:cs="宋体"/>
      <w:sz w:val="24"/>
    </w:rPr>
  </w:style>
  <w:style w:type="paragraph" w:customStyle="1" w:styleId="3454">
    <w:name w:val="Char Char Char2 Char Char Char Char1"/>
    <w:basedOn w:val="1"/>
    <w:qFormat/>
    <w:uiPriority w:val="0"/>
    <w:pPr>
      <w:spacing w:line="360" w:lineRule="auto"/>
    </w:pPr>
    <w:rPr>
      <w:rFonts w:ascii="宋体" w:hAnsi="宋体" w:cs="宋体"/>
      <w:sz w:val="24"/>
    </w:rPr>
  </w:style>
  <w:style w:type="paragraph" w:customStyle="1" w:styleId="3455">
    <w:name w:val="Char Char Char Char Char Char Char Char Char Char Char Char"/>
    <w:basedOn w:val="1"/>
    <w:qFormat/>
    <w:uiPriority w:val="0"/>
    <w:pPr>
      <w:spacing w:line="360" w:lineRule="auto"/>
    </w:pPr>
    <w:rPr>
      <w:rFonts w:ascii="仿宋_GB2312" w:hAnsi="仿宋_GB2312" w:cs="宋体"/>
      <w:sz w:val="24"/>
    </w:rPr>
  </w:style>
  <w:style w:type="paragraph" w:customStyle="1" w:styleId="3456">
    <w:name w:val="表名图名"/>
    <w:basedOn w:val="1"/>
    <w:qFormat/>
    <w:uiPriority w:val="0"/>
    <w:pPr>
      <w:spacing w:line="360" w:lineRule="auto"/>
      <w:jc w:val="center"/>
    </w:pPr>
    <w:rPr>
      <w:rFonts w:cs="宋体"/>
      <w:b/>
      <w:sz w:val="24"/>
    </w:rPr>
  </w:style>
  <w:style w:type="paragraph" w:customStyle="1" w:styleId="3457">
    <w:name w:val="Char Char Char Char Char Char Char Char Char Char Char Char Char Char Char Char Char Char Char Char Char"/>
    <w:basedOn w:val="1"/>
    <w:qFormat/>
    <w:uiPriority w:val="0"/>
    <w:pPr>
      <w:spacing w:line="360" w:lineRule="auto"/>
    </w:pPr>
    <w:rPr>
      <w:rFonts w:ascii="宋体" w:hAnsi="宋体" w:cs="宋体"/>
      <w:sz w:val="24"/>
    </w:rPr>
  </w:style>
  <w:style w:type="paragraph" w:customStyle="1" w:styleId="3458">
    <w:name w:val="Title.4"/>
    <w:next w:val="1"/>
    <w:qFormat/>
    <w:uiPriority w:val="0"/>
    <w:pPr>
      <w:keepNext/>
      <w:keepLines/>
      <w:spacing w:line="320" w:lineRule="exact"/>
      <w:jc w:val="center"/>
      <w:outlineLvl w:val="3"/>
    </w:pPr>
    <w:rPr>
      <w:rFonts w:ascii="Calibri" w:hAnsi="Calibri" w:eastAsia="宋体" w:cs="Times New Roman"/>
      <w:b/>
      <w:sz w:val="24"/>
      <w:szCs w:val="22"/>
      <w:lang w:val="en-US" w:eastAsia="zh-CN" w:bidi="ar-SA"/>
    </w:rPr>
  </w:style>
  <w:style w:type="paragraph" w:customStyle="1" w:styleId="3459">
    <w:name w:val="表格正文 Char Char Char Char"/>
    <w:basedOn w:val="1"/>
    <w:qFormat/>
    <w:uiPriority w:val="0"/>
  </w:style>
  <w:style w:type="paragraph" w:customStyle="1" w:styleId="3460">
    <w:name w:val="bfs28kerning2lochaf1hich"/>
    <w:qFormat/>
    <w:uiPriority w:val="0"/>
    <w:pPr>
      <w:keepNext/>
      <w:keepLines/>
      <w:widowControl w:val="0"/>
      <w:adjustRightInd w:val="0"/>
      <w:spacing w:before="280" w:after="290" w:line="320" w:lineRule="exact"/>
      <w:jc w:val="center"/>
    </w:pPr>
    <w:rPr>
      <w:rFonts w:ascii="Calibri" w:hAnsi="Calibri" w:eastAsia="宋体" w:cs="Times New Roman"/>
      <w:sz w:val="24"/>
      <w:szCs w:val="22"/>
      <w:lang w:val="en-US" w:eastAsia="zh-CN" w:bidi="ar-SA"/>
    </w:rPr>
  </w:style>
  <w:style w:type="paragraph" w:customStyle="1" w:styleId="3461">
    <w:name w:val="样式 正文文字缩进 + (西文) Times New Roman (中文) 黑体 左 首行缩进:  0.99 厘米"/>
    <w:basedOn w:val="39"/>
    <w:qFormat/>
    <w:uiPriority w:val="0"/>
    <w:pPr>
      <w:spacing w:after="0" w:line="360" w:lineRule="auto"/>
      <w:ind w:left="0" w:leftChars="0" w:firstLine="561"/>
      <w:textAlignment w:val="baseline"/>
    </w:pPr>
    <w:rPr>
      <w:rFonts w:cs="宋体"/>
      <w:spacing w:val="5"/>
      <w:kern w:val="0"/>
      <w:sz w:val="24"/>
      <w:szCs w:val="20"/>
    </w:rPr>
  </w:style>
  <w:style w:type="paragraph" w:customStyle="1" w:styleId="3462">
    <w:name w:val="0正文"/>
    <w:basedOn w:val="39"/>
    <w:qFormat/>
    <w:uiPriority w:val="0"/>
    <w:pPr>
      <w:spacing w:after="0" w:line="300" w:lineRule="auto"/>
      <w:ind w:left="0" w:leftChars="0" w:firstLine="480"/>
    </w:pPr>
    <w:rPr>
      <w:rFonts w:cs="宋体"/>
      <w:kern w:val="0"/>
      <w:sz w:val="24"/>
      <w:szCs w:val="20"/>
    </w:rPr>
  </w:style>
  <w:style w:type="paragraph" w:customStyle="1" w:styleId="3463">
    <w:name w:val="报告书正文 Char1"/>
    <w:basedOn w:val="1"/>
    <w:qFormat/>
    <w:uiPriority w:val="0"/>
    <w:pPr>
      <w:spacing w:line="300" w:lineRule="auto"/>
    </w:pPr>
    <w:rPr>
      <w:sz w:val="24"/>
    </w:rPr>
  </w:style>
  <w:style w:type="paragraph" w:customStyle="1" w:styleId="3464">
    <w:name w:val="Char Char Char7"/>
    <w:basedOn w:val="1"/>
    <w:qFormat/>
    <w:uiPriority w:val="0"/>
  </w:style>
  <w:style w:type="paragraph" w:customStyle="1" w:styleId="3465">
    <w:name w:val="Char Char Char1 Char2"/>
    <w:basedOn w:val="1"/>
    <w:qFormat/>
    <w:uiPriority w:val="0"/>
    <w:pPr>
      <w:spacing w:line="360" w:lineRule="auto"/>
    </w:pPr>
    <w:rPr>
      <w:rFonts w:ascii="宋体" w:hAnsi="宋体"/>
      <w:sz w:val="24"/>
    </w:rPr>
  </w:style>
  <w:style w:type="paragraph" w:customStyle="1" w:styleId="3466">
    <w:name w:val="样式 港珠澳正文 + 首行缩进:  2 字符 段前: 1 行 段后: 1 行"/>
    <w:basedOn w:val="1"/>
    <w:qFormat/>
    <w:uiPriority w:val="0"/>
    <w:pPr>
      <w:spacing w:line="360" w:lineRule="auto"/>
    </w:pPr>
    <w:rPr>
      <w:rFonts w:cs="宋体"/>
      <w:color w:val="000000"/>
      <w:sz w:val="24"/>
    </w:rPr>
  </w:style>
  <w:style w:type="paragraph" w:customStyle="1" w:styleId="3467">
    <w:name w:val="南郊正文"/>
    <w:basedOn w:val="1"/>
    <w:next w:val="1"/>
    <w:qFormat/>
    <w:uiPriority w:val="0"/>
    <w:rPr>
      <w:sz w:val="24"/>
    </w:rPr>
  </w:style>
  <w:style w:type="paragraph" w:customStyle="1" w:styleId="3468">
    <w:name w:val="报告书正文 Char Char Char Char Char Char Char Char2"/>
    <w:basedOn w:val="1"/>
    <w:qFormat/>
    <w:uiPriority w:val="0"/>
    <w:pPr>
      <w:spacing w:line="300" w:lineRule="auto"/>
      <w:ind w:firstLine="480"/>
    </w:pPr>
    <w:rPr>
      <w:color w:val="000000"/>
      <w:sz w:val="24"/>
    </w:rPr>
  </w:style>
  <w:style w:type="paragraph" w:customStyle="1" w:styleId="3469">
    <w:name w:val="2标题(治)"/>
    <w:basedOn w:val="6"/>
    <w:qFormat/>
    <w:uiPriority w:val="0"/>
    <w:pPr>
      <w:keepLines w:val="0"/>
      <w:tabs>
        <w:tab w:val="clear" w:pos="1080"/>
      </w:tabs>
      <w:spacing w:after="0"/>
      <w:ind w:left="0" w:firstLine="200"/>
      <w:outlineLvl w:val="0"/>
    </w:pPr>
    <w:rPr>
      <w:rFonts w:eastAsia="仿宋_GB2312"/>
      <w:i/>
      <w:iCs/>
      <w:kern w:val="2"/>
      <w:szCs w:val="32"/>
    </w:rPr>
  </w:style>
  <w:style w:type="paragraph" w:customStyle="1" w:styleId="3470">
    <w:name w:val="Char Char Char3 Char Char Char7"/>
    <w:basedOn w:val="1"/>
    <w:qFormat/>
    <w:uiPriority w:val="0"/>
    <w:pPr>
      <w:spacing w:line="360" w:lineRule="auto"/>
    </w:pPr>
    <w:rPr>
      <w:rFonts w:ascii="宋体" w:hAnsi="宋体" w:cs="宋体"/>
      <w:sz w:val="24"/>
    </w:rPr>
  </w:style>
  <w:style w:type="paragraph" w:customStyle="1" w:styleId="3471">
    <w:name w:val="Char Char Char3 Char Char Char4 Char Char Char1 Char Char Char Char Char"/>
    <w:basedOn w:val="1"/>
    <w:qFormat/>
    <w:uiPriority w:val="0"/>
    <w:pPr>
      <w:spacing w:line="360" w:lineRule="auto"/>
    </w:pPr>
    <w:rPr>
      <w:rFonts w:ascii="宋体" w:hAnsi="宋体" w:cs="宋体"/>
      <w:sz w:val="24"/>
    </w:rPr>
  </w:style>
  <w:style w:type="paragraph" w:customStyle="1" w:styleId="3472">
    <w:name w:val="报告书正文 Char Char Char Char Char Char Char Char1"/>
    <w:basedOn w:val="1"/>
    <w:qFormat/>
    <w:uiPriority w:val="0"/>
    <w:pPr>
      <w:spacing w:line="300" w:lineRule="auto"/>
      <w:ind w:firstLine="480"/>
    </w:pPr>
    <w:rPr>
      <w:color w:val="000000"/>
      <w:sz w:val="24"/>
    </w:rPr>
  </w:style>
  <w:style w:type="paragraph" w:customStyle="1" w:styleId="3473">
    <w:name w:val="XCHG论文节"/>
    <w:basedOn w:val="1"/>
    <w:qFormat/>
    <w:uiPriority w:val="0"/>
    <w:pPr>
      <w:spacing w:beforeLines="100" w:afterLines="100"/>
    </w:pPr>
    <w:rPr>
      <w:rFonts w:ascii="方正姚体" w:eastAsia="方正姚体"/>
      <w:b/>
      <w:bCs/>
      <w:sz w:val="36"/>
    </w:rPr>
  </w:style>
  <w:style w:type="paragraph" w:customStyle="1" w:styleId="3474">
    <w:name w:val="表格标题9"/>
    <w:basedOn w:val="85"/>
    <w:qFormat/>
    <w:uiPriority w:val="0"/>
    <w:pPr>
      <w:tabs>
        <w:tab w:val="left" w:pos="0"/>
      </w:tabs>
      <w:wordWrap w:val="0"/>
      <w:spacing w:after="0" w:line="240" w:lineRule="atLeast"/>
      <w:ind w:left="0" w:leftChars="0"/>
      <w:jc w:val="center"/>
    </w:pPr>
    <w:rPr>
      <w:b/>
      <w:sz w:val="24"/>
    </w:rPr>
  </w:style>
  <w:style w:type="paragraph" w:customStyle="1" w:styleId="3475">
    <w:name w:val="标题D"/>
    <w:qFormat/>
    <w:uiPriority w:val="0"/>
    <w:pPr>
      <w:adjustRightInd w:val="0"/>
      <w:snapToGrid w:val="0"/>
      <w:spacing w:before="240" w:line="360" w:lineRule="auto"/>
      <w:jc w:val="center"/>
      <w:outlineLvl w:val="3"/>
    </w:pPr>
    <w:rPr>
      <w:rFonts w:ascii="Calibri" w:hAnsi="Calibri" w:eastAsia="宋体" w:cs="Times New Roman"/>
      <w:b/>
      <w:sz w:val="24"/>
      <w:szCs w:val="22"/>
      <w:lang w:val="en-US" w:eastAsia="zh-CN" w:bidi="ar-SA"/>
    </w:rPr>
  </w:style>
  <w:style w:type="paragraph" w:customStyle="1" w:styleId="3476">
    <w:name w:val="222222"/>
    <w:basedOn w:val="1"/>
    <w:next w:val="59"/>
    <w:qFormat/>
    <w:uiPriority w:val="0"/>
    <w:pPr>
      <w:pBdr>
        <w:top w:val="single" w:color="auto" w:sz="4" w:space="1"/>
      </w:pBdr>
    </w:pPr>
  </w:style>
  <w:style w:type="paragraph" w:customStyle="1" w:styleId="3477">
    <w:name w:val="Char Char Char1 Char3"/>
    <w:basedOn w:val="1"/>
    <w:qFormat/>
    <w:uiPriority w:val="0"/>
    <w:pPr>
      <w:spacing w:line="360" w:lineRule="auto"/>
    </w:pPr>
    <w:rPr>
      <w:rFonts w:ascii="宋体" w:hAnsi="宋体"/>
      <w:sz w:val="24"/>
    </w:rPr>
  </w:style>
  <w:style w:type="paragraph" w:customStyle="1" w:styleId="3478">
    <w:name w:val="二标题"/>
    <w:basedOn w:val="1"/>
    <w:qFormat/>
    <w:uiPriority w:val="0"/>
    <w:pPr>
      <w:spacing w:line="360" w:lineRule="auto"/>
    </w:pPr>
    <w:rPr>
      <w:rFonts w:ascii="宋体" w:hAnsi="宋体" w:cs="宋体"/>
      <w:sz w:val="24"/>
    </w:rPr>
  </w:style>
  <w:style w:type="paragraph" w:customStyle="1" w:styleId="3479">
    <w:name w:val="报告书正文 Char Char Char Char Char Char Char Char Char Char Char Char Char1"/>
    <w:basedOn w:val="1"/>
    <w:qFormat/>
    <w:uiPriority w:val="0"/>
    <w:pPr>
      <w:spacing w:line="300" w:lineRule="auto"/>
      <w:ind w:firstLine="480"/>
    </w:pPr>
    <w:rPr>
      <w:color w:val="000000"/>
      <w:sz w:val="24"/>
    </w:rPr>
  </w:style>
  <w:style w:type="paragraph" w:customStyle="1" w:styleId="3480">
    <w:name w:val="ST20_1"/>
    <w:basedOn w:val="1"/>
    <w:qFormat/>
    <w:uiPriority w:val="0"/>
    <w:pPr>
      <w:autoSpaceDE w:val="0"/>
      <w:autoSpaceDN w:val="0"/>
      <w:spacing w:line="312" w:lineRule="atLeast"/>
      <w:jc w:val="center"/>
      <w:textAlignment w:val="baseline"/>
    </w:pPr>
    <w:rPr>
      <w:rFonts w:ascii="宋体" w:hAnsi="Tms Rmn"/>
      <w:sz w:val="24"/>
    </w:rPr>
  </w:style>
  <w:style w:type="paragraph" w:customStyle="1" w:styleId="3481">
    <w:name w:val="格格"/>
    <w:basedOn w:val="1"/>
    <w:qFormat/>
    <w:uiPriority w:val="0"/>
    <w:pPr>
      <w:spacing w:line="280" w:lineRule="exact"/>
      <w:ind w:left="-50" w:leftChars="-50" w:right="-50" w:rightChars="-50"/>
      <w:jc w:val="center"/>
      <w:textAlignment w:val="baseline"/>
    </w:pPr>
    <w:rPr>
      <w:color w:val="000000"/>
      <w:szCs w:val="21"/>
    </w:rPr>
  </w:style>
  <w:style w:type="paragraph" w:customStyle="1" w:styleId="3482">
    <w:name w:val="环小四1.1.1.1（四级）"/>
    <w:qFormat/>
    <w:uiPriority w:val="0"/>
    <w:pPr>
      <w:widowControl w:val="0"/>
      <w:spacing w:line="320" w:lineRule="exact"/>
      <w:jc w:val="center"/>
      <w:outlineLvl w:val="3"/>
    </w:pPr>
    <w:rPr>
      <w:rFonts w:ascii="宋体" w:hAnsi="宋体" w:eastAsia="宋体" w:cs="Times New Roman"/>
      <w:b/>
      <w:color w:val="000000"/>
      <w:kern w:val="2"/>
      <w:sz w:val="24"/>
      <w:szCs w:val="24"/>
      <w:lang w:val="en-US" w:eastAsia="zh-CN" w:bidi="ar-SA"/>
    </w:rPr>
  </w:style>
  <w:style w:type="paragraph" w:customStyle="1" w:styleId="3483">
    <w:name w:val="Char Char Char Char Char2 Char Char Char Char1"/>
    <w:basedOn w:val="1"/>
    <w:qFormat/>
    <w:uiPriority w:val="0"/>
    <w:pPr>
      <w:spacing w:line="360" w:lineRule="auto"/>
    </w:pPr>
    <w:rPr>
      <w:rFonts w:ascii="宋体" w:hAnsi="宋体"/>
      <w:sz w:val="24"/>
    </w:rPr>
  </w:style>
  <w:style w:type="paragraph" w:customStyle="1" w:styleId="3484">
    <w:name w:val="表中字样"/>
    <w:basedOn w:val="605"/>
    <w:qFormat/>
    <w:uiPriority w:val="0"/>
    <w:pPr>
      <w:spacing w:line="320" w:lineRule="exact"/>
      <w:ind w:firstLine="0" w:firstLineChars="0"/>
      <w:jc w:val="center"/>
    </w:pPr>
    <w:rPr>
      <w:color w:val="000000"/>
      <w:spacing w:val="10"/>
      <w:kern w:val="2"/>
      <w:sz w:val="28"/>
      <w:szCs w:val="24"/>
    </w:rPr>
  </w:style>
  <w:style w:type="paragraph" w:customStyle="1" w:styleId="3485">
    <w:name w:val="body"/>
    <w:basedOn w:val="1"/>
    <w:qFormat/>
    <w:uiPriority w:val="0"/>
    <w:pPr>
      <w:spacing w:line="360" w:lineRule="auto"/>
      <w:ind w:firstLine="480"/>
    </w:pPr>
    <w:rPr>
      <w:rFonts w:ascii="宋体" w:hAnsi="宋体"/>
      <w:sz w:val="24"/>
    </w:rPr>
  </w:style>
  <w:style w:type="paragraph" w:customStyle="1" w:styleId="3486">
    <w:name w:val="表格标题1"/>
    <w:basedOn w:val="70"/>
    <w:qFormat/>
    <w:uiPriority w:val="0"/>
    <w:pPr>
      <w:ind w:left="0" w:firstLine="0" w:firstLineChars="0"/>
      <w:jc w:val="center"/>
    </w:pPr>
    <w:rPr>
      <w:rFonts w:ascii="Times New Roman" w:eastAsia="仿宋_GB2312"/>
      <w:sz w:val="28"/>
      <w:szCs w:val="24"/>
    </w:rPr>
  </w:style>
  <w:style w:type="paragraph" w:customStyle="1" w:styleId="3487">
    <w:name w:val="标题2使用中"/>
    <w:basedOn w:val="11"/>
    <w:qFormat/>
    <w:uiPriority w:val="0"/>
    <w:pPr>
      <w:spacing w:before="0" w:after="0" w:line="360" w:lineRule="auto"/>
      <w:ind w:left="0" w:firstLine="200"/>
    </w:pPr>
    <w:rPr>
      <w:bCs w:val="0"/>
      <w:sz w:val="32"/>
      <w:szCs w:val="32"/>
    </w:rPr>
  </w:style>
  <w:style w:type="paragraph" w:customStyle="1" w:styleId="3488">
    <w:name w:val="小标题 1"/>
    <w:basedOn w:val="5"/>
    <w:qFormat/>
    <w:uiPriority w:val="0"/>
    <w:pPr>
      <w:keepLines w:val="0"/>
      <w:spacing w:beforeLines="50" w:after="0" w:line="360" w:lineRule="auto"/>
      <w:ind w:left="0" w:firstLine="200"/>
    </w:pPr>
    <w:rPr>
      <w:rFonts w:ascii="Cambria" w:cs="宋体"/>
      <w:bCs w:val="0"/>
      <w:kern w:val="32"/>
      <w:sz w:val="32"/>
      <w:szCs w:val="20"/>
    </w:rPr>
  </w:style>
  <w:style w:type="paragraph" w:customStyle="1" w:styleId="3489">
    <w:name w:val="6表内文字 居中"/>
    <w:basedOn w:val="1"/>
    <w:qFormat/>
    <w:uiPriority w:val="0"/>
    <w:pPr>
      <w:spacing w:line="240" w:lineRule="atLeast"/>
      <w:jc w:val="center"/>
      <w:textAlignment w:val="baseline"/>
    </w:pPr>
    <w:rPr>
      <w:snapToGrid w:val="0"/>
    </w:rPr>
  </w:style>
  <w:style w:type="paragraph" w:customStyle="1" w:styleId="3490">
    <w:name w:val="Char Char Char Char Char Char Char Char Char Char2"/>
    <w:basedOn w:val="1"/>
    <w:qFormat/>
    <w:uiPriority w:val="0"/>
    <w:rPr>
      <w:rFonts w:ascii="宋体" w:hAnsi="宋体" w:cs="宋体"/>
      <w:sz w:val="24"/>
    </w:rPr>
  </w:style>
  <w:style w:type="paragraph" w:customStyle="1" w:styleId="3491">
    <w:name w:val="P"/>
    <w:basedOn w:val="1"/>
    <w:qFormat/>
    <w:uiPriority w:val="0"/>
    <w:pPr>
      <w:spacing w:line="420" w:lineRule="atLeast"/>
      <w:ind w:firstLine="567"/>
      <w:textAlignment w:val="baseline"/>
    </w:pPr>
    <w:rPr>
      <w:rFonts w:ascii="宋体"/>
      <w:spacing w:val="30"/>
      <w:sz w:val="24"/>
    </w:rPr>
  </w:style>
  <w:style w:type="paragraph" w:customStyle="1" w:styleId="3492">
    <w:name w:val="正文正文正文 1.5 倍行距"/>
    <w:basedOn w:val="1"/>
    <w:qFormat/>
    <w:uiPriority w:val="0"/>
    <w:pPr>
      <w:spacing w:line="360" w:lineRule="auto"/>
      <w:ind w:firstLine="480"/>
    </w:pPr>
    <w:rPr>
      <w:rFonts w:ascii="宋体" w:hAnsi="宋体" w:cs="宋体"/>
      <w:sz w:val="24"/>
    </w:rPr>
  </w:style>
  <w:style w:type="paragraph" w:customStyle="1" w:styleId="3493">
    <w:name w:val="Char Char Char Char Char Char2 Char"/>
    <w:basedOn w:val="1"/>
    <w:qFormat/>
    <w:uiPriority w:val="0"/>
    <w:pPr>
      <w:spacing w:line="360" w:lineRule="auto"/>
    </w:pPr>
    <w:rPr>
      <w:rFonts w:ascii="宋体" w:hAnsi="宋体" w:cs="宋体"/>
      <w:sz w:val="24"/>
    </w:rPr>
  </w:style>
  <w:style w:type="paragraph" w:customStyle="1" w:styleId="3494">
    <w:name w:val="Char Char Char3 Char Char Char4 Char1"/>
    <w:basedOn w:val="1"/>
    <w:qFormat/>
    <w:uiPriority w:val="0"/>
    <w:pPr>
      <w:spacing w:line="360" w:lineRule="auto"/>
    </w:pPr>
    <w:rPr>
      <w:rFonts w:ascii="宋体" w:hAnsi="宋体" w:cs="宋体"/>
      <w:sz w:val="24"/>
    </w:rPr>
  </w:style>
  <w:style w:type="paragraph" w:customStyle="1" w:styleId="3495">
    <w:name w:val="Char Char Char Char Char Char1 Char Char Char"/>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3496">
    <w:name w:val="Char Char Char4 Char Char Char Char"/>
    <w:basedOn w:val="1"/>
    <w:qFormat/>
    <w:uiPriority w:val="0"/>
    <w:pPr>
      <w:spacing w:line="360" w:lineRule="auto"/>
    </w:pPr>
    <w:rPr>
      <w:rFonts w:ascii="宋体" w:hAnsi="宋体" w:cs="宋体"/>
      <w:sz w:val="24"/>
    </w:rPr>
  </w:style>
  <w:style w:type="paragraph" w:customStyle="1" w:styleId="3497">
    <w:name w:val="_Style 12"/>
    <w:basedOn w:val="1"/>
    <w:qFormat/>
    <w:uiPriority w:val="0"/>
  </w:style>
  <w:style w:type="paragraph" w:customStyle="1" w:styleId="3498">
    <w:name w:val="Char Char Char Char Char"/>
    <w:basedOn w:val="1"/>
    <w:qFormat/>
    <w:uiPriority w:val="0"/>
  </w:style>
  <w:style w:type="paragraph" w:customStyle="1" w:styleId="3499">
    <w:name w:val="日期2"/>
    <w:basedOn w:val="1"/>
    <w:next w:val="1"/>
    <w:qFormat/>
    <w:uiPriority w:val="0"/>
    <w:pPr>
      <w:spacing w:line="312" w:lineRule="atLeast"/>
      <w:jc w:val="right"/>
      <w:textAlignment w:val="baseline"/>
    </w:pPr>
    <w:rPr>
      <w:rFonts w:ascii="宋体"/>
    </w:rPr>
  </w:style>
  <w:style w:type="paragraph" w:customStyle="1" w:styleId="3500">
    <w:name w:val="样式 标题 2 + 段前: 0.5 行 段后: 0.5 行"/>
    <w:basedOn w:val="6"/>
    <w:qFormat/>
    <w:uiPriority w:val="0"/>
    <w:pPr>
      <w:keepLines w:val="0"/>
      <w:tabs>
        <w:tab w:val="left" w:pos="576"/>
        <w:tab w:val="clear" w:pos="567"/>
        <w:tab w:val="clear" w:pos="1080"/>
      </w:tabs>
      <w:spacing w:beforeLines="50" w:afterLines="20" w:line="400" w:lineRule="exact"/>
      <w:ind w:left="576" w:hanging="576"/>
    </w:pPr>
    <w:rPr>
      <w:rFonts w:eastAsia="仿宋_GB2312"/>
      <w:i/>
      <w:iCs/>
      <w:kern w:val="2"/>
      <w:sz w:val="24"/>
    </w:rPr>
  </w:style>
  <w:style w:type="paragraph" w:customStyle="1" w:styleId="3501">
    <w:name w:val="Char Char Char Char Char Char1 Char Char Char Char Char Char Char1"/>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3502">
    <w:name w:val="样式 样式 表格 + (中文) 黑体 + 行距: 1.5 倍行距"/>
    <w:basedOn w:val="207"/>
    <w:qFormat/>
    <w:uiPriority w:val="0"/>
    <w:pPr>
      <w:spacing w:line="360" w:lineRule="auto"/>
    </w:pPr>
    <w:rPr>
      <w:rFonts w:cs="宋体"/>
      <w:szCs w:val="20"/>
    </w:rPr>
  </w:style>
  <w:style w:type="paragraph" w:customStyle="1" w:styleId="3503">
    <w:name w:val="Char Char Char Char Char Char Char Char Char Char Char1"/>
    <w:basedOn w:val="1"/>
    <w:qFormat/>
    <w:uiPriority w:val="0"/>
    <w:pPr>
      <w:widowControl w:val="0"/>
    </w:pPr>
  </w:style>
  <w:style w:type="paragraph" w:customStyle="1" w:styleId="3504">
    <w:name w:val="标准宋体 小四 居中1"/>
    <w:basedOn w:val="1"/>
    <w:qFormat/>
    <w:uiPriority w:val="0"/>
    <w:pPr>
      <w:ind w:firstLine="420"/>
      <w:jc w:val="center"/>
    </w:pPr>
    <w:rPr>
      <w:rFonts w:ascii="宋体" w:hAnsi="宋体" w:cs="宋体"/>
      <w:sz w:val="24"/>
    </w:rPr>
  </w:style>
  <w:style w:type="paragraph" w:customStyle="1" w:styleId="3505">
    <w:name w:val="标题0"/>
    <w:basedOn w:val="1"/>
    <w:qFormat/>
    <w:uiPriority w:val="0"/>
    <w:pPr>
      <w:tabs>
        <w:tab w:val="left" w:pos="840"/>
      </w:tabs>
      <w:spacing w:before="480" w:after="360"/>
      <w:jc w:val="center"/>
    </w:pPr>
    <w:rPr>
      <w:rFonts w:ascii="黑体" w:eastAsia="黑体"/>
      <w:sz w:val="44"/>
    </w:rPr>
  </w:style>
  <w:style w:type="paragraph" w:customStyle="1" w:styleId="3506">
    <w:name w:val="标题 71"/>
    <w:basedOn w:val="1"/>
    <w:next w:val="1"/>
    <w:qFormat/>
    <w:uiPriority w:val="0"/>
    <w:pPr>
      <w:autoSpaceDE w:val="0"/>
      <w:autoSpaceDN w:val="0"/>
    </w:pPr>
    <w:rPr>
      <w:rFonts w:ascii="JKIKGP+CenturyGothic" w:eastAsia="JKIKGP+CenturyGothic"/>
      <w:sz w:val="24"/>
    </w:rPr>
  </w:style>
  <w:style w:type="paragraph" w:customStyle="1" w:styleId="3507">
    <w:name w:val="Char Char Char Char Char Char Char Char Char1"/>
    <w:basedOn w:val="1"/>
    <w:qFormat/>
    <w:uiPriority w:val="0"/>
    <w:pPr>
      <w:spacing w:line="360" w:lineRule="auto"/>
    </w:pPr>
    <w:rPr>
      <w:rFonts w:ascii="宋体" w:hAnsi="宋体" w:cs="宋体"/>
      <w:sz w:val="24"/>
    </w:rPr>
  </w:style>
  <w:style w:type="paragraph" w:customStyle="1" w:styleId="3508">
    <w:name w:val="Char Char5 Char"/>
    <w:basedOn w:val="1"/>
    <w:qFormat/>
    <w:uiPriority w:val="0"/>
    <w:pPr>
      <w:spacing w:line="360" w:lineRule="auto"/>
    </w:pPr>
    <w:rPr>
      <w:rFonts w:ascii="宋体" w:hAnsi="宋体" w:cs="宋体"/>
      <w:sz w:val="24"/>
    </w:rPr>
  </w:style>
  <w:style w:type="paragraph" w:customStyle="1" w:styleId="3509">
    <w:name w:val="样式 标题 3小标题标题3H3h33rd level第二层条3heading 3- bodyh3bh3ah..."/>
    <w:basedOn w:val="7"/>
    <w:qFormat/>
    <w:uiPriority w:val="0"/>
    <w:pPr>
      <w:keepNext w:val="0"/>
      <w:keepLines w:val="0"/>
      <w:tabs>
        <w:tab w:val="clear" w:pos="1440"/>
      </w:tabs>
      <w:spacing w:before="240" w:after="0"/>
      <w:ind w:left="0" w:firstLine="200"/>
    </w:pPr>
    <w:rPr>
      <w:rFonts w:ascii="Cambria" w:hAnsi="Cambria" w:cs="宋体"/>
      <w:kern w:val="2"/>
      <w:sz w:val="26"/>
    </w:rPr>
  </w:style>
  <w:style w:type="paragraph" w:customStyle="1" w:styleId="3510">
    <w:name w:val="1大标题"/>
    <w:basedOn w:val="5"/>
    <w:qFormat/>
    <w:uiPriority w:val="0"/>
    <w:pPr>
      <w:keepLines w:val="0"/>
      <w:spacing w:before="120" w:after="240" w:line="520" w:lineRule="exact"/>
      <w:ind w:left="0" w:firstLine="200"/>
      <w:jc w:val="center"/>
      <w:textAlignment w:val="baseline"/>
    </w:pPr>
    <w:rPr>
      <w:rFonts w:ascii="Cambria" w:cs="宋体"/>
      <w:kern w:val="32"/>
      <w:sz w:val="32"/>
      <w:szCs w:val="20"/>
    </w:rPr>
  </w:style>
  <w:style w:type="paragraph" w:customStyle="1" w:styleId="3511">
    <w:name w:val="样式 标题 3 + 段前: 6 磅"/>
    <w:basedOn w:val="7"/>
    <w:qFormat/>
    <w:uiPriority w:val="0"/>
    <w:pPr>
      <w:keepLines w:val="0"/>
      <w:tabs>
        <w:tab w:val="clear" w:pos="1440"/>
      </w:tabs>
      <w:spacing w:before="0" w:after="0" w:line="413" w:lineRule="auto"/>
      <w:ind w:left="0" w:firstLine="200"/>
    </w:pPr>
    <w:rPr>
      <w:rFonts w:ascii="Cambria" w:eastAsia="仿宋_GB2312"/>
      <w:b w:val="0"/>
      <w:bCs/>
      <w:kern w:val="2"/>
    </w:rPr>
  </w:style>
  <w:style w:type="paragraph" w:customStyle="1" w:styleId="3512">
    <w:name w:val="Char Char Char4 Char"/>
    <w:basedOn w:val="1"/>
    <w:qFormat/>
    <w:uiPriority w:val="0"/>
    <w:pPr>
      <w:spacing w:line="360" w:lineRule="auto"/>
    </w:pPr>
    <w:rPr>
      <w:rFonts w:ascii="宋体" w:hAnsi="宋体" w:cs="宋体"/>
      <w:sz w:val="24"/>
    </w:rPr>
  </w:style>
  <w:style w:type="paragraph" w:customStyle="1" w:styleId="3513">
    <w:name w:val="样式 标题 3 + (中文) 华文中宋 小三 段前: 3 磅 段后: 3 磅 行距: 多倍行距 1.5 字行"/>
    <w:basedOn w:val="7"/>
    <w:qFormat/>
    <w:uiPriority w:val="0"/>
    <w:pPr>
      <w:keepLines w:val="0"/>
      <w:tabs>
        <w:tab w:val="clear" w:pos="1440"/>
      </w:tabs>
      <w:spacing w:before="60" w:after="60" w:line="336" w:lineRule="auto"/>
      <w:ind w:left="0" w:firstLine="200"/>
    </w:pPr>
    <w:rPr>
      <w:rFonts w:ascii="Cambria" w:eastAsia="仿宋_GB2312" w:cs="宋体"/>
      <w:b w:val="0"/>
      <w:bCs/>
      <w:kern w:val="2"/>
      <w:sz w:val="30"/>
    </w:rPr>
  </w:style>
  <w:style w:type="paragraph" w:customStyle="1" w:styleId="3514">
    <w:name w:val="表格标题4"/>
    <w:basedOn w:val="51"/>
    <w:qFormat/>
    <w:uiPriority w:val="0"/>
    <w:pPr>
      <w:tabs>
        <w:tab w:val="left" w:pos="432"/>
        <w:tab w:val="clear" w:pos="1620"/>
      </w:tabs>
      <w:adjustRightInd/>
      <w:snapToGrid/>
      <w:spacing w:line="360" w:lineRule="auto"/>
      <w:ind w:left="432" w:leftChars="0" w:hanging="432" w:firstLineChars="0"/>
      <w:jc w:val="center"/>
    </w:pPr>
    <w:rPr>
      <w:b/>
      <w:sz w:val="24"/>
    </w:rPr>
  </w:style>
  <w:style w:type="paragraph" w:customStyle="1" w:styleId="3515">
    <w:name w:val="Char Char Char Char Char Char Char Char Char Char Char Char2"/>
    <w:basedOn w:val="1"/>
    <w:qFormat/>
    <w:uiPriority w:val="0"/>
    <w:pPr>
      <w:spacing w:line="360" w:lineRule="auto"/>
    </w:pPr>
    <w:rPr>
      <w:sz w:val="24"/>
    </w:rPr>
  </w:style>
  <w:style w:type="paragraph" w:customStyle="1" w:styleId="3516">
    <w:name w:val="BodyText"/>
    <w:basedOn w:val="1"/>
    <w:qFormat/>
    <w:uiPriority w:val="0"/>
    <w:pPr>
      <w:spacing w:before="120" w:line="360" w:lineRule="auto"/>
      <w:textAlignment w:val="baseline"/>
    </w:pPr>
    <w:rPr>
      <w:rFonts w:ascii="宋体" w:hAnsi="宋体"/>
      <w:color w:val="000000"/>
    </w:rPr>
  </w:style>
  <w:style w:type="paragraph" w:customStyle="1" w:styleId="3517">
    <w:name w:val="样式 样式 楷体_GB2312 四号 行距: 固定值 28 磅1 + 首行缩进:  2 字符"/>
    <w:basedOn w:val="1"/>
    <w:qFormat/>
    <w:uiPriority w:val="0"/>
    <w:pPr>
      <w:spacing w:line="500" w:lineRule="exact"/>
      <w:ind w:firstLine="482"/>
      <w:jc w:val="center"/>
    </w:pPr>
    <w:rPr>
      <w:rFonts w:ascii="宋体" w:hAnsi="宋体" w:cs="宋体"/>
      <w:b/>
      <w:bCs/>
      <w:sz w:val="24"/>
    </w:rPr>
  </w:style>
  <w:style w:type="paragraph" w:customStyle="1" w:styleId="3518">
    <w:name w:val="4标题"/>
    <w:basedOn w:val="7"/>
    <w:qFormat/>
    <w:uiPriority w:val="0"/>
    <w:pPr>
      <w:keepLines w:val="0"/>
      <w:tabs>
        <w:tab w:val="clear" w:pos="1440"/>
      </w:tabs>
      <w:spacing w:before="240" w:after="0" w:line="300" w:lineRule="auto"/>
      <w:ind w:left="628" w:hanging="628" w:hangingChars="298"/>
    </w:pPr>
    <w:rPr>
      <w:rFonts w:ascii="Cambria" w:hAnsi="Cambria" w:eastAsia="仿宋_GB2312" w:cs="宋体"/>
      <w:bCs/>
      <w:kern w:val="2"/>
      <w:sz w:val="21"/>
    </w:rPr>
  </w:style>
  <w:style w:type="paragraph" w:customStyle="1" w:styleId="3519">
    <w:name w:val="Char Char Char1 Char Char Char Char1"/>
    <w:basedOn w:val="1"/>
    <w:qFormat/>
    <w:uiPriority w:val="0"/>
    <w:rPr>
      <w:rFonts w:ascii="宋体" w:hAnsi="宋体" w:cs="Courier New"/>
      <w:sz w:val="32"/>
      <w:szCs w:val="32"/>
    </w:rPr>
  </w:style>
  <w:style w:type="paragraph" w:customStyle="1" w:styleId="3520">
    <w:name w:val="样式 样式 表格内容 + 五号 左 + 首行缩进:  1 字符"/>
    <w:basedOn w:val="1"/>
    <w:qFormat/>
    <w:uiPriority w:val="0"/>
    <w:rPr>
      <w:rFonts w:cs="宋体"/>
    </w:rPr>
  </w:style>
  <w:style w:type="paragraph" w:customStyle="1" w:styleId="3521">
    <w:name w:val="Char Char Char Char4"/>
    <w:basedOn w:val="1"/>
    <w:qFormat/>
    <w:uiPriority w:val="0"/>
  </w:style>
  <w:style w:type="paragraph" w:customStyle="1" w:styleId="3522">
    <w:name w:val="..(......)"/>
    <w:basedOn w:val="1"/>
    <w:next w:val="1"/>
    <w:qFormat/>
    <w:uiPriority w:val="0"/>
    <w:pPr>
      <w:autoSpaceDE w:val="0"/>
      <w:autoSpaceDN w:val="0"/>
    </w:pPr>
    <w:rPr>
      <w:rFonts w:ascii="宋体"/>
      <w:sz w:val="24"/>
    </w:rPr>
  </w:style>
  <w:style w:type="paragraph" w:customStyle="1" w:styleId="3523">
    <w:name w:val="Char Char Char3 Char Char Char3"/>
    <w:basedOn w:val="1"/>
    <w:qFormat/>
    <w:uiPriority w:val="0"/>
    <w:pPr>
      <w:spacing w:line="360" w:lineRule="auto"/>
    </w:pPr>
    <w:rPr>
      <w:rFonts w:ascii="宋体" w:hAnsi="宋体" w:cs="宋体"/>
      <w:sz w:val="24"/>
    </w:rPr>
  </w:style>
  <w:style w:type="paragraph" w:customStyle="1" w:styleId="3524">
    <w:name w:val="样式 标题 4 + 宋体 Char Char Char"/>
    <w:basedOn w:val="10"/>
    <w:qFormat/>
    <w:uiPriority w:val="0"/>
    <w:pPr>
      <w:spacing w:line="300" w:lineRule="auto"/>
      <w:ind w:left="1680" w:hanging="420"/>
    </w:pPr>
  </w:style>
  <w:style w:type="paragraph" w:customStyle="1" w:styleId="3525">
    <w:name w:val="Char Char Char3 Char Char Char7 Char1"/>
    <w:basedOn w:val="1"/>
    <w:qFormat/>
    <w:uiPriority w:val="0"/>
    <w:pPr>
      <w:spacing w:line="360" w:lineRule="auto"/>
    </w:pPr>
    <w:rPr>
      <w:rFonts w:ascii="宋体" w:hAnsi="宋体" w:cs="宋体"/>
      <w:sz w:val="24"/>
    </w:rPr>
  </w:style>
  <w:style w:type="paragraph" w:customStyle="1" w:styleId="3526">
    <w:name w:val="样式 表格标题 + 段后: 0.5 行"/>
    <w:basedOn w:val="25"/>
    <w:qFormat/>
    <w:uiPriority w:val="0"/>
    <w:pPr>
      <w:tabs>
        <w:tab w:val="left" w:pos="0"/>
      </w:tabs>
      <w:spacing w:line="324" w:lineRule="auto"/>
      <w:ind w:firstLine="0" w:firstLineChars="0"/>
      <w:jc w:val="center"/>
    </w:pPr>
    <w:rPr>
      <w:rFonts w:eastAsia="黑体" w:cs="宋体"/>
      <w:b/>
      <w:bCs/>
      <w:sz w:val="24"/>
      <w:szCs w:val="24"/>
      <w:lang w:val="zh-CN"/>
    </w:rPr>
  </w:style>
  <w:style w:type="paragraph" w:customStyle="1" w:styleId="3527">
    <w:name w:val="正文表"/>
    <w:basedOn w:val="1"/>
    <w:qFormat/>
    <w:uiPriority w:val="0"/>
    <w:pPr>
      <w:spacing w:line="240" w:lineRule="exact"/>
      <w:jc w:val="center"/>
    </w:pPr>
    <w:rPr>
      <w:rFonts w:ascii="仿宋_GB2312" w:hAnsi="宋体"/>
      <w:bCs/>
    </w:rPr>
  </w:style>
  <w:style w:type="paragraph" w:customStyle="1" w:styleId="3528">
    <w:name w:val="样式 页眉 + 小四"/>
    <w:basedOn w:val="1"/>
    <w:qFormat/>
    <w:uiPriority w:val="0"/>
    <w:pPr>
      <w:pBdr>
        <w:top w:val="single" w:color="auto" w:sz="6" w:space="1"/>
        <w:bottom w:val="single" w:color="auto" w:sz="6" w:space="1"/>
      </w:pBdr>
      <w:tabs>
        <w:tab w:val="center" w:pos="4153"/>
        <w:tab w:val="right" w:pos="8306"/>
      </w:tabs>
      <w:spacing w:line="440" w:lineRule="atLeast"/>
      <w:jc w:val="center"/>
    </w:pPr>
    <w:rPr>
      <w:kern w:val="24"/>
      <w:sz w:val="24"/>
    </w:rPr>
  </w:style>
  <w:style w:type="paragraph" w:customStyle="1" w:styleId="3529">
    <w:name w:val="正文 + 小五"/>
    <w:basedOn w:val="1"/>
    <w:qFormat/>
    <w:uiPriority w:val="0"/>
    <w:pPr>
      <w:shd w:val="clear" w:color="auto" w:fill="000080"/>
      <w:spacing w:line="312" w:lineRule="atLeast"/>
      <w:jc w:val="center"/>
      <w:textAlignment w:val="baseline"/>
    </w:pPr>
    <w:rPr>
      <w:sz w:val="18"/>
      <w:szCs w:val="18"/>
    </w:rPr>
  </w:style>
  <w:style w:type="paragraph" w:customStyle="1" w:styleId="3530">
    <w:name w:val="Char Char Char Char Char Char Char Char Char Char Char Char Char Char Char4"/>
    <w:basedOn w:val="1"/>
    <w:qFormat/>
    <w:uiPriority w:val="0"/>
    <w:pPr>
      <w:spacing w:line="360" w:lineRule="auto"/>
    </w:pPr>
    <w:rPr>
      <w:rFonts w:ascii="宋体" w:hAnsi="宋体" w:cs="宋体"/>
      <w:sz w:val="24"/>
    </w:rPr>
  </w:style>
  <w:style w:type="paragraph" w:customStyle="1" w:styleId="3531">
    <w:name w:val="Char Char Char Char Char Char1 Char Char Char Char Char Char Char"/>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3532">
    <w:name w:val="文字"/>
    <w:basedOn w:val="1"/>
    <w:qFormat/>
    <w:uiPriority w:val="0"/>
    <w:pPr>
      <w:spacing w:afterLines="50" w:line="360" w:lineRule="auto"/>
      <w:ind w:firstLine="420"/>
    </w:pPr>
    <w:rPr>
      <w:sz w:val="24"/>
    </w:rPr>
  </w:style>
  <w:style w:type="paragraph" w:customStyle="1" w:styleId="3533">
    <w:name w:val="Char Char Char Char Char3"/>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3534">
    <w:name w:val="8--"/>
    <w:basedOn w:val="1"/>
    <w:qFormat/>
    <w:uiPriority w:val="0"/>
    <w:pPr>
      <w:spacing w:line="360" w:lineRule="atLeast"/>
      <w:textAlignment w:val="baseline"/>
    </w:pPr>
    <w:rPr>
      <w:sz w:val="24"/>
    </w:rPr>
  </w:style>
  <w:style w:type="paragraph" w:customStyle="1" w:styleId="3535">
    <w:name w:val="样式 样式 正文文本缩进正文文字缩进 + 首行缩进:  2 字符 + 首行缩进:  2 字符"/>
    <w:basedOn w:val="1"/>
    <w:qFormat/>
    <w:uiPriority w:val="0"/>
    <w:pPr>
      <w:spacing w:line="360" w:lineRule="auto"/>
      <w:textAlignment w:val="baseline"/>
    </w:pPr>
    <w:rPr>
      <w:sz w:val="24"/>
    </w:rPr>
  </w:style>
  <w:style w:type="paragraph" w:customStyle="1" w:styleId="3536">
    <w:name w:val="正文仿宋小四"/>
    <w:basedOn w:val="1"/>
    <w:qFormat/>
    <w:uiPriority w:val="0"/>
    <w:pPr>
      <w:spacing w:line="360" w:lineRule="auto"/>
      <w:ind w:firstLine="480"/>
    </w:pPr>
    <w:rPr>
      <w:sz w:val="24"/>
    </w:rPr>
  </w:style>
  <w:style w:type="paragraph" w:customStyle="1" w:styleId="3537">
    <w:name w:val="样式 样式 标题 3 +1"/>
    <w:basedOn w:val="1"/>
    <w:qFormat/>
    <w:uiPriority w:val="0"/>
    <w:pPr>
      <w:keepNext/>
      <w:keepLines/>
      <w:tabs>
        <w:tab w:val="left" w:pos="864"/>
      </w:tabs>
      <w:spacing w:beforeLines="30" w:afterLines="30" w:line="360" w:lineRule="auto"/>
      <w:ind w:left="864" w:hanging="864"/>
      <w:outlineLvl w:val="3"/>
    </w:pPr>
    <w:rPr>
      <w:rFonts w:eastAsia="华文细黑" w:cs="宋体"/>
      <w:b/>
      <w:bCs/>
    </w:rPr>
  </w:style>
  <w:style w:type="paragraph" w:customStyle="1" w:styleId="3538">
    <w:name w:val="样式 标题 4 + 首行缩进:  2 字符"/>
    <w:basedOn w:val="10"/>
    <w:qFormat/>
    <w:uiPriority w:val="0"/>
    <w:pPr>
      <w:ind w:left="1680" w:firstLine="200"/>
    </w:pPr>
    <w:rPr>
      <w:rFonts w:ascii="Arial" w:hAnsi="Arial" w:cs="宋体"/>
      <w:szCs w:val="20"/>
    </w:rPr>
  </w:style>
  <w:style w:type="paragraph" w:customStyle="1" w:styleId="3539">
    <w:name w:val="Char Char Char3 Char Char Char4 Char Char Char1 Char Char Char Char Char1"/>
    <w:basedOn w:val="1"/>
    <w:qFormat/>
    <w:uiPriority w:val="0"/>
    <w:pPr>
      <w:spacing w:line="360" w:lineRule="auto"/>
    </w:pPr>
    <w:rPr>
      <w:rFonts w:ascii="宋体" w:hAnsi="宋体" w:cs="宋体"/>
      <w:sz w:val="24"/>
    </w:rPr>
  </w:style>
  <w:style w:type="paragraph" w:customStyle="1" w:styleId="3540">
    <w:name w:val="正文文本 312"/>
    <w:basedOn w:val="1"/>
    <w:qFormat/>
    <w:uiPriority w:val="0"/>
    <w:pPr>
      <w:spacing w:line="240" w:lineRule="atLeast"/>
      <w:jc w:val="center"/>
      <w:textAlignment w:val="baseline"/>
    </w:pPr>
    <w:rPr>
      <w:rFonts w:ascii="宋体"/>
      <w:sz w:val="18"/>
    </w:rPr>
  </w:style>
  <w:style w:type="paragraph" w:customStyle="1" w:styleId="3541">
    <w:name w:val="第1章"/>
    <w:basedOn w:val="1"/>
    <w:qFormat/>
    <w:uiPriority w:val="0"/>
    <w:pPr>
      <w:spacing w:before="600" w:after="360" w:line="240" w:lineRule="atLeast"/>
      <w:jc w:val="center"/>
      <w:outlineLvl w:val="0"/>
    </w:pPr>
    <w:rPr>
      <w:rFonts w:ascii="楷体_GB2312" w:eastAsia="楷体_GB2312"/>
      <w:b/>
      <w:spacing w:val="6"/>
      <w:sz w:val="32"/>
    </w:rPr>
  </w:style>
  <w:style w:type="paragraph" w:customStyle="1" w:styleId="3542">
    <w:name w:val="Char Char Char1 Char Char Char1 Char Char Char Char"/>
    <w:basedOn w:val="1"/>
    <w:qFormat/>
    <w:uiPriority w:val="0"/>
    <w:pPr>
      <w:spacing w:line="360" w:lineRule="auto"/>
    </w:pPr>
    <w:rPr>
      <w:rFonts w:ascii="宋体" w:hAnsi="宋体" w:cs="宋体"/>
      <w:sz w:val="24"/>
    </w:rPr>
  </w:style>
  <w:style w:type="paragraph" w:customStyle="1" w:styleId="3543">
    <w:name w:val="表内5S"/>
    <w:basedOn w:val="1"/>
    <w:qFormat/>
    <w:uiPriority w:val="0"/>
    <w:pPr>
      <w:spacing w:line="300" w:lineRule="atLeast"/>
      <w:jc w:val="center"/>
    </w:pPr>
    <w:rPr>
      <w:rFonts w:eastAsia="方正宋三简体"/>
    </w:rPr>
  </w:style>
  <w:style w:type="paragraph" w:customStyle="1" w:styleId="3544">
    <w:name w:val="样式 样式 标题 22nd levelh22Header 2H2UNDERRUBRIK 1-2Titre2l2一级节...1 +..."/>
    <w:basedOn w:val="1"/>
    <w:qFormat/>
    <w:uiPriority w:val="0"/>
    <w:pPr>
      <w:widowControl w:val="0"/>
      <w:spacing w:beforeLines="50" w:afterLines="50" w:line="500" w:lineRule="exact"/>
      <w:textAlignment w:val="baseline"/>
      <w:outlineLvl w:val="1"/>
    </w:pPr>
    <w:rPr>
      <w:rFonts w:eastAsia="黑体"/>
      <w:bCs/>
      <w:szCs w:val="28"/>
    </w:rPr>
  </w:style>
  <w:style w:type="paragraph" w:customStyle="1" w:styleId="3545">
    <w:name w:val="myformat_content Char"/>
    <w:basedOn w:val="1"/>
    <w:qFormat/>
    <w:uiPriority w:val="0"/>
    <w:pPr>
      <w:spacing w:before="156" w:after="156" w:line="360" w:lineRule="exact"/>
      <w:ind w:firstLine="480"/>
    </w:pPr>
    <w:rPr>
      <w:sz w:val="24"/>
    </w:rPr>
  </w:style>
  <w:style w:type="paragraph" w:customStyle="1" w:styleId="3546">
    <w:name w:val="项目"/>
    <w:basedOn w:val="1"/>
    <w:qFormat/>
    <w:uiPriority w:val="0"/>
    <w:pPr>
      <w:tabs>
        <w:tab w:val="left" w:pos="432"/>
      </w:tabs>
      <w:spacing w:line="360" w:lineRule="atLeast"/>
      <w:ind w:left="432" w:hanging="432"/>
      <w:textAlignment w:val="baseline"/>
    </w:pPr>
    <w:rPr>
      <w:sz w:val="24"/>
    </w:rPr>
  </w:style>
  <w:style w:type="paragraph" w:customStyle="1" w:styleId="3547">
    <w:name w:val="样式 样式 四号 行距: 固定值 26 磅 + 首行缩进:  2 字符"/>
    <w:basedOn w:val="1"/>
    <w:qFormat/>
    <w:uiPriority w:val="0"/>
    <w:pPr>
      <w:jc w:val="center"/>
    </w:pPr>
    <w:rPr>
      <w:rFonts w:ascii="黑体" w:eastAsia="黑体"/>
      <w:snapToGrid w:val="0"/>
      <w:sz w:val="24"/>
    </w:rPr>
  </w:style>
  <w:style w:type="paragraph" w:customStyle="1" w:styleId="3548">
    <w:name w:val="Char Char Char Char Char Char5"/>
    <w:basedOn w:val="1"/>
    <w:qFormat/>
    <w:uiPriority w:val="0"/>
  </w:style>
  <w:style w:type="paragraph" w:customStyle="1" w:styleId="3549">
    <w:name w:val="Char Char Char3 Char Char"/>
    <w:basedOn w:val="1"/>
    <w:qFormat/>
    <w:uiPriority w:val="0"/>
    <w:pPr>
      <w:spacing w:line="360" w:lineRule="auto"/>
    </w:pPr>
    <w:rPr>
      <w:rFonts w:ascii="宋体" w:hAnsi="宋体" w:cs="宋体"/>
      <w:sz w:val="24"/>
    </w:rPr>
  </w:style>
  <w:style w:type="paragraph" w:customStyle="1" w:styleId="3550">
    <w:name w:val="box1"/>
    <w:basedOn w:val="1"/>
    <w:qFormat/>
    <w:uiPriority w:val="0"/>
    <w:pPr>
      <w:spacing w:before="100" w:beforeAutospacing="1" w:after="100" w:afterAutospacing="1"/>
    </w:pPr>
    <w:rPr>
      <w:rFonts w:ascii="宋体" w:hAnsi="宋体" w:cs="宋体"/>
      <w:sz w:val="24"/>
    </w:rPr>
  </w:style>
  <w:style w:type="paragraph" w:customStyle="1" w:styleId="3551">
    <w:name w:val="样式 标题 4款标题1.1.1.1标题 4 Char[三级节名]h4H4条 2[三级节名]1[三级节名]2四...2"/>
    <w:basedOn w:val="10"/>
    <w:qFormat/>
    <w:uiPriority w:val="0"/>
    <w:pPr>
      <w:spacing w:before="80" w:after="80"/>
      <w:ind w:left="1680" w:hanging="420"/>
    </w:pPr>
    <w:rPr>
      <w:rFonts w:cs="宋体"/>
      <w:bCs w:val="0"/>
      <w:szCs w:val="20"/>
    </w:rPr>
  </w:style>
  <w:style w:type="paragraph" w:customStyle="1" w:styleId="3552">
    <w:name w:val="样式 标题 1 + (中文) 华文中宋"/>
    <w:basedOn w:val="5"/>
    <w:qFormat/>
    <w:uiPriority w:val="0"/>
    <w:pPr>
      <w:keepLines w:val="0"/>
      <w:spacing w:line="576" w:lineRule="auto"/>
      <w:ind w:left="0" w:firstLine="200"/>
      <w:jc w:val="center"/>
    </w:pPr>
    <w:rPr>
      <w:rFonts w:ascii="Cambria" w:hAnsi="Cambria" w:eastAsia="华文中宋"/>
      <w:bCs w:val="0"/>
      <w:kern w:val="32"/>
    </w:rPr>
  </w:style>
  <w:style w:type="paragraph" w:customStyle="1" w:styleId="3553">
    <w:name w:val="样式 样式 表格标题 + 段前: 0.5 行 + 段前: 0.5 行1"/>
    <w:basedOn w:val="1"/>
    <w:qFormat/>
    <w:uiPriority w:val="0"/>
    <w:pPr>
      <w:autoSpaceDE w:val="0"/>
      <w:autoSpaceDN w:val="0"/>
      <w:spacing w:line="240" w:lineRule="exact"/>
      <w:jc w:val="center"/>
    </w:pPr>
    <w:rPr>
      <w:rFonts w:ascii="仿宋_GB2312" w:cs="宋体"/>
      <w:b/>
      <w:sz w:val="24"/>
      <w:lang w:val="zh-CN"/>
    </w:rPr>
  </w:style>
  <w:style w:type="paragraph" w:customStyle="1" w:styleId="3554">
    <w:name w:val="表图号"/>
    <w:basedOn w:val="1"/>
    <w:qFormat/>
    <w:uiPriority w:val="0"/>
    <w:pPr>
      <w:spacing w:beforeLines="10" w:afterLines="10" w:line="360" w:lineRule="auto"/>
      <w:ind w:firstLine="480"/>
    </w:pPr>
    <w:rPr>
      <w:rFonts w:ascii="宋体" w:hAnsi="宋体" w:eastAsia="黑体" w:cs="宋体"/>
      <w:sz w:val="24"/>
      <w:szCs w:val="21"/>
    </w:rPr>
  </w:style>
  <w:style w:type="paragraph" w:customStyle="1" w:styleId="3555">
    <w:name w:val="标题 711"/>
    <w:basedOn w:val="1"/>
    <w:next w:val="1"/>
    <w:qFormat/>
    <w:uiPriority w:val="0"/>
    <w:pPr>
      <w:autoSpaceDE w:val="0"/>
      <w:autoSpaceDN w:val="0"/>
    </w:pPr>
    <w:rPr>
      <w:rFonts w:ascii="JKIKGP+CenturyGothic" w:eastAsia="JKIKGP+CenturyGothic"/>
      <w:sz w:val="24"/>
    </w:rPr>
  </w:style>
  <w:style w:type="paragraph" w:customStyle="1" w:styleId="3556">
    <w:name w:val="gg_body"/>
    <w:basedOn w:val="1"/>
    <w:qFormat/>
    <w:uiPriority w:val="0"/>
    <w:pPr>
      <w:spacing w:line="460" w:lineRule="exact"/>
      <w:textAlignment w:val="baseline"/>
    </w:pPr>
    <w:rPr>
      <w:rFonts w:ascii="宋体" w:hAnsi="宋体"/>
      <w:sz w:val="24"/>
    </w:rPr>
  </w:style>
  <w:style w:type="paragraph" w:customStyle="1" w:styleId="3557">
    <w:name w:val="Char Char Char Char Char Char Char Char Char Char3"/>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3558">
    <w:name w:val="样式 标题 2标题 2 Char + 黑色"/>
    <w:basedOn w:val="6"/>
    <w:qFormat/>
    <w:uiPriority w:val="0"/>
    <w:pPr>
      <w:widowControl w:val="0"/>
      <w:tabs>
        <w:tab w:val="clear" w:pos="1080"/>
      </w:tabs>
      <w:spacing w:beforeLines="50" w:afterLines="50" w:line="360" w:lineRule="auto"/>
      <w:ind w:left="0" w:firstLine="200"/>
    </w:pPr>
    <w:rPr>
      <w:rFonts w:eastAsia="仿宋_GB2312"/>
      <w:bCs/>
      <w:color w:val="000000"/>
      <w:kern w:val="2"/>
      <w:sz w:val="28"/>
      <w:szCs w:val="30"/>
    </w:rPr>
  </w:style>
  <w:style w:type="paragraph" w:customStyle="1" w:styleId="3559">
    <w:name w:val="Char Char Char3 Char Char Char11"/>
    <w:basedOn w:val="1"/>
    <w:qFormat/>
    <w:uiPriority w:val="0"/>
    <w:pPr>
      <w:spacing w:line="360" w:lineRule="auto"/>
    </w:pPr>
    <w:rPr>
      <w:rFonts w:ascii="宋体" w:hAnsi="宋体" w:cs="宋体"/>
      <w:sz w:val="24"/>
    </w:rPr>
  </w:style>
  <w:style w:type="paragraph" w:customStyle="1" w:styleId="3560">
    <w:name w:val="Char Char Char3 Char Char Char31"/>
    <w:basedOn w:val="1"/>
    <w:qFormat/>
    <w:uiPriority w:val="0"/>
    <w:pPr>
      <w:spacing w:line="360" w:lineRule="auto"/>
    </w:pPr>
    <w:rPr>
      <w:rFonts w:ascii="宋体" w:hAnsi="宋体" w:cs="宋体"/>
      <w:sz w:val="24"/>
    </w:rPr>
  </w:style>
  <w:style w:type="paragraph" w:customStyle="1" w:styleId="3561">
    <w:name w:val="样式1-正文z"/>
    <w:basedOn w:val="1"/>
    <w:qFormat/>
    <w:uiPriority w:val="0"/>
    <w:pPr>
      <w:spacing w:line="380" w:lineRule="exact"/>
      <w:ind w:firstLine="482"/>
      <w:textAlignment w:val="center"/>
    </w:pPr>
    <w:rPr>
      <w:snapToGrid w:val="0"/>
      <w:sz w:val="24"/>
    </w:rPr>
  </w:style>
  <w:style w:type="paragraph" w:customStyle="1" w:styleId="3562">
    <w:name w:val="标题 4新"/>
    <w:basedOn w:val="10"/>
    <w:qFormat/>
    <w:uiPriority w:val="0"/>
    <w:pPr>
      <w:tabs>
        <w:tab w:val="left" w:pos="864"/>
        <w:tab w:val="left" w:pos="1260"/>
        <w:tab w:val="clear" w:pos="851"/>
      </w:tabs>
      <w:spacing w:before="60"/>
      <w:ind w:left="864" w:hanging="864"/>
    </w:pPr>
    <w:rPr>
      <w:bCs w:val="0"/>
    </w:rPr>
  </w:style>
  <w:style w:type="paragraph" w:customStyle="1" w:styleId="3563">
    <w:name w:val="样式 标题 2二级标题标题 lxb2标题21.1H2h2第一层条二级标题 Char表标题单位名4.1Se..."/>
    <w:basedOn w:val="6"/>
    <w:qFormat/>
    <w:uiPriority w:val="0"/>
    <w:pPr>
      <w:keepLines w:val="0"/>
      <w:tabs>
        <w:tab w:val="left" w:pos="227"/>
        <w:tab w:val="clear" w:pos="1080"/>
      </w:tabs>
      <w:spacing w:beforeLines="30" w:afterLines="30"/>
      <w:ind w:left="29" w:firstLine="57"/>
    </w:pPr>
    <w:rPr>
      <w:rFonts w:eastAsia="华文细黑" w:cs="宋体"/>
      <w:i/>
      <w:iCs/>
      <w:color w:val="000000"/>
      <w:kern w:val="2"/>
      <w:sz w:val="30"/>
    </w:rPr>
  </w:style>
  <w:style w:type="paragraph" w:customStyle="1" w:styleId="3564">
    <w:name w:val="样式 标题 2标题 2 Char标题 21章标题h2sect 1.2H2Chapter Number/Append...1"/>
    <w:basedOn w:val="6"/>
    <w:qFormat/>
    <w:uiPriority w:val="0"/>
    <w:pPr>
      <w:widowControl w:val="0"/>
      <w:tabs>
        <w:tab w:val="clear" w:pos="1080"/>
      </w:tabs>
      <w:spacing w:before="60" w:after="60" w:line="416" w:lineRule="auto"/>
      <w:ind w:left="0" w:firstLine="200"/>
    </w:pPr>
    <w:rPr>
      <w:rFonts w:ascii="黑体" w:hAnsi="Arial" w:cs="宋体"/>
      <w:b w:val="0"/>
      <w:bCs/>
      <w:kern w:val="2"/>
      <w:sz w:val="30"/>
    </w:rPr>
  </w:style>
  <w:style w:type="paragraph" w:customStyle="1" w:styleId="3565">
    <w:name w:val="样式 普通文字 + 首行缩进:  2 字符"/>
    <w:basedOn w:val="49"/>
    <w:qFormat/>
    <w:uiPriority w:val="0"/>
    <w:pPr>
      <w:spacing w:line="480" w:lineRule="exact"/>
      <w:ind w:firstLine="512"/>
    </w:pPr>
    <w:rPr>
      <w:rFonts w:ascii="Times New Roman" w:hAnsi="Times New Roman" w:cs="宋体"/>
      <w:kern w:val="2"/>
      <w:sz w:val="24"/>
    </w:rPr>
  </w:style>
  <w:style w:type="paragraph" w:customStyle="1" w:styleId="3566">
    <w:name w:val="无间隔2"/>
    <w:qFormat/>
    <w:uiPriority w:val="0"/>
    <w:pPr>
      <w:widowControl w:val="0"/>
      <w:suppressAutoHyphens/>
      <w:spacing w:line="320" w:lineRule="exact"/>
      <w:jc w:val="both"/>
    </w:pPr>
    <w:rPr>
      <w:rFonts w:ascii="Arial" w:hAnsi="Arial" w:eastAsia="宋体" w:cs="Times New Roman"/>
      <w:kern w:val="1"/>
      <w:sz w:val="21"/>
      <w:lang w:val="en-US" w:eastAsia="zh-CN" w:bidi="ar-SA"/>
    </w:rPr>
  </w:style>
  <w:style w:type="paragraph" w:customStyle="1" w:styleId="3567">
    <w:name w:val="3标题(治)"/>
    <w:basedOn w:val="7"/>
    <w:qFormat/>
    <w:uiPriority w:val="0"/>
    <w:pPr>
      <w:keepLines w:val="0"/>
      <w:tabs>
        <w:tab w:val="clear" w:pos="1440"/>
      </w:tabs>
      <w:spacing w:before="0" w:after="0"/>
      <w:ind w:left="0" w:firstLine="200"/>
      <w:textAlignment w:val="baseline"/>
      <w:outlineLvl w:val="1"/>
    </w:pPr>
    <w:rPr>
      <w:rFonts w:ascii="Cambria" w:hAnsi="Cambria"/>
      <w:bCs/>
      <w:kern w:val="2"/>
      <w:szCs w:val="32"/>
    </w:rPr>
  </w:style>
  <w:style w:type="paragraph" w:customStyle="1" w:styleId="3568">
    <w:name w:val="正文文字（首行缩进2字）"/>
    <w:basedOn w:val="1"/>
    <w:qFormat/>
    <w:uiPriority w:val="0"/>
    <w:pPr>
      <w:autoSpaceDE w:val="0"/>
      <w:autoSpaceDN w:val="0"/>
      <w:spacing w:line="360" w:lineRule="auto"/>
    </w:pPr>
    <w:rPr>
      <w:rFonts w:ascii="Arial" w:hAnsi="Arial"/>
      <w:position w:val="-30"/>
      <w:sz w:val="24"/>
    </w:rPr>
  </w:style>
  <w:style w:type="paragraph" w:customStyle="1" w:styleId="3569">
    <w:name w:val="样式 标题 4 + Times New Roman 非加粗 黑色 首行缩进:  2 字符"/>
    <w:basedOn w:val="10"/>
    <w:qFormat/>
    <w:uiPriority w:val="0"/>
    <w:pPr>
      <w:spacing w:before="100" w:beforeAutospacing="1" w:after="100" w:afterAutospacing="1"/>
      <w:ind w:left="1680" w:firstLine="480"/>
    </w:pPr>
    <w:rPr>
      <w:rFonts w:cs="宋体"/>
      <w:bCs w:val="0"/>
      <w:color w:val="000000"/>
    </w:rPr>
  </w:style>
  <w:style w:type="paragraph" w:customStyle="1" w:styleId="3570">
    <w:name w:val="样式 报告正文 + 首行缩进:  2 字符"/>
    <w:basedOn w:val="1"/>
    <w:qFormat/>
    <w:uiPriority w:val="0"/>
    <w:pPr>
      <w:keepNext/>
      <w:spacing w:line="500" w:lineRule="exact"/>
      <w:ind w:firstLine="560"/>
      <w:outlineLvl w:val="1"/>
    </w:pPr>
    <w:rPr>
      <w:rFonts w:eastAsia="楷体_GB2312" w:cs="宋体"/>
    </w:rPr>
  </w:style>
  <w:style w:type="paragraph" w:customStyle="1" w:styleId="3571">
    <w:name w:val="自定义正文 Char Char Char Char Char Char Char Char"/>
    <w:qFormat/>
    <w:uiPriority w:val="0"/>
    <w:pPr>
      <w:widowControl w:val="0"/>
      <w:topLinePunct/>
      <w:adjustRightInd w:val="0"/>
      <w:snapToGrid w:val="0"/>
      <w:spacing w:line="360" w:lineRule="auto"/>
      <w:ind w:firstLine="510"/>
      <w:jc w:val="both"/>
    </w:pPr>
    <w:rPr>
      <w:rFonts w:ascii="Calibri" w:hAnsi="Calibri" w:eastAsia="宋体" w:cs="Times New Roman"/>
      <w:kern w:val="2"/>
      <w:position w:val="-28"/>
      <w:sz w:val="28"/>
      <w:szCs w:val="28"/>
      <w:lang w:val="en-US" w:eastAsia="zh-CN" w:bidi="ar-SA"/>
    </w:rPr>
  </w:style>
  <w:style w:type="paragraph" w:customStyle="1" w:styleId="3572">
    <w:name w:val="报告书正文 Char Char Char"/>
    <w:basedOn w:val="1"/>
    <w:qFormat/>
    <w:uiPriority w:val="0"/>
    <w:pPr>
      <w:spacing w:line="300" w:lineRule="auto"/>
      <w:ind w:firstLine="480"/>
    </w:pPr>
    <w:rPr>
      <w:rFonts w:ascii="宋体" w:hAnsi="宋体"/>
      <w:sz w:val="24"/>
    </w:rPr>
  </w:style>
  <w:style w:type="paragraph" w:customStyle="1" w:styleId="3573">
    <w:name w:val="样式 (中文) 黑体 小四 左 行距: 1.5 倍行距"/>
    <w:basedOn w:val="1"/>
    <w:qFormat/>
    <w:uiPriority w:val="0"/>
    <w:pPr>
      <w:spacing w:line="360" w:lineRule="auto"/>
      <w:ind w:firstLine="420" w:firstLineChars="168"/>
      <w:textAlignment w:val="baseline"/>
    </w:pPr>
    <w:rPr>
      <w:rFonts w:cs="宋体"/>
      <w:spacing w:val="5"/>
      <w:sz w:val="24"/>
    </w:rPr>
  </w:style>
  <w:style w:type="paragraph" w:customStyle="1" w:styleId="3574">
    <w:name w:val="11正"/>
    <w:basedOn w:val="1"/>
    <w:qFormat/>
    <w:uiPriority w:val="0"/>
    <w:pPr>
      <w:spacing w:beforeLines="25" w:afterLines="25" w:line="400" w:lineRule="exact"/>
    </w:pPr>
    <w:rPr>
      <w:color w:val="000000"/>
      <w:sz w:val="24"/>
    </w:rPr>
  </w:style>
  <w:style w:type="paragraph" w:customStyle="1" w:styleId="3575">
    <w:name w:val="图表正文"/>
    <w:basedOn w:val="1"/>
    <w:qFormat/>
    <w:uiPriority w:val="0"/>
    <w:pPr>
      <w:spacing w:beforeLines="2" w:afterLines="2" w:line="320" w:lineRule="exact"/>
      <w:jc w:val="center"/>
    </w:pPr>
    <w:rPr>
      <w:rFonts w:ascii="宋体" w:hAnsi="宋体"/>
    </w:rPr>
  </w:style>
  <w:style w:type="paragraph" w:customStyle="1" w:styleId="3576">
    <w:name w:val="插图"/>
    <w:basedOn w:val="1"/>
    <w:next w:val="1"/>
    <w:qFormat/>
    <w:uiPriority w:val="0"/>
    <w:pPr>
      <w:keepLines/>
      <w:spacing w:before="360" w:after="300" w:line="567" w:lineRule="atLeast"/>
      <w:jc w:val="center"/>
      <w:textAlignment w:val="baseline"/>
    </w:pPr>
    <w:rPr>
      <w:spacing w:val="6"/>
      <w:sz w:val="24"/>
    </w:rPr>
  </w:style>
  <w:style w:type="paragraph" w:customStyle="1" w:styleId="3577">
    <w:name w:val="c3"/>
    <w:basedOn w:val="1"/>
    <w:qFormat/>
    <w:uiPriority w:val="0"/>
    <w:rPr>
      <w:rFonts w:ascii="宋体" w:hAnsi="宋体"/>
      <w:b/>
    </w:rPr>
  </w:style>
  <w:style w:type="paragraph" w:customStyle="1" w:styleId="3578">
    <w:name w:val="样式 样式 标题 3条标题1.1.13h33rd levelH3l3CT + Times New Roman + 段前: 0.5..."/>
    <w:basedOn w:val="1"/>
    <w:qFormat/>
    <w:uiPriority w:val="0"/>
    <w:pPr>
      <w:keepNext/>
      <w:keepLines/>
      <w:tabs>
        <w:tab w:val="left" w:pos="806"/>
      </w:tabs>
      <w:spacing w:beforeLines="100" w:afterLines="100"/>
      <w:ind w:left="806"/>
      <w:textAlignment w:val="baseline"/>
      <w:outlineLvl w:val="2"/>
    </w:pPr>
    <w:rPr>
      <w:b/>
    </w:rPr>
  </w:style>
  <w:style w:type="paragraph" w:customStyle="1" w:styleId="3579">
    <w:name w:val="Char Char Char3 Char Char Char5"/>
    <w:basedOn w:val="1"/>
    <w:qFormat/>
    <w:uiPriority w:val="0"/>
    <w:pPr>
      <w:spacing w:line="360" w:lineRule="auto"/>
    </w:pPr>
    <w:rPr>
      <w:rFonts w:ascii="宋体" w:hAnsi="宋体" w:cs="宋体"/>
      <w:sz w:val="24"/>
    </w:rPr>
  </w:style>
  <w:style w:type="paragraph" w:customStyle="1" w:styleId="3580">
    <w:name w:val="样式 样式 样式 标题 3标题 33 + 段前: 0.5 行 + 段前: 0.5 行 + 段前: 6 磅 段后: 0.5 行"/>
    <w:basedOn w:val="1"/>
    <w:qFormat/>
    <w:uiPriority w:val="0"/>
    <w:pPr>
      <w:keepNext/>
      <w:keepLines/>
      <w:spacing w:line="360" w:lineRule="auto"/>
      <w:textAlignment w:val="baseline"/>
      <w:outlineLvl w:val="2"/>
    </w:pPr>
    <w:rPr>
      <w:rFonts w:ascii="黑体" w:hAnsi="宋体" w:eastAsia="黑体"/>
      <w:snapToGrid w:val="0"/>
      <w:color w:val="FF0000"/>
      <w:sz w:val="24"/>
    </w:rPr>
  </w:style>
  <w:style w:type="paragraph" w:customStyle="1" w:styleId="3581">
    <w:name w:val="表目录"/>
    <w:basedOn w:val="1"/>
    <w:qFormat/>
    <w:uiPriority w:val="0"/>
    <w:pPr>
      <w:spacing w:line="360" w:lineRule="auto"/>
    </w:pPr>
    <w:rPr>
      <w:rFonts w:ascii="黑体" w:eastAsia="黑体"/>
    </w:rPr>
  </w:style>
  <w:style w:type="paragraph" w:customStyle="1" w:styleId="3582">
    <w:name w:val="样式 标题 4 + (西文) Times New Roman (中文) 楷体_GB2312 非加粗 黑色 首行缩进:  ..."/>
    <w:basedOn w:val="10"/>
    <w:qFormat/>
    <w:uiPriority w:val="0"/>
    <w:pPr>
      <w:spacing w:before="0" w:after="0" w:line="360" w:lineRule="auto"/>
      <w:ind w:left="0" w:firstLine="200"/>
    </w:pPr>
    <w:rPr>
      <w:b w:val="0"/>
      <w:color w:val="000000"/>
      <w:szCs w:val="20"/>
    </w:rPr>
  </w:style>
  <w:style w:type="paragraph" w:customStyle="1" w:styleId="3583">
    <w:name w:val="图表正文加粗"/>
    <w:basedOn w:val="2337"/>
    <w:next w:val="3575"/>
    <w:qFormat/>
    <w:uiPriority w:val="0"/>
    <w:pPr>
      <w:spacing w:line="240" w:lineRule="auto"/>
      <w:ind w:firstLine="200"/>
    </w:pPr>
    <w:rPr>
      <w:b/>
      <w:color w:val="000000"/>
      <w:sz w:val="28"/>
      <w:szCs w:val="24"/>
    </w:rPr>
  </w:style>
  <w:style w:type="paragraph" w:customStyle="1" w:styleId="3584">
    <w:name w:val="BG5-"/>
    <w:basedOn w:val="1"/>
    <w:qFormat/>
    <w:uiPriority w:val="0"/>
    <w:pPr>
      <w:autoSpaceDE w:val="0"/>
      <w:autoSpaceDN w:val="0"/>
      <w:spacing w:line="180" w:lineRule="exact"/>
      <w:jc w:val="center"/>
      <w:textAlignment w:val="baseline"/>
    </w:pPr>
    <w:rPr>
      <w:rFonts w:ascii="@宋体"/>
      <w:sz w:val="18"/>
    </w:rPr>
  </w:style>
  <w:style w:type="paragraph" w:customStyle="1" w:styleId="3585">
    <w:name w:val="Char13 Char Char Char Char Char Char"/>
    <w:basedOn w:val="1"/>
    <w:qFormat/>
    <w:uiPriority w:val="0"/>
    <w:pPr>
      <w:spacing w:line="360" w:lineRule="auto"/>
    </w:pPr>
    <w:rPr>
      <w:rFonts w:ascii="宋体" w:hAnsi="宋体" w:cs="宋体"/>
      <w:sz w:val="24"/>
    </w:rPr>
  </w:style>
  <w:style w:type="paragraph" w:customStyle="1" w:styleId="3586">
    <w:name w:val="标题5 Char Char Char"/>
    <w:basedOn w:val="1"/>
    <w:qFormat/>
    <w:uiPriority w:val="0"/>
    <w:pPr>
      <w:tabs>
        <w:tab w:val="left" w:pos="170"/>
      </w:tabs>
      <w:spacing w:line="360" w:lineRule="auto"/>
      <w:ind w:left="624" w:hanging="227"/>
      <w:outlineLvl w:val="3"/>
    </w:pPr>
    <w:rPr>
      <w:sz w:val="24"/>
    </w:rPr>
  </w:style>
  <w:style w:type="paragraph" w:customStyle="1" w:styleId="3587">
    <w:name w:val="大妹正文"/>
    <w:basedOn w:val="5"/>
    <w:qFormat/>
    <w:uiPriority w:val="0"/>
    <w:pPr>
      <w:keepNext w:val="0"/>
      <w:keepLines w:val="0"/>
      <w:spacing w:beforeLines="100" w:after="0" w:line="520" w:lineRule="exact"/>
      <w:ind w:left="0" w:firstLine="420"/>
      <w:jc w:val="center"/>
      <w:outlineLvl w:val="9"/>
    </w:pPr>
    <w:rPr>
      <w:rFonts w:ascii="Cambria"/>
      <w:kern w:val="2"/>
      <w:sz w:val="21"/>
      <w:szCs w:val="20"/>
    </w:rPr>
  </w:style>
  <w:style w:type="paragraph" w:customStyle="1" w:styleId="3588">
    <w:name w:val="Char Char Char Char Char Char1 Char Char Char1 Char"/>
    <w:basedOn w:val="1"/>
    <w:qFormat/>
    <w:uiPriority w:val="0"/>
    <w:pPr>
      <w:spacing w:line="360" w:lineRule="auto"/>
    </w:pPr>
    <w:rPr>
      <w:rFonts w:ascii="仿宋_GB2312" w:hAnsi="仿宋_GB2312" w:cs="宋体"/>
      <w:sz w:val="24"/>
    </w:rPr>
  </w:style>
  <w:style w:type="paragraph" w:customStyle="1" w:styleId="3589">
    <w:name w:val="样式 标题 4款标题1.1.1.1标题 4 Char[三级节名]h4H4条 2[三级节名]1[三级节名]2四..."/>
    <w:basedOn w:val="10"/>
    <w:qFormat/>
    <w:uiPriority w:val="0"/>
    <w:pPr>
      <w:ind w:left="1680" w:hanging="420"/>
    </w:pPr>
  </w:style>
  <w:style w:type="paragraph" w:customStyle="1" w:styleId="3590">
    <w:name w:val="样式 标题 4(一)条，(一)L4H4款标题1.1.1.1表图题款标题h41.1.1.1款标题 Char +..."/>
    <w:basedOn w:val="10"/>
    <w:qFormat/>
    <w:uiPriority w:val="0"/>
    <w:pPr>
      <w:keepNext w:val="0"/>
      <w:tabs>
        <w:tab w:val="left" w:pos="864"/>
        <w:tab w:val="clear" w:pos="851"/>
      </w:tabs>
      <w:spacing w:before="60" w:line="360" w:lineRule="auto"/>
      <w:ind w:left="864" w:hanging="864"/>
    </w:pPr>
    <w:rPr>
      <w:rFonts w:eastAsia="黑体" w:cs="宋体"/>
      <w:color w:val="000000"/>
      <w:szCs w:val="20"/>
    </w:rPr>
  </w:style>
  <w:style w:type="paragraph" w:customStyle="1" w:styleId="3591">
    <w:name w:val="征文"/>
    <w:basedOn w:val="1"/>
    <w:qFormat/>
    <w:uiPriority w:val="0"/>
    <w:pPr>
      <w:spacing w:line="312" w:lineRule="auto"/>
      <w:jc w:val="center"/>
      <w:textAlignment w:val="baseline"/>
    </w:pPr>
    <w:rPr>
      <w:rFonts w:ascii="宋体" w:hAnsi="宋体"/>
    </w:rPr>
  </w:style>
  <w:style w:type="paragraph" w:customStyle="1" w:styleId="3592">
    <w:name w:val="Char Char5 Char Char Char Char Char Char Char"/>
    <w:basedOn w:val="1"/>
    <w:next w:val="1"/>
    <w:qFormat/>
    <w:uiPriority w:val="0"/>
    <w:pPr>
      <w:spacing w:line="360" w:lineRule="auto"/>
    </w:pPr>
    <w:rPr>
      <w:rFonts w:ascii="宋体" w:hAnsi="宋体"/>
      <w:sz w:val="24"/>
    </w:rPr>
  </w:style>
  <w:style w:type="paragraph" w:customStyle="1" w:styleId="3593">
    <w:name w:val="Char Char Char3 Char Char Char7 Char"/>
    <w:basedOn w:val="1"/>
    <w:qFormat/>
    <w:uiPriority w:val="0"/>
    <w:pPr>
      <w:spacing w:line="360" w:lineRule="auto"/>
    </w:pPr>
    <w:rPr>
      <w:rFonts w:ascii="宋体" w:hAnsi="宋体" w:cs="宋体"/>
      <w:sz w:val="24"/>
    </w:rPr>
  </w:style>
  <w:style w:type="paragraph" w:customStyle="1" w:styleId="3594">
    <w:name w:val="框文－小5"/>
    <w:basedOn w:val="70"/>
    <w:qFormat/>
    <w:uiPriority w:val="0"/>
    <w:pPr>
      <w:ind w:left="0" w:firstLine="0" w:firstLineChars="0"/>
    </w:pPr>
    <w:rPr>
      <w:rFonts w:ascii="Times New Roman" w:eastAsia="仿宋_GB2312"/>
      <w:sz w:val="18"/>
    </w:rPr>
  </w:style>
  <w:style w:type="paragraph" w:customStyle="1" w:styleId="3595">
    <w:name w:val="Char Char Char3 Char Char Char4 Char Char Char"/>
    <w:basedOn w:val="1"/>
    <w:qFormat/>
    <w:uiPriority w:val="0"/>
    <w:pPr>
      <w:spacing w:line="360" w:lineRule="auto"/>
    </w:pPr>
    <w:rPr>
      <w:rFonts w:ascii="宋体" w:hAnsi="宋体" w:cs="宋体"/>
      <w:sz w:val="24"/>
    </w:rPr>
  </w:style>
  <w:style w:type="paragraph" w:customStyle="1" w:styleId="3596">
    <w:name w:val="评估内容"/>
    <w:qFormat/>
    <w:uiPriority w:val="0"/>
    <w:pPr>
      <w:widowControl w:val="0"/>
      <w:adjustRightInd w:val="0"/>
      <w:snapToGrid w:val="0"/>
      <w:spacing w:line="360" w:lineRule="auto"/>
      <w:ind w:firstLine="461" w:firstLineChars="192"/>
      <w:jc w:val="both"/>
    </w:pPr>
    <w:rPr>
      <w:rFonts w:ascii="Calibri" w:hAnsi="Calibri" w:eastAsia="宋体" w:cs="Times New Roman"/>
      <w:color w:val="FF0000"/>
      <w:kern w:val="21"/>
      <w:sz w:val="24"/>
      <w:szCs w:val="24"/>
      <w:lang w:val="en-US" w:eastAsia="zh-CN" w:bidi="ar-SA"/>
    </w:rPr>
  </w:style>
  <w:style w:type="paragraph" w:customStyle="1" w:styleId="3597">
    <w:name w:val="表头111"/>
    <w:basedOn w:val="1"/>
    <w:qFormat/>
    <w:uiPriority w:val="0"/>
    <w:pPr>
      <w:spacing w:line="500" w:lineRule="exact"/>
      <w:ind w:firstLine="420"/>
      <w:textAlignment w:val="baseline"/>
    </w:pPr>
    <w:rPr>
      <w:color w:val="000000"/>
    </w:rPr>
  </w:style>
  <w:style w:type="paragraph" w:customStyle="1" w:styleId="3598">
    <w:name w:val="Char Char Char8"/>
    <w:basedOn w:val="7"/>
    <w:qFormat/>
    <w:uiPriority w:val="0"/>
    <w:pPr>
      <w:keepLines w:val="0"/>
      <w:tabs>
        <w:tab w:val="left" w:pos="360"/>
        <w:tab w:val="left" w:pos="900"/>
        <w:tab w:val="clear" w:pos="1440"/>
      </w:tabs>
      <w:spacing w:before="240" w:after="60"/>
      <w:ind w:left="542" w:leftChars="-12" w:firstLine="200"/>
    </w:pPr>
    <w:rPr>
      <w:rFonts w:ascii="Cambria" w:hAnsi="Cambria"/>
      <w:snapToGrid w:val="0"/>
      <w:kern w:val="2"/>
      <w:sz w:val="26"/>
      <w:szCs w:val="24"/>
    </w:rPr>
  </w:style>
  <w:style w:type="paragraph" w:customStyle="1" w:styleId="3599">
    <w:name w:val="图表名"/>
    <w:basedOn w:val="1"/>
    <w:qFormat/>
    <w:uiPriority w:val="0"/>
    <w:pPr>
      <w:spacing w:before="120" w:after="120" w:line="240" w:lineRule="exact"/>
      <w:jc w:val="center"/>
    </w:pPr>
    <w:rPr>
      <w:rFonts w:ascii="宋体" w:hAnsi="宋体"/>
      <w:b/>
    </w:rPr>
  </w:style>
  <w:style w:type="paragraph" w:customStyle="1" w:styleId="3600">
    <w:name w:val="样式 (符号) 宋体 小四 行距: 1.5 倍行距"/>
    <w:basedOn w:val="1"/>
    <w:qFormat/>
    <w:uiPriority w:val="0"/>
    <w:pPr>
      <w:spacing w:line="360" w:lineRule="auto"/>
      <w:ind w:firstLine="480"/>
    </w:pPr>
    <w:rPr>
      <w:rFonts w:hAnsi="宋体" w:cs="宋体"/>
      <w:color w:val="000000"/>
      <w:sz w:val="24"/>
    </w:rPr>
  </w:style>
  <w:style w:type="paragraph" w:customStyle="1" w:styleId="3601">
    <w:name w:val="haydonli"/>
    <w:basedOn w:val="1"/>
    <w:qFormat/>
    <w:uiPriority w:val="0"/>
    <w:pPr>
      <w:spacing w:line="360" w:lineRule="auto"/>
    </w:pPr>
    <w:rPr>
      <w:sz w:val="24"/>
    </w:rPr>
  </w:style>
  <w:style w:type="paragraph" w:customStyle="1" w:styleId="3602">
    <w:name w:val="段落 Char Char2 Char Char"/>
    <w:basedOn w:val="1"/>
    <w:qFormat/>
    <w:uiPriority w:val="0"/>
    <w:pPr>
      <w:tabs>
        <w:tab w:val="left" w:pos="1021"/>
      </w:tabs>
      <w:spacing w:line="570" w:lineRule="exact"/>
      <w:ind w:firstLine="480"/>
    </w:pPr>
    <w:rPr>
      <w:rFonts w:hAnsi="宋体"/>
      <w:color w:val="000000"/>
      <w:kern w:val="24"/>
      <w:sz w:val="24"/>
    </w:rPr>
  </w:style>
  <w:style w:type="paragraph" w:customStyle="1" w:styleId="3603">
    <w:name w:val="Char Char Char Char Char Char4"/>
    <w:basedOn w:val="1"/>
    <w:qFormat/>
    <w:uiPriority w:val="0"/>
    <w:pPr>
      <w:spacing w:line="360" w:lineRule="auto"/>
    </w:pPr>
    <w:rPr>
      <w:rFonts w:ascii="宋体" w:hAnsi="宋体" w:cs="宋体"/>
      <w:sz w:val="24"/>
    </w:rPr>
  </w:style>
  <w:style w:type="paragraph" w:customStyle="1" w:styleId="3604">
    <w:name w:val="样式 标题 3标题 3XW标题 3XW Char标题 3XW Char Char Char Char标题 3XW Cha...1"/>
    <w:basedOn w:val="7"/>
    <w:qFormat/>
    <w:uiPriority w:val="0"/>
    <w:pPr>
      <w:keepLines w:val="0"/>
      <w:tabs>
        <w:tab w:val="clear" w:pos="1440"/>
      </w:tabs>
      <w:spacing w:before="0" w:after="60"/>
      <w:ind w:left="0" w:firstLine="200"/>
    </w:pPr>
    <w:rPr>
      <w:rFonts w:ascii="宋体" w:hAnsi="Cambria"/>
      <w:color w:val="000000"/>
      <w:kern w:val="2"/>
    </w:rPr>
  </w:style>
  <w:style w:type="paragraph" w:customStyle="1" w:styleId="3605">
    <w:name w:val="Char Char Char3 Char Char Char2"/>
    <w:basedOn w:val="1"/>
    <w:qFormat/>
    <w:uiPriority w:val="0"/>
    <w:pPr>
      <w:spacing w:line="360" w:lineRule="auto"/>
    </w:pPr>
    <w:rPr>
      <w:rFonts w:ascii="宋体" w:hAnsi="宋体" w:cs="宋体"/>
      <w:sz w:val="24"/>
    </w:rPr>
  </w:style>
  <w:style w:type="paragraph" w:customStyle="1" w:styleId="3606">
    <w:name w:val="正文文本 311"/>
    <w:basedOn w:val="1"/>
    <w:qFormat/>
    <w:uiPriority w:val="0"/>
    <w:pPr>
      <w:spacing w:line="240" w:lineRule="atLeast"/>
      <w:jc w:val="center"/>
      <w:textAlignment w:val="baseline"/>
    </w:pPr>
    <w:rPr>
      <w:rFonts w:ascii="宋体"/>
      <w:sz w:val="18"/>
    </w:rPr>
  </w:style>
  <w:style w:type="paragraph" w:customStyle="1" w:styleId="3607">
    <w:name w:val="Char Char Char Char Char Char Char Char1 Char Char Char Char"/>
    <w:basedOn w:val="1"/>
    <w:qFormat/>
    <w:uiPriority w:val="0"/>
  </w:style>
  <w:style w:type="paragraph" w:customStyle="1" w:styleId="3608">
    <w:name w:val="表格下单位"/>
    <w:basedOn w:val="1"/>
    <w:next w:val="623"/>
    <w:qFormat/>
    <w:uiPriority w:val="0"/>
    <w:pPr>
      <w:jc w:val="right"/>
    </w:pPr>
  </w:style>
  <w:style w:type="paragraph" w:customStyle="1" w:styleId="3609">
    <w:name w:val="样式 前沿 + 段前: 2 行 段后: 2 行"/>
    <w:basedOn w:val="2575"/>
    <w:qFormat/>
    <w:uiPriority w:val="0"/>
    <w:pPr>
      <w:spacing w:beforeLines="400" w:afterLines="200"/>
    </w:pPr>
    <w:rPr>
      <w:szCs w:val="20"/>
    </w:rPr>
  </w:style>
  <w:style w:type="paragraph" w:customStyle="1" w:styleId="3610">
    <w:name w:val="font_viewtitle"/>
    <w:basedOn w:val="1"/>
    <w:qFormat/>
    <w:uiPriority w:val="0"/>
    <w:pPr>
      <w:spacing w:before="111" w:after="111"/>
    </w:pPr>
    <w:rPr>
      <w:rFonts w:ascii="宋体" w:hAnsi="宋体" w:cs="宋体"/>
      <w:sz w:val="24"/>
    </w:rPr>
  </w:style>
  <w:style w:type="paragraph" w:customStyle="1" w:styleId="3611">
    <w:name w:val="图形"/>
    <w:basedOn w:val="1"/>
    <w:qFormat/>
    <w:uiPriority w:val="0"/>
    <w:pPr>
      <w:spacing w:line="240" w:lineRule="atLeast"/>
      <w:jc w:val="center"/>
      <w:textAlignment w:val="baseline"/>
    </w:pPr>
  </w:style>
  <w:style w:type="paragraph" w:customStyle="1" w:styleId="3612">
    <w:name w:val="样式 样式 报告正文 + 首行缩进:  2 字符 + 两端对齐 行距: 1.5 倍行距"/>
    <w:basedOn w:val="1"/>
    <w:qFormat/>
    <w:uiPriority w:val="0"/>
    <w:pPr>
      <w:spacing w:line="360" w:lineRule="auto"/>
    </w:pPr>
    <w:rPr>
      <w:rFonts w:cs="宋体"/>
      <w:color w:val="000000"/>
      <w:sz w:val="24"/>
      <w:szCs w:val="21"/>
    </w:rPr>
  </w:style>
  <w:style w:type="paragraph" w:customStyle="1" w:styleId="3613">
    <w:name w:val="Char Char Char Char Char Char Char Char Char Char Char Char1"/>
    <w:basedOn w:val="1"/>
    <w:qFormat/>
    <w:uiPriority w:val="0"/>
    <w:pPr>
      <w:spacing w:line="360" w:lineRule="auto"/>
    </w:pPr>
    <w:rPr>
      <w:sz w:val="24"/>
    </w:rPr>
  </w:style>
  <w:style w:type="paragraph" w:customStyle="1" w:styleId="3614">
    <w:name w:val="Char Char Char1 Char Char Char Char Char Char Char Char Char Char Char Char1 Char Char Char Char"/>
    <w:basedOn w:val="1"/>
    <w:qFormat/>
    <w:uiPriority w:val="0"/>
    <w:pPr>
      <w:spacing w:line="360" w:lineRule="auto"/>
    </w:pPr>
    <w:rPr>
      <w:rFonts w:ascii="宋体" w:hAnsi="宋体" w:cs="宋体"/>
      <w:sz w:val="24"/>
    </w:rPr>
  </w:style>
  <w:style w:type="paragraph" w:customStyle="1" w:styleId="3615">
    <w:name w:val="样式 标题 4款标题1.1.1.1标题 4 Char[三级节名]h4H4条 2[三级节名]1[三级节名]2 + ..."/>
    <w:basedOn w:val="10"/>
    <w:qFormat/>
    <w:uiPriority w:val="0"/>
    <w:pPr>
      <w:spacing w:before="80" w:after="80"/>
      <w:ind w:left="1680" w:hanging="420"/>
    </w:pPr>
    <w:rPr>
      <w:b w:val="0"/>
    </w:rPr>
  </w:style>
  <w:style w:type="paragraph" w:customStyle="1" w:styleId="3616">
    <w:name w:val="列出段落21"/>
    <w:basedOn w:val="1"/>
    <w:qFormat/>
    <w:uiPriority w:val="0"/>
    <w:pPr>
      <w:ind w:firstLine="420"/>
    </w:pPr>
  </w:style>
  <w:style w:type="paragraph" w:customStyle="1" w:styleId="3617">
    <w:name w:val="1.1章"/>
    <w:basedOn w:val="6"/>
    <w:qFormat/>
    <w:uiPriority w:val="0"/>
    <w:pPr>
      <w:widowControl w:val="0"/>
      <w:tabs>
        <w:tab w:val="clear" w:pos="1080"/>
      </w:tabs>
      <w:ind w:left="0" w:firstLine="200"/>
    </w:pPr>
    <w:rPr>
      <w:rFonts w:ascii="Cambria" w:hAnsi="Cambria" w:eastAsia="仿宋_GB2312"/>
      <w:color w:val="000000"/>
      <w:kern w:val="2"/>
      <w:sz w:val="30"/>
      <w:szCs w:val="30"/>
    </w:rPr>
  </w:style>
  <w:style w:type="paragraph" w:customStyle="1" w:styleId="3618">
    <w:name w:val="样式 标题 1标题 1 Char1 + 黑色 左"/>
    <w:basedOn w:val="5"/>
    <w:qFormat/>
    <w:uiPriority w:val="0"/>
    <w:pPr>
      <w:widowControl w:val="0"/>
      <w:spacing w:beforeLines="50" w:afterLines="50" w:line="360" w:lineRule="auto"/>
      <w:ind w:left="0" w:firstLine="200"/>
    </w:pPr>
    <w:rPr>
      <w:rFonts w:cs="宋体"/>
      <w:color w:val="000000"/>
      <w:sz w:val="30"/>
      <w:szCs w:val="20"/>
    </w:rPr>
  </w:style>
  <w:style w:type="paragraph" w:customStyle="1" w:styleId="3619">
    <w:name w:val="样式 宋体 小四 行距: 1.5 倍行距3"/>
    <w:basedOn w:val="1"/>
    <w:qFormat/>
    <w:uiPriority w:val="0"/>
    <w:pPr>
      <w:widowControl w:val="0"/>
      <w:spacing w:line="360" w:lineRule="auto"/>
    </w:pPr>
    <w:rPr>
      <w:rFonts w:ascii="宋体" w:hAnsi="宋体" w:cs="宋体"/>
      <w:sz w:val="24"/>
    </w:rPr>
  </w:style>
  <w:style w:type="paragraph" w:customStyle="1" w:styleId="3620">
    <w:name w:val="Char Char Char Char Char Char Char4"/>
    <w:basedOn w:val="1"/>
    <w:qFormat/>
    <w:uiPriority w:val="0"/>
    <w:pPr>
      <w:spacing w:line="360" w:lineRule="auto"/>
    </w:pPr>
    <w:rPr>
      <w:sz w:val="24"/>
    </w:rPr>
  </w:style>
  <w:style w:type="paragraph" w:customStyle="1" w:styleId="3621">
    <w:name w:val="z-窗体顶端211"/>
    <w:basedOn w:val="1"/>
    <w:next w:val="1"/>
    <w:qFormat/>
    <w:uiPriority w:val="0"/>
    <w:pPr>
      <w:pBdr>
        <w:bottom w:val="single" w:color="auto" w:sz="6" w:space="1"/>
      </w:pBdr>
      <w:jc w:val="center"/>
    </w:pPr>
    <w:rPr>
      <w:rFonts w:ascii="Arial" w:hAnsi="Arial" w:eastAsia="Times New Roman"/>
      <w:vanish/>
      <w:sz w:val="16"/>
      <w:szCs w:val="16"/>
    </w:rPr>
  </w:style>
  <w:style w:type="paragraph" w:customStyle="1" w:styleId="3622">
    <w:name w:val="明显引用2"/>
    <w:basedOn w:val="1"/>
    <w:next w:val="1"/>
    <w:qFormat/>
    <w:uiPriority w:val="0"/>
    <w:pPr>
      <w:ind w:left="720" w:right="720"/>
    </w:pPr>
    <w:rPr>
      <w:rFonts w:eastAsia="Times New Roman"/>
      <w:b/>
      <w:i/>
      <w:sz w:val="24"/>
    </w:rPr>
  </w:style>
  <w:style w:type="paragraph" w:customStyle="1" w:styleId="3623">
    <w:name w:val="Char Char Char Char Char Char7"/>
    <w:basedOn w:val="1"/>
    <w:qFormat/>
    <w:uiPriority w:val="0"/>
  </w:style>
  <w:style w:type="paragraph" w:customStyle="1" w:styleId="3624">
    <w:name w:val="Char Char Char Char Char Char Char Char Char Char Char Char Char Char Char Char2"/>
    <w:basedOn w:val="1"/>
    <w:qFormat/>
    <w:uiPriority w:val="0"/>
  </w:style>
  <w:style w:type="paragraph" w:customStyle="1" w:styleId="3625">
    <w:name w:val="Char Char Char Char Char2 Char Char Char Char2"/>
    <w:basedOn w:val="1"/>
    <w:qFormat/>
    <w:uiPriority w:val="0"/>
    <w:pPr>
      <w:spacing w:line="360" w:lineRule="auto"/>
    </w:pPr>
    <w:rPr>
      <w:rFonts w:ascii="宋体" w:hAnsi="宋体"/>
      <w:sz w:val="24"/>
    </w:rPr>
  </w:style>
  <w:style w:type="paragraph" w:customStyle="1" w:styleId="3626">
    <w:name w:val="修订21"/>
    <w:qFormat/>
    <w:uiPriority w:val="0"/>
    <w:pPr>
      <w:spacing w:line="320" w:lineRule="exact"/>
      <w:jc w:val="center"/>
    </w:pPr>
    <w:rPr>
      <w:rFonts w:ascii="Calibri" w:hAnsi="Calibri" w:eastAsia="宋体" w:cs="Times New Roman"/>
      <w:kern w:val="2"/>
      <w:sz w:val="21"/>
      <w:szCs w:val="24"/>
      <w:lang w:val="en-US" w:eastAsia="zh-CN" w:bidi="ar-SA"/>
    </w:rPr>
  </w:style>
  <w:style w:type="paragraph" w:customStyle="1" w:styleId="3627">
    <w:name w:val="Char Char Char Char Char Char Char Char Char5"/>
    <w:basedOn w:val="1"/>
    <w:next w:val="1"/>
    <w:qFormat/>
    <w:uiPriority w:val="0"/>
    <w:pPr>
      <w:pBdr>
        <w:right w:val="single" w:color="auto" w:sz="12" w:space="4"/>
      </w:pBdr>
      <w:spacing w:line="360" w:lineRule="auto"/>
    </w:pPr>
    <w:rPr>
      <w:rFonts w:ascii="宋体" w:hAnsi="宋体"/>
      <w:sz w:val="24"/>
    </w:rPr>
  </w:style>
  <w:style w:type="paragraph" w:customStyle="1" w:styleId="3628">
    <w:name w:val="Char Char Char Char Char4"/>
    <w:basedOn w:val="1"/>
    <w:qFormat/>
    <w:uiPriority w:val="0"/>
  </w:style>
  <w:style w:type="paragraph" w:customStyle="1" w:styleId="3629">
    <w:name w:val="标题 72"/>
    <w:basedOn w:val="1"/>
    <w:next w:val="1"/>
    <w:qFormat/>
    <w:uiPriority w:val="0"/>
    <w:pPr>
      <w:autoSpaceDE w:val="0"/>
      <w:autoSpaceDN w:val="0"/>
    </w:pPr>
    <w:rPr>
      <w:rFonts w:ascii="JKIKGP+CenturyGothic" w:eastAsia="JKIKGP+CenturyGothic"/>
      <w:sz w:val="24"/>
    </w:rPr>
  </w:style>
  <w:style w:type="paragraph" w:customStyle="1" w:styleId="3630">
    <w:name w:val="Char Char Char Char5"/>
    <w:basedOn w:val="1"/>
    <w:qFormat/>
    <w:uiPriority w:val="0"/>
  </w:style>
  <w:style w:type="paragraph" w:customStyle="1" w:styleId="3631">
    <w:name w:val="Char Char1 Char Char Char Char Char Char3"/>
    <w:basedOn w:val="1"/>
    <w:qFormat/>
    <w:uiPriority w:val="0"/>
  </w:style>
  <w:style w:type="paragraph" w:customStyle="1" w:styleId="3632">
    <w:name w:val="Char Char Char9"/>
    <w:basedOn w:val="1"/>
    <w:qFormat/>
    <w:uiPriority w:val="0"/>
  </w:style>
  <w:style w:type="paragraph" w:customStyle="1" w:styleId="3633">
    <w:name w:val="引用21"/>
    <w:basedOn w:val="1"/>
    <w:next w:val="1"/>
    <w:qFormat/>
    <w:uiPriority w:val="0"/>
    <w:rPr>
      <w:rFonts w:eastAsia="Times New Roman"/>
      <w:i/>
      <w:sz w:val="24"/>
    </w:rPr>
  </w:style>
  <w:style w:type="paragraph" w:customStyle="1" w:styleId="3634">
    <w:name w:val="z-窗体顶端21"/>
    <w:basedOn w:val="1"/>
    <w:next w:val="1"/>
    <w:qFormat/>
    <w:uiPriority w:val="0"/>
    <w:pPr>
      <w:pBdr>
        <w:bottom w:val="single" w:color="auto" w:sz="6" w:space="1"/>
      </w:pBdr>
      <w:jc w:val="center"/>
    </w:pPr>
    <w:rPr>
      <w:rFonts w:ascii="Arial" w:hAnsi="Arial" w:eastAsia="Times New Roman"/>
      <w:vanish/>
      <w:sz w:val="16"/>
      <w:szCs w:val="16"/>
    </w:rPr>
  </w:style>
  <w:style w:type="paragraph" w:customStyle="1" w:styleId="3635">
    <w:name w:val="明显引用21"/>
    <w:basedOn w:val="1"/>
    <w:next w:val="1"/>
    <w:qFormat/>
    <w:uiPriority w:val="0"/>
    <w:pPr>
      <w:ind w:left="720" w:right="720"/>
    </w:pPr>
    <w:rPr>
      <w:rFonts w:eastAsia="Times New Roman"/>
      <w:b/>
      <w:i/>
      <w:sz w:val="24"/>
    </w:rPr>
  </w:style>
  <w:style w:type="paragraph" w:customStyle="1" w:styleId="3636">
    <w:name w:val="引用3"/>
    <w:basedOn w:val="1"/>
    <w:next w:val="1"/>
    <w:qFormat/>
    <w:uiPriority w:val="0"/>
    <w:rPr>
      <w:rFonts w:eastAsia="Times New Roman"/>
      <w:i/>
      <w:sz w:val="24"/>
    </w:rPr>
  </w:style>
  <w:style w:type="paragraph" w:customStyle="1" w:styleId="3637">
    <w:name w:val="z-窗体底端3"/>
    <w:basedOn w:val="1"/>
    <w:next w:val="1"/>
    <w:qFormat/>
    <w:uiPriority w:val="0"/>
    <w:pPr>
      <w:pBdr>
        <w:top w:val="single" w:color="auto" w:sz="6" w:space="1"/>
      </w:pBdr>
      <w:jc w:val="center"/>
    </w:pPr>
    <w:rPr>
      <w:rFonts w:ascii="Arial" w:hAnsi="Arial" w:eastAsia="Times New Roman"/>
      <w:vanish/>
      <w:sz w:val="16"/>
      <w:szCs w:val="16"/>
    </w:rPr>
  </w:style>
  <w:style w:type="paragraph" w:customStyle="1" w:styleId="3638">
    <w:name w:val="z-窗体顶端3"/>
    <w:basedOn w:val="1"/>
    <w:next w:val="1"/>
    <w:qFormat/>
    <w:uiPriority w:val="0"/>
    <w:pPr>
      <w:pBdr>
        <w:bottom w:val="single" w:color="auto" w:sz="6" w:space="1"/>
      </w:pBdr>
      <w:jc w:val="center"/>
    </w:pPr>
    <w:rPr>
      <w:rFonts w:ascii="Arial" w:hAnsi="Arial" w:eastAsia="Times New Roman"/>
      <w:vanish/>
      <w:sz w:val="16"/>
      <w:szCs w:val="16"/>
    </w:rPr>
  </w:style>
  <w:style w:type="paragraph" w:customStyle="1" w:styleId="3639">
    <w:name w:val="明显引用3"/>
    <w:basedOn w:val="1"/>
    <w:next w:val="1"/>
    <w:qFormat/>
    <w:uiPriority w:val="0"/>
    <w:pPr>
      <w:ind w:left="720" w:right="720"/>
    </w:pPr>
    <w:rPr>
      <w:rFonts w:eastAsia="Times New Roman"/>
      <w:b/>
      <w:i/>
      <w:sz w:val="24"/>
    </w:rPr>
  </w:style>
  <w:style w:type="paragraph" w:customStyle="1" w:styleId="3640">
    <w:name w:val="a-表内"/>
    <w:qFormat/>
    <w:uiPriority w:val="0"/>
    <w:pPr>
      <w:adjustRightInd w:val="0"/>
      <w:snapToGrid w:val="0"/>
      <w:spacing w:line="0" w:lineRule="atLeast"/>
      <w:jc w:val="center"/>
    </w:pPr>
    <w:rPr>
      <w:rFonts w:ascii="Calibri" w:hAnsi="Calibri" w:eastAsia="宋体" w:cs="Times New Roman"/>
      <w:color w:val="000000"/>
      <w:kern w:val="2"/>
      <w:sz w:val="21"/>
      <w:szCs w:val="21"/>
      <w:lang w:val="en-US" w:eastAsia="zh-CN" w:bidi="ar-SA"/>
    </w:rPr>
  </w:style>
  <w:style w:type="paragraph" w:customStyle="1" w:styleId="3641">
    <w:name w:val="正文首缩"/>
    <w:basedOn w:val="1"/>
    <w:next w:val="10"/>
    <w:qFormat/>
    <w:uiPriority w:val="0"/>
    <w:pPr>
      <w:widowControl w:val="0"/>
      <w:tabs>
        <w:tab w:val="left" w:pos="3780"/>
      </w:tabs>
      <w:spacing w:line="324" w:lineRule="auto"/>
      <w:ind w:left="4290" w:firstLine="425"/>
      <w:jc w:val="left"/>
      <w:textAlignment w:val="baseline"/>
    </w:pPr>
    <w:rPr>
      <w:color w:val="000000"/>
      <w:kern w:val="0"/>
      <w:sz w:val="36"/>
      <w:szCs w:val="20"/>
    </w:rPr>
  </w:style>
  <w:style w:type="paragraph" w:customStyle="1" w:styleId="3642">
    <w:name w:val="Char Char Char Char Char Char Char Char Char Char1 Char Char Char Char Char Char Char Char Char Char Char Char Char Char Char Char Char Char Char Char Char Char Char Char Char"/>
    <w:basedOn w:val="1"/>
    <w:qFormat/>
    <w:uiPriority w:val="0"/>
    <w:pPr>
      <w:widowControl w:val="0"/>
      <w:adjustRightInd/>
      <w:snapToGrid/>
    </w:pPr>
  </w:style>
  <w:style w:type="paragraph" w:customStyle="1" w:styleId="3643">
    <w:name w:val="Char Char Char Char Char Char Char Char Char Char1 Char Char Char Char Char Char Char Char Char Char Char Char Char Char Char Char Char Char Char Char Char Char Char Char Char3"/>
    <w:basedOn w:val="1"/>
    <w:qFormat/>
    <w:uiPriority w:val="0"/>
    <w:pPr>
      <w:widowControl w:val="0"/>
      <w:adjustRightInd/>
      <w:snapToGrid/>
    </w:pPr>
  </w:style>
  <w:style w:type="paragraph" w:customStyle="1" w:styleId="3644">
    <w:name w:val="批注框文本 Char Char"/>
    <w:basedOn w:val="1"/>
    <w:qFormat/>
    <w:uiPriority w:val="0"/>
    <w:pPr>
      <w:widowControl w:val="0"/>
      <w:adjustRightInd/>
      <w:snapToGrid/>
    </w:pPr>
    <w:rPr>
      <w:sz w:val="18"/>
      <w:szCs w:val="20"/>
    </w:rPr>
  </w:style>
  <w:style w:type="paragraph" w:customStyle="1" w:styleId="3645">
    <w:name w:val="新改文字"/>
    <w:basedOn w:val="49"/>
    <w:qFormat/>
    <w:uiPriority w:val="0"/>
    <w:pPr>
      <w:tabs>
        <w:tab w:val="left" w:pos="567"/>
      </w:tabs>
      <w:adjustRightInd/>
      <w:snapToGrid/>
      <w:spacing w:after="480" w:line="500" w:lineRule="exact"/>
      <w:ind w:left="420" w:leftChars="200" w:firstLine="560"/>
    </w:pPr>
    <w:rPr>
      <w:rFonts w:ascii="幼圆" w:hAnsi="Times New Roman" w:eastAsia="幼圆"/>
      <w:kern w:val="2"/>
      <w:sz w:val="21"/>
    </w:rPr>
  </w:style>
  <w:style w:type="paragraph" w:customStyle="1" w:styleId="3646">
    <w:name w:val="正文21"/>
    <w:basedOn w:val="1"/>
    <w:qFormat/>
    <w:uiPriority w:val="0"/>
    <w:pPr>
      <w:widowControl w:val="0"/>
      <w:adjustRightInd/>
      <w:snapToGrid/>
      <w:spacing w:line="500" w:lineRule="exact"/>
      <w:ind w:left="-1" w:leftChars="-3" w:hanging="5" w:hangingChars="2"/>
    </w:pPr>
    <w:rPr>
      <w:sz w:val="24"/>
      <w:szCs w:val="20"/>
    </w:rPr>
  </w:style>
  <w:style w:type="paragraph" w:customStyle="1" w:styleId="3647">
    <w:name w:val="CM89"/>
    <w:basedOn w:val="1"/>
    <w:next w:val="1"/>
    <w:qFormat/>
    <w:uiPriority w:val="0"/>
    <w:pPr>
      <w:widowControl w:val="0"/>
      <w:autoSpaceDE w:val="0"/>
      <w:autoSpaceDN w:val="0"/>
      <w:snapToGrid/>
      <w:jc w:val="left"/>
    </w:pPr>
    <w:rPr>
      <w:rFonts w:ascii="黑体" w:hAnsi="Calibri" w:eastAsia="黑体" w:cs="黑体"/>
      <w:kern w:val="0"/>
      <w:sz w:val="24"/>
    </w:rPr>
  </w:style>
  <w:style w:type="paragraph" w:customStyle="1" w:styleId="3648">
    <w:name w:val="Char Char18 Char Char"/>
    <w:basedOn w:val="1"/>
    <w:qFormat/>
    <w:uiPriority w:val="0"/>
    <w:pPr>
      <w:widowControl w:val="0"/>
      <w:adjustRightInd/>
      <w:snapToGrid/>
    </w:pPr>
    <w:rPr>
      <w:szCs w:val="21"/>
    </w:rPr>
  </w:style>
  <w:style w:type="paragraph" w:customStyle="1" w:styleId="3649">
    <w:name w:val="样式 样式 (西文) 仿宋_GB2312 (中文) 仿宋_GB2312 黑色 段前: 0.5 行 行距: 1.5 倍行距 首....."/>
    <w:basedOn w:val="1"/>
    <w:qFormat/>
    <w:uiPriority w:val="0"/>
    <w:pPr>
      <w:widowControl w:val="0"/>
      <w:spacing w:afterLines="100" w:line="300" w:lineRule="auto"/>
    </w:pPr>
    <w:rPr>
      <w:rFonts w:cs="宋体"/>
      <w:color w:val="000000"/>
      <w:szCs w:val="20"/>
    </w:rPr>
  </w:style>
  <w:style w:type="paragraph" w:customStyle="1" w:styleId="3650">
    <w:name w:val="样式 标题 3内容题头 Char1内容题头 Char2标题 3 Char Char内容题头 Char1 Char标题 ..."/>
    <w:basedOn w:val="7"/>
    <w:qFormat/>
    <w:uiPriority w:val="0"/>
    <w:pPr>
      <w:widowControl w:val="0"/>
      <w:tabs>
        <w:tab w:val="clear" w:pos="1440"/>
      </w:tabs>
      <w:adjustRightInd/>
      <w:snapToGrid/>
      <w:spacing w:before="0" w:after="0" w:line="360" w:lineRule="auto"/>
      <w:ind w:left="0" w:firstLine="600" w:firstLineChars="0"/>
    </w:pPr>
    <w:rPr>
      <w:rFonts w:ascii="宋体" w:hAnsi="宋体" w:eastAsia="宋体" w:cs="宋体"/>
      <w:kern w:val="2"/>
      <w:sz w:val="24"/>
      <w:szCs w:val="30"/>
    </w:rPr>
  </w:style>
  <w:style w:type="paragraph" w:customStyle="1" w:styleId="3651">
    <w:name w:val="样式 标题 1 + 宋体 小四 黑色 左 段前: 0 磅 段后: 0 磅 行距: 1.5 倍行距"/>
    <w:basedOn w:val="5"/>
    <w:qFormat/>
    <w:uiPriority w:val="0"/>
    <w:pPr>
      <w:widowControl w:val="0"/>
      <w:tabs>
        <w:tab w:val="clear" w:pos="425"/>
      </w:tabs>
      <w:adjustRightInd/>
      <w:snapToGrid/>
      <w:spacing w:before="0" w:after="0" w:line="360" w:lineRule="auto"/>
      <w:ind w:left="0" w:firstLine="0" w:firstLineChars="0"/>
      <w:jc w:val="left"/>
    </w:pPr>
    <w:rPr>
      <w:rFonts w:ascii="宋体" w:hAnsi="宋体" w:eastAsia="宋体" w:cs="宋体"/>
      <w:color w:val="000000"/>
      <w:sz w:val="24"/>
      <w:szCs w:val="20"/>
    </w:rPr>
  </w:style>
  <w:style w:type="paragraph" w:customStyle="1" w:styleId="3652">
    <w:name w:val="Char5"/>
    <w:basedOn w:val="1"/>
    <w:qFormat/>
    <w:uiPriority w:val="0"/>
  </w:style>
  <w:style w:type="paragraph" w:customStyle="1" w:styleId="3653">
    <w:name w:val="正文文本缩进 311"/>
    <w:basedOn w:val="1"/>
    <w:qFormat/>
    <w:uiPriority w:val="0"/>
    <w:pPr>
      <w:spacing w:line="360" w:lineRule="atLeast"/>
      <w:ind w:firstLine="480"/>
      <w:textAlignment w:val="baseline"/>
    </w:pPr>
    <w:rPr>
      <w:rFonts w:ascii="宋体"/>
      <w:kern w:val="0"/>
      <w:sz w:val="24"/>
      <w:szCs w:val="20"/>
    </w:rPr>
  </w:style>
  <w:style w:type="paragraph" w:customStyle="1" w:styleId="3654">
    <w:name w:val="Char Char Char Char1 Char Char Char1"/>
    <w:basedOn w:val="1"/>
    <w:qFormat/>
    <w:uiPriority w:val="0"/>
    <w:pPr>
      <w:spacing w:after="160" w:line="240" w:lineRule="exact"/>
      <w:jc w:val="left"/>
    </w:pPr>
    <w:rPr>
      <w:rFonts w:ascii="Verdana" w:hAnsi="Verdana"/>
      <w:kern w:val="0"/>
      <w:sz w:val="20"/>
      <w:szCs w:val="20"/>
      <w:lang w:eastAsia="en-US"/>
    </w:rPr>
  </w:style>
  <w:style w:type="paragraph" w:customStyle="1" w:styleId="3655">
    <w:name w:val="Char Char1 Char Char Char Char Char Char Char Char Char Char Char Char Char Char Char Char Char Char Char Char1 Char1"/>
    <w:basedOn w:val="1"/>
    <w:qFormat/>
    <w:uiPriority w:val="0"/>
    <w:pPr>
      <w:spacing w:line="360" w:lineRule="auto"/>
    </w:pPr>
    <w:rPr>
      <w:rFonts w:ascii="宋体" w:hAnsi="宋体" w:cs="宋体"/>
      <w:sz w:val="24"/>
    </w:rPr>
  </w:style>
  <w:style w:type="paragraph" w:customStyle="1" w:styleId="3656">
    <w:name w:val="正文文本 211"/>
    <w:basedOn w:val="1"/>
    <w:qFormat/>
    <w:uiPriority w:val="0"/>
    <w:pPr>
      <w:ind w:left="425"/>
      <w:jc w:val="left"/>
      <w:textAlignment w:val="baseline"/>
    </w:pPr>
    <w:rPr>
      <w:rFonts w:ascii="宋体"/>
      <w:kern w:val="0"/>
      <w:sz w:val="24"/>
      <w:szCs w:val="20"/>
    </w:rPr>
  </w:style>
  <w:style w:type="paragraph" w:customStyle="1" w:styleId="3657">
    <w:name w:val="Char Char1 Char Char1 Char Char1 Char Char1 Char Char Char Char Char Char Char1"/>
    <w:basedOn w:val="1"/>
    <w:qFormat/>
    <w:uiPriority w:val="0"/>
    <w:rPr>
      <w:szCs w:val="20"/>
    </w:rPr>
  </w:style>
  <w:style w:type="paragraph" w:customStyle="1" w:styleId="3658">
    <w:name w:val="普通(网站)11"/>
    <w:basedOn w:val="1"/>
    <w:qFormat/>
    <w:uiPriority w:val="0"/>
    <w:pPr>
      <w:spacing w:before="100" w:after="100"/>
      <w:jc w:val="left"/>
      <w:textAlignment w:val="baseline"/>
    </w:pPr>
    <w:rPr>
      <w:rFonts w:ascii="宋体" w:hAnsi="宋体"/>
      <w:color w:val="000000"/>
      <w:kern w:val="0"/>
      <w:sz w:val="24"/>
      <w:szCs w:val="20"/>
    </w:rPr>
  </w:style>
  <w:style w:type="paragraph" w:customStyle="1" w:styleId="3659">
    <w:name w:val="Char Char1 Char2"/>
    <w:basedOn w:val="1"/>
    <w:next w:val="1"/>
    <w:qFormat/>
    <w:uiPriority w:val="0"/>
    <w:pPr>
      <w:spacing w:line="360" w:lineRule="auto"/>
    </w:pPr>
    <w:rPr>
      <w:rFonts w:ascii="宋体" w:hAnsi="宋体" w:cs="宋体"/>
      <w:sz w:val="24"/>
    </w:rPr>
  </w:style>
  <w:style w:type="paragraph" w:customStyle="1" w:styleId="3660">
    <w:name w:val="Char Char Char Char Char Char8"/>
    <w:basedOn w:val="1"/>
    <w:qFormat/>
    <w:uiPriority w:val="0"/>
  </w:style>
  <w:style w:type="paragraph" w:customStyle="1" w:styleId="3661">
    <w:name w:val="Char Char Char Char Char Char Char Char Char Char Char Char Char Char Char Char Char Char Char4"/>
    <w:basedOn w:val="1"/>
    <w:qFormat/>
    <w:uiPriority w:val="0"/>
    <w:pPr>
      <w:spacing w:after="160" w:line="240" w:lineRule="exact"/>
      <w:jc w:val="left"/>
    </w:pPr>
    <w:rPr>
      <w:rFonts w:ascii="Verdana" w:hAnsi="Verdana"/>
      <w:kern w:val="0"/>
      <w:sz w:val="20"/>
      <w:szCs w:val="20"/>
      <w:lang w:eastAsia="en-US"/>
    </w:rPr>
  </w:style>
  <w:style w:type="paragraph" w:customStyle="1" w:styleId="3662">
    <w:name w:val="Char Char Char1 Char Char Char Char Char Char Char1"/>
    <w:basedOn w:val="1"/>
    <w:qFormat/>
    <w:uiPriority w:val="0"/>
  </w:style>
  <w:style w:type="paragraph" w:customStyle="1" w:styleId="3663">
    <w:name w:val="列出段落11"/>
    <w:basedOn w:val="1"/>
    <w:qFormat/>
    <w:uiPriority w:val="99"/>
    <w:pPr>
      <w:ind w:firstLine="420"/>
    </w:pPr>
    <w:rPr>
      <w:rFonts w:ascii="Calibri" w:hAnsi="Calibri" w:cs="Calibri"/>
      <w:szCs w:val="21"/>
    </w:rPr>
  </w:style>
  <w:style w:type="paragraph" w:customStyle="1" w:styleId="3664">
    <w:name w:val="Char Char7 Char Char1"/>
    <w:basedOn w:val="1"/>
    <w:qFormat/>
    <w:uiPriority w:val="0"/>
    <w:pPr>
      <w:spacing w:after="160" w:line="240" w:lineRule="exact"/>
      <w:jc w:val="left"/>
    </w:pPr>
    <w:rPr>
      <w:rFonts w:ascii="Verdana" w:hAnsi="Verdana"/>
      <w:kern w:val="0"/>
      <w:sz w:val="20"/>
      <w:szCs w:val="20"/>
      <w:lang w:eastAsia="en-US"/>
    </w:rPr>
  </w:style>
  <w:style w:type="paragraph" w:customStyle="1" w:styleId="3665">
    <w:name w:val="Char Char1 Char Char Char Char1"/>
    <w:basedOn w:val="1"/>
    <w:qFormat/>
    <w:uiPriority w:val="0"/>
  </w:style>
  <w:style w:type="paragraph" w:customStyle="1" w:styleId="3666">
    <w:name w:val="Char15"/>
    <w:basedOn w:val="1"/>
    <w:qFormat/>
    <w:uiPriority w:val="0"/>
    <w:rPr>
      <w:rFonts w:ascii="仿宋_GB2312"/>
      <w:b/>
      <w:sz w:val="32"/>
      <w:szCs w:val="32"/>
    </w:rPr>
  </w:style>
  <w:style w:type="paragraph" w:customStyle="1" w:styleId="3667">
    <w:name w:val="Char Char Char Char Char Char Char Char Char Char Char Char1 Char Char Char Char Char Char Char Char Char Char Char Char1 Char1"/>
    <w:basedOn w:val="1"/>
    <w:next w:val="1"/>
    <w:semiHidden/>
    <w:qFormat/>
    <w:uiPriority w:val="0"/>
    <w:pPr>
      <w:spacing w:line="336" w:lineRule="auto"/>
    </w:pPr>
    <w:rPr>
      <w:rFonts w:ascii="宋体" w:hAnsi="宋体" w:eastAsia="汉鼎简书宋" w:cs="宋体"/>
      <w:sz w:val="24"/>
    </w:rPr>
  </w:style>
  <w:style w:type="paragraph" w:customStyle="1" w:styleId="3668">
    <w:name w:val="Char Char Char1 Char Char Char Char2"/>
    <w:basedOn w:val="1"/>
    <w:qFormat/>
    <w:uiPriority w:val="0"/>
    <w:pPr>
      <w:jc w:val="left"/>
    </w:pPr>
  </w:style>
  <w:style w:type="paragraph" w:customStyle="1" w:styleId="3669">
    <w:name w:val="Char Char1 Char Char Char Char Char Char Char Char Char Char Char Char1"/>
    <w:basedOn w:val="1"/>
    <w:qFormat/>
    <w:uiPriority w:val="0"/>
    <w:pPr>
      <w:jc w:val="left"/>
    </w:pPr>
    <w:rPr>
      <w:sz w:val="32"/>
      <w:szCs w:val="20"/>
    </w:rPr>
  </w:style>
  <w:style w:type="paragraph" w:customStyle="1" w:styleId="3670">
    <w:name w:val="Char Char Char Char Char Char Char Char Char Char Char Char1 Char Char Char Char Char Char Char Char Char Char Char Char Char Char Char Char Char Char Char1"/>
    <w:basedOn w:val="1"/>
    <w:qFormat/>
    <w:uiPriority w:val="0"/>
    <w:pPr>
      <w:spacing w:line="360" w:lineRule="auto"/>
      <w:jc w:val="left"/>
    </w:pPr>
    <w:rPr>
      <w:szCs w:val="20"/>
    </w:rPr>
  </w:style>
  <w:style w:type="paragraph" w:customStyle="1" w:styleId="3671">
    <w:name w:val="Char Char181"/>
    <w:basedOn w:val="1"/>
    <w:qFormat/>
    <w:uiPriority w:val="0"/>
    <w:pPr>
      <w:jc w:val="left"/>
    </w:pPr>
  </w:style>
  <w:style w:type="paragraph" w:customStyle="1" w:styleId="3672">
    <w:name w:val="正文文本 313"/>
    <w:basedOn w:val="1"/>
    <w:qFormat/>
    <w:uiPriority w:val="0"/>
    <w:pPr>
      <w:spacing w:line="240" w:lineRule="atLeast"/>
      <w:jc w:val="center"/>
      <w:textAlignment w:val="baseline"/>
    </w:pPr>
    <w:rPr>
      <w:rFonts w:ascii="宋体"/>
      <w:sz w:val="18"/>
    </w:rPr>
  </w:style>
  <w:style w:type="paragraph" w:customStyle="1" w:styleId="3673">
    <w:name w:val="Char Char Char Char Char Char Char Char Char Char5"/>
    <w:basedOn w:val="1"/>
    <w:qFormat/>
    <w:uiPriority w:val="0"/>
    <w:rPr>
      <w:rFonts w:ascii="宋体" w:hAnsi="宋体" w:cs="宋体"/>
      <w:sz w:val="24"/>
    </w:rPr>
  </w:style>
  <w:style w:type="paragraph" w:customStyle="1" w:styleId="3674">
    <w:name w:val="Char Char Char Char Char Char Char Char Char6"/>
    <w:basedOn w:val="1"/>
    <w:qFormat/>
    <w:uiPriority w:val="0"/>
    <w:pPr>
      <w:spacing w:line="360" w:lineRule="auto"/>
    </w:pPr>
    <w:rPr>
      <w:rFonts w:ascii="宋体" w:hAnsi="宋体" w:cs="宋体"/>
      <w:sz w:val="24"/>
    </w:rPr>
  </w:style>
  <w:style w:type="paragraph" w:customStyle="1" w:styleId="3675">
    <w:name w:val="正文文本缩进11"/>
    <w:basedOn w:val="1"/>
    <w:qFormat/>
    <w:uiPriority w:val="0"/>
    <w:pPr>
      <w:ind w:left="720" w:firstLine="480"/>
      <w:outlineLvl w:val="0"/>
    </w:pPr>
    <w:rPr>
      <w:rFonts w:ascii="仿宋_GB2312"/>
    </w:rPr>
  </w:style>
  <w:style w:type="paragraph" w:customStyle="1" w:styleId="3676">
    <w:name w:val="日期11"/>
    <w:basedOn w:val="1"/>
    <w:next w:val="1"/>
    <w:qFormat/>
    <w:uiPriority w:val="0"/>
    <w:pPr>
      <w:spacing w:line="312" w:lineRule="atLeast"/>
      <w:jc w:val="right"/>
      <w:textAlignment w:val="baseline"/>
    </w:pPr>
    <w:rPr>
      <w:rFonts w:ascii="宋体"/>
    </w:rPr>
  </w:style>
  <w:style w:type="paragraph" w:customStyle="1" w:styleId="3677">
    <w:name w:val="Char Char Char Char Char Char Char Char Char Char Char Char Char Char Char3"/>
    <w:basedOn w:val="1"/>
    <w:qFormat/>
    <w:uiPriority w:val="0"/>
    <w:pPr>
      <w:spacing w:line="360" w:lineRule="auto"/>
    </w:pPr>
    <w:rPr>
      <w:rFonts w:ascii="宋体" w:hAnsi="宋体" w:cs="宋体"/>
      <w:sz w:val="24"/>
    </w:rPr>
  </w:style>
  <w:style w:type="paragraph" w:customStyle="1" w:styleId="3678">
    <w:name w:val="Char Char Char Char Char Char1 Char2"/>
    <w:basedOn w:val="7"/>
    <w:qFormat/>
    <w:uiPriority w:val="0"/>
    <w:pPr>
      <w:keepLines w:val="0"/>
      <w:tabs>
        <w:tab w:val="left" w:pos="360"/>
        <w:tab w:val="left" w:pos="900"/>
        <w:tab w:val="clear" w:pos="709"/>
        <w:tab w:val="clear" w:pos="1440"/>
      </w:tabs>
      <w:spacing w:before="240" w:after="60"/>
      <w:ind w:left="542" w:leftChars="-12" w:firstLine="200"/>
    </w:pPr>
    <w:rPr>
      <w:rFonts w:ascii="Cambria" w:hAnsi="Cambria"/>
      <w:snapToGrid w:val="0"/>
      <w:kern w:val="2"/>
      <w:sz w:val="26"/>
      <w:szCs w:val="24"/>
    </w:rPr>
  </w:style>
  <w:style w:type="paragraph" w:customStyle="1" w:styleId="3679">
    <w:name w:val="Char Char Char Char Char Char Char Char Char Char1 Char Char Char Char Char Char Char Char Char Char Char Char Char Char Char Char Char Char Char Char Char Char Char Char Char2"/>
    <w:basedOn w:val="1"/>
    <w:qFormat/>
    <w:uiPriority w:val="0"/>
    <w:pPr>
      <w:widowControl w:val="0"/>
      <w:adjustRightInd/>
      <w:snapToGrid/>
    </w:pPr>
  </w:style>
  <w:style w:type="paragraph" w:customStyle="1" w:styleId="3680">
    <w:name w:val="Char1 Char Char Char Char Char Char1"/>
    <w:basedOn w:val="1"/>
    <w:qFormat/>
    <w:uiPriority w:val="0"/>
    <w:pPr>
      <w:widowControl w:val="0"/>
      <w:adjustRightInd/>
      <w:spacing w:line="360" w:lineRule="auto"/>
    </w:pPr>
    <w:rPr>
      <w:sz w:val="24"/>
    </w:rPr>
  </w:style>
  <w:style w:type="paragraph" w:customStyle="1" w:styleId="3681">
    <w:name w:val="Char Char2 Char Char Char Char1"/>
    <w:basedOn w:val="1"/>
    <w:qFormat/>
    <w:uiPriority w:val="0"/>
    <w:pPr>
      <w:widowControl w:val="0"/>
      <w:adjustRightInd/>
      <w:snapToGrid/>
    </w:pPr>
    <w:rPr>
      <w:szCs w:val="21"/>
    </w:rPr>
  </w:style>
  <w:style w:type="paragraph" w:customStyle="1" w:styleId="3682">
    <w:name w:val="Char Char18 Char Char1"/>
    <w:basedOn w:val="1"/>
    <w:qFormat/>
    <w:uiPriority w:val="0"/>
    <w:pPr>
      <w:widowControl w:val="0"/>
      <w:adjustRightInd/>
      <w:snapToGrid/>
    </w:pPr>
    <w:rPr>
      <w:szCs w:val="21"/>
    </w:rPr>
  </w:style>
  <w:style w:type="table" w:customStyle="1" w:styleId="3683">
    <w:name w:val="网格型27"/>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84">
    <w:name w:val="网格型23"/>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85">
    <w:name w:val="网格型15"/>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86">
    <w:name w:val="网格型7"/>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87">
    <w:name w:val="网格型8"/>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88">
    <w:name w:val="网格型17"/>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89">
    <w:name w:val="开放式表格"/>
    <w:basedOn w:val="91"/>
    <w:qFormat/>
    <w:uiPriority w:val="0"/>
    <w:pPr>
      <w:textAlignment w:val="center"/>
    </w:pPr>
    <w:tblPr>
      <w:tblBorders>
        <w:top w:val="single" w:color="auto" w:sz="8" w:space="0"/>
        <w:bottom w:val="single" w:color="auto" w:sz="8" w:space="0"/>
        <w:insideH w:val="single" w:color="auto" w:sz="4" w:space="0"/>
        <w:insideV w:val="single" w:color="auto" w:sz="4" w:space="0"/>
      </w:tblBorders>
      <w:tblCellMar>
        <w:top w:w="0" w:type="dxa"/>
        <w:left w:w="108" w:type="dxa"/>
        <w:bottom w:w="0" w:type="dxa"/>
        <w:right w:w="108" w:type="dxa"/>
      </w:tblCellMar>
    </w:tblPr>
  </w:style>
  <w:style w:type="table" w:customStyle="1" w:styleId="3690">
    <w:name w:val="网格型10"/>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91">
    <w:name w:val="Table Normal1"/>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3692">
    <w:name w:val="列表型 72"/>
    <w:basedOn w:val="91"/>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3693">
    <w:name w:val="网格型110"/>
    <w:basedOn w:val="9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94">
    <w:name w:val="表格主题1"/>
    <w:basedOn w:val="9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95">
    <w:name w:val="网格型71"/>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96">
    <w:name w:val="竖列型 22"/>
    <w:basedOn w:val="91"/>
    <w:qFormat/>
    <w:uiPriority w:val="0"/>
    <w:pPr>
      <w:widowControl w:val="0"/>
      <w:jc w:val="both"/>
    </w:pPr>
    <w:rPr>
      <w:b/>
      <w:bCs/>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697">
    <w:name w:val="网格型19"/>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98">
    <w:name w:val="网格型211"/>
    <w:basedOn w:val="9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99">
    <w:name w:val="网格型81"/>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00">
    <w:name w:val="网格型2101"/>
    <w:basedOn w:val="9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701">
    <w:name w:val="竖列型 32"/>
    <w:basedOn w:val="91"/>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3702">
    <w:name w:val="竖列型 52"/>
    <w:basedOn w:val="91"/>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703">
    <w:name w:val="彩色型 22"/>
    <w:basedOn w:val="91"/>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704">
    <w:name w:val="网格型61"/>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05">
    <w:name w:val="竖列型 42"/>
    <w:basedOn w:val="91"/>
    <w:qFormat/>
    <w:uiPriority w:val="0"/>
    <w:pPr>
      <w:widowControl w:val="0"/>
      <w:jc w:val="both"/>
    </w:p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3706">
    <w:name w:val="网格型122"/>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07">
    <w:name w:val="古典型 42"/>
    <w:basedOn w:val="91"/>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708">
    <w:name w:val="古典型 111"/>
    <w:basedOn w:val="91"/>
    <w:qFormat/>
    <w:uiPriority w:val="0"/>
    <w:pPr>
      <w:widowControl w:val="0"/>
      <w:jc w:val="both"/>
    </w:pPr>
    <w:rPr>
      <w:sz w:val="21"/>
    </w:rPr>
    <w:tblPr>
      <w:tblBorders>
        <w:top w:val="single" w:color="000000" w:sz="12" w:space="0"/>
        <w:bottom w:val="single" w:color="000000" w:sz="12"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09">
    <w:name w:val="网格型91"/>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10">
    <w:name w:val="典雅型2"/>
    <w:basedOn w:val="91"/>
    <w:qFormat/>
    <w:uiPriority w:val="0"/>
    <w:pPr>
      <w:widowControl w:val="0"/>
      <w:spacing w:line="312" w:lineRule="auto"/>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711">
    <w:name w:val="列表型 42"/>
    <w:basedOn w:val="91"/>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3712">
    <w:name w:val="列表型 62"/>
    <w:basedOn w:val="91"/>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13">
    <w:name w:val="竖列型 11"/>
    <w:basedOn w:val="91"/>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14">
    <w:name w:val="列表型 41"/>
    <w:basedOn w:val="91"/>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3715">
    <w:name w:val="竖列型 51"/>
    <w:basedOn w:val="91"/>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716">
    <w:name w:val="网格型-无边竖线6"/>
    <w:basedOn w:val="9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17">
    <w:name w:val="精巧型 11"/>
    <w:basedOn w:val="91"/>
    <w:qFormat/>
    <w:uiPriority w:val="0"/>
    <w:pPr>
      <w:widowControl w:val="0"/>
      <w:jc w:val="both"/>
    </w:pPr>
    <w:tblPr>
      <w:tblCellMar>
        <w:top w:w="0" w:type="dxa"/>
        <w:left w:w="108" w:type="dxa"/>
        <w:bottom w:w="0" w:type="dxa"/>
        <w:right w:w="108" w:type="dxa"/>
      </w:tblCellMar>
    </w:tbl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18">
    <w:name w:val="列表型 61"/>
    <w:basedOn w:val="91"/>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19">
    <w:name w:val="竖列型 41"/>
    <w:basedOn w:val="91"/>
    <w:qFormat/>
    <w:uiPriority w:val="0"/>
    <w:pPr>
      <w:widowControl w:val="0"/>
      <w:jc w:val="both"/>
    </w:p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3720">
    <w:name w:val="网格型1101"/>
    <w:basedOn w:val="9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21">
    <w:name w:val="网格型201"/>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22">
    <w:name w:val="列表型 51"/>
    <w:basedOn w:val="91"/>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723">
    <w:name w:val="网格型241"/>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24">
    <w:name w:val="网格型271"/>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25">
    <w:name w:val="网格型0011"/>
    <w:basedOn w:val="91"/>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26">
    <w:name w:val="网格型1211"/>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27">
    <w:name w:val="HIT-EIA1"/>
    <w:basedOn w:val="98"/>
    <w:qFormat/>
    <w:uiPriority w:val="0"/>
    <w:pPr>
      <w:spacing w:line="240" w:lineRule="auto"/>
      <w:jc w:val="center"/>
    </w:pPr>
    <w:rPr>
      <w:szCs w:val="20"/>
    </w:rPr>
    <w:tblPr>
      <w:jc w:val="center"/>
      <w:tblBorders>
        <w:top w:val="single" w:color="000000" w:sz="12" w:space="0"/>
        <w:bottom w:val="single" w:color="000000" w:sz="12" w:space="0"/>
        <w:insideH w:val="single" w:color="auto" w:sz="4" w:space="0"/>
        <w:insideV w:val="single" w:color="auto" w:sz="4" w:space="0"/>
      </w:tblBorders>
      <w:tblCellMar>
        <w:top w:w="0" w:type="dxa"/>
        <w:left w:w="108" w:type="dxa"/>
        <w:bottom w:w="0" w:type="dxa"/>
        <w:right w:w="108" w:type="dxa"/>
      </w:tblCellMar>
    </w:tblPr>
    <w:trPr>
      <w:jc w:val="center"/>
    </w:trPr>
    <w:tcPr>
      <w:shd w:val="clear" w:color="auto" w:fill="auto"/>
      <w:vAlign w:val="center"/>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28">
    <w:name w:val="列表型 21"/>
    <w:basedOn w:val="91"/>
    <w:qFormat/>
    <w:uiPriority w:val="0"/>
    <w:pPr>
      <w:widowControl w:val="0"/>
      <w:jc w:val="both"/>
    </w:pPr>
    <w:tblPr>
      <w:tblBorders>
        <w:bottom w:val="single" w:color="808080" w:sz="12" w:space="0"/>
      </w:tblBorders>
      <w:tblCellMar>
        <w:top w:w="0" w:type="dxa"/>
        <w:left w:w="108" w:type="dxa"/>
        <w:bottom w:w="0" w:type="dxa"/>
        <w:right w:w="108" w:type="dxa"/>
      </w:tblCellMar>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29">
    <w:name w:val="网格型231"/>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30">
    <w:name w:val="网格型151"/>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31">
    <w:name w:val="古典型 21"/>
    <w:basedOn w:val="91"/>
    <w:qFormat/>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732">
    <w:name w:val="简明型 31"/>
    <w:basedOn w:val="91"/>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733">
    <w:name w:val="简明型 21"/>
    <w:basedOn w:val="91"/>
    <w:qFormat/>
    <w:uiPriority w:val="0"/>
    <w:pPr>
      <w:widowControl w:val="0"/>
      <w:jc w:val="both"/>
    </w:pPr>
    <w:tblPr>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34">
    <w:name w:val="彩色型 11"/>
    <w:basedOn w:val="91"/>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735">
    <w:name w:val="立体型 11"/>
    <w:basedOn w:val="91"/>
    <w:qFormat/>
    <w:uiPriority w:val="0"/>
    <w:pPr>
      <w:widowControl w:val="0"/>
      <w:jc w:val="both"/>
    </w:pPr>
    <w:tblPr>
      <w:tblCellMar>
        <w:top w:w="0" w:type="dxa"/>
        <w:left w:w="108" w:type="dxa"/>
        <w:bottom w:w="0" w:type="dxa"/>
        <w:right w:w="108" w:type="dxa"/>
      </w:tblCellMar>
    </w:tbl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736">
    <w:name w:val="网格型-无边竖线8"/>
    <w:basedOn w:val="9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37">
    <w:name w:val="古典型 31"/>
    <w:basedOn w:val="91"/>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3738">
    <w:name w:val="环评"/>
    <w:basedOn w:val="91"/>
    <w:semiHidden/>
    <w:qFormat/>
    <w:uiPriority w:val="0"/>
    <w:pPr>
      <w:jc w:val="center"/>
    </w:pPr>
    <w:rPr>
      <w:sz w:val="21"/>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3739">
    <w:name w:val="网格型31"/>
    <w:basedOn w:val="91"/>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40">
    <w:name w:val="网格型292"/>
    <w:basedOn w:val="9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41">
    <w:name w:val="网格型6"/>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42">
    <w:name w:val="网格型 71"/>
    <w:basedOn w:val="91"/>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43">
    <w:name w:val="网格型4"/>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44">
    <w:name w:val="网页型 21"/>
    <w:basedOn w:val="91"/>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745">
    <w:name w:val="网格型29"/>
    <w:basedOn w:val="9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46">
    <w:name w:val="网页型 11"/>
    <w:basedOn w:val="91"/>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747">
    <w:name w:val="网格型 31"/>
    <w:basedOn w:val="91"/>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48">
    <w:name w:val="网格型 81"/>
    <w:basedOn w:val="91"/>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749">
    <w:name w:val="网格型293"/>
    <w:basedOn w:val="9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50">
    <w:name w:val="网格型2931"/>
    <w:basedOn w:val="9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51">
    <w:name w:val="网页型 12"/>
    <w:basedOn w:val="91"/>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752">
    <w:name w:val="简明型 22"/>
    <w:basedOn w:val="91"/>
    <w:qFormat/>
    <w:uiPriority w:val="0"/>
    <w:pPr>
      <w:widowControl w:val="0"/>
      <w:jc w:val="both"/>
    </w:pPr>
    <w:tblPr>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53">
    <w:name w:val="网格型 22"/>
    <w:basedOn w:val="91"/>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3754">
    <w:name w:val="竖列型 12"/>
    <w:basedOn w:val="91"/>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55">
    <w:name w:val="精巧型 12"/>
    <w:basedOn w:val="91"/>
    <w:qFormat/>
    <w:uiPriority w:val="0"/>
    <w:pPr>
      <w:widowControl w:val="0"/>
      <w:jc w:val="both"/>
    </w:pPr>
    <w:tblPr>
      <w:tblCellMar>
        <w:top w:w="0" w:type="dxa"/>
        <w:left w:w="108" w:type="dxa"/>
        <w:bottom w:w="0" w:type="dxa"/>
        <w:right w:w="108" w:type="dxa"/>
      </w:tblCellMar>
    </w:tbl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56">
    <w:name w:val="网格型294"/>
    <w:basedOn w:val="9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57">
    <w:name w:val="HIT-EIA2"/>
    <w:basedOn w:val="98"/>
    <w:qFormat/>
    <w:uiPriority w:val="0"/>
    <w:pPr>
      <w:spacing w:line="240" w:lineRule="auto"/>
      <w:jc w:val="center"/>
    </w:pPr>
    <w:rPr>
      <w:szCs w:val="20"/>
    </w:rPr>
    <w:tblPr>
      <w:jc w:val="center"/>
      <w:tblBorders>
        <w:top w:val="single" w:color="000000" w:sz="12" w:space="0"/>
        <w:bottom w:val="single" w:color="000000" w:sz="12" w:space="0"/>
        <w:insideH w:val="single" w:color="auto" w:sz="4" w:space="0"/>
        <w:insideV w:val="single" w:color="auto" w:sz="4" w:space="0"/>
      </w:tblBorders>
      <w:tblCellMar>
        <w:top w:w="0" w:type="dxa"/>
        <w:left w:w="108" w:type="dxa"/>
        <w:bottom w:w="0" w:type="dxa"/>
        <w:right w:w="108" w:type="dxa"/>
      </w:tblCellMar>
    </w:tblPr>
    <w:trPr>
      <w:jc w:val="center"/>
    </w:trPr>
    <w:tcPr>
      <w:shd w:val="clear" w:color="auto" w:fill="auto"/>
      <w:vAlign w:val="center"/>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58">
    <w:name w:val="网页型 22"/>
    <w:basedOn w:val="91"/>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759">
    <w:name w:val="彩色型 12"/>
    <w:basedOn w:val="91"/>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760">
    <w:name w:val="网页型 32"/>
    <w:basedOn w:val="91"/>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761">
    <w:name w:val="网格型112"/>
    <w:basedOn w:val="9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62">
    <w:name w:val="网格型 42"/>
    <w:basedOn w:val="91"/>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763">
    <w:name w:val="环评1"/>
    <w:basedOn w:val="91"/>
    <w:semiHidden/>
    <w:qFormat/>
    <w:uiPriority w:val="0"/>
    <w:pPr>
      <w:jc w:val="center"/>
    </w:pPr>
    <w:rPr>
      <w:sz w:val="21"/>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3764">
    <w:name w:val="古典型 32"/>
    <w:basedOn w:val="91"/>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3765">
    <w:name w:val="列表型 71"/>
    <w:basedOn w:val="91"/>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3766">
    <w:name w:val="哈工大环评1"/>
    <w:basedOn w:val="91"/>
    <w:qFormat/>
    <w:uiPriority w:val="0"/>
    <w:pPr>
      <w:widowControl w:val="0"/>
      <w:jc w:val="both"/>
    </w:pPr>
    <w:tblPr>
      <w:tblBorders>
        <w:top w:val="single" w:color="000000" w:sz="12" w:space="0"/>
        <w:bottom w:val="single" w:color="000000" w:sz="12"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67">
    <w:name w:val="网格型3"/>
    <w:basedOn w:val="91"/>
    <w:qFormat/>
    <w:uiPriority w:val="0"/>
    <w:pPr>
      <w:widowControl w:val="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vAlign w:val="center"/>
    </w:tcPr>
  </w:style>
  <w:style w:type="table" w:customStyle="1" w:styleId="3768">
    <w:name w:val="自建表格样式1"/>
    <w:basedOn w:val="91"/>
    <w:qFormat/>
    <w:uiPriority w:val="0"/>
    <w:pPr>
      <w:jc w:val="center"/>
    </w:pPr>
    <w:rPr>
      <w:sz w:val="24"/>
    </w:rPr>
    <w:tblPr>
      <w:jc w:val="center"/>
      <w:tblBorders>
        <w:top w:val="threeDEngrave" w:color="auto" w:sz="12" w:space="0"/>
        <w:bottom w:val="threeDEmboss"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tblStylePr w:type="firstRow">
      <w:rPr>
        <w:b/>
      </w:rPr>
    </w:tblStylePr>
    <w:tblStylePr w:type="lastRow">
      <w:rPr>
        <w:b/>
      </w:rPr>
    </w:tblStylePr>
    <w:tblStylePr w:type="firstCol">
      <w:rPr>
        <w:b/>
      </w:rPr>
    </w:tblStylePr>
  </w:style>
  <w:style w:type="table" w:customStyle="1" w:styleId="3769">
    <w:name w:val="yp格式"/>
    <w:basedOn w:val="91"/>
    <w:qFormat/>
    <w:uiPriority w:val="0"/>
    <w:pPr>
      <w:jc w:val="center"/>
    </w:pPr>
    <w:rPr>
      <w:rFonts w:eastAsia="Times New Roman"/>
    </w:rPr>
    <w:tblPr>
      <w:tblBorders>
        <w:top w:val="single" w:color="000000" w:sz="12" w:space="0"/>
        <w:bottom w:val="single" w:color="000000" w:sz="12" w:space="0"/>
        <w:insideH w:val="single" w:color="000000" w:sz="6" w:space="0"/>
        <w:insideV w:val="single" w:color="000000" w:sz="6" w:space="0"/>
      </w:tblBorders>
      <w:tblCellMar>
        <w:top w:w="0" w:type="dxa"/>
        <w:left w:w="108" w:type="dxa"/>
        <w:bottom w:w="0" w:type="dxa"/>
        <w:right w:w="108" w:type="dxa"/>
      </w:tblCellMar>
    </w:tblPr>
    <w:tcPr>
      <w:tcMar>
        <w:left w:w="28" w:type="dxa"/>
        <w:right w:w="28" w:type="dxa"/>
      </w:tcMar>
      <w:vAlign w:val="center"/>
    </w:tcPr>
    <w:tblStylePr w:type="firstRow">
      <w:tcPr>
        <w:tcBorders>
          <w:top w:val="single" w:color="000000" w:sz="12" w:space="0"/>
          <w:left w:val="nil"/>
          <w:bottom w:val="single" w:color="000000" w:sz="2" w:space="0"/>
          <w:right w:val="nil"/>
          <w:insideH w:val="nil"/>
          <w:insideV w:val="single" w:sz="2" w:space="0"/>
          <w:tl2br w:val="nil"/>
          <w:tr2bl w:val="nil"/>
        </w:tcBorders>
      </w:tcPr>
    </w:tblStylePr>
  </w:style>
  <w:style w:type="table" w:customStyle="1" w:styleId="3770">
    <w:name w:val="网格型11"/>
    <w:basedOn w:val="9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71">
    <w:name w:val="毛的表格"/>
    <w:basedOn w:val="91"/>
    <w:qFormat/>
    <w:uiPriority w:val="0"/>
    <w:pPr>
      <w:jc w:val="center"/>
    </w:pPr>
    <w:rPr>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3772">
    <w:name w:val="刘文自定义表格"/>
    <w:basedOn w:val="93"/>
    <w:qFormat/>
    <w:uiPriority w:val="0"/>
    <w:pPr>
      <w:jc w:val="center"/>
    </w:p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rPr>
      <w:tblHeader/>
    </w:trPr>
    <w:tcPr>
      <w:tcMar>
        <w:left w:w="28" w:type="dxa"/>
        <w:right w:w="28" w:type="dxa"/>
      </w:tcMar>
      <w:vAlign w:val="center"/>
    </w:tcPr>
  </w:style>
  <w:style w:type="table" w:customStyle="1" w:styleId="3773">
    <w:name w:val="网格型1"/>
    <w:basedOn w:val="91"/>
    <w:qFormat/>
    <w:uiPriority w:val="0"/>
    <w:pPr>
      <w:widowControl w:val="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vAlign w:val="center"/>
    </w:tcPr>
  </w:style>
  <w:style w:type="table" w:customStyle="1" w:styleId="3774">
    <w:name w:val="HIT-EIA"/>
    <w:basedOn w:val="98"/>
    <w:qFormat/>
    <w:uiPriority w:val="0"/>
    <w:pPr>
      <w:spacing w:line="240" w:lineRule="auto"/>
      <w:jc w:val="center"/>
    </w:pPr>
    <w:rPr>
      <w:szCs w:val="20"/>
    </w:rPr>
    <w:tblPr>
      <w:jc w:val="center"/>
      <w:tblBorders>
        <w:top w:val="single" w:color="000000" w:sz="12" w:space="0"/>
        <w:bottom w:val="single" w:color="000000" w:sz="12" w:space="0"/>
        <w:insideH w:val="single" w:color="auto" w:sz="4" w:space="0"/>
        <w:insideV w:val="single" w:color="auto" w:sz="4" w:space="0"/>
      </w:tblBorders>
      <w:tblCellMar>
        <w:top w:w="0" w:type="dxa"/>
        <w:left w:w="108" w:type="dxa"/>
        <w:bottom w:w="0" w:type="dxa"/>
        <w:right w:w="108" w:type="dxa"/>
      </w:tblCellMar>
    </w:tblPr>
    <w:trPr>
      <w:jc w:val="center"/>
    </w:trPr>
    <w:tcPr>
      <w:shd w:val="clear" w:color="auto" w:fill="auto"/>
      <w:vAlign w:val="center"/>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75">
    <w:name w:val="哈工大常用"/>
    <w:basedOn w:val="91"/>
    <w:qFormat/>
    <w:uiPriority w:val="0"/>
    <w:pPr>
      <w:jc w:val="center"/>
      <w:textAlignment w:val="center"/>
    </w:pPr>
    <w:rPr>
      <w:kern w:val="21"/>
      <w:sz w:val="21"/>
      <w:szCs w:val="21"/>
    </w:rPr>
    <w:tblPr>
      <w:jc w:val="center"/>
      <w:tblBorders>
        <w:top w:val="single" w:color="000000" w:sz="12" w:space="0"/>
        <w:bottom w:val="single" w:color="000000" w:sz="12" w:space="0"/>
        <w:insideH w:val="single" w:color="000000" w:sz="4" w:space="0"/>
        <w:insideV w:val="single" w:color="000000" w:sz="4" w:space="0"/>
      </w:tblBorders>
      <w:tblCellMar>
        <w:top w:w="0" w:type="dxa"/>
        <w:left w:w="108" w:type="dxa"/>
        <w:bottom w:w="0" w:type="dxa"/>
        <w:right w:w="108" w:type="dxa"/>
      </w:tblCellMar>
    </w:tblPr>
    <w:trPr>
      <w:tblHeader/>
      <w:jc w:val="center"/>
    </w:trPr>
    <w:tcPr>
      <w:vAlign w:val="center"/>
    </w:tcPr>
  </w:style>
  <w:style w:type="table" w:customStyle="1" w:styleId="3776">
    <w:name w:val="网格型2"/>
    <w:basedOn w:val="91"/>
    <w:qFormat/>
    <w:uiPriority w:val="0"/>
    <w:pPr>
      <w:widowControl w:val="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vAlign w:val="center"/>
    </w:tcPr>
  </w:style>
  <w:style w:type="table" w:customStyle="1" w:styleId="3777">
    <w:name w:val="网格型-无边竖线1"/>
    <w:basedOn w:val="9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78">
    <w:name w:val="网格型 61"/>
    <w:basedOn w:val="91"/>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79">
    <w:name w:val="网格型21"/>
    <w:basedOn w:val="9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80">
    <w:name w:val="网格型12"/>
    <w:basedOn w:val="9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81">
    <w:name w:val="普通表格1"/>
    <w:semiHidden/>
    <w:qFormat/>
    <w:uiPriority w:val="0"/>
    <w:pPr>
      <w:spacing w:line="320" w:lineRule="exact"/>
      <w:jc w:val="center"/>
    </w:pPr>
    <w:rPr>
      <w:rFonts w:eastAsia="Times New Roman"/>
    </w:rPr>
    <w:tblPr>
      <w:tblCellMar>
        <w:top w:w="0" w:type="dxa"/>
        <w:left w:w="108" w:type="dxa"/>
        <w:bottom w:w="0" w:type="dxa"/>
        <w:right w:w="108" w:type="dxa"/>
      </w:tblCellMar>
    </w:tblPr>
  </w:style>
  <w:style w:type="table" w:customStyle="1" w:styleId="3782">
    <w:name w:val="网格型22"/>
    <w:basedOn w:val="9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83">
    <w:name w:val="古典型 11"/>
    <w:basedOn w:val="91"/>
    <w:qFormat/>
    <w:uiPriority w:val="0"/>
    <w:pPr>
      <w:widowControl w:val="0"/>
      <w:jc w:val="both"/>
    </w:pPr>
    <w:rPr>
      <w:sz w:val="21"/>
    </w:rPr>
    <w:tblPr>
      <w:tblBorders>
        <w:top w:val="single" w:color="000000" w:sz="12" w:space="0"/>
        <w:bottom w:val="single" w:color="000000" w:sz="12"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84">
    <w:name w:val="典雅型1"/>
    <w:basedOn w:val="91"/>
    <w:qFormat/>
    <w:uiPriority w:val="0"/>
    <w:pPr>
      <w:widowControl w:val="0"/>
      <w:spacing w:line="312" w:lineRule="auto"/>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785">
    <w:name w:val="彩色型 21"/>
    <w:basedOn w:val="91"/>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786">
    <w:name w:val="彩色型 31"/>
    <w:basedOn w:val="91"/>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787">
    <w:name w:val="古典型 41"/>
    <w:basedOn w:val="91"/>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788">
    <w:name w:val="简明型 11"/>
    <w:basedOn w:val="91"/>
    <w:qFormat/>
    <w:uiPriority w:val="0"/>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789">
    <w:name w:val="精巧型 21"/>
    <w:basedOn w:val="91"/>
    <w:qFormat/>
    <w:uiPriority w:val="0"/>
    <w:pPr>
      <w:widowControl w:val="0"/>
      <w:jc w:val="both"/>
    </w:pPr>
    <w:tblPr>
      <w:tblBorders>
        <w:left w:val="single" w:color="000000" w:sz="6" w:space="0"/>
        <w:right w:val="single" w:color="000000" w:sz="6" w:space="0"/>
      </w:tblBorders>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90">
    <w:name w:val="立体型 21"/>
    <w:basedOn w:val="91"/>
    <w:qFormat/>
    <w:uiPriority w:val="0"/>
    <w:pPr>
      <w:widowControl w:val="0"/>
      <w:jc w:val="both"/>
    </w:pPr>
    <w:tblPr>
      <w:tblCellMar>
        <w:top w:w="0" w:type="dxa"/>
        <w:left w:w="108" w:type="dxa"/>
        <w:bottom w:w="0" w:type="dxa"/>
        <w:right w:w="108" w:type="dxa"/>
      </w:tblCellMar>
    </w:tbl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91">
    <w:name w:val="立体型 31"/>
    <w:basedOn w:val="91"/>
    <w:qFormat/>
    <w:uiPriority w:val="0"/>
    <w:pPr>
      <w:widowControl w:val="0"/>
      <w:jc w:val="both"/>
    </w:pPr>
    <w:tblPr>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92">
    <w:name w:val="列表型 11"/>
    <w:basedOn w:val="91"/>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93">
    <w:name w:val="列表型 31"/>
    <w:basedOn w:val="91"/>
    <w:qFormat/>
    <w:uiPriority w:val="0"/>
    <w:pPr>
      <w:widowControl w:val="0"/>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794">
    <w:name w:val="列表型 81"/>
    <w:basedOn w:val="91"/>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3795">
    <w:name w:val="流行型1"/>
    <w:basedOn w:val="91"/>
    <w:qFormat/>
    <w:uiPriority w:val="0"/>
    <w:pPr>
      <w:widowControl w:val="0"/>
      <w:jc w:val="both"/>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3796">
    <w:name w:val="竖列型 21"/>
    <w:basedOn w:val="91"/>
    <w:qFormat/>
    <w:uiPriority w:val="0"/>
    <w:pPr>
      <w:widowControl w:val="0"/>
      <w:jc w:val="both"/>
    </w:pPr>
    <w:rPr>
      <w:b/>
      <w:bCs/>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97">
    <w:name w:val="竖列型 31"/>
    <w:basedOn w:val="91"/>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3798">
    <w:name w:val="网格型 11"/>
    <w:basedOn w:val="91"/>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99">
    <w:name w:val="网格型 21"/>
    <w:basedOn w:val="91"/>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3800">
    <w:name w:val="网格型 41"/>
    <w:basedOn w:val="91"/>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801">
    <w:name w:val="网页型 31"/>
    <w:basedOn w:val="91"/>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802">
    <w:name w:val="专业型1"/>
    <w:basedOn w:val="91"/>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803">
    <w:name w:val="网格型291"/>
    <w:basedOn w:val="9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04">
    <w:name w:val="网格型5"/>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05">
    <w:name w:val="网格型9"/>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06">
    <w:name w:val="网格型121"/>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07">
    <w:name w:val="网格型13"/>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08">
    <w:name w:val="网格型14"/>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09">
    <w:name w:val="网格型16"/>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10">
    <w:name w:val="网格型18"/>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11">
    <w:name w:val="网格型20"/>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12">
    <w:name w:val="网格型221"/>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13">
    <w:name w:val="网格型24"/>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14">
    <w:name w:val="网格型25"/>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15">
    <w:name w:val="网格型26"/>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16">
    <w:name w:val="网格型28"/>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17">
    <w:name w:val="网格型001"/>
    <w:basedOn w:val="91"/>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18">
    <w:name w:val="网格型30"/>
    <w:basedOn w:val="9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819">
    <w:name w:val="网格型210"/>
    <w:basedOn w:val="9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820">
    <w:name w:val="Table Normal"/>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3821">
    <w:name w:val="网格型41"/>
    <w:basedOn w:val="9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22">
    <w:name w:val="网格型-无边竖线2"/>
    <w:basedOn w:val="9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23">
    <w:name w:val="哈工大环评2"/>
    <w:basedOn w:val="91"/>
    <w:qFormat/>
    <w:uiPriority w:val="0"/>
    <w:pPr>
      <w:widowControl w:val="0"/>
      <w:jc w:val="both"/>
    </w:pPr>
    <w:tblPr>
      <w:tblBorders>
        <w:top w:val="single" w:color="000000" w:sz="12" w:space="0"/>
        <w:bottom w:val="single" w:color="000000" w:sz="12"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824">
    <w:name w:val="网格型 51"/>
    <w:basedOn w:val="91"/>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25">
    <w:name w:val="网格型 62"/>
    <w:basedOn w:val="91"/>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26">
    <w:name w:val="网格型111"/>
    <w:basedOn w:val="9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27">
    <w:name w:val="普通表格11"/>
    <w:semiHidden/>
    <w:qFormat/>
    <w:uiPriority w:val="0"/>
    <w:pPr>
      <w:spacing w:line="320" w:lineRule="exact"/>
      <w:jc w:val="center"/>
    </w:pPr>
    <w:rPr>
      <w:rFonts w:eastAsia="Times New Roman"/>
    </w:rPr>
    <w:tblPr>
      <w:tblCellMar>
        <w:top w:w="0" w:type="dxa"/>
        <w:left w:w="108" w:type="dxa"/>
        <w:bottom w:w="0" w:type="dxa"/>
        <w:right w:w="108" w:type="dxa"/>
      </w:tblCellMar>
    </w:tblPr>
  </w:style>
  <w:style w:type="table" w:customStyle="1" w:styleId="3828">
    <w:name w:val="网格型212"/>
    <w:basedOn w:val="9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29">
    <w:name w:val="自建表格样式11"/>
    <w:basedOn w:val="91"/>
    <w:qFormat/>
    <w:uiPriority w:val="0"/>
    <w:pPr>
      <w:jc w:val="center"/>
    </w:pPr>
    <w:rPr>
      <w:sz w:val="24"/>
    </w:rPr>
    <w:tblPr>
      <w:jc w:val="center"/>
      <w:tblBorders>
        <w:top w:val="threeDEngrave" w:color="auto" w:sz="12" w:space="0"/>
        <w:bottom w:val="threeDEmboss"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tblStylePr w:type="firstRow">
      <w:rPr>
        <w:b/>
      </w:rPr>
    </w:tblStylePr>
    <w:tblStylePr w:type="lastRow">
      <w:rPr>
        <w:b/>
      </w:rPr>
    </w:tblStylePr>
    <w:tblStylePr w:type="firstCol">
      <w:rPr>
        <w:b/>
      </w:rPr>
    </w:tblStylePr>
  </w:style>
  <w:style w:type="table" w:customStyle="1" w:styleId="3830">
    <w:name w:val="彩色型 32"/>
    <w:basedOn w:val="91"/>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831">
    <w:name w:val="古典型 22"/>
    <w:basedOn w:val="91"/>
    <w:qFormat/>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832">
    <w:name w:val="简明型 12"/>
    <w:basedOn w:val="91"/>
    <w:qFormat/>
    <w:uiPriority w:val="0"/>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833">
    <w:name w:val="简明型 32"/>
    <w:basedOn w:val="91"/>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834">
    <w:name w:val="精巧型 22"/>
    <w:basedOn w:val="91"/>
    <w:qFormat/>
    <w:uiPriority w:val="0"/>
    <w:pPr>
      <w:widowControl w:val="0"/>
      <w:jc w:val="both"/>
    </w:pPr>
    <w:tblPr>
      <w:tblBorders>
        <w:left w:val="single" w:color="000000" w:sz="6" w:space="0"/>
        <w:right w:val="single" w:color="000000" w:sz="6" w:space="0"/>
      </w:tblBorders>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835">
    <w:name w:val="立体型 12"/>
    <w:basedOn w:val="91"/>
    <w:qFormat/>
    <w:uiPriority w:val="0"/>
    <w:pPr>
      <w:widowControl w:val="0"/>
      <w:jc w:val="both"/>
    </w:pPr>
    <w:tblPr>
      <w:tblCellMar>
        <w:top w:w="0" w:type="dxa"/>
        <w:left w:w="108" w:type="dxa"/>
        <w:bottom w:w="0" w:type="dxa"/>
        <w:right w:w="108" w:type="dxa"/>
      </w:tblCellMar>
    </w:tbl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836">
    <w:name w:val="立体型 22"/>
    <w:basedOn w:val="91"/>
    <w:qFormat/>
    <w:uiPriority w:val="0"/>
    <w:pPr>
      <w:widowControl w:val="0"/>
      <w:jc w:val="both"/>
    </w:pPr>
    <w:tblPr>
      <w:tblCellMar>
        <w:top w:w="0" w:type="dxa"/>
        <w:left w:w="108" w:type="dxa"/>
        <w:bottom w:w="0" w:type="dxa"/>
        <w:right w:w="108" w:type="dxa"/>
      </w:tblCellMar>
    </w:tbl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837">
    <w:name w:val="立体型 32"/>
    <w:basedOn w:val="91"/>
    <w:qFormat/>
    <w:uiPriority w:val="0"/>
    <w:pPr>
      <w:widowControl w:val="0"/>
      <w:jc w:val="both"/>
    </w:pPr>
    <w:tblPr>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838">
    <w:name w:val="列表型 12"/>
    <w:basedOn w:val="91"/>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839">
    <w:name w:val="列表型 22"/>
    <w:basedOn w:val="91"/>
    <w:qFormat/>
    <w:uiPriority w:val="0"/>
    <w:pPr>
      <w:widowControl w:val="0"/>
      <w:jc w:val="both"/>
    </w:pPr>
    <w:tblPr>
      <w:tblBorders>
        <w:bottom w:val="single" w:color="808080" w:sz="12" w:space="0"/>
      </w:tblBorders>
      <w:tblCellMar>
        <w:top w:w="0" w:type="dxa"/>
        <w:left w:w="108" w:type="dxa"/>
        <w:bottom w:w="0" w:type="dxa"/>
        <w:right w:w="108" w:type="dxa"/>
      </w:tblCellMar>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840">
    <w:name w:val="列表型 32"/>
    <w:basedOn w:val="91"/>
    <w:qFormat/>
    <w:uiPriority w:val="0"/>
    <w:pPr>
      <w:widowControl w:val="0"/>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841">
    <w:name w:val="列表型 52"/>
    <w:basedOn w:val="91"/>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842">
    <w:name w:val="列表型 82"/>
    <w:basedOn w:val="91"/>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3843">
    <w:name w:val="流行型2"/>
    <w:basedOn w:val="91"/>
    <w:qFormat/>
    <w:uiPriority w:val="0"/>
    <w:pPr>
      <w:widowControl w:val="0"/>
      <w:jc w:val="both"/>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3844">
    <w:name w:val="网格型 12"/>
    <w:basedOn w:val="91"/>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45">
    <w:name w:val="网格型 32"/>
    <w:basedOn w:val="91"/>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46">
    <w:name w:val="网格型 72"/>
    <w:basedOn w:val="91"/>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47">
    <w:name w:val="网格型 82"/>
    <w:basedOn w:val="91"/>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848">
    <w:name w:val="专业型2"/>
    <w:basedOn w:val="91"/>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849">
    <w:name w:val="网格型2911"/>
    <w:basedOn w:val="9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50">
    <w:name w:val="网格型2921"/>
    <w:basedOn w:val="9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51">
    <w:name w:val="网格型32"/>
    <w:basedOn w:val="91"/>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52">
    <w:name w:val="网格型42"/>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53">
    <w:name w:val="网格型51"/>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54">
    <w:name w:val="网格型101"/>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55">
    <w:name w:val="网格型131"/>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56">
    <w:name w:val="网格型141"/>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57">
    <w:name w:val="网格型161"/>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58">
    <w:name w:val="网格型171"/>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59">
    <w:name w:val="网格型181"/>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60">
    <w:name w:val="网格型191"/>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61">
    <w:name w:val="网格型222"/>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62">
    <w:name w:val="网格型251"/>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63">
    <w:name w:val="网格型261"/>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64">
    <w:name w:val="网格型281"/>
    <w:basedOn w:val="91"/>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65">
    <w:name w:val="开放式表格1"/>
    <w:basedOn w:val="91"/>
    <w:qFormat/>
    <w:uiPriority w:val="0"/>
    <w:pPr>
      <w:textAlignment w:val="center"/>
    </w:pPr>
    <w:tblPr>
      <w:tblBorders>
        <w:top w:val="single" w:color="auto" w:sz="8" w:space="0"/>
        <w:bottom w:val="single" w:color="auto" w:sz="8" w:space="0"/>
        <w:insideH w:val="single" w:color="auto" w:sz="4" w:space="0"/>
        <w:insideV w:val="single" w:color="auto" w:sz="4" w:space="0"/>
      </w:tblBorders>
      <w:tblCellMar>
        <w:top w:w="0" w:type="dxa"/>
        <w:left w:w="108" w:type="dxa"/>
        <w:bottom w:w="0" w:type="dxa"/>
        <w:right w:w="108" w:type="dxa"/>
      </w:tblCellMar>
    </w:tblPr>
  </w:style>
  <w:style w:type="table" w:customStyle="1" w:styleId="3866">
    <w:name w:val="网格型301"/>
    <w:basedOn w:val="9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867">
    <w:name w:val="网格型411"/>
    <w:basedOn w:val="9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68">
    <w:name w:val="网格型-无边竖线3"/>
    <w:basedOn w:val="9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69">
    <w:name w:val="网格型-无边竖线4"/>
    <w:basedOn w:val="9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70">
    <w:name w:val="网格型-无边竖线5"/>
    <w:basedOn w:val="9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71">
    <w:name w:val="网格型-无边竖线7"/>
    <w:basedOn w:val="9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72">
    <w:name w:val="网格型-无边竖线9"/>
    <w:basedOn w:val="9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customXml" Target="../customXml/item2.xml"/><Relationship Id="rId93" Type="http://schemas.openxmlformats.org/officeDocument/2006/relationships/numbering" Target="numbering.xml"/><Relationship Id="rId92" Type="http://schemas.openxmlformats.org/officeDocument/2006/relationships/customXml" Target="../customXml/item1.xml"/><Relationship Id="rId91" Type="http://schemas.openxmlformats.org/officeDocument/2006/relationships/image" Target="media/image40.png"/><Relationship Id="rId90" Type="http://schemas.openxmlformats.org/officeDocument/2006/relationships/image" Target="media/image39.png"/><Relationship Id="rId9" Type="http://schemas.openxmlformats.org/officeDocument/2006/relationships/footer" Target="footer2.xml"/><Relationship Id="rId89" Type="http://schemas.openxmlformats.org/officeDocument/2006/relationships/image" Target="media/image38.png"/><Relationship Id="rId88" Type="http://schemas.openxmlformats.org/officeDocument/2006/relationships/image" Target="media/image37.png"/><Relationship Id="rId87" Type="http://schemas.openxmlformats.org/officeDocument/2006/relationships/image" Target="media/image36.png"/><Relationship Id="rId86" Type="http://schemas.openxmlformats.org/officeDocument/2006/relationships/image" Target="media/image35.png"/><Relationship Id="rId85" Type="http://schemas.openxmlformats.org/officeDocument/2006/relationships/image" Target="media/image34.png"/><Relationship Id="rId84" Type="http://schemas.openxmlformats.org/officeDocument/2006/relationships/image" Target="media/image33.png"/><Relationship Id="rId83" Type="http://schemas.openxmlformats.org/officeDocument/2006/relationships/image" Target="media/image32.emf"/><Relationship Id="rId82" Type="http://schemas.openxmlformats.org/officeDocument/2006/relationships/image" Target="media/image31.wmf"/><Relationship Id="rId81" Type="http://schemas.openxmlformats.org/officeDocument/2006/relationships/oleObject" Target="embeddings/oleObject4.bin"/><Relationship Id="rId80" Type="http://schemas.openxmlformats.org/officeDocument/2006/relationships/image" Target="media/image30.wmf"/><Relationship Id="rId8" Type="http://schemas.openxmlformats.org/officeDocument/2006/relationships/footer" Target="footer1.xml"/><Relationship Id="rId79" Type="http://schemas.openxmlformats.org/officeDocument/2006/relationships/oleObject" Target="embeddings/oleObject3.bin"/><Relationship Id="rId78" Type="http://schemas.openxmlformats.org/officeDocument/2006/relationships/chart" Target="charts/chart4.xml"/><Relationship Id="rId77" Type="http://schemas.openxmlformats.org/officeDocument/2006/relationships/chart" Target="charts/chart3.xml"/><Relationship Id="rId76" Type="http://schemas.openxmlformats.org/officeDocument/2006/relationships/image" Target="media/image29.wmf"/><Relationship Id="rId75" Type="http://schemas.openxmlformats.org/officeDocument/2006/relationships/oleObject" Target="embeddings/oleObject2.bin"/><Relationship Id="rId74" Type="http://schemas.openxmlformats.org/officeDocument/2006/relationships/image" Target="media/image28.png"/><Relationship Id="rId73" Type="http://schemas.openxmlformats.org/officeDocument/2006/relationships/image" Target="media/image27.png"/><Relationship Id="rId72" Type="http://schemas.openxmlformats.org/officeDocument/2006/relationships/image" Target="media/image26.png"/><Relationship Id="rId71" Type="http://schemas.openxmlformats.org/officeDocument/2006/relationships/image" Target="media/image25.png"/><Relationship Id="rId70" Type="http://schemas.openxmlformats.org/officeDocument/2006/relationships/image" Target="media/image24.wmf"/><Relationship Id="rId7" Type="http://schemas.openxmlformats.org/officeDocument/2006/relationships/header" Target="header3.xml"/><Relationship Id="rId69" Type="http://schemas.openxmlformats.org/officeDocument/2006/relationships/oleObject" Target="embeddings/oleObject1.bin"/><Relationship Id="rId68" Type="http://schemas.openxmlformats.org/officeDocument/2006/relationships/image" Target="media/image23.jpeg"/><Relationship Id="rId67" Type="http://schemas.openxmlformats.org/officeDocument/2006/relationships/image" Target="media/image22.wmf"/><Relationship Id="rId66" Type="http://schemas.openxmlformats.org/officeDocument/2006/relationships/image" Target="media/image21.wmf"/><Relationship Id="rId65" Type="http://schemas.openxmlformats.org/officeDocument/2006/relationships/image" Target="media/image20.wmf"/><Relationship Id="rId64" Type="http://schemas.openxmlformats.org/officeDocument/2006/relationships/image" Target="media/image19.wmf"/><Relationship Id="rId63" Type="http://schemas.openxmlformats.org/officeDocument/2006/relationships/image" Target="media/image18.wmf"/><Relationship Id="rId62" Type="http://schemas.openxmlformats.org/officeDocument/2006/relationships/chart" Target="charts/chart2.xml"/><Relationship Id="rId61" Type="http://schemas.openxmlformats.org/officeDocument/2006/relationships/image" Target="media/image17.png"/><Relationship Id="rId60" Type="http://schemas.openxmlformats.org/officeDocument/2006/relationships/image" Target="media/image16.jpeg"/><Relationship Id="rId6" Type="http://schemas.openxmlformats.org/officeDocument/2006/relationships/header" Target="header2.xml"/><Relationship Id="rId59" Type="http://schemas.openxmlformats.org/officeDocument/2006/relationships/chart" Target="charts/chart1.xml"/><Relationship Id="rId58" Type="http://schemas.openxmlformats.org/officeDocument/2006/relationships/image" Target="media/image15.png"/><Relationship Id="rId57" Type="http://schemas.openxmlformats.org/officeDocument/2006/relationships/image" Target="media/image14.png"/><Relationship Id="rId56" Type="http://schemas.openxmlformats.org/officeDocument/2006/relationships/image" Target="media/image13.png"/><Relationship Id="rId55" Type="http://schemas.openxmlformats.org/officeDocument/2006/relationships/image" Target="media/image12.png"/><Relationship Id="rId54" Type="http://schemas.openxmlformats.org/officeDocument/2006/relationships/image" Target="media/image11.png"/><Relationship Id="rId53" Type="http://schemas.openxmlformats.org/officeDocument/2006/relationships/image" Target="media/image10.png"/><Relationship Id="rId52" Type="http://schemas.openxmlformats.org/officeDocument/2006/relationships/image" Target="media/image9.png"/><Relationship Id="rId51" Type="http://schemas.openxmlformats.org/officeDocument/2006/relationships/image" Target="media/image8.png"/><Relationship Id="rId50" Type="http://schemas.openxmlformats.org/officeDocument/2006/relationships/image" Target="media/image7.jpeg"/><Relationship Id="rId5" Type="http://schemas.openxmlformats.org/officeDocument/2006/relationships/header" Target="header1.xml"/><Relationship Id="rId49" Type="http://schemas.openxmlformats.org/officeDocument/2006/relationships/image" Target="media/image6.png"/><Relationship Id="rId48" Type="http://schemas.openxmlformats.org/officeDocument/2006/relationships/image" Target="media/image5.png"/><Relationship Id="rId47" Type="http://schemas.openxmlformats.org/officeDocument/2006/relationships/image" Target="media/image4.jpeg"/><Relationship Id="rId46" Type="http://schemas.openxmlformats.org/officeDocument/2006/relationships/image" Target="media/image3.png"/><Relationship Id="rId45" Type="http://schemas.openxmlformats.org/officeDocument/2006/relationships/image" Target="media/image2.jpeg"/><Relationship Id="rId44" Type="http://schemas.openxmlformats.org/officeDocument/2006/relationships/image" Target="media/image1.jpeg"/><Relationship Id="rId43" Type="http://schemas.openxmlformats.org/officeDocument/2006/relationships/theme" Target="theme/theme1.xml"/><Relationship Id="rId42" Type="http://schemas.openxmlformats.org/officeDocument/2006/relationships/footer" Target="footer30.xml"/><Relationship Id="rId41" Type="http://schemas.openxmlformats.org/officeDocument/2006/relationships/footer" Target="footer29.xml"/><Relationship Id="rId40" Type="http://schemas.openxmlformats.org/officeDocument/2006/relationships/footer" Target="footer28.xml"/><Relationship Id="rId4" Type="http://schemas.openxmlformats.org/officeDocument/2006/relationships/endnotes" Target="endnotes.xml"/><Relationship Id="rId39" Type="http://schemas.openxmlformats.org/officeDocument/2006/relationships/footer" Target="footer27.xml"/><Relationship Id="rId38" Type="http://schemas.openxmlformats.org/officeDocument/2006/relationships/footer" Target="footer26.xml"/><Relationship Id="rId37" Type="http://schemas.openxmlformats.org/officeDocument/2006/relationships/footer" Target="footer25.xml"/><Relationship Id="rId36" Type="http://schemas.openxmlformats.org/officeDocument/2006/relationships/footer" Target="footer24.xml"/><Relationship Id="rId35" Type="http://schemas.openxmlformats.org/officeDocument/2006/relationships/footer" Target="footer23.xml"/><Relationship Id="rId34" Type="http://schemas.openxmlformats.org/officeDocument/2006/relationships/header" Target="header8.xml"/><Relationship Id="rId33" Type="http://schemas.openxmlformats.org/officeDocument/2006/relationships/footer" Target="footer22.xml"/><Relationship Id="rId32" Type="http://schemas.openxmlformats.org/officeDocument/2006/relationships/footer" Target="footer21.xml"/><Relationship Id="rId31" Type="http://schemas.openxmlformats.org/officeDocument/2006/relationships/footer" Target="footer20.xml"/><Relationship Id="rId30" Type="http://schemas.openxmlformats.org/officeDocument/2006/relationships/footer" Target="footer19.xml"/><Relationship Id="rId3" Type="http://schemas.openxmlformats.org/officeDocument/2006/relationships/footnotes" Target="footnotes.xml"/><Relationship Id="rId29" Type="http://schemas.openxmlformats.org/officeDocument/2006/relationships/footer" Target="footer18.xml"/><Relationship Id="rId28" Type="http://schemas.openxmlformats.org/officeDocument/2006/relationships/footer" Target="footer17.xml"/><Relationship Id="rId27" Type="http://schemas.openxmlformats.org/officeDocument/2006/relationships/footer" Target="footer16.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E:\2012&#24180;&#39033;&#30446;\&#22823;&#24198;&#28909;&#30005;&#32852;&#20135;&#22320;&#19979;&#27700;&#24433;&#21709;&#35780;&#20215;\2014&#34917;&#20805;&#24037;&#20316;\&#26377;&#20851;&#25968;.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水源及水质!$A$30</c:f>
              <c:strCache>
                <c:ptCount val="1"/>
                <c:pt idx="0">
                  <c:v>累年平均降水量(mm)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invertIfNegative val="0"/>
          <c:dLbls>
            <c:delete val="1"/>
          </c:dLbls>
          <c:val>
            <c:numRef>
              <c:f>水源及水质!$B$30:$M$30</c:f>
              <c:numCache>
                <c:formatCode>General</c:formatCode>
                <c:ptCount val="12"/>
                <c:pt idx="0">
                  <c:v>1.7</c:v>
                </c:pt>
                <c:pt idx="1">
                  <c:v>2</c:v>
                </c:pt>
                <c:pt idx="2">
                  <c:v>5</c:v>
                </c:pt>
                <c:pt idx="3">
                  <c:v>17.8</c:v>
                </c:pt>
                <c:pt idx="4">
                  <c:v>29.6</c:v>
                </c:pt>
                <c:pt idx="5">
                  <c:v>67.1</c:v>
                </c:pt>
                <c:pt idx="6">
                  <c:v>132.8</c:v>
                </c:pt>
                <c:pt idx="7">
                  <c:v>100.3</c:v>
                </c:pt>
                <c:pt idx="8">
                  <c:v>49.3</c:v>
                </c:pt>
                <c:pt idx="9">
                  <c:v>16.5</c:v>
                </c:pt>
                <c:pt idx="10">
                  <c:v>4.6</c:v>
                </c:pt>
                <c:pt idx="11">
                  <c:v>2.8</c:v>
                </c:pt>
              </c:numCache>
            </c:numRef>
          </c:val>
        </c:ser>
        <c:dLbls>
          <c:showLegendKey val="0"/>
          <c:showVal val="0"/>
          <c:showCatName val="0"/>
          <c:showSerName val="0"/>
          <c:showPercent val="0"/>
          <c:showBubbleSize val="0"/>
        </c:dLbls>
        <c:gapWidth val="150"/>
        <c:axId val="606505216"/>
        <c:axId val="606507008"/>
      </c:barChart>
      <c:scatterChart>
        <c:scatterStyle val="smoothMarker"/>
        <c:varyColors val="0"/>
        <c:ser>
          <c:idx val="0"/>
          <c:order val="0"/>
          <c:tx>
            <c:strRef>
              <c:f>水源及水质!$A$20</c:f>
              <c:strCache>
                <c:ptCount val="1"/>
                <c:pt idx="0">
                  <c:v>累年平均气温(℃)</c:v>
                </c:pt>
              </c:strCache>
            </c:strRef>
          </c:tx>
          <c:marker>
            <c:symbol val="none"/>
          </c:marker>
          <c:dLbls>
            <c:delete val="1"/>
          </c:dLbls>
          <c:yVal>
            <c:numRef>
              <c:f>水源及水质!$B$20:$M$20</c:f>
              <c:numCache>
                <c:formatCode>General</c:formatCode>
                <c:ptCount val="12"/>
                <c:pt idx="0">
                  <c:v>-18.8</c:v>
                </c:pt>
                <c:pt idx="1">
                  <c:v>-13.7</c:v>
                </c:pt>
                <c:pt idx="2">
                  <c:v>-4.1</c:v>
                </c:pt>
                <c:pt idx="3">
                  <c:v>6.5</c:v>
                </c:pt>
                <c:pt idx="4">
                  <c:v>14.7</c:v>
                </c:pt>
                <c:pt idx="5">
                  <c:v>20.6</c:v>
                </c:pt>
                <c:pt idx="6">
                  <c:v>23.1</c:v>
                </c:pt>
                <c:pt idx="7">
                  <c:v>21.3</c:v>
                </c:pt>
                <c:pt idx="8">
                  <c:v>14.7</c:v>
                </c:pt>
                <c:pt idx="9">
                  <c:v>5.4</c:v>
                </c:pt>
                <c:pt idx="10">
                  <c:v>-6.2</c:v>
                </c:pt>
                <c:pt idx="11">
                  <c:v>-15.4</c:v>
                </c:pt>
              </c:numCache>
            </c:numRef>
          </c:yVal>
          <c:smooth val="1"/>
        </c:ser>
        <c:dLbls>
          <c:showLegendKey val="0"/>
          <c:showVal val="0"/>
          <c:showCatName val="0"/>
          <c:showSerName val="0"/>
          <c:showPercent val="0"/>
          <c:showBubbleSize val="0"/>
        </c:dLbls>
        <c:axId val="606508544"/>
        <c:axId val="606510080"/>
      </c:scatterChart>
      <c:catAx>
        <c:axId val="606505216"/>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06507008"/>
        <c:crosses val="autoZero"/>
        <c:auto val="1"/>
        <c:lblAlgn val="ctr"/>
        <c:lblOffset val="100"/>
        <c:noMultiLvlLbl val="0"/>
      </c:catAx>
      <c:valAx>
        <c:axId val="60650700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06505216"/>
        <c:crosses val="autoZero"/>
        <c:crossBetween val="between"/>
      </c:valAx>
      <c:valAx>
        <c:axId val="606508544"/>
        <c:scaling>
          <c:orientation val="minMax"/>
        </c:scaling>
        <c:delete val="1"/>
        <c:axPos val="b"/>
        <c:majorTickMark val="out"/>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06510080"/>
        <c:crosses val="autoZero"/>
        <c:crossBetween val="midCat"/>
      </c:valAx>
      <c:valAx>
        <c:axId val="606510080"/>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06508544"/>
        <c:crosses val="max"/>
        <c:crossBetween val="midCat"/>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sz="1200" i="0" u="none" strike="noStrike" baseline="0">
                <a:solidFill>
                  <a:srgbClr val="000000"/>
                </a:solidFill>
              </a:rPr>
              <a:t>图</a:t>
            </a:r>
            <a:r>
              <a:rPr lang="en-US" altLang="zh-CN" sz="1200" i="0" u="none" strike="noStrike" baseline="0">
                <a:solidFill>
                  <a:srgbClr val="000000"/>
                </a:solidFill>
              </a:rPr>
              <a:t>4-3-2</a:t>
            </a:r>
            <a:r>
              <a:rPr lang="zh-CN" altLang="en-US" sz="1200" i="0" u="none" strike="noStrike" baseline="0">
                <a:solidFill>
                  <a:srgbClr val="000000"/>
                </a:solidFill>
              </a:rPr>
              <a:t>国控地表水断面水质类别比例</a:t>
            </a:r>
            <a:endParaRPr lang="zh-CN" altLang="en-US" sz="1200" i="0" u="none" strike="noStrike" baseline="0">
              <a:solidFill>
                <a:srgbClr val="000000"/>
              </a:solidFill>
            </a:endParaRPr>
          </a:p>
        </c:rich>
      </c:tx>
      <c:layout>
        <c:manualLayout>
          <c:xMode val="edge"/>
          <c:yMode val="edge"/>
          <c:x val="0.236193457169835"/>
          <c:y val="0.899462365591398"/>
        </c:manualLayout>
      </c:layout>
      <c:overlay val="0"/>
      <c:spPr>
        <a:solidFill>
          <a:sysClr val="window" lastClr="FFFFFF"/>
        </a:solidFill>
      </c:spPr>
    </c:title>
    <c:autoTitleDeleted val="0"/>
    <c:plotArea>
      <c:layout>
        <c:manualLayout>
          <c:layoutTarget val="inner"/>
          <c:xMode val="edge"/>
          <c:yMode val="edge"/>
          <c:x val="0.0762073738892279"/>
          <c:y val="0.0419362873758427"/>
          <c:w val="0.658588432589595"/>
          <c:h val="0.647395604961145"/>
        </c:manualLayout>
      </c:layout>
      <c:pieChart>
        <c:varyColors val="1"/>
        <c:ser>
          <c:idx val="0"/>
          <c:order val="0"/>
          <c:tx>
            <c:strRef>
              <c:f>Sheet1!$B$1</c:f>
              <c:strCache>
                <c:ptCount val="1"/>
                <c:pt idx="0">
                  <c:v>地表水断面水质类别比例</c:v>
                </c:pt>
              </c:strCache>
            </c:strRef>
          </c:tx>
          <c:explosion val="25"/>
          <c:dPt>
            <c:idx val="0"/>
            <c:bubble3D val="0"/>
            <c:spPr>
              <a:solidFill>
                <a:srgbClr val="92D050"/>
              </a:solidFill>
            </c:spPr>
          </c:dPt>
          <c:dPt>
            <c:idx val="1"/>
            <c:bubble3D val="0"/>
            <c:spPr>
              <a:solidFill>
                <a:srgbClr val="4472C4">
                  <a:lumMod val="75000"/>
                </a:srgbClr>
              </a:solidFill>
            </c:spPr>
          </c:dPt>
          <c:dPt>
            <c:idx val="2"/>
            <c:bubble3D val="0"/>
            <c:spPr>
              <a:solidFill>
                <a:srgbClr val="ED7D31">
                  <a:lumMod val="75000"/>
                </a:srgbClr>
              </a:solidFill>
            </c:spPr>
          </c:dPt>
          <c:dPt>
            <c:idx val="3"/>
            <c:bubble3D val="0"/>
          </c:dPt>
          <c:dLbls>
            <c:dLbl>
              <c:idx val="0"/>
              <c:layout>
                <c:manualLayout>
                  <c:x val="-0.15443410783482"/>
                  <c:y val="-0.101566003671507"/>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en-US" sz="1250" b="1"/>
                      <a:t>40%</a:t>
                    </a:r>
                    <a:endParaRPr lang="en-US" altLang="zh-CN" sz="1600" b="1"/>
                  </a:p>
                </c:rich>
              </c:tx>
              <c:dLblPos val="bestFit"/>
              <c:showLegendKey val="0"/>
              <c:showVal val="0"/>
              <c:showCatName val="0"/>
              <c:showSerName val="1"/>
              <c:showPercent val="1"/>
              <c:showBubbleSize val="0"/>
              <c:extLst>
                <c:ext xmlns:c15="http://schemas.microsoft.com/office/drawing/2012/chart" uri="{CE6537A1-D6FC-4f65-9D91-7224C49458BB}">
                  <c15:layout/>
                </c:ext>
              </c:extLst>
            </c:dLbl>
            <c:dLbl>
              <c:idx val="1"/>
              <c:layout>
                <c:manualLayout>
                  <c:x val="0.114673877886476"/>
                  <c:y val="-0.0339742826264364"/>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en-US" sz="1250" b="1"/>
                      <a:t>20%</a:t>
                    </a:r>
                    <a:endParaRPr lang="en-US" altLang="zh-CN" sz="1600" b="1"/>
                  </a:p>
                </c:rich>
              </c:tx>
              <c:dLblPos val="bestFit"/>
              <c:showLegendKey val="0"/>
              <c:showVal val="0"/>
              <c:showCatName val="0"/>
              <c:showSerName val="1"/>
              <c:showPercent val="1"/>
              <c:showBubbleSize val="0"/>
              <c:extLst>
                <c:ext xmlns:c15="http://schemas.microsoft.com/office/drawing/2012/chart" uri="{CE6537A1-D6FC-4f65-9D91-7224C49458BB}">
                  <c15:layout/>
                </c:ext>
              </c:extLst>
            </c:dLbl>
            <c:dLbl>
              <c:idx val="2"/>
              <c:layout>
                <c:manualLayout>
                  <c:x val="0.0469804607757363"/>
                  <c:y val="0.0970334590529124"/>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en-US" sz="1250" b="1"/>
                      <a:t>20%</a:t>
                    </a:r>
                    <a:endParaRPr lang="en-US" altLang="zh-CN" sz="1600" b="1"/>
                  </a:p>
                </c:rich>
              </c:tx>
              <c:dLblPos val="bestFit"/>
              <c:showLegendKey val="0"/>
              <c:showVal val="0"/>
              <c:showCatName val="0"/>
              <c:showSerName val="1"/>
              <c:showPercent val="1"/>
              <c:showBubbleSize val="0"/>
              <c:extLst>
                <c:ext xmlns:c15="http://schemas.microsoft.com/office/drawing/2012/chart" uri="{CE6537A1-D6FC-4f65-9D91-7224C49458BB}">
                  <c15:layout/>
                </c:ext>
              </c:extLst>
            </c:dLbl>
            <c:dLbl>
              <c:idx val="3"/>
              <c:layout>
                <c:manualLayout>
                  <c:x val="-0.000305522415758612"/>
                  <c:y val="0.0265753545512693"/>
                </c:manualLayout>
              </c:layout>
              <c:tx>
                <c:rich>
                  <a:bodyPr rot="0" spcFirstLastPara="0"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r>
                      <a:rPr lang="en-US" altLang="zh-CN" sz="1200" b="1"/>
                      <a:t>20%</a:t>
                    </a:r>
                    <a:endParaRPr lang="en-US" altLang="zh-CN" sz="1200" b="1"/>
                  </a:p>
                </c:rich>
              </c:tx>
              <c:numFmt formatCode="General" sourceLinked="1"/>
              <c:spPr>
                <a:noFill/>
                <a:ln w="19809">
                  <a:noFill/>
                </a:ln>
                <a:effectLst/>
              </c:spPr>
              <c:txPr>
                <a:bodyPr rot="0" spcFirstLastPara="0"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1"/>
              <c:showPercent val="1"/>
              <c:showBubbleSize val="0"/>
              <c:extLst>
                <c:ext xmlns:c15="http://schemas.microsoft.com/office/drawing/2012/chart" uri="{CE6537A1-D6FC-4f65-9D91-7224C49458BB}">
                  <c15:layout/>
                </c:ext>
              </c:extLst>
            </c:dLbl>
            <c:spPr>
              <a:noFill/>
              <a:ln w="19809">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Sheet1!$A$2:$A$5</c:f>
              <c:strCache>
                <c:ptCount val="4"/>
                <c:pt idx="0">
                  <c:v>Ⅲ类水质</c:v>
                </c:pt>
                <c:pt idx="1">
                  <c:v>Ⅳ类水质</c:v>
                </c:pt>
                <c:pt idx="2">
                  <c:v>Ⅴ类水质</c:v>
                </c:pt>
                <c:pt idx="3">
                  <c:v>劣Ⅴ类水质</c:v>
                </c:pt>
              </c:strCache>
            </c:strRef>
          </c:cat>
          <c:val>
            <c:numRef>
              <c:f>Sheet1!$B$2:$B$5</c:f>
              <c:numCache>
                <c:formatCode>0%</c:formatCode>
                <c:ptCount val="4"/>
                <c:pt idx="0">
                  <c:v>0.4</c:v>
                </c:pt>
                <c:pt idx="1">
                  <c:v>0.2</c:v>
                </c:pt>
                <c:pt idx="2">
                  <c:v>0.2</c:v>
                </c:pt>
                <c:pt idx="3">
                  <c:v>0.2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Entry>
      <c:layout>
        <c:manualLayout>
          <c:xMode val="edge"/>
          <c:yMode val="edge"/>
          <c:x val="0.740429809910125"/>
          <c:y val="0.134918282273539"/>
          <c:w val="0.168833107982714"/>
          <c:h val="0.283653366858554"/>
        </c:manualLayout>
      </c:layout>
      <c:overlay val="0"/>
      <c:spPr>
        <a:ln>
          <a:solidFill>
            <a:schemeClr val="bg1"/>
          </a:solidFill>
        </a:ln>
      </c:spPr>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chart>
  <c:spPr>
    <a:noFill/>
    <a:ln w="9525" cap="flat" cmpd="sng" algn="ctr">
      <a:noFill/>
      <a:prstDash val="solid"/>
      <a:round/>
    </a:ln>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31750" cap="rnd" cmpd="sng" algn="ctr">
              <a:solidFill>
                <a:schemeClr val="accent1"/>
              </a:solidFill>
              <a:prstDash val="solid"/>
              <a:round/>
            </a:ln>
          </c:spPr>
          <c:marker>
            <c:symbol val="circle"/>
            <c:size val="4"/>
            <c:spPr>
              <a:solidFill>
                <a:schemeClr val="accent6">
                  <a:lumMod val="75000"/>
                </a:schemeClr>
              </a:solidFill>
            </c:spPr>
          </c:marker>
          <c:dLbls>
            <c:delete val="1"/>
          </c:dLbls>
          <c:xVal>
            <c:numRef>
              <c:f>Sheet1!$E$211:$E$231</c:f>
              <c:numCache>
                <c:formatCode>General</c:formatCode>
                <c:ptCount val="2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Sheet1!$F$211:$F$231</c:f>
              <c:numCache>
                <c:formatCode>@</c:formatCode>
                <c:ptCount val="21"/>
                <c:pt idx="0">
                  <c:v>2380</c:v>
                </c:pt>
                <c:pt idx="1">
                  <c:v>1970</c:v>
                </c:pt>
                <c:pt idx="2">
                  <c:v>1560</c:v>
                </c:pt>
                <c:pt idx="3">
                  <c:v>1180</c:v>
                </c:pt>
                <c:pt idx="4">
                  <c:v>852</c:v>
                </c:pt>
                <c:pt idx="5">
                  <c:v>585</c:v>
                </c:pt>
                <c:pt idx="6">
                  <c:v>382</c:v>
                </c:pt>
                <c:pt idx="7">
                  <c:v>236</c:v>
                </c:pt>
                <c:pt idx="8">
                  <c:v>138</c:v>
                </c:pt>
                <c:pt idx="9">
                  <c:v>76.6</c:v>
                </c:pt>
                <c:pt idx="10">
                  <c:v>40.1</c:v>
                </c:pt>
                <c:pt idx="11">
                  <c:v>19.9</c:v>
                </c:pt>
                <c:pt idx="12">
                  <c:v>9.29</c:v>
                </c:pt>
                <c:pt idx="13">
                  <c:v>4.1</c:v>
                </c:pt>
                <c:pt idx="14">
                  <c:v>1.7</c:v>
                </c:pt>
                <c:pt idx="15">
                  <c:v>0.668000000000003</c:v>
                </c:pt>
                <c:pt idx="16">
                  <c:v>0.247</c:v>
                </c:pt>
                <c:pt idx="17">
                  <c:v>0.086</c:v>
                </c:pt>
                <c:pt idx="18">
                  <c:v>0.0282</c:v>
                </c:pt>
                <c:pt idx="19">
                  <c:v>0.00871</c:v>
                </c:pt>
                <c:pt idx="20">
                  <c:v>0.00253</c:v>
                </c:pt>
              </c:numCache>
            </c:numRef>
          </c:yVal>
          <c:smooth val="0"/>
        </c:ser>
        <c:dLbls>
          <c:showLegendKey val="0"/>
          <c:showVal val="0"/>
          <c:showCatName val="0"/>
          <c:showSerName val="0"/>
          <c:showPercent val="0"/>
          <c:showBubbleSize val="0"/>
        </c:dLbls>
        <c:axId val="605867392"/>
        <c:axId val="606090752"/>
      </c:scatterChart>
      <c:valAx>
        <c:axId val="605867392"/>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距离（</a:t>
                </a:r>
                <a:r>
                  <a:rPr lang="en-US" altLang="zh-CN"/>
                  <a:t>m</a:t>
                </a:r>
                <a:r>
                  <a:rPr lang="zh-CN" altLang="en-US"/>
                  <a:t>）</a:t>
                </a:r>
                <a:endParaRPr lang="zh-CN" alt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06090752"/>
        <c:crosses val="autoZero"/>
        <c:crossBetween val="midCat"/>
      </c:valAx>
      <c:valAx>
        <c:axId val="606090752"/>
        <c:scaling>
          <c:orientation val="minMax"/>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US" altLang="zh-CN"/>
                  <a:t>c(mg/L)</a:t>
                </a:r>
                <a:endParaRPr lang="zh-CN" altLang="en-US"/>
              </a:p>
            </c:rich>
          </c:tx>
          <c:layout/>
          <c:overlay val="0"/>
        </c:title>
        <c:numFmt formatCode="@"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05867392"/>
        <c:crosses val="autoZero"/>
        <c:crossBetween val="midCat"/>
      </c:valAx>
    </c:plotArea>
    <c:plotVisOnly val="1"/>
    <c:dispBlanksAs val="gap"/>
    <c:showDLblsOverMax val="0"/>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31750" cap="rnd" cmpd="sng" algn="ctr">
              <a:solidFill>
                <a:schemeClr val="accent1"/>
              </a:solidFill>
              <a:prstDash val="solid"/>
              <a:round/>
            </a:ln>
          </c:spPr>
          <c:marker>
            <c:symbol val="circle"/>
            <c:size val="4"/>
            <c:spPr>
              <a:solidFill>
                <a:schemeClr val="accent6">
                  <a:lumMod val="75000"/>
                </a:schemeClr>
              </a:solidFill>
            </c:spPr>
          </c:marker>
          <c:dLbls>
            <c:delete val="1"/>
          </c:dLbls>
          <c:xVal>
            <c:numRef>
              <c:f>Sheet1!$E$237:$E$267</c:f>
              <c:numCache>
                <c:formatCode>General</c:formatCode>
                <c:ptCount val="3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numCache>
            </c:numRef>
          </c:xVal>
          <c:yVal>
            <c:numRef>
              <c:f>Sheet1!$F$237:$F$267</c:f>
              <c:numCache>
                <c:formatCode>@</c:formatCode>
                <c:ptCount val="31"/>
                <c:pt idx="0">
                  <c:v>2380</c:v>
                </c:pt>
                <c:pt idx="1">
                  <c:v>2200</c:v>
                </c:pt>
                <c:pt idx="2">
                  <c:v>1990</c:v>
                </c:pt>
                <c:pt idx="3">
                  <c:v>1780</c:v>
                </c:pt>
                <c:pt idx="4">
                  <c:v>1560</c:v>
                </c:pt>
                <c:pt idx="5">
                  <c:v>1350</c:v>
                </c:pt>
                <c:pt idx="6">
                  <c:v>1140</c:v>
                </c:pt>
                <c:pt idx="7">
                  <c:v>947</c:v>
                </c:pt>
                <c:pt idx="8">
                  <c:v>771</c:v>
                </c:pt>
                <c:pt idx="9">
                  <c:v>615</c:v>
                </c:pt>
                <c:pt idx="10">
                  <c:v>480</c:v>
                </c:pt>
                <c:pt idx="11">
                  <c:v>367</c:v>
                </c:pt>
                <c:pt idx="12">
                  <c:v>275</c:v>
                </c:pt>
                <c:pt idx="13">
                  <c:v>201</c:v>
                </c:pt>
                <c:pt idx="14">
                  <c:v>144</c:v>
                </c:pt>
                <c:pt idx="15">
                  <c:v>101</c:v>
                </c:pt>
                <c:pt idx="16">
                  <c:v>69.3</c:v>
                </c:pt>
                <c:pt idx="17">
                  <c:v>46.4</c:v>
                </c:pt>
                <c:pt idx="18">
                  <c:v>30.4</c:v>
                </c:pt>
                <c:pt idx="19">
                  <c:v>19.4</c:v>
                </c:pt>
                <c:pt idx="20">
                  <c:v>12.2</c:v>
                </c:pt>
                <c:pt idx="21">
                  <c:v>7.43</c:v>
                </c:pt>
                <c:pt idx="22">
                  <c:v>4.43</c:v>
                </c:pt>
                <c:pt idx="23">
                  <c:v>2.58</c:v>
                </c:pt>
                <c:pt idx="24">
                  <c:v>1.47</c:v>
                </c:pt>
                <c:pt idx="25">
                  <c:v>0.818000000000001</c:v>
                </c:pt>
                <c:pt idx="26">
                  <c:v>0.444</c:v>
                </c:pt>
                <c:pt idx="27">
                  <c:v>0.235</c:v>
                </c:pt>
                <c:pt idx="28">
                  <c:v>0.122</c:v>
                </c:pt>
                <c:pt idx="29">
                  <c:v>0.0616</c:v>
                </c:pt>
                <c:pt idx="30">
                  <c:v>0.0304</c:v>
                </c:pt>
              </c:numCache>
            </c:numRef>
          </c:yVal>
          <c:smooth val="0"/>
        </c:ser>
        <c:dLbls>
          <c:showLegendKey val="0"/>
          <c:showVal val="0"/>
          <c:showCatName val="0"/>
          <c:showSerName val="0"/>
          <c:showPercent val="0"/>
          <c:showBubbleSize val="0"/>
        </c:dLbls>
        <c:axId val="605852416"/>
        <c:axId val="606567808"/>
      </c:scatterChart>
      <c:valAx>
        <c:axId val="605852416"/>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距离（</a:t>
                </a:r>
                <a:r>
                  <a:rPr lang="en-US" altLang="zh-CN"/>
                  <a:t>m</a:t>
                </a:r>
                <a:r>
                  <a:rPr lang="zh-CN" altLang="en-US"/>
                  <a:t>）</a:t>
                </a:r>
                <a:endParaRPr lang="zh-CN" alt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06567808"/>
        <c:crosses val="autoZero"/>
        <c:crossBetween val="midCat"/>
      </c:valAx>
      <c:valAx>
        <c:axId val="606567808"/>
        <c:scaling>
          <c:orientation val="minMax"/>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US" altLang="zh-CN"/>
                  <a:t>c(mg/L)</a:t>
                </a:r>
                <a:endParaRPr lang="zh-CN" altLang="en-US"/>
              </a:p>
            </c:rich>
          </c:tx>
          <c:layout/>
          <c:overlay val="0"/>
        </c:title>
        <c:numFmt formatCode="@"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05852416"/>
        <c:crosses val="autoZero"/>
        <c:crossBetween val="midCat"/>
      </c:valAx>
    </c:plotArea>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7EBC16-1209-4E77-AF48-452F30C8DCB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213</Pages>
  <Words>19874</Words>
  <Characters>113284</Characters>
  <Lines>944</Lines>
  <Paragraphs>265</Paragraphs>
  <TotalTime>19</TotalTime>
  <ScaleCrop>false</ScaleCrop>
  <LinksUpToDate>false</LinksUpToDate>
  <CharactersWithSpaces>132893</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2021-11-01T07:45:00Z</dcterms:created>
  <dc:creator>LJW</dc:creator>
  <cp:lastModifiedBy>WPS_1505036966</cp:lastModifiedBy>
  <cp:lastPrinted>2021-11-01T07:35:00Z</cp:lastPrinted>
  <dcterms:modified xsi:type="dcterms:W3CDTF">2021-12-08T09:29:30Z</dcterms:modified>
  <dc:title>目  录</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KSOSaveFontToCloudKey">
    <vt:lpwstr>665052976_btnclosed</vt:lpwstr>
  </property>
  <property fmtid="{D5CDD505-2E9C-101B-9397-08002B2CF9AE}" pid="4" name="ICV">
    <vt:lpwstr>759A7E6B55FE43389CCC5B0B6ACEAAC4</vt:lpwstr>
  </property>
</Properties>
</file>