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auto"/>
          <w:highlight w:val="none"/>
        </w:rPr>
      </w:pPr>
    </w:p>
    <w:p>
      <w:pPr>
        <w:jc w:val="center"/>
        <w:rPr>
          <w:rFonts w:hint="eastAsia" w:ascii="宋体" w:hAnsi="宋体" w:eastAsia="宋体" w:cs="宋体"/>
          <w:color w:val="auto"/>
          <w:sz w:val="44"/>
          <w:highlight w:val="none"/>
        </w:rPr>
      </w:pPr>
    </w:p>
    <w:p>
      <w:pPr>
        <w:jc w:val="center"/>
        <w:rPr>
          <w:rFonts w:hint="eastAsia" w:ascii="宋体" w:hAnsi="宋体" w:eastAsia="宋体" w:cs="宋体"/>
          <w:color w:val="auto"/>
          <w:sz w:val="44"/>
          <w:highlight w:val="none"/>
        </w:rPr>
      </w:pPr>
    </w:p>
    <w:p>
      <w:pPr>
        <w:pStyle w:val="2"/>
        <w:rPr>
          <w:rFonts w:hint="eastAsia" w:ascii="宋体" w:hAnsi="宋体" w:eastAsia="宋体" w:cs="宋体"/>
          <w:color w:val="auto"/>
          <w:highlight w:val="none"/>
        </w:rPr>
      </w:pPr>
    </w:p>
    <w:p>
      <w:pPr>
        <w:jc w:val="center"/>
        <w:rPr>
          <w:rFonts w:hint="eastAsia" w:ascii="宋体" w:hAnsi="宋体" w:eastAsia="宋体" w:cs="宋体"/>
          <w:color w:val="auto"/>
          <w:sz w:val="44"/>
          <w:highlight w:val="none"/>
        </w:rPr>
      </w:pPr>
    </w:p>
    <w:p>
      <w:pPr>
        <w:spacing w:line="480" w:lineRule="auto"/>
        <w:jc w:val="center"/>
        <w:rPr>
          <w:rFonts w:hint="eastAsia" w:ascii="宋体" w:hAnsi="宋体" w:eastAsia="宋体" w:cs="宋体"/>
          <w:color w:val="auto"/>
          <w:sz w:val="44"/>
          <w:highlight w:val="none"/>
          <w:lang w:val="en-US" w:eastAsia="zh-CN"/>
        </w:rPr>
      </w:pPr>
      <w:r>
        <w:rPr>
          <w:rFonts w:hint="eastAsia" w:ascii="宋体" w:hAnsi="宋体" w:eastAsia="宋体" w:cs="宋体"/>
          <w:color w:val="auto"/>
          <w:sz w:val="44"/>
          <w:highlight w:val="none"/>
          <w:lang w:val="en-US" w:eastAsia="zh-CN"/>
        </w:rPr>
        <w:t>黑龙江七台河七市110千伏变电站增容改造</w:t>
      </w:r>
    </w:p>
    <w:p>
      <w:pPr>
        <w:spacing w:line="480" w:lineRule="auto"/>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工程</w:t>
      </w:r>
      <w:r>
        <w:rPr>
          <w:rFonts w:hint="eastAsia" w:ascii="宋体" w:hAnsi="宋体" w:eastAsia="宋体" w:cs="宋体"/>
          <w:color w:val="auto"/>
          <w:sz w:val="44"/>
          <w:highlight w:val="none"/>
        </w:rPr>
        <w:t>竣工环境保护验收调查</w:t>
      </w:r>
      <w:r>
        <w:rPr>
          <w:rFonts w:hint="eastAsia" w:ascii="宋体" w:hAnsi="宋体" w:eastAsia="宋体" w:cs="宋体"/>
          <w:color w:val="auto"/>
          <w:sz w:val="44"/>
          <w:highlight w:val="none"/>
          <w:lang w:eastAsia="zh-CN"/>
        </w:rPr>
        <w:t>报告</w:t>
      </w:r>
      <w:r>
        <w:rPr>
          <w:rFonts w:hint="eastAsia" w:ascii="宋体" w:hAnsi="宋体" w:eastAsia="宋体" w:cs="宋体"/>
          <w:color w:val="auto"/>
          <w:sz w:val="44"/>
          <w:highlight w:val="none"/>
        </w:rPr>
        <w:t>表</w:t>
      </w:r>
    </w:p>
    <w:p>
      <w:pPr>
        <w:jc w:val="center"/>
        <w:rPr>
          <w:rFonts w:hint="eastAsia" w:ascii="宋体" w:hAnsi="宋体" w:eastAsia="宋体" w:cs="宋体"/>
          <w:b/>
          <w:color w:val="auto"/>
          <w:sz w:val="32"/>
          <w:szCs w:val="28"/>
          <w:highlight w:val="none"/>
        </w:rPr>
      </w:pPr>
    </w:p>
    <w:p>
      <w:pPr>
        <w:jc w:val="center"/>
        <w:rPr>
          <w:rFonts w:hint="eastAsia" w:ascii="宋体" w:hAnsi="宋体" w:eastAsia="宋体" w:cs="宋体"/>
          <w:b/>
          <w:color w:val="auto"/>
          <w:sz w:val="32"/>
          <w:szCs w:val="28"/>
          <w:highlight w:val="none"/>
        </w:rPr>
      </w:pPr>
    </w:p>
    <w:p>
      <w:pPr>
        <w:jc w:val="center"/>
        <w:rPr>
          <w:rFonts w:hint="eastAsia" w:ascii="宋体" w:hAnsi="宋体" w:eastAsia="宋体" w:cs="宋体"/>
          <w:b/>
          <w:color w:val="auto"/>
          <w:sz w:val="32"/>
          <w:szCs w:val="28"/>
          <w:highlight w:val="none"/>
        </w:rPr>
      </w:pPr>
    </w:p>
    <w:p>
      <w:pPr>
        <w:jc w:val="center"/>
        <w:rPr>
          <w:rFonts w:hint="eastAsia" w:ascii="宋体" w:hAnsi="宋体" w:eastAsia="宋体" w:cs="宋体"/>
          <w:b/>
          <w:color w:val="auto"/>
          <w:sz w:val="32"/>
          <w:szCs w:val="28"/>
          <w:highlight w:val="none"/>
        </w:rPr>
      </w:pPr>
    </w:p>
    <w:p>
      <w:pPr>
        <w:rPr>
          <w:rFonts w:hint="eastAsia" w:ascii="宋体" w:hAnsi="宋体" w:eastAsia="宋体" w:cs="宋体"/>
          <w:color w:val="auto"/>
          <w:sz w:val="44"/>
          <w:highlight w:val="none"/>
        </w:rPr>
      </w:pPr>
    </w:p>
    <w:p>
      <w:pPr>
        <w:rPr>
          <w:rFonts w:hint="eastAsia" w:ascii="宋体" w:hAnsi="宋体" w:eastAsia="宋体" w:cs="宋体"/>
          <w:color w:val="auto"/>
          <w:sz w:val="28"/>
          <w:highlight w:val="none"/>
        </w:rPr>
      </w:pPr>
    </w:p>
    <w:p>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建设单位</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lang w:eastAsia="zh-CN"/>
        </w:rPr>
        <w:t>国网黑龙江省电力有限公司七台河供电公司</w:t>
      </w:r>
    </w:p>
    <w:p>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调查单位：黑龙江省皓谨嘉实环境检测有限责任公司</w:t>
      </w:r>
    </w:p>
    <w:p>
      <w:pPr>
        <w:jc w:val="center"/>
        <w:rPr>
          <w:rFonts w:hint="eastAsia" w:ascii="宋体" w:hAnsi="宋体" w:eastAsia="宋体" w:cs="宋体"/>
          <w:color w:val="auto"/>
          <w:sz w:val="32"/>
          <w:szCs w:val="32"/>
          <w:highlight w:val="none"/>
        </w:rPr>
      </w:pPr>
    </w:p>
    <w:p>
      <w:pPr>
        <w:jc w:val="center"/>
        <w:rPr>
          <w:rFonts w:hint="eastAsia" w:ascii="宋体" w:hAnsi="宋体" w:eastAsia="宋体" w:cs="宋体"/>
          <w:color w:val="auto"/>
          <w:sz w:val="32"/>
          <w:szCs w:val="32"/>
          <w:highlight w:val="none"/>
        </w:rPr>
      </w:pPr>
    </w:p>
    <w:p>
      <w:pPr>
        <w:pStyle w:val="2"/>
        <w:rPr>
          <w:rFonts w:hint="eastAsia" w:ascii="宋体" w:hAnsi="宋体" w:eastAsia="宋体" w:cs="宋体"/>
          <w:color w:val="auto"/>
          <w:highlight w:val="none"/>
        </w:rPr>
      </w:pPr>
    </w:p>
    <w:p>
      <w:pPr>
        <w:ind w:firstLine="2560" w:firstLineChars="8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编制日期   2023年</w:t>
      </w:r>
      <w:r>
        <w:rPr>
          <w:rFonts w:hint="eastAsia" w:ascii="宋体" w:hAnsi="宋体" w:eastAsia="宋体" w:cs="宋体"/>
          <w:color w:val="auto"/>
          <w:sz w:val="32"/>
          <w:szCs w:val="32"/>
          <w:highlight w:val="none"/>
          <w:lang w:val="en-US" w:eastAsia="zh-CN"/>
        </w:rPr>
        <w:t>11</w:t>
      </w:r>
      <w:r>
        <w:rPr>
          <w:rFonts w:hint="eastAsia" w:ascii="宋体" w:hAnsi="宋体" w:eastAsia="宋体" w:cs="宋体"/>
          <w:color w:val="auto"/>
          <w:sz w:val="32"/>
          <w:szCs w:val="32"/>
          <w:highlight w:val="none"/>
        </w:rPr>
        <w:t>月</w:t>
      </w:r>
    </w:p>
    <w:p>
      <w:pPr>
        <w:pStyle w:val="2"/>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28"/>
          <w:szCs w:val="28"/>
          <w:highlight w:val="none"/>
        </w:rPr>
      </w:pPr>
    </w:p>
    <w:p>
      <w:pPr>
        <w:spacing w:line="360" w:lineRule="auto"/>
        <w:rPr>
          <w:rFonts w:hint="eastAsia" w:ascii="宋体" w:hAnsi="宋体" w:eastAsia="宋体" w:cs="宋体"/>
          <w:color w:val="auto"/>
          <w:sz w:val="28"/>
          <w:szCs w:val="28"/>
          <w:highlight w:val="none"/>
        </w:rPr>
      </w:pPr>
    </w:p>
    <w:p>
      <w:pPr>
        <w:pStyle w:val="2"/>
        <w:rPr>
          <w:rFonts w:hint="eastAsia" w:ascii="宋体" w:hAnsi="宋体" w:eastAsia="宋体" w:cs="宋体"/>
          <w:color w:val="auto"/>
          <w:highlight w:val="none"/>
        </w:rPr>
      </w:pPr>
    </w:p>
    <w:p>
      <w:pPr>
        <w:spacing w:line="360" w:lineRule="auto"/>
        <w:rPr>
          <w:rFonts w:hint="eastAsia" w:ascii="宋体" w:hAnsi="宋体" w:eastAsia="宋体" w:cs="宋体"/>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建设单位法人代表（授权代表）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 xml:space="preserve">                            （签名）</w:t>
      </w:r>
    </w:p>
    <w:p>
      <w:pPr>
        <w:pStyle w:val="2"/>
        <w:spacing w:line="480" w:lineRule="auto"/>
        <w:ind w:firstLine="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调</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查</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单</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位</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法</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人</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代</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 xml:space="preserve">                            （签名）</w:t>
      </w:r>
    </w:p>
    <w:p>
      <w:pPr>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报</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告</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编</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写</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责</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人：</w:t>
      </w:r>
      <w:r>
        <w:rPr>
          <w:rFonts w:hint="eastAsia" w:ascii="宋体" w:hAnsi="宋体" w:eastAsia="宋体" w:cs="宋体"/>
          <w:color w:val="auto"/>
          <w:sz w:val="28"/>
          <w:szCs w:val="28"/>
          <w:highlight w:val="none"/>
          <w:lang w:val="en-US" w:eastAsia="zh-CN"/>
        </w:rPr>
        <w:t xml:space="preserve">                            （签名）</w:t>
      </w:r>
    </w:p>
    <w:p>
      <w:pPr>
        <w:pStyle w:val="2"/>
        <w:rPr>
          <w:rFonts w:hint="eastAsia" w:ascii="宋体" w:hAnsi="宋体" w:eastAsia="宋体" w:cs="宋体"/>
          <w:color w:val="auto"/>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2661"/>
        <w:gridCol w:w="2526"/>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tcPr>
          <w:p>
            <w:pPr>
              <w:spacing w:line="480" w:lineRule="auto"/>
              <w:jc w:val="center"/>
              <w:rPr>
                <w:rFonts w:hint="eastAsia" w:ascii="宋体" w:hAnsi="宋体" w:eastAsia="宋体" w:cs="宋体"/>
                <w:color w:val="auto"/>
                <w:sz w:val="28"/>
                <w:szCs w:val="28"/>
                <w:highlight w:val="none"/>
                <w:vertAlign w:val="baseline"/>
                <w:lang w:eastAsia="zh-CN"/>
              </w:rPr>
            </w:pPr>
            <w:r>
              <w:rPr>
                <w:rFonts w:hint="eastAsia" w:ascii="宋体" w:hAnsi="宋体" w:eastAsia="宋体" w:cs="宋体"/>
                <w:color w:val="auto"/>
                <w:sz w:val="28"/>
                <w:szCs w:val="28"/>
                <w:highlight w:val="none"/>
                <w:vertAlign w:val="baseline"/>
                <w:lang w:eastAsia="zh-CN"/>
              </w:rPr>
              <w:t>主要编制人员情况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lang w:val="en-US" w:eastAsia="zh-CN"/>
              </w:rPr>
            </w:pPr>
            <w:r>
              <w:rPr>
                <w:rFonts w:hint="eastAsia" w:ascii="宋体" w:hAnsi="宋体" w:eastAsia="宋体" w:cs="宋体"/>
                <w:color w:val="auto"/>
                <w:sz w:val="28"/>
                <w:szCs w:val="28"/>
                <w:highlight w:val="none"/>
                <w:vertAlign w:val="baseline"/>
                <w:lang w:eastAsia="zh-CN"/>
              </w:rPr>
              <w:t>姓名</w:t>
            </w:r>
          </w:p>
        </w:tc>
        <w:tc>
          <w:tcPr>
            <w:tcW w:w="2661" w:type="dxa"/>
          </w:tcPr>
          <w:p>
            <w:pPr>
              <w:spacing w:line="480" w:lineRule="auto"/>
              <w:jc w:val="center"/>
              <w:rPr>
                <w:rFonts w:hint="eastAsia" w:ascii="宋体" w:hAnsi="宋体" w:eastAsia="宋体" w:cs="宋体"/>
                <w:color w:val="auto"/>
                <w:sz w:val="28"/>
                <w:szCs w:val="28"/>
                <w:highlight w:val="none"/>
                <w:vertAlign w:val="baseline"/>
                <w:lang w:eastAsia="zh-CN"/>
              </w:rPr>
            </w:pPr>
            <w:r>
              <w:rPr>
                <w:rFonts w:hint="eastAsia" w:ascii="宋体" w:hAnsi="宋体" w:eastAsia="宋体" w:cs="宋体"/>
                <w:color w:val="auto"/>
                <w:sz w:val="28"/>
                <w:szCs w:val="28"/>
                <w:highlight w:val="none"/>
                <w:vertAlign w:val="baseline"/>
                <w:lang w:eastAsia="zh-CN"/>
              </w:rPr>
              <w:t>职称</w:t>
            </w:r>
          </w:p>
        </w:tc>
        <w:tc>
          <w:tcPr>
            <w:tcW w:w="2526" w:type="dxa"/>
          </w:tcPr>
          <w:p>
            <w:pPr>
              <w:spacing w:line="480" w:lineRule="auto"/>
              <w:jc w:val="center"/>
              <w:rPr>
                <w:rFonts w:hint="eastAsia" w:ascii="宋体" w:hAnsi="宋体" w:eastAsia="宋体" w:cs="宋体"/>
                <w:color w:val="auto"/>
                <w:sz w:val="28"/>
                <w:szCs w:val="28"/>
                <w:highlight w:val="none"/>
                <w:vertAlign w:val="baseline"/>
                <w:lang w:eastAsia="zh-CN"/>
              </w:rPr>
            </w:pPr>
            <w:r>
              <w:rPr>
                <w:rFonts w:hint="eastAsia" w:ascii="宋体" w:hAnsi="宋体" w:eastAsia="宋体" w:cs="宋体"/>
                <w:color w:val="auto"/>
                <w:sz w:val="28"/>
                <w:szCs w:val="28"/>
                <w:highlight w:val="none"/>
                <w:vertAlign w:val="baseline"/>
                <w:lang w:eastAsia="zh-CN"/>
              </w:rPr>
              <w:t>职责</w:t>
            </w:r>
          </w:p>
        </w:tc>
        <w:tc>
          <w:tcPr>
            <w:tcW w:w="2118" w:type="dxa"/>
          </w:tcPr>
          <w:p>
            <w:pPr>
              <w:spacing w:line="480" w:lineRule="auto"/>
              <w:jc w:val="center"/>
              <w:rPr>
                <w:rFonts w:hint="eastAsia" w:ascii="宋体" w:hAnsi="宋体" w:eastAsia="宋体" w:cs="宋体"/>
                <w:color w:val="auto"/>
                <w:sz w:val="28"/>
                <w:szCs w:val="28"/>
                <w:highlight w:val="none"/>
                <w:vertAlign w:val="baseline"/>
                <w:lang w:eastAsia="zh-CN"/>
              </w:rPr>
            </w:pPr>
            <w:r>
              <w:rPr>
                <w:rFonts w:hint="eastAsia" w:ascii="宋体" w:hAnsi="宋体" w:eastAsia="宋体" w:cs="宋体"/>
                <w:color w:val="auto"/>
                <w:sz w:val="28"/>
                <w:szCs w:val="28"/>
                <w:highlight w:val="none"/>
                <w:vertAlign w:val="baseline"/>
                <w:lang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rPr>
            </w:pPr>
          </w:p>
        </w:tc>
        <w:tc>
          <w:tcPr>
            <w:tcW w:w="2661" w:type="dxa"/>
          </w:tcPr>
          <w:p>
            <w:pPr>
              <w:spacing w:line="480" w:lineRule="auto"/>
              <w:jc w:val="center"/>
              <w:rPr>
                <w:rFonts w:hint="eastAsia" w:ascii="宋体" w:hAnsi="宋体" w:eastAsia="宋体" w:cs="宋体"/>
                <w:color w:val="auto"/>
                <w:sz w:val="28"/>
                <w:szCs w:val="28"/>
                <w:highlight w:val="none"/>
                <w:vertAlign w:val="baseline"/>
              </w:rPr>
            </w:pPr>
          </w:p>
        </w:tc>
        <w:tc>
          <w:tcPr>
            <w:tcW w:w="2526" w:type="dxa"/>
          </w:tcPr>
          <w:p>
            <w:pPr>
              <w:spacing w:line="480" w:lineRule="auto"/>
              <w:jc w:val="center"/>
              <w:rPr>
                <w:rFonts w:hint="eastAsia" w:ascii="宋体" w:hAnsi="宋体" w:eastAsia="宋体" w:cs="宋体"/>
                <w:color w:val="auto"/>
                <w:sz w:val="28"/>
                <w:szCs w:val="28"/>
                <w:highlight w:val="none"/>
                <w:vertAlign w:val="baseline"/>
              </w:rPr>
            </w:pPr>
          </w:p>
        </w:tc>
        <w:tc>
          <w:tcPr>
            <w:tcW w:w="2118" w:type="dxa"/>
          </w:tcPr>
          <w:p>
            <w:pPr>
              <w:spacing w:line="480" w:lineRule="auto"/>
              <w:jc w:val="center"/>
              <w:rPr>
                <w:rFonts w:hint="eastAsia" w:ascii="宋体" w:hAnsi="宋体" w:eastAsia="宋体" w:cs="宋体"/>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rPr>
            </w:pPr>
          </w:p>
        </w:tc>
        <w:tc>
          <w:tcPr>
            <w:tcW w:w="2661" w:type="dxa"/>
          </w:tcPr>
          <w:p>
            <w:pPr>
              <w:spacing w:line="480" w:lineRule="auto"/>
              <w:jc w:val="center"/>
              <w:rPr>
                <w:rFonts w:hint="eastAsia" w:ascii="宋体" w:hAnsi="宋体" w:eastAsia="宋体" w:cs="宋体"/>
                <w:color w:val="auto"/>
                <w:sz w:val="28"/>
                <w:szCs w:val="28"/>
                <w:highlight w:val="none"/>
                <w:vertAlign w:val="baseline"/>
              </w:rPr>
            </w:pPr>
          </w:p>
        </w:tc>
        <w:tc>
          <w:tcPr>
            <w:tcW w:w="2526" w:type="dxa"/>
          </w:tcPr>
          <w:p>
            <w:pPr>
              <w:spacing w:line="480" w:lineRule="auto"/>
              <w:jc w:val="center"/>
              <w:rPr>
                <w:rFonts w:hint="eastAsia" w:ascii="宋体" w:hAnsi="宋体" w:eastAsia="宋体" w:cs="宋体"/>
                <w:color w:val="auto"/>
                <w:sz w:val="28"/>
                <w:szCs w:val="28"/>
                <w:highlight w:val="none"/>
                <w:vertAlign w:val="baseline"/>
              </w:rPr>
            </w:pPr>
          </w:p>
        </w:tc>
        <w:tc>
          <w:tcPr>
            <w:tcW w:w="2118" w:type="dxa"/>
          </w:tcPr>
          <w:p>
            <w:pPr>
              <w:spacing w:line="480" w:lineRule="auto"/>
              <w:jc w:val="center"/>
              <w:rPr>
                <w:rFonts w:hint="eastAsia" w:ascii="宋体" w:hAnsi="宋体" w:eastAsia="宋体" w:cs="宋体"/>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rPr>
            </w:pPr>
          </w:p>
        </w:tc>
        <w:tc>
          <w:tcPr>
            <w:tcW w:w="2661" w:type="dxa"/>
          </w:tcPr>
          <w:p>
            <w:pPr>
              <w:spacing w:line="480" w:lineRule="auto"/>
              <w:jc w:val="center"/>
              <w:rPr>
                <w:rFonts w:hint="eastAsia" w:ascii="宋体" w:hAnsi="宋体" w:eastAsia="宋体" w:cs="宋体"/>
                <w:color w:val="auto"/>
                <w:sz w:val="28"/>
                <w:szCs w:val="28"/>
                <w:highlight w:val="none"/>
                <w:vertAlign w:val="baseline"/>
              </w:rPr>
            </w:pPr>
          </w:p>
        </w:tc>
        <w:tc>
          <w:tcPr>
            <w:tcW w:w="2526" w:type="dxa"/>
          </w:tcPr>
          <w:p>
            <w:pPr>
              <w:spacing w:line="480" w:lineRule="auto"/>
              <w:jc w:val="center"/>
              <w:rPr>
                <w:rFonts w:hint="eastAsia" w:ascii="宋体" w:hAnsi="宋体" w:eastAsia="宋体" w:cs="宋体"/>
                <w:color w:val="auto"/>
                <w:sz w:val="28"/>
                <w:szCs w:val="28"/>
                <w:highlight w:val="none"/>
                <w:vertAlign w:val="baseline"/>
              </w:rPr>
            </w:pPr>
          </w:p>
        </w:tc>
        <w:tc>
          <w:tcPr>
            <w:tcW w:w="2118" w:type="dxa"/>
          </w:tcPr>
          <w:p>
            <w:pPr>
              <w:spacing w:line="480" w:lineRule="auto"/>
              <w:jc w:val="center"/>
              <w:rPr>
                <w:rFonts w:hint="eastAsia" w:ascii="宋体" w:hAnsi="宋体" w:eastAsia="宋体" w:cs="宋体"/>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rPr>
            </w:pPr>
          </w:p>
        </w:tc>
        <w:tc>
          <w:tcPr>
            <w:tcW w:w="2661" w:type="dxa"/>
          </w:tcPr>
          <w:p>
            <w:pPr>
              <w:spacing w:line="480" w:lineRule="auto"/>
              <w:jc w:val="center"/>
              <w:rPr>
                <w:rFonts w:hint="eastAsia" w:ascii="宋体" w:hAnsi="宋体" w:eastAsia="宋体" w:cs="宋体"/>
                <w:color w:val="auto"/>
                <w:sz w:val="28"/>
                <w:szCs w:val="28"/>
                <w:highlight w:val="none"/>
                <w:vertAlign w:val="baseline"/>
              </w:rPr>
            </w:pPr>
          </w:p>
        </w:tc>
        <w:tc>
          <w:tcPr>
            <w:tcW w:w="2526" w:type="dxa"/>
          </w:tcPr>
          <w:p>
            <w:pPr>
              <w:spacing w:line="480" w:lineRule="auto"/>
              <w:jc w:val="center"/>
              <w:rPr>
                <w:rFonts w:hint="eastAsia" w:ascii="宋体" w:hAnsi="宋体" w:eastAsia="宋体" w:cs="宋体"/>
                <w:color w:val="auto"/>
                <w:sz w:val="28"/>
                <w:szCs w:val="28"/>
                <w:highlight w:val="none"/>
                <w:vertAlign w:val="baseline"/>
              </w:rPr>
            </w:pPr>
          </w:p>
        </w:tc>
        <w:tc>
          <w:tcPr>
            <w:tcW w:w="2118" w:type="dxa"/>
          </w:tcPr>
          <w:p>
            <w:pPr>
              <w:spacing w:line="480" w:lineRule="auto"/>
              <w:jc w:val="center"/>
              <w:rPr>
                <w:rFonts w:hint="eastAsia" w:ascii="宋体" w:hAnsi="宋体" w:eastAsia="宋体" w:cs="宋体"/>
                <w:color w:val="auto"/>
                <w:sz w:val="28"/>
                <w:szCs w:val="28"/>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3" w:type="dxa"/>
          </w:tcPr>
          <w:p>
            <w:pPr>
              <w:spacing w:line="480" w:lineRule="auto"/>
              <w:jc w:val="center"/>
              <w:rPr>
                <w:rFonts w:hint="eastAsia" w:ascii="宋体" w:hAnsi="宋体" w:eastAsia="宋体" w:cs="宋体"/>
                <w:color w:val="auto"/>
                <w:sz w:val="28"/>
                <w:szCs w:val="28"/>
                <w:highlight w:val="none"/>
                <w:vertAlign w:val="baseline"/>
              </w:rPr>
            </w:pPr>
          </w:p>
        </w:tc>
        <w:tc>
          <w:tcPr>
            <w:tcW w:w="2661" w:type="dxa"/>
          </w:tcPr>
          <w:p>
            <w:pPr>
              <w:spacing w:line="480" w:lineRule="auto"/>
              <w:jc w:val="center"/>
              <w:rPr>
                <w:rFonts w:hint="eastAsia" w:ascii="宋体" w:hAnsi="宋体" w:eastAsia="宋体" w:cs="宋体"/>
                <w:color w:val="auto"/>
                <w:sz w:val="28"/>
                <w:szCs w:val="28"/>
                <w:highlight w:val="none"/>
                <w:vertAlign w:val="baseline"/>
              </w:rPr>
            </w:pPr>
          </w:p>
        </w:tc>
        <w:tc>
          <w:tcPr>
            <w:tcW w:w="2526" w:type="dxa"/>
          </w:tcPr>
          <w:p>
            <w:pPr>
              <w:spacing w:line="480" w:lineRule="auto"/>
              <w:jc w:val="center"/>
              <w:rPr>
                <w:rFonts w:hint="eastAsia" w:ascii="宋体" w:hAnsi="宋体" w:eastAsia="宋体" w:cs="宋体"/>
                <w:color w:val="auto"/>
                <w:sz w:val="28"/>
                <w:szCs w:val="28"/>
                <w:highlight w:val="none"/>
                <w:vertAlign w:val="baseline"/>
              </w:rPr>
            </w:pPr>
          </w:p>
        </w:tc>
        <w:tc>
          <w:tcPr>
            <w:tcW w:w="2118" w:type="dxa"/>
          </w:tcPr>
          <w:p>
            <w:pPr>
              <w:spacing w:line="480" w:lineRule="auto"/>
              <w:jc w:val="center"/>
              <w:rPr>
                <w:rFonts w:hint="eastAsia" w:ascii="宋体" w:hAnsi="宋体" w:eastAsia="宋体" w:cs="宋体"/>
                <w:color w:val="auto"/>
                <w:sz w:val="28"/>
                <w:szCs w:val="28"/>
                <w:highlight w:val="none"/>
                <w:vertAlign w:val="baseline"/>
              </w:rPr>
            </w:pPr>
          </w:p>
        </w:tc>
      </w:tr>
    </w:tbl>
    <w:p>
      <w:pPr>
        <w:spacing w:line="480" w:lineRule="auto"/>
        <w:rPr>
          <w:rFonts w:hint="eastAsia" w:ascii="宋体" w:hAnsi="宋体" w:eastAsia="宋体" w:cs="宋体"/>
          <w:color w:val="auto"/>
          <w:sz w:val="28"/>
          <w:szCs w:val="28"/>
          <w:highlight w:val="none"/>
        </w:rPr>
      </w:pPr>
    </w:p>
    <w:p>
      <w:pPr>
        <w:pStyle w:val="2"/>
        <w:spacing w:line="480" w:lineRule="auto"/>
        <w:ind w:firstLine="0"/>
        <w:rPr>
          <w:rFonts w:hint="eastAsia" w:ascii="宋体" w:hAnsi="宋体" w:eastAsia="宋体" w:cs="宋体"/>
          <w:color w:val="auto"/>
          <w:sz w:val="28"/>
          <w:szCs w:val="28"/>
          <w:highlight w:val="none"/>
        </w:rPr>
      </w:pPr>
    </w:p>
    <w:p>
      <w:pPr>
        <w:pStyle w:val="2"/>
        <w:spacing w:line="480" w:lineRule="auto"/>
        <w:ind w:firstLine="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建设</w:t>
      </w:r>
      <w:r>
        <w:rPr>
          <w:rFonts w:hint="eastAsia" w:ascii="宋体" w:hAnsi="宋体" w:eastAsia="宋体" w:cs="宋体"/>
          <w:color w:val="auto"/>
          <w:sz w:val="28"/>
          <w:szCs w:val="28"/>
          <w:highlight w:val="none"/>
        </w:rPr>
        <w:t>单位：</w:t>
      </w:r>
      <w:r>
        <w:rPr>
          <w:rFonts w:hint="eastAsia" w:ascii="宋体" w:hAnsi="宋体" w:eastAsia="宋体" w:cs="宋体"/>
          <w:color w:val="auto"/>
          <w:sz w:val="28"/>
          <w:szCs w:val="28"/>
          <w:highlight w:val="none"/>
          <w:lang w:val="en-US" w:eastAsia="zh-CN"/>
        </w:rPr>
        <w:t xml:space="preserve">                 （盖章）  调查单位：            （盖章）</w:t>
      </w:r>
    </w:p>
    <w:p>
      <w:pPr>
        <w:spacing w:line="48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电话：</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电话：</w:t>
      </w:r>
    </w:p>
    <w:p>
      <w:pPr>
        <w:spacing w:line="48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传真：</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传真：</w:t>
      </w:r>
    </w:p>
    <w:p>
      <w:pPr>
        <w:spacing w:line="48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邮编：</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邮编：</w:t>
      </w:r>
    </w:p>
    <w:p>
      <w:pPr>
        <w:spacing w:line="480" w:lineRule="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地址：</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地址：</w:t>
      </w:r>
    </w:p>
    <w:p>
      <w:pPr>
        <w:spacing w:line="480" w:lineRule="auto"/>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lang w:eastAsia="zh-CN"/>
        </w:rPr>
        <w:t>监测单位：</w:t>
      </w:r>
      <w:r>
        <w:rPr>
          <w:rFonts w:hint="eastAsia" w:ascii="宋体" w:hAnsi="宋体" w:eastAsia="宋体" w:cs="宋体"/>
          <w:color w:val="auto"/>
          <w:sz w:val="28"/>
          <w:szCs w:val="28"/>
          <w:highlight w:val="none"/>
          <w:lang w:val="en-US" w:eastAsia="zh-CN"/>
        </w:rPr>
        <w:t>黑龙江隆嘉环境检测有限公司、黑龙江省天顺达检测科技有限公司</w:t>
      </w:r>
    </w:p>
    <w:p>
      <w:pPr>
        <w:pStyle w:val="2"/>
        <w:rPr>
          <w:rFonts w:hint="eastAsia" w:ascii="宋体" w:hAnsi="宋体" w:eastAsia="宋体" w:cs="宋体"/>
          <w:color w:val="auto"/>
          <w:sz w:val="32"/>
          <w:szCs w:val="32"/>
          <w:highlight w:val="none"/>
        </w:rPr>
      </w:pPr>
    </w:p>
    <w:p>
      <w:pPr>
        <w:rPr>
          <w:rFonts w:hint="eastAsia" w:ascii="宋体" w:hAnsi="宋体" w:eastAsia="宋体" w:cs="宋体"/>
          <w:b/>
          <w:bCs/>
          <w:color w:val="auto"/>
          <w:sz w:val="28"/>
          <w:highlight w:val="none"/>
        </w:rPr>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8" w:charSpace="0"/>
        </w:sectPr>
      </w:pPr>
    </w:p>
    <w:p>
      <w:pPr>
        <w:pStyle w:val="2"/>
        <w:spacing w:line="240" w:lineRule="auto"/>
        <w:ind w:firstLine="0"/>
        <w:jc w:val="center"/>
        <w:outlineLvl w:val="0"/>
        <w:rPr>
          <w:rFonts w:hint="eastAsia" w:ascii="宋体" w:hAnsi="宋体" w:eastAsia="宋体" w:cs="宋体"/>
          <w:color w:val="auto"/>
          <w:szCs w:val="21"/>
          <w:highlight w:val="none"/>
        </w:rPr>
      </w:pPr>
      <w:r>
        <w:rPr>
          <w:rFonts w:hint="eastAsia" w:ascii="宋体" w:hAnsi="宋体" w:eastAsia="宋体" w:cs="宋体"/>
          <w:b/>
          <w:bCs/>
          <w:color w:val="auto"/>
          <w:sz w:val="28"/>
          <w:highlight w:val="none"/>
          <w:lang w:eastAsia="zh-CN"/>
        </w:rPr>
        <w:t>一、建设</w:t>
      </w:r>
      <w:r>
        <w:rPr>
          <w:rFonts w:hint="eastAsia" w:ascii="宋体" w:hAnsi="宋体" w:eastAsia="宋体" w:cs="宋体"/>
          <w:b/>
          <w:bCs/>
          <w:color w:val="auto"/>
          <w:sz w:val="28"/>
          <w:highlight w:val="none"/>
        </w:rPr>
        <w:t>项目总体情况</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677"/>
        <w:gridCol w:w="1691"/>
        <w:gridCol w:w="1457"/>
        <w:gridCol w:w="1428"/>
        <w:gridCol w:w="41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建设项目名称</w:t>
            </w:r>
          </w:p>
        </w:tc>
        <w:tc>
          <w:tcPr>
            <w:tcW w:w="7618" w:type="dxa"/>
            <w:gridSpan w:val="6"/>
            <w:vAlign w:val="center"/>
          </w:tcPr>
          <w:p>
            <w:pPr>
              <w:pStyle w:val="28"/>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黑龙江七台河七市110千伏变电站增容改造工程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70" w:type="dxa"/>
            <w:vAlign w:val="center"/>
          </w:tcPr>
          <w:p>
            <w:pPr>
              <w:adjustRightInd w:val="0"/>
              <w:snapToGrid w:val="0"/>
              <w:jc w:val="center"/>
              <w:rPr>
                <w:rFonts w:hint="eastAsia" w:ascii="宋体" w:hAnsi="宋体" w:eastAsia="宋体" w:cs="宋体"/>
                <w:b/>
                <w:color w:val="auto"/>
                <w:highlight w:val="none"/>
              </w:rPr>
            </w:pPr>
            <w:r>
              <w:rPr>
                <w:rFonts w:hint="eastAsia" w:ascii="宋体" w:hAnsi="宋体" w:eastAsia="宋体" w:cs="宋体"/>
                <w:color w:val="auto"/>
                <w:highlight w:val="none"/>
              </w:rPr>
              <w:t>建设单位</w:t>
            </w:r>
          </w:p>
        </w:tc>
        <w:tc>
          <w:tcPr>
            <w:tcW w:w="7618" w:type="dxa"/>
            <w:gridSpan w:val="6"/>
            <w:vAlign w:val="center"/>
          </w:tcPr>
          <w:p>
            <w:pPr>
              <w:pStyle w:val="28"/>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国网黑龙江省电力有限公司七台河供电公司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70" w:type="dxa"/>
            <w:vAlign w:val="center"/>
          </w:tcPr>
          <w:p>
            <w:pPr>
              <w:adjustRightInd w:val="0"/>
              <w:snapToGrid w:val="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法人代表</w:t>
            </w:r>
          </w:p>
        </w:tc>
        <w:tc>
          <w:tcPr>
            <w:tcW w:w="1677" w:type="dxa"/>
            <w:vAlign w:val="center"/>
          </w:tcPr>
          <w:p>
            <w:pPr>
              <w:pStyle w:val="28"/>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杨昆明</w:t>
            </w:r>
          </w:p>
        </w:tc>
        <w:tc>
          <w:tcPr>
            <w:tcW w:w="3148" w:type="dxa"/>
            <w:gridSpan w:val="2"/>
            <w:vAlign w:val="center"/>
          </w:tcPr>
          <w:p>
            <w:pPr>
              <w:pStyle w:val="28"/>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联系人</w:t>
            </w:r>
          </w:p>
        </w:tc>
        <w:tc>
          <w:tcPr>
            <w:tcW w:w="2793" w:type="dxa"/>
            <w:gridSpan w:val="3"/>
            <w:vAlign w:val="center"/>
          </w:tcPr>
          <w:p>
            <w:pPr>
              <w:pStyle w:val="28"/>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汪洋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通讯</w:t>
            </w:r>
            <w:r>
              <w:rPr>
                <w:rFonts w:hint="eastAsia" w:ascii="宋体" w:hAnsi="宋体" w:eastAsia="宋体" w:cs="宋体"/>
                <w:color w:val="auto"/>
                <w:highlight w:val="none"/>
              </w:rPr>
              <w:t>地址</w:t>
            </w:r>
          </w:p>
        </w:tc>
        <w:tc>
          <w:tcPr>
            <w:tcW w:w="7618" w:type="dxa"/>
            <w:gridSpan w:val="6"/>
            <w:vAlign w:val="center"/>
          </w:tcPr>
          <w:p>
            <w:pPr>
              <w:pStyle w:val="28"/>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黑龙江省七台河市桃山区山湖路（桃山区法院北）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70"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rPr>
              <w:t>联系电话</w:t>
            </w:r>
          </w:p>
        </w:tc>
        <w:tc>
          <w:tcPr>
            <w:tcW w:w="1677" w:type="dxa"/>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17713359018</w:t>
            </w:r>
          </w:p>
        </w:tc>
        <w:tc>
          <w:tcPr>
            <w:tcW w:w="1691" w:type="dxa"/>
            <w:vAlign w:val="center"/>
          </w:tcPr>
          <w:p>
            <w:pPr>
              <w:adjustRightInd w:val="0"/>
              <w:snapToGrid w:val="0"/>
              <w:jc w:val="center"/>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en-US" w:eastAsia="zh-CN"/>
              </w:rPr>
              <w:t>传真</w:t>
            </w:r>
          </w:p>
        </w:tc>
        <w:tc>
          <w:tcPr>
            <w:tcW w:w="1457" w:type="dxa"/>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1843" w:type="dxa"/>
            <w:gridSpan w:val="2"/>
            <w:vAlign w:val="center"/>
          </w:tcPr>
          <w:p>
            <w:pPr>
              <w:adjustRightInd w:val="0"/>
              <w:snapToGrid w:val="0"/>
              <w:jc w:val="center"/>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en-US" w:eastAsia="zh-CN"/>
              </w:rPr>
              <w:t>邮政编码</w:t>
            </w:r>
          </w:p>
        </w:tc>
        <w:tc>
          <w:tcPr>
            <w:tcW w:w="950" w:type="dxa"/>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7618" w:type="dxa"/>
            <w:gridSpan w:val="6"/>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七台河市桃山区与茄子河区交界处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670" w:type="dxa"/>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建设项目性质</w:t>
            </w:r>
          </w:p>
        </w:tc>
        <w:tc>
          <w:tcPr>
            <w:tcW w:w="3368" w:type="dxa"/>
            <w:gridSpan w:val="2"/>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新建□  改扩建☑  技改□</w:t>
            </w:r>
          </w:p>
        </w:tc>
        <w:tc>
          <w:tcPr>
            <w:tcW w:w="1457" w:type="dxa"/>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行业类别</w:t>
            </w:r>
          </w:p>
        </w:tc>
        <w:tc>
          <w:tcPr>
            <w:tcW w:w="2793" w:type="dxa"/>
            <w:gridSpan w:val="3"/>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电力供应D4420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环境影响</w:t>
            </w:r>
          </w:p>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报告表名称</w:t>
            </w:r>
          </w:p>
        </w:tc>
        <w:tc>
          <w:tcPr>
            <w:tcW w:w="7618" w:type="dxa"/>
            <w:gridSpan w:val="6"/>
            <w:vAlign w:val="center"/>
          </w:tcPr>
          <w:p>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黑龙江七台河七市110千伏变电站增容改造工程环境影响报告表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环境影响</w:t>
            </w:r>
          </w:p>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评价单位</w:t>
            </w:r>
          </w:p>
        </w:tc>
        <w:tc>
          <w:tcPr>
            <w:tcW w:w="7618" w:type="dxa"/>
            <w:gridSpan w:val="6"/>
            <w:vAlign w:val="center"/>
          </w:tcPr>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北京百灵天地环保科技股份有限公司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初步设计单位</w:t>
            </w:r>
          </w:p>
        </w:tc>
        <w:tc>
          <w:tcPr>
            <w:tcW w:w="7618" w:type="dxa"/>
            <w:gridSpan w:val="6"/>
            <w:vAlign w:val="center"/>
          </w:tcPr>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黑龙江华瑞电力安装集团有限公司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环境影响评价审批部门</w:t>
            </w:r>
          </w:p>
        </w:tc>
        <w:tc>
          <w:tcPr>
            <w:tcW w:w="1677" w:type="dxa"/>
            <w:vAlign w:val="center"/>
          </w:tcPr>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七台河市生态</w:t>
            </w:r>
          </w:p>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环境局</w:t>
            </w:r>
          </w:p>
        </w:tc>
        <w:tc>
          <w:tcPr>
            <w:tcW w:w="1691"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rPr>
              <w:t>文号</w:t>
            </w:r>
          </w:p>
        </w:tc>
        <w:tc>
          <w:tcPr>
            <w:tcW w:w="1457" w:type="dxa"/>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eastAsia="zh-CN"/>
              </w:rPr>
              <w:t>七环审</w:t>
            </w:r>
            <w:r>
              <w:rPr>
                <w:rFonts w:hint="eastAsia" w:ascii="宋体" w:hAnsi="宋体" w:eastAsia="宋体" w:cs="宋体"/>
                <w:bCs/>
                <w:color w:val="auto"/>
                <w:highlight w:val="none"/>
                <w:lang w:val="en-US" w:eastAsia="zh-CN"/>
              </w:rPr>
              <w:t>[2020]32号</w:t>
            </w:r>
          </w:p>
        </w:tc>
        <w:tc>
          <w:tcPr>
            <w:tcW w:w="1428"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rPr>
              <w:t>时间</w:t>
            </w:r>
          </w:p>
        </w:tc>
        <w:tc>
          <w:tcPr>
            <w:tcW w:w="1365" w:type="dxa"/>
            <w:gridSpan w:val="2"/>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2020年</w:t>
            </w:r>
          </w:p>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10月26日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70" w:type="dxa"/>
            <w:vAlign w:val="center"/>
          </w:tcPr>
          <w:p>
            <w:pPr>
              <w:adjustRightInd w:val="0"/>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建设项目核准部门</w:t>
            </w:r>
          </w:p>
        </w:tc>
        <w:tc>
          <w:tcPr>
            <w:tcW w:w="1677"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szCs w:val="21"/>
                <w:highlight w:val="none"/>
                <w:lang w:val="en-US" w:eastAsia="zh-CN"/>
              </w:rPr>
              <w:t>黑龙江省发展和改革委员会</w:t>
            </w:r>
          </w:p>
        </w:tc>
        <w:tc>
          <w:tcPr>
            <w:tcW w:w="1691" w:type="dxa"/>
            <w:vAlign w:val="center"/>
          </w:tcPr>
          <w:p>
            <w:pPr>
              <w:adjustRightInd w:val="0"/>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highlight w:val="none"/>
              </w:rPr>
              <w:t>文号</w:t>
            </w:r>
          </w:p>
        </w:tc>
        <w:tc>
          <w:tcPr>
            <w:tcW w:w="1457" w:type="dxa"/>
            <w:vAlign w:val="center"/>
          </w:tcPr>
          <w:p>
            <w:pPr>
              <w:adjustRightInd w:val="0"/>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color w:val="auto"/>
                <w:szCs w:val="21"/>
                <w:highlight w:val="none"/>
                <w:lang w:val="en-US" w:eastAsia="zh-CN"/>
              </w:rPr>
              <w:t>黑发改电力[2020]12号</w:t>
            </w:r>
          </w:p>
        </w:tc>
        <w:tc>
          <w:tcPr>
            <w:tcW w:w="1428" w:type="dxa"/>
            <w:vAlign w:val="center"/>
          </w:tcPr>
          <w:p>
            <w:pPr>
              <w:adjustRightInd w:val="0"/>
              <w:snapToGrid w:val="0"/>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highlight w:val="none"/>
              </w:rPr>
              <w:t>时间</w:t>
            </w:r>
          </w:p>
        </w:tc>
        <w:tc>
          <w:tcPr>
            <w:tcW w:w="1365" w:type="dxa"/>
            <w:gridSpan w:val="2"/>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2020年</w:t>
            </w:r>
          </w:p>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1月14日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初步设计审批部门</w:t>
            </w:r>
          </w:p>
        </w:tc>
        <w:tc>
          <w:tcPr>
            <w:tcW w:w="1677"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kern w:val="2"/>
                <w:sz w:val="24"/>
                <w:szCs w:val="24"/>
                <w:highlight w:val="none"/>
                <w:lang w:val="en-US" w:eastAsia="zh-CN" w:bidi="ar-SA"/>
              </w:rPr>
              <w:t>国网黑龙江省电力有限公司</w:t>
            </w:r>
          </w:p>
        </w:tc>
        <w:tc>
          <w:tcPr>
            <w:tcW w:w="1691"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rPr>
              <w:t>文号</w:t>
            </w:r>
          </w:p>
        </w:tc>
        <w:tc>
          <w:tcPr>
            <w:tcW w:w="1457" w:type="dxa"/>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eastAsia="zh-CN"/>
              </w:rPr>
              <w:t>黑电建设</w:t>
            </w:r>
            <w:r>
              <w:rPr>
                <w:rFonts w:hint="eastAsia" w:ascii="宋体" w:hAnsi="宋体" w:eastAsia="宋体" w:cs="宋体"/>
                <w:bCs/>
                <w:color w:val="auto"/>
                <w:highlight w:val="none"/>
                <w:lang w:val="en-US" w:eastAsia="zh-CN"/>
              </w:rPr>
              <w:t>[2021]9号</w:t>
            </w:r>
          </w:p>
        </w:tc>
        <w:tc>
          <w:tcPr>
            <w:tcW w:w="1428"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rPr>
              <w:t>时间</w:t>
            </w:r>
          </w:p>
        </w:tc>
        <w:tc>
          <w:tcPr>
            <w:tcW w:w="1365" w:type="dxa"/>
            <w:gridSpan w:val="2"/>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2021年</w:t>
            </w:r>
          </w:p>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1月7日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环境保护设施设计单位</w:t>
            </w:r>
          </w:p>
        </w:tc>
        <w:tc>
          <w:tcPr>
            <w:tcW w:w="7618" w:type="dxa"/>
            <w:gridSpan w:val="6"/>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t>黑龙江华瑞电力安装集团有限公司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环境保护设施施工单位</w:t>
            </w:r>
          </w:p>
        </w:tc>
        <w:tc>
          <w:tcPr>
            <w:tcW w:w="7618" w:type="dxa"/>
            <w:gridSpan w:val="6"/>
            <w:vAlign w:val="center"/>
          </w:tcPr>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七台河富兴电力工程有限责任公司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环境保护设施监测单位</w:t>
            </w:r>
          </w:p>
        </w:tc>
        <w:tc>
          <w:tcPr>
            <w:tcW w:w="7618" w:type="dxa"/>
            <w:gridSpan w:val="6"/>
            <w:vAlign w:val="center"/>
          </w:tcPr>
          <w:p>
            <w:pPr>
              <w:adjustRightInd w:val="0"/>
              <w:snapToGrid w:val="0"/>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电磁监测单位：黑龙江隆嘉环境检测有限公司。</w:t>
            </w:r>
          </w:p>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en-US" w:eastAsia="zh-CN"/>
              </w:rPr>
              <w:t>噪声监测单位：黑龙江省天顺达检测科技有限公司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投资总概算（万元）</w:t>
            </w:r>
          </w:p>
        </w:tc>
        <w:tc>
          <w:tcPr>
            <w:tcW w:w="1677" w:type="dxa"/>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1483</w:t>
            </w:r>
          </w:p>
        </w:tc>
        <w:tc>
          <w:tcPr>
            <w:tcW w:w="1691"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rPr>
              <w:t>环境保护投资（万元）</w:t>
            </w:r>
          </w:p>
        </w:tc>
        <w:tc>
          <w:tcPr>
            <w:tcW w:w="1457" w:type="dxa"/>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30</w:t>
            </w:r>
          </w:p>
        </w:tc>
        <w:tc>
          <w:tcPr>
            <w:tcW w:w="1428"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rPr>
              <w:t>环境保护投资占总投资比例</w:t>
            </w:r>
          </w:p>
        </w:tc>
        <w:tc>
          <w:tcPr>
            <w:tcW w:w="1365" w:type="dxa"/>
            <w:gridSpan w:val="2"/>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实际总投资（万元）</w:t>
            </w:r>
          </w:p>
        </w:tc>
        <w:tc>
          <w:tcPr>
            <w:tcW w:w="1677" w:type="dxa"/>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1446</w:t>
            </w:r>
          </w:p>
        </w:tc>
        <w:tc>
          <w:tcPr>
            <w:tcW w:w="1691"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rPr>
              <w:t>环境保护投资（万元）</w:t>
            </w:r>
          </w:p>
        </w:tc>
        <w:tc>
          <w:tcPr>
            <w:tcW w:w="1457" w:type="dxa"/>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31.5</w:t>
            </w:r>
          </w:p>
        </w:tc>
        <w:tc>
          <w:tcPr>
            <w:tcW w:w="1428"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rPr>
              <w:t>环境保护投资占总投资比例</w:t>
            </w:r>
          </w:p>
        </w:tc>
        <w:tc>
          <w:tcPr>
            <w:tcW w:w="1365" w:type="dxa"/>
            <w:gridSpan w:val="2"/>
            <w:vAlign w:val="center"/>
          </w:tcPr>
          <w:p>
            <w:pPr>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0" w:type="dxa"/>
            <w:vAlign w:val="center"/>
          </w:tcPr>
          <w:p>
            <w:pPr>
              <w:adjustRightInd w:val="0"/>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环评阶段项目建设内容</w:t>
            </w:r>
          </w:p>
        </w:tc>
        <w:tc>
          <w:tcPr>
            <w:tcW w:w="3368" w:type="dxa"/>
            <w:gridSpan w:val="2"/>
            <w:vAlign w:val="center"/>
          </w:tcPr>
          <w:p>
            <w:pPr>
              <w:adjustRightInd w:val="0"/>
              <w:snapToGrid w:val="0"/>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将110kV七市变</w:t>
            </w:r>
            <w:r>
              <w:rPr>
                <w:rFonts w:hint="eastAsia" w:ascii="宋体" w:hAnsi="宋体" w:eastAsia="宋体" w:cs="宋体"/>
                <w:bCs/>
                <w:color w:val="auto"/>
                <w:highlight w:val="none"/>
                <w:lang w:eastAsia="zh-CN"/>
              </w:rPr>
              <w:t>原有</w:t>
            </w:r>
            <w:r>
              <w:rPr>
                <w:rFonts w:hint="eastAsia" w:ascii="宋体" w:hAnsi="宋体" w:eastAsia="宋体" w:cs="宋体"/>
                <w:bCs/>
                <w:color w:val="auto"/>
                <w:highlight w:val="none"/>
              </w:rPr>
              <w:t>2</w:t>
            </w:r>
            <w:r>
              <w:rPr>
                <w:rFonts w:hint="eastAsia" w:ascii="宋体" w:hAnsi="宋体" w:eastAsia="宋体" w:cs="宋体"/>
                <w:bCs/>
                <w:color w:val="auto"/>
                <w:highlight w:val="none"/>
                <w:lang w:val="en-US" w:eastAsia="zh-CN"/>
              </w:rPr>
              <w:t>×</w:t>
            </w:r>
            <w:r>
              <w:rPr>
                <w:rFonts w:hint="eastAsia" w:ascii="宋体" w:hAnsi="宋体" w:eastAsia="宋体" w:cs="宋体"/>
                <w:bCs/>
                <w:color w:val="auto"/>
                <w:highlight w:val="none"/>
              </w:rPr>
              <w:t>20MVA主变更换为2台31.5MVA主变，拆除原有</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31.5MVA主变</w:t>
            </w:r>
            <w:r>
              <w:rPr>
                <w:rFonts w:hint="eastAsia" w:ascii="宋体" w:hAnsi="宋体" w:eastAsia="宋体" w:cs="宋体"/>
                <w:bCs/>
                <w:color w:val="auto"/>
                <w:highlight w:val="none"/>
                <w:lang w:eastAsia="zh-CN"/>
              </w:rPr>
              <w:t>。</w:t>
            </w:r>
          </w:p>
          <w:p>
            <w:pPr>
              <w:adjustRightInd w:val="0"/>
              <w:snapToGrid w:val="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现七台河七市110kV变电站由110kV富强变富市线变提供主供电源，由110kV万宝变新万分线提供备用电源。</w:t>
            </w:r>
          </w:p>
          <w:p>
            <w:pPr>
              <w:adjustRightInd w:val="0"/>
              <w:snapToGrid w:val="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本次改造后主供电源富市线保持现状，将原新万分线新建架空线路“T”接至110kV富万线，改接后由110kV富强变为七市110kV变电站提供主供和备用两路电源。</w:t>
            </w:r>
          </w:p>
          <w:p>
            <w:pPr>
              <w:adjustRightInd w:val="0"/>
              <w:snapToGrid w:val="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本工程新万分线“T”接至110kV富万线共计新建架空线路0.1km，无塔基工程。</w:t>
            </w:r>
          </w:p>
        </w:tc>
        <w:tc>
          <w:tcPr>
            <w:tcW w:w="1457" w:type="dxa"/>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rPr>
              <w:t>建设项目开工日期</w:t>
            </w:r>
          </w:p>
        </w:tc>
        <w:tc>
          <w:tcPr>
            <w:tcW w:w="2793" w:type="dxa"/>
            <w:gridSpan w:val="3"/>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lang w:val="en-US" w:eastAsia="zh-CN"/>
              </w:rPr>
              <w:t>2021</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jc w:val="center"/>
        </w:trPr>
        <w:tc>
          <w:tcPr>
            <w:tcW w:w="1670" w:type="dxa"/>
            <w:vAlign w:val="center"/>
          </w:tcPr>
          <w:p>
            <w:pPr>
              <w:adjustRightInd w:val="0"/>
              <w:snapToGrid w:val="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项目实际建设内容</w:t>
            </w:r>
          </w:p>
        </w:tc>
        <w:tc>
          <w:tcPr>
            <w:tcW w:w="3368" w:type="dxa"/>
            <w:gridSpan w:val="2"/>
            <w:vAlign w:val="center"/>
          </w:tcPr>
          <w:p>
            <w:pPr>
              <w:adjustRightInd w:val="0"/>
              <w:snapToGrid w:val="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本期将110kV七市变2</w:t>
            </w:r>
            <w:r>
              <w:rPr>
                <w:rFonts w:hint="eastAsia" w:ascii="宋体" w:hAnsi="宋体" w:eastAsia="宋体" w:cs="宋体"/>
                <w:bCs/>
                <w:color w:val="auto"/>
                <w:highlight w:val="none"/>
                <w:lang w:val="en-US" w:eastAsia="zh-CN"/>
              </w:rPr>
              <w:t>×</w:t>
            </w:r>
            <w:r>
              <w:rPr>
                <w:rFonts w:hint="eastAsia" w:ascii="宋体" w:hAnsi="宋体" w:eastAsia="宋体" w:cs="宋体"/>
                <w:bCs/>
                <w:color w:val="auto"/>
                <w:highlight w:val="none"/>
              </w:rPr>
              <w:t>20MVA+31.5MVA主变更换为2台31.5MVA主变，拆除原有31.5MVA主变，更换2套中性点装置</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更换1#主变35kV侧进线隔离开关2组</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10kVI段、Ⅱ段主变进线柜以及10kV母联柜分别更换3台电流互感器。土建部分新上钢管设备支架，新建25米避雷针1座。</w:t>
            </w:r>
          </w:p>
          <w:p>
            <w:pPr>
              <w:adjustRightInd w:val="0"/>
              <w:snapToGrid w:val="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本工程改造新万分改接富万线110千伏线路导线长0.lkm，光缆4.2km。</w:t>
            </w:r>
          </w:p>
        </w:tc>
        <w:tc>
          <w:tcPr>
            <w:tcW w:w="1457" w:type="dxa"/>
            <w:vAlign w:val="center"/>
          </w:tcPr>
          <w:p>
            <w:pPr>
              <w:adjustRightInd w:val="0"/>
              <w:snapToGrid w:val="0"/>
              <w:jc w:val="center"/>
              <w:rPr>
                <w:rFonts w:hint="eastAsia" w:ascii="宋体" w:hAnsi="宋体" w:eastAsia="宋体" w:cs="宋体"/>
                <w:bCs/>
                <w:color w:val="auto"/>
                <w:highlight w:val="none"/>
                <w:lang w:eastAsia="zh-CN"/>
              </w:rPr>
            </w:pPr>
            <w:r>
              <w:rPr>
                <w:rFonts w:hint="eastAsia" w:ascii="宋体" w:hAnsi="宋体" w:eastAsia="宋体" w:cs="宋体"/>
                <w:color w:val="auto"/>
                <w:highlight w:val="none"/>
                <w:lang w:eastAsia="zh-CN"/>
              </w:rPr>
              <w:t>环境保护设施投入调试日期</w:t>
            </w:r>
          </w:p>
        </w:tc>
        <w:tc>
          <w:tcPr>
            <w:tcW w:w="2793" w:type="dxa"/>
            <w:gridSpan w:val="3"/>
            <w:vAlign w:val="center"/>
          </w:tcPr>
          <w:p>
            <w:pPr>
              <w:adjustRightInd w:val="0"/>
              <w:snapToGrid w:val="0"/>
              <w:jc w:val="center"/>
              <w:rPr>
                <w:rFonts w:hint="eastAsia" w:ascii="宋体" w:hAnsi="宋体" w:eastAsia="宋体" w:cs="宋体"/>
                <w:bCs/>
                <w:color w:val="auto"/>
                <w:highlight w:val="none"/>
              </w:rPr>
            </w:pPr>
            <w:r>
              <w:rPr>
                <w:rFonts w:hint="eastAsia" w:ascii="宋体" w:hAnsi="宋体" w:eastAsia="宋体" w:cs="宋体"/>
                <w:color w:val="auto"/>
                <w:highlight w:val="none"/>
                <w:lang w:val="en-US" w:eastAsia="zh-CN"/>
              </w:rPr>
              <w:t>2022</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17</w:t>
            </w:r>
            <w:r>
              <w:rPr>
                <w:rFonts w:hint="eastAsia" w:ascii="宋体" w:hAnsi="宋体" w:eastAsia="宋体" w:cs="宋体"/>
                <w:color w:val="auto"/>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0"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项目建设过程简述</w:t>
            </w:r>
          </w:p>
        </w:tc>
        <w:tc>
          <w:tcPr>
            <w:tcW w:w="7618" w:type="dxa"/>
            <w:gridSpan w:val="6"/>
            <w:vAlign w:val="center"/>
          </w:tcPr>
          <w:p>
            <w:pPr>
              <w:pStyle w:val="2"/>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黑龙江七台河七市110千伏变电站增容改造工程可行性研究报告于2019年9月9日取得了国网黑龙江省电力有限公司批复（黑电发展[2019]572号），</w:t>
            </w:r>
            <w:r>
              <w:rPr>
                <w:rFonts w:hint="eastAsia" w:ascii="宋体" w:hAnsi="宋体" w:eastAsia="宋体" w:cs="宋体"/>
                <w:bCs/>
                <w:color w:val="auto"/>
                <w:highlight w:val="none"/>
              </w:rPr>
              <w:t>20</w:t>
            </w:r>
            <w:r>
              <w:rPr>
                <w:rFonts w:hint="eastAsia" w:ascii="宋体" w:hAnsi="宋体" w:eastAsia="宋体" w:cs="宋体"/>
                <w:bCs/>
                <w:color w:val="auto"/>
                <w:highlight w:val="none"/>
                <w:lang w:val="en-US" w:eastAsia="zh-CN"/>
              </w:rPr>
              <w:t>20</w:t>
            </w:r>
            <w:r>
              <w:rPr>
                <w:rFonts w:hint="eastAsia" w:ascii="宋体" w:hAnsi="宋体" w:eastAsia="宋体" w:cs="宋体"/>
                <w:bCs/>
                <w:color w:val="auto"/>
                <w:highlight w:val="none"/>
              </w:rPr>
              <w:t>年</w:t>
            </w:r>
            <w:r>
              <w:rPr>
                <w:rFonts w:hint="eastAsia" w:ascii="宋体" w:hAnsi="宋体" w:eastAsia="宋体" w:cs="宋体"/>
                <w:bCs/>
                <w:color w:val="auto"/>
                <w:highlight w:val="none"/>
                <w:lang w:val="en-US" w:eastAsia="zh-CN"/>
              </w:rPr>
              <w:t>1</w:t>
            </w:r>
            <w:r>
              <w:rPr>
                <w:rFonts w:hint="eastAsia" w:ascii="宋体" w:hAnsi="宋体" w:eastAsia="宋体" w:cs="宋体"/>
                <w:bCs/>
                <w:color w:val="auto"/>
                <w:highlight w:val="none"/>
              </w:rPr>
              <w:t>月</w:t>
            </w:r>
            <w:r>
              <w:rPr>
                <w:rFonts w:hint="eastAsia" w:ascii="宋体" w:hAnsi="宋体" w:eastAsia="宋体" w:cs="宋体"/>
                <w:bCs/>
                <w:color w:val="auto"/>
                <w:highlight w:val="none"/>
                <w:lang w:val="en-US" w:eastAsia="zh-CN"/>
              </w:rPr>
              <w:t>14日，</w:t>
            </w:r>
            <w:r>
              <w:rPr>
                <w:rFonts w:hint="eastAsia" w:ascii="宋体" w:hAnsi="宋体" w:eastAsia="宋体" w:cs="宋体"/>
                <w:bCs/>
                <w:color w:val="auto"/>
                <w:highlight w:val="none"/>
              </w:rPr>
              <w:t>通过了</w:t>
            </w:r>
            <w:r>
              <w:rPr>
                <w:rFonts w:hint="eastAsia" w:ascii="宋体" w:hAnsi="宋体" w:eastAsia="宋体" w:cs="宋体"/>
                <w:bCs/>
                <w:color w:val="auto"/>
                <w:highlight w:val="none"/>
                <w:lang w:eastAsia="zh-CN"/>
              </w:rPr>
              <w:t>黑龙江省</w:t>
            </w:r>
            <w:r>
              <w:rPr>
                <w:rFonts w:hint="eastAsia" w:ascii="宋体" w:hAnsi="宋体" w:eastAsia="宋体" w:cs="宋体"/>
                <w:bCs/>
                <w:color w:val="auto"/>
                <w:highlight w:val="none"/>
              </w:rPr>
              <w:t>发展和改革委员会</w:t>
            </w:r>
            <w:r>
              <w:rPr>
                <w:rFonts w:hint="eastAsia" w:ascii="宋体" w:hAnsi="宋体" w:eastAsia="宋体" w:cs="宋体"/>
                <w:bCs/>
                <w:color w:val="auto"/>
                <w:highlight w:val="none"/>
                <w:lang w:eastAsia="zh-CN"/>
              </w:rPr>
              <w:t>项目核准批复</w:t>
            </w:r>
            <w:r>
              <w:rPr>
                <w:rFonts w:hint="eastAsia" w:ascii="宋体" w:hAnsi="宋体" w:eastAsia="宋体" w:cs="宋体"/>
                <w:bCs/>
                <w:color w:val="auto"/>
                <w:highlight w:val="none"/>
              </w:rPr>
              <w:t>（</w:t>
            </w:r>
            <w:r>
              <w:rPr>
                <w:rFonts w:hint="eastAsia" w:ascii="宋体" w:hAnsi="宋体" w:eastAsia="宋体" w:cs="宋体"/>
                <w:bCs/>
                <w:color w:val="auto"/>
                <w:highlight w:val="none"/>
                <w:lang w:eastAsia="zh-CN"/>
              </w:rPr>
              <w:t>黑</w:t>
            </w:r>
            <w:r>
              <w:rPr>
                <w:rFonts w:hint="eastAsia" w:ascii="宋体" w:hAnsi="宋体" w:eastAsia="宋体" w:cs="宋体"/>
                <w:color w:val="auto"/>
                <w:highlight w:val="none"/>
              </w:rPr>
              <w:t>发改</w:t>
            </w:r>
            <w:r>
              <w:rPr>
                <w:rFonts w:hint="eastAsia" w:ascii="宋体" w:hAnsi="宋体" w:eastAsia="宋体" w:cs="宋体"/>
                <w:color w:val="auto"/>
                <w:highlight w:val="none"/>
                <w:lang w:eastAsia="zh-CN"/>
              </w:rPr>
              <w:t>电力</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号</w:t>
            </w:r>
            <w:r>
              <w:rPr>
                <w:rFonts w:hint="eastAsia" w:ascii="宋体" w:hAnsi="宋体" w:eastAsia="宋体" w:cs="宋体"/>
                <w:bCs/>
                <w:color w:val="auto"/>
                <w:highlight w:val="none"/>
              </w:rPr>
              <w:t>）</w:t>
            </w:r>
            <w:r>
              <w:rPr>
                <w:rFonts w:hint="eastAsia" w:ascii="宋体" w:hAnsi="宋体" w:eastAsia="宋体" w:cs="宋体"/>
                <w:bCs/>
                <w:color w:val="auto"/>
                <w:highlight w:val="none"/>
                <w:lang w:eastAsia="zh-CN"/>
              </w:rPr>
              <w:t>。</w:t>
            </w:r>
          </w:p>
          <w:p>
            <w:pPr>
              <w:pStyle w:val="2"/>
              <w:rPr>
                <w:rFonts w:hint="eastAsia" w:ascii="宋体" w:hAnsi="宋体" w:eastAsia="宋体" w:cs="宋体"/>
                <w:color w:val="auto"/>
                <w:highlight w:val="none"/>
                <w:lang w:eastAsia="zh-CN"/>
              </w:rPr>
            </w:pPr>
            <w:r>
              <w:rPr>
                <w:rFonts w:hint="eastAsia" w:ascii="宋体" w:hAnsi="宋体" w:eastAsia="宋体" w:cs="宋体"/>
                <w:color w:val="auto"/>
                <w:kern w:val="2"/>
                <w:sz w:val="24"/>
                <w:szCs w:val="24"/>
                <w:highlight w:val="none"/>
                <w:lang w:val="en-US" w:eastAsia="zh-CN" w:bidi="ar-SA"/>
              </w:rPr>
              <w:t>国网黑龙江省电力有限公司七台河供电公司</w:t>
            </w:r>
            <w:r>
              <w:rPr>
                <w:rFonts w:hint="eastAsia" w:ascii="宋体" w:hAnsi="宋体" w:eastAsia="宋体" w:cs="宋体"/>
                <w:color w:val="auto"/>
                <w:highlight w:val="none"/>
              </w:rPr>
              <w:t>于20</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月委托</w:t>
            </w:r>
            <w:r>
              <w:rPr>
                <w:rFonts w:hint="eastAsia" w:ascii="宋体" w:hAnsi="宋体" w:eastAsia="宋体" w:cs="宋体"/>
                <w:color w:val="auto"/>
                <w:highlight w:val="none"/>
                <w:lang w:eastAsia="zh-CN"/>
              </w:rPr>
              <w:t>北京百灵天地环保科技股份有限公司</w:t>
            </w:r>
            <w:r>
              <w:rPr>
                <w:rFonts w:hint="eastAsia" w:ascii="宋体" w:hAnsi="宋体" w:eastAsia="宋体" w:cs="宋体"/>
                <w:color w:val="auto"/>
                <w:highlight w:val="none"/>
              </w:rPr>
              <w:t>进行环境影响评价报告编制，于</w:t>
            </w:r>
            <w:r>
              <w:rPr>
                <w:rFonts w:hint="eastAsia" w:ascii="宋体" w:hAnsi="宋体" w:eastAsia="宋体" w:cs="宋体"/>
                <w:color w:val="auto"/>
                <w:highlight w:val="none"/>
                <w:lang w:val="en-US" w:eastAsia="zh-CN"/>
              </w:rPr>
              <w:t>2020</w:t>
            </w:r>
            <w:r>
              <w:rPr>
                <w:rFonts w:hint="eastAsia" w:ascii="宋体" w:hAnsi="宋体" w:eastAsia="宋体" w:cs="宋体"/>
                <w:color w:val="auto"/>
                <w:highlight w:val="none"/>
              </w:rPr>
              <w:t>年1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26</w:t>
            </w:r>
            <w:r>
              <w:rPr>
                <w:rFonts w:hint="eastAsia" w:ascii="宋体" w:hAnsi="宋体" w:eastAsia="宋体" w:cs="宋体"/>
                <w:color w:val="auto"/>
                <w:highlight w:val="none"/>
              </w:rPr>
              <w:t>日通</w:t>
            </w:r>
            <w:r>
              <w:rPr>
                <w:rFonts w:hint="eastAsia" w:ascii="宋体" w:hAnsi="宋体" w:eastAsia="宋体" w:cs="宋体"/>
                <w:color w:val="auto"/>
                <w:highlight w:val="none"/>
                <w:lang w:eastAsia="zh-CN"/>
              </w:rPr>
              <w:t>过了七台河市生态环境局的审批（七环审[2020]32号）。</w:t>
            </w:r>
          </w:p>
          <w:p>
            <w:pPr>
              <w:pStyle w:val="2"/>
              <w:rPr>
                <w:rFonts w:hint="eastAsia" w:ascii="宋体" w:hAnsi="宋体" w:eastAsia="宋体" w:cs="宋体"/>
                <w:bCs/>
                <w:color w:val="auto"/>
                <w:highlight w:val="none"/>
                <w:lang w:eastAsia="zh-CN"/>
              </w:rPr>
            </w:pPr>
            <w:r>
              <w:rPr>
                <w:rFonts w:hint="eastAsia" w:ascii="宋体" w:hAnsi="宋体" w:eastAsia="宋体" w:cs="宋体"/>
                <w:color w:val="auto"/>
                <w:highlight w:val="none"/>
              </w:rPr>
              <w:t>项目审批后于20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11日</w:t>
            </w:r>
            <w:r>
              <w:rPr>
                <w:rFonts w:hint="eastAsia" w:ascii="宋体" w:hAnsi="宋体" w:eastAsia="宋体" w:cs="宋体"/>
                <w:color w:val="auto"/>
                <w:highlight w:val="none"/>
              </w:rPr>
              <w:t>开始建设，</w:t>
            </w:r>
            <w:r>
              <w:rPr>
                <w:rFonts w:hint="eastAsia" w:ascii="宋体" w:hAnsi="宋体" w:eastAsia="宋体" w:cs="宋体"/>
                <w:color w:val="auto"/>
                <w:highlight w:val="none"/>
                <w:lang w:eastAsia="zh-CN"/>
              </w:rPr>
              <w:t>项目设计单位为</w:t>
            </w:r>
            <w:r>
              <w:rPr>
                <w:rFonts w:hint="eastAsia" w:ascii="宋体" w:hAnsi="宋体" w:eastAsia="宋体" w:cs="宋体"/>
                <w:bCs/>
                <w:color w:val="auto"/>
                <w:highlight w:val="none"/>
                <w:lang w:eastAsia="zh-CN"/>
              </w:rPr>
              <w:t>黑龙江华瑞电力安装集团有限公司，施工单位为七台河富兴电力工程有限责任公司，监理单位为黑龙江安泰电力工程建设监理有限责任公司。根据《工程竣工报告》，项目于202</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年</w:t>
            </w: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17日竣工并调试运行，2023年3月调试达到正常运营负荷指标</w:t>
            </w:r>
            <w:r>
              <w:rPr>
                <w:rFonts w:hint="eastAsia" w:ascii="宋体" w:hAnsi="宋体" w:eastAsia="宋体" w:cs="宋体"/>
                <w:bCs/>
                <w:color w:val="auto"/>
                <w:highlight w:val="none"/>
                <w:lang w:eastAsia="zh-CN"/>
              </w:rPr>
              <w:t>。</w:t>
            </w:r>
          </w:p>
          <w:p>
            <w:pPr>
              <w:pStyle w:val="2"/>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en-US" w:eastAsia="zh-CN"/>
              </w:rPr>
              <w:t>根据《中华人民共和国环境保护法》、《建设项目环境保护管理条例》和《建设项目竣工环境保护验收管理办法》等有关规定，2023年3月，</w:t>
            </w:r>
            <w:r>
              <w:rPr>
                <w:rFonts w:hint="eastAsia" w:ascii="宋体" w:hAnsi="宋体" w:eastAsia="宋体" w:cs="宋体"/>
                <w:color w:val="auto"/>
                <w:kern w:val="2"/>
                <w:sz w:val="24"/>
                <w:szCs w:val="24"/>
                <w:highlight w:val="none"/>
                <w:lang w:val="en-US" w:eastAsia="zh-CN" w:bidi="ar-SA"/>
              </w:rPr>
              <w:t>国网黑龙江省电力有限公司七台河供电公司</w:t>
            </w:r>
            <w:r>
              <w:rPr>
                <w:rFonts w:hint="eastAsia" w:ascii="宋体" w:hAnsi="宋体" w:eastAsia="宋体" w:cs="宋体"/>
                <w:bCs/>
                <w:color w:val="auto"/>
                <w:highlight w:val="none"/>
                <w:lang w:val="en-US" w:eastAsia="zh-CN"/>
              </w:rPr>
              <w:t>委托我单位承担本项目的竣工环境保护验收调查工作。</w:t>
            </w:r>
          </w:p>
          <w:p>
            <w:pPr>
              <w:pStyle w:val="2"/>
              <w:rPr>
                <w:rFonts w:hint="eastAsia" w:ascii="宋体" w:hAnsi="宋体" w:eastAsia="宋体" w:cs="宋体"/>
                <w:color w:val="auto"/>
                <w:highlight w:val="none"/>
                <w:lang w:eastAsia="zh-CN"/>
              </w:rPr>
            </w:pPr>
            <w:r>
              <w:rPr>
                <w:rFonts w:hint="eastAsia" w:ascii="宋体" w:hAnsi="宋体" w:eastAsia="宋体" w:cs="宋体"/>
                <w:bCs/>
                <w:color w:val="auto"/>
                <w:highlight w:val="none"/>
                <w:lang w:val="en-US" w:eastAsia="zh-CN"/>
              </w:rPr>
              <w:t>接受委托后，我单位随即组织技术人员收集、研读资料，进行了现场踏勘和走访调查，按照《建设项目竣工环境保护验收技术规范输变电》（HJ705—2020）的要求</w:t>
            </w:r>
            <w:r>
              <w:rPr>
                <w:rFonts w:hint="eastAsia" w:ascii="宋体" w:hAnsi="宋体" w:eastAsia="宋体" w:cs="宋体"/>
                <w:color w:val="auto"/>
                <w:highlight w:val="none"/>
                <w:lang w:val="en-US" w:eastAsia="zh-CN"/>
              </w:rPr>
              <w:t>，根据实施方案确定的工作内容、范围和方法，调查了工程在施工过程中对环境影响评价文件和工程设计文件中所提出环保措施的落实情况，对环境影响评价文件预测的本项目所造成的环境影响进行了核对，判断该项目是否具备投入使用条件，是满足竣工环保验收的要求。在此基础上，编制完成了《</w:t>
            </w:r>
            <w:r>
              <w:rPr>
                <w:rFonts w:hint="eastAsia" w:ascii="宋体" w:hAnsi="宋体" w:eastAsia="宋体" w:cs="宋体"/>
                <w:color w:val="auto"/>
                <w:kern w:val="2"/>
                <w:sz w:val="24"/>
                <w:szCs w:val="24"/>
                <w:highlight w:val="none"/>
                <w:lang w:val="en-US" w:eastAsia="zh-CN" w:bidi="ar-SA"/>
              </w:rPr>
              <w:t>黑龙江七台河七市110千伏变电站增容改造工程</w:t>
            </w:r>
            <w:r>
              <w:rPr>
                <w:rFonts w:hint="eastAsia" w:ascii="宋体" w:hAnsi="宋体" w:eastAsia="宋体" w:cs="宋体"/>
                <w:color w:val="auto"/>
                <w:highlight w:val="none"/>
                <w:lang w:val="en-US" w:eastAsia="zh-CN"/>
              </w:rPr>
              <w:t>竣工环境保护验收调查报表》。</w:t>
            </w:r>
          </w:p>
          <w:p>
            <w:pPr>
              <w:pStyle w:val="2"/>
              <w:rPr>
                <w:rFonts w:hint="eastAsia" w:ascii="宋体" w:hAnsi="宋体" w:eastAsia="宋体" w:cs="宋体"/>
                <w:color w:val="auto"/>
                <w:highlight w:val="none"/>
              </w:rPr>
            </w:pPr>
            <w:r>
              <w:rPr>
                <w:rFonts w:hint="eastAsia" w:ascii="宋体" w:hAnsi="宋体" w:eastAsia="宋体" w:cs="宋体"/>
                <w:color w:val="auto"/>
                <w:highlight w:val="none"/>
              </w:rPr>
              <w:t>建设内容与环评时期相比，均无变化，项目不存在重大变更。</w:t>
            </w: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ind w:left="0" w:leftChars="0" w:firstLine="0" w:firstLineChars="0"/>
              <w:rPr>
                <w:rFonts w:hint="eastAsia"/>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ind w:firstLine="0"/>
              <w:rPr>
                <w:rFonts w:hint="eastAsia" w:ascii="宋体" w:hAnsi="宋体" w:eastAsia="宋体" w:cs="宋体"/>
                <w:color w:val="auto"/>
                <w:highlight w:val="none"/>
              </w:rPr>
            </w:pPr>
          </w:p>
        </w:tc>
      </w:tr>
    </w:tbl>
    <w:p>
      <w:pPr>
        <w:pStyle w:val="2"/>
        <w:spacing w:line="240" w:lineRule="auto"/>
        <w:ind w:firstLine="0"/>
        <w:jc w:val="center"/>
        <w:outlineLvl w:val="0"/>
        <w:rPr>
          <w:rFonts w:hint="eastAsia" w:ascii="宋体" w:hAnsi="宋体" w:eastAsia="宋体" w:cs="宋体"/>
          <w:color w:val="auto"/>
          <w:szCs w:val="21"/>
          <w:highlight w:val="none"/>
        </w:rPr>
      </w:pPr>
      <w:r>
        <w:rPr>
          <w:rFonts w:hint="eastAsia" w:ascii="宋体" w:hAnsi="宋体" w:eastAsia="宋体" w:cs="宋体"/>
          <w:b/>
          <w:bCs/>
          <w:color w:val="auto"/>
          <w:sz w:val="28"/>
          <w:highlight w:val="none"/>
          <w:lang w:eastAsia="zh-CN"/>
        </w:rPr>
        <w:t>二、</w:t>
      </w:r>
      <w:r>
        <w:rPr>
          <w:rFonts w:hint="eastAsia" w:ascii="宋体" w:hAnsi="宋体" w:eastAsia="宋体" w:cs="宋体"/>
          <w:b/>
          <w:bCs/>
          <w:color w:val="auto"/>
          <w:sz w:val="28"/>
          <w:highlight w:val="none"/>
        </w:rPr>
        <w:t>调查范围、</w:t>
      </w:r>
      <w:r>
        <w:rPr>
          <w:rFonts w:hint="eastAsia" w:ascii="宋体" w:hAnsi="宋体" w:eastAsia="宋体" w:cs="宋体"/>
          <w:b/>
          <w:bCs/>
          <w:color w:val="auto"/>
          <w:sz w:val="28"/>
          <w:highlight w:val="none"/>
          <w:lang w:eastAsia="zh-CN"/>
        </w:rPr>
        <w:t>环境监测</w:t>
      </w:r>
      <w:r>
        <w:rPr>
          <w:rFonts w:hint="eastAsia" w:ascii="宋体" w:hAnsi="宋体" w:eastAsia="宋体" w:cs="宋体"/>
          <w:b/>
          <w:bCs/>
          <w:color w:val="auto"/>
          <w:sz w:val="28"/>
          <w:highlight w:val="none"/>
        </w:rPr>
        <w:t>因子、</w:t>
      </w:r>
      <w:r>
        <w:rPr>
          <w:rFonts w:hint="eastAsia" w:ascii="宋体" w:hAnsi="宋体" w:eastAsia="宋体" w:cs="宋体"/>
          <w:b/>
          <w:bCs/>
          <w:color w:val="auto"/>
          <w:sz w:val="28"/>
          <w:highlight w:val="none"/>
          <w:lang w:eastAsia="zh-CN"/>
        </w:rPr>
        <w:t>敏感</w:t>
      </w:r>
      <w:r>
        <w:rPr>
          <w:rFonts w:hint="eastAsia" w:ascii="宋体" w:hAnsi="宋体" w:eastAsia="宋体" w:cs="宋体"/>
          <w:b/>
          <w:bCs/>
          <w:color w:val="auto"/>
          <w:sz w:val="28"/>
          <w:highlight w:val="none"/>
        </w:rPr>
        <w:t>目标、</w:t>
      </w:r>
      <w:r>
        <w:rPr>
          <w:rFonts w:hint="eastAsia" w:ascii="宋体" w:hAnsi="宋体" w:eastAsia="宋体" w:cs="宋体"/>
          <w:b/>
          <w:bCs/>
          <w:color w:val="auto"/>
          <w:sz w:val="28"/>
          <w:highlight w:val="none"/>
          <w:lang w:eastAsia="zh-CN"/>
        </w:rPr>
        <w:t>调查</w:t>
      </w:r>
      <w:r>
        <w:rPr>
          <w:rFonts w:hint="eastAsia" w:ascii="宋体" w:hAnsi="宋体" w:eastAsia="宋体" w:cs="宋体"/>
          <w:b/>
          <w:bCs/>
          <w:color w:val="auto"/>
          <w:sz w:val="28"/>
          <w:highlight w:val="none"/>
        </w:rPr>
        <w:t>重点</w:t>
      </w: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1" w:hRule="atLeast"/>
        </w:trPr>
        <w:tc>
          <w:tcPr>
            <w:tcW w:w="9288" w:type="dxa"/>
            <w:vAlign w:val="center"/>
          </w:tcPr>
          <w:p>
            <w:pPr>
              <w:adjustRightInd w:val="0"/>
              <w:snapToGrid w:val="0"/>
              <w:spacing w:line="480" w:lineRule="exact"/>
              <w:jc w:val="both"/>
              <w:rPr>
                <w:rFonts w:hint="eastAsia" w:ascii="宋体" w:hAnsi="宋体" w:eastAsia="宋体" w:cs="宋体"/>
                <w:color w:val="auto"/>
                <w:highlight w:val="none"/>
              </w:rPr>
            </w:pPr>
            <w:r>
              <w:rPr>
                <w:rFonts w:hint="eastAsia" w:ascii="宋体" w:hAnsi="宋体" w:eastAsia="宋体" w:cs="宋体"/>
                <w:b/>
                <w:bCs/>
                <w:color w:val="auto"/>
                <w:highlight w:val="none"/>
              </w:rPr>
              <w:t>调查范围</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环评和有关技术规范要求，竣工环境保护验收调查范围原则上与环境影响评价文件一致，当工程实际建设内容发生变更或环境影响评价文件未能全面反映出工程建设的实际环境影响时，根据工程实际的变动情况以及环境影响的实际情况，结合现场踏勘情况对调查范围进行有针对性的调整。</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根据项目环评文件及实地勘察，本次验收主要包括110kV七市变、新万分改接富万线110千伏线路0.lkm导线，电磁、噪声防治措施及生态恢复情况等。结合《建设项目竣工环境保护验收技术规范 输变电》（HJ705-2020）以及实际情况，确定本次竣工环保验收调查范围。项目竣工环境保护验收调查范围与环境影响评价文件中的调查范围一致，即电压等级为110千伏的变电站电磁环境调查范围为站界外30m，声环境调查范围为站围墙外200m，生态环境调查范围为围墙外500m内。调查项目和调查范围见表2-1。</w:t>
            </w:r>
          </w:p>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表2-1  </w:t>
            </w:r>
            <w:r>
              <w:rPr>
                <w:rFonts w:hint="eastAsia" w:ascii="宋体" w:hAnsi="宋体" w:eastAsia="宋体" w:cs="宋体"/>
                <w:color w:val="auto"/>
                <w:sz w:val="24"/>
                <w:szCs w:val="24"/>
                <w:highlight w:val="none"/>
                <w:lang w:eastAsia="zh-CN"/>
              </w:rPr>
              <w:t>本项目调查范围</w:t>
            </w:r>
          </w:p>
          <w:tbl>
            <w:tblPr>
              <w:tblStyle w:val="18"/>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90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调查项目</w:t>
                  </w:r>
                </w:p>
              </w:tc>
              <w:tc>
                <w:tcPr>
                  <w:tcW w:w="685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验收调查范围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90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电磁环境</w:t>
                  </w:r>
                </w:p>
              </w:tc>
              <w:tc>
                <w:tcPr>
                  <w:tcW w:w="685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110kV七市变站界外30m范围内的区域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90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声环境</w:t>
                  </w:r>
                </w:p>
              </w:tc>
              <w:tc>
                <w:tcPr>
                  <w:tcW w:w="685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110kV七市变围墙外200m范围内的区域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90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生态环境</w:t>
                  </w:r>
                </w:p>
              </w:tc>
              <w:tc>
                <w:tcPr>
                  <w:tcW w:w="685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110kV七市变围墙外500m范围内的区域</w:t>
                  </w:r>
                </w:p>
              </w:tc>
            </w:tr>
          </w:tbl>
          <w:p>
            <w:pPr>
              <w:pStyle w:val="2"/>
              <w:rPr>
                <w:rFonts w:hint="eastAsia" w:ascii="宋体" w:hAnsi="宋体" w:eastAsia="宋体" w:cs="宋体"/>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9288" w:type="dxa"/>
            <w:vAlign w:val="center"/>
          </w:tcPr>
          <w:p>
            <w:pPr>
              <w:adjustRightInd w:val="0"/>
              <w:snapToGrid w:val="0"/>
              <w:spacing w:line="480" w:lineRule="exact"/>
              <w:jc w:val="both"/>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环境监测</w:t>
            </w:r>
            <w:r>
              <w:rPr>
                <w:rFonts w:hint="eastAsia" w:ascii="宋体" w:hAnsi="宋体" w:eastAsia="宋体" w:cs="宋体"/>
                <w:b/>
                <w:bCs/>
                <w:color w:val="auto"/>
                <w:highlight w:val="none"/>
              </w:rPr>
              <w:t>因子</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根据本项目环境影响报告表、现场勘查以及行业特征，确定本项目验收时调查监测因子与环评时一致，验收主要调查监测因子见下表2-2。</w:t>
            </w:r>
          </w:p>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本项目验收调查监测因子一览表</w:t>
            </w:r>
          </w:p>
          <w:tbl>
            <w:tblPr>
              <w:tblStyle w:val="18"/>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714"/>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3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环境要素</w:t>
                  </w:r>
                </w:p>
              </w:tc>
              <w:tc>
                <w:tcPr>
                  <w:tcW w:w="371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施工期</w:t>
                  </w:r>
                </w:p>
              </w:tc>
              <w:tc>
                <w:tcPr>
                  <w:tcW w:w="329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3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电磁环境</w:t>
                  </w:r>
                </w:p>
              </w:tc>
              <w:tc>
                <w:tcPr>
                  <w:tcW w:w="371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329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工频电场、工频磁场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3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声环境</w:t>
                  </w:r>
                </w:p>
              </w:tc>
              <w:tc>
                <w:tcPr>
                  <w:tcW w:w="371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等效连续A声级</w:t>
                  </w:r>
                </w:p>
              </w:tc>
              <w:tc>
                <w:tcPr>
                  <w:tcW w:w="329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昼间、夜间等效连续A声级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73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生态环境</w:t>
                  </w:r>
                </w:p>
              </w:tc>
              <w:tc>
                <w:tcPr>
                  <w:tcW w:w="371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占地类型、面积、植被恢复情况及防止水土流失的相关措施及其效果</w:t>
                  </w:r>
                </w:p>
              </w:tc>
              <w:tc>
                <w:tcPr>
                  <w:tcW w:w="329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pPr>
              <w:widowControl/>
              <w:adjustRightInd w:val="0"/>
              <w:snapToGrid w:val="0"/>
              <w:spacing w:line="480" w:lineRule="exact"/>
              <w:ind w:firstLine="480" w:firstLineChars="200"/>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pPr>
              <w:adjustRightInd w:val="0"/>
              <w:snapToGrid w:val="0"/>
              <w:spacing w:line="480" w:lineRule="exact"/>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环境敏感目标</w:t>
            </w:r>
          </w:p>
          <w:p>
            <w:pPr>
              <w:spacing w:line="480" w:lineRule="exact"/>
              <w:ind w:firstLine="480" w:firstLineChars="200"/>
              <w:rPr>
                <w:rFonts w:hint="eastAsia" w:ascii="宋体" w:hAnsi="宋体" w:eastAsia="宋体" w:cs="宋体"/>
                <w:bCs/>
                <w:color w:val="auto"/>
                <w:highlight w:val="none"/>
              </w:rPr>
            </w:pPr>
            <w:r>
              <w:rPr>
                <w:rFonts w:hint="eastAsia" w:ascii="宋体" w:hAnsi="宋体" w:eastAsia="宋体" w:cs="宋体"/>
                <w:color w:val="auto"/>
                <w:kern w:val="0"/>
                <w:sz w:val="24"/>
                <w:szCs w:val="24"/>
                <w:highlight w:val="none"/>
                <w:lang w:val="en-US" w:eastAsia="zh-CN" w:bidi="ar"/>
              </w:rPr>
              <w:t>根</w:t>
            </w:r>
            <w:r>
              <w:rPr>
                <w:rFonts w:hint="eastAsia" w:ascii="宋体" w:hAnsi="宋体" w:eastAsia="宋体" w:cs="宋体"/>
                <w:bCs/>
                <w:color w:val="auto"/>
                <w:highlight w:val="none"/>
                <w:lang w:val="en-US" w:eastAsia="zh-CN"/>
              </w:rPr>
              <w:t>据环评文件及现场调查，</w:t>
            </w:r>
            <w:r>
              <w:rPr>
                <w:rFonts w:hint="eastAsia" w:ascii="宋体" w:hAnsi="宋体" w:eastAsia="宋体" w:cs="宋体"/>
                <w:bCs/>
                <w:color w:val="auto"/>
                <w:highlight w:val="none"/>
              </w:rPr>
              <w:t>本</w:t>
            </w:r>
            <w:r>
              <w:rPr>
                <w:rFonts w:hint="eastAsia" w:ascii="宋体" w:hAnsi="宋体" w:eastAsia="宋体" w:cs="宋体"/>
                <w:bCs/>
                <w:color w:val="auto"/>
                <w:highlight w:val="none"/>
                <w:lang w:eastAsia="zh-CN"/>
              </w:rPr>
              <w:t>项目</w:t>
            </w:r>
            <w:r>
              <w:rPr>
                <w:rFonts w:hint="eastAsia" w:ascii="宋体" w:hAnsi="宋体" w:eastAsia="宋体" w:cs="宋体"/>
                <w:bCs/>
                <w:color w:val="auto"/>
                <w:highlight w:val="none"/>
              </w:rPr>
              <w:t>变电站围墙外500m范围内无自然保护区、世界文化和自然遗产地、风景名胜区、森林公园、地质公园、重要湿地、原始天然林、珍稀濒危野生动植物天然集中分布区等生态敏感区。</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七市110kV</w:t>
            </w:r>
            <w:r>
              <w:rPr>
                <w:rFonts w:hint="eastAsia" w:ascii="宋体" w:hAnsi="宋体" w:eastAsia="宋体" w:cs="宋体"/>
                <w:bCs/>
                <w:color w:val="auto"/>
                <w:highlight w:val="none"/>
                <w:lang w:eastAsia="zh-CN"/>
              </w:rPr>
              <w:t>变电站</w:t>
            </w:r>
            <w:r>
              <w:rPr>
                <w:rFonts w:hint="eastAsia" w:ascii="宋体" w:hAnsi="宋体" w:eastAsia="宋体" w:cs="宋体"/>
                <w:bCs/>
                <w:color w:val="auto"/>
                <w:highlight w:val="none"/>
                <w:lang w:val="en-US" w:eastAsia="zh-CN"/>
              </w:rPr>
              <w:t>厂界外30m范围内电磁环境敏感保护目标为变电站厂界西侧4户居民和西南侧3户居民。</w:t>
            </w:r>
          </w:p>
          <w:p>
            <w:pPr>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val="en-US" w:eastAsia="zh-CN"/>
              </w:rPr>
              <w:t>七市110kV变电站厂界外200m范围内声环境敏感保护目标为变电站厂界西侧14户居民和西南侧2栋勘探三队家属楼，变电站南侧9户居民</w:t>
            </w:r>
            <w:r>
              <w:rPr>
                <w:rFonts w:hint="eastAsia" w:ascii="宋体" w:hAnsi="宋体" w:eastAsia="宋体" w:cs="宋体"/>
                <w:bCs/>
                <w:color w:val="auto"/>
                <w:highlight w:val="none"/>
                <w:lang w:eastAsia="zh-CN"/>
              </w:rPr>
              <w:t>。</w:t>
            </w:r>
          </w:p>
          <w:p>
            <w:pPr>
              <w:spacing w:line="48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t>根据调查，本次验收环境敏感目标与环评时期一致，无变化。</w:t>
            </w:r>
            <w:r>
              <w:rPr>
                <w:rFonts w:hint="eastAsia" w:ascii="宋体" w:hAnsi="宋体" w:eastAsia="宋体" w:cs="宋体"/>
                <w:bCs/>
                <w:color w:val="auto"/>
                <w:highlight w:val="none"/>
              </w:rPr>
              <w:t>环境敏感目标见表2-</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w:t>
            </w:r>
            <w:r>
              <w:rPr>
                <w:rFonts w:hint="eastAsia" w:ascii="宋体" w:hAnsi="宋体" w:eastAsia="宋体" w:cs="宋体"/>
                <w:bCs/>
                <w:color w:val="auto"/>
                <w:highlight w:val="none"/>
                <w:lang w:eastAsia="zh-CN"/>
              </w:rPr>
              <w:t>详情见图</w:t>
            </w:r>
            <w:r>
              <w:rPr>
                <w:rFonts w:hint="eastAsia" w:ascii="宋体" w:hAnsi="宋体" w:eastAsia="宋体" w:cs="宋体"/>
                <w:bCs/>
                <w:color w:val="auto"/>
                <w:highlight w:val="none"/>
                <w:lang w:val="en-US" w:eastAsia="zh-CN"/>
              </w:rPr>
              <w:t>2-3</w:t>
            </w:r>
            <w:r>
              <w:rPr>
                <w:rFonts w:hint="eastAsia" w:ascii="宋体" w:hAnsi="宋体" w:eastAsia="宋体" w:cs="宋体"/>
                <w:bCs/>
                <w:color w:val="auto"/>
                <w:highlight w:val="none"/>
                <w:lang w:eastAsia="zh-CN"/>
              </w:rPr>
              <w:t>。</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环境保护目标及保护级别</w:t>
            </w:r>
          </w:p>
          <w:tbl>
            <w:tblPr>
              <w:tblStyle w:val="18"/>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374"/>
              <w:gridCol w:w="1662"/>
              <w:gridCol w:w="1113"/>
              <w:gridCol w:w="718"/>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环境要素</w:t>
                  </w:r>
                </w:p>
              </w:tc>
              <w:tc>
                <w:tcPr>
                  <w:tcW w:w="237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敏感点名称</w:t>
                  </w:r>
                </w:p>
              </w:tc>
              <w:tc>
                <w:tcPr>
                  <w:tcW w:w="166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项目相对方位</w:t>
                  </w:r>
                </w:p>
              </w:tc>
              <w:tc>
                <w:tcPr>
                  <w:tcW w:w="1113"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最近距离</w:t>
                  </w:r>
                </w:p>
              </w:tc>
              <w:tc>
                <w:tcPr>
                  <w:tcW w:w="71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户数</w:t>
                  </w:r>
                </w:p>
              </w:tc>
              <w:tc>
                <w:tcPr>
                  <w:tcW w:w="166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0" w:type="dxa"/>
                  <w:vMerge w:val="restart"/>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电磁环境</w:t>
                  </w:r>
                </w:p>
              </w:tc>
              <w:tc>
                <w:tcPr>
                  <w:tcW w:w="237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西侧居民区（平房）</w:t>
                  </w:r>
                </w:p>
              </w:tc>
              <w:tc>
                <w:tcPr>
                  <w:tcW w:w="166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变电站西侧</w:t>
                  </w:r>
                </w:p>
              </w:tc>
              <w:tc>
                <w:tcPr>
                  <w:tcW w:w="1113"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20m</w:t>
                  </w:r>
                </w:p>
              </w:tc>
              <w:tc>
                <w:tcPr>
                  <w:tcW w:w="71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3户</w:t>
                  </w:r>
                </w:p>
              </w:tc>
              <w:tc>
                <w:tcPr>
                  <w:tcW w:w="1660" w:type="dxa"/>
                  <w:vMerge w:val="restart"/>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0" w:type="dxa"/>
                  <w:vMerge w:val="continue"/>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c>
                <w:tcPr>
                  <w:tcW w:w="2374" w:type="dxa"/>
                  <w:noWrap w:val="0"/>
                  <w:vAlign w:val="center"/>
                </w:tcPr>
                <w:p>
                  <w:pPr>
                    <w:tabs>
                      <w:tab w:val="left" w:pos="1200"/>
                    </w:tabs>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南侧居民区（平房）</w:t>
                  </w:r>
                </w:p>
              </w:tc>
              <w:tc>
                <w:tcPr>
                  <w:tcW w:w="166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变电站南侧</w:t>
                  </w:r>
                </w:p>
              </w:tc>
              <w:tc>
                <w:tcPr>
                  <w:tcW w:w="1113"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10m</w:t>
                  </w:r>
                </w:p>
              </w:tc>
              <w:tc>
                <w:tcPr>
                  <w:tcW w:w="71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2户</w:t>
                  </w:r>
                </w:p>
              </w:tc>
              <w:tc>
                <w:tcPr>
                  <w:tcW w:w="1660" w:type="dxa"/>
                  <w:vMerge w:val="continue"/>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0" w:type="dxa"/>
                  <w:vMerge w:val="restart"/>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声环境</w:t>
                  </w:r>
                </w:p>
              </w:tc>
              <w:tc>
                <w:tcPr>
                  <w:tcW w:w="2374"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西侧居民区（平房）</w:t>
                  </w:r>
                </w:p>
              </w:tc>
              <w:tc>
                <w:tcPr>
                  <w:tcW w:w="166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变电站西侧</w:t>
                  </w:r>
                </w:p>
              </w:tc>
              <w:tc>
                <w:tcPr>
                  <w:tcW w:w="1113"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20m</w:t>
                  </w:r>
                </w:p>
              </w:tc>
              <w:tc>
                <w:tcPr>
                  <w:tcW w:w="71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14户</w:t>
                  </w:r>
                </w:p>
              </w:tc>
              <w:tc>
                <w:tcPr>
                  <w:tcW w:w="1660" w:type="dxa"/>
                  <w:vMerge w:val="restart"/>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230" w:type="dxa"/>
                  <w:vMerge w:val="continue"/>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c>
                <w:tcPr>
                  <w:tcW w:w="2374" w:type="dxa"/>
                  <w:noWrap w:val="0"/>
                  <w:vAlign w:val="center"/>
                </w:tcPr>
                <w:p>
                  <w:pPr>
                    <w:tabs>
                      <w:tab w:val="left" w:pos="1200"/>
                    </w:tabs>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南侧居民区（平房）</w:t>
                  </w:r>
                </w:p>
              </w:tc>
              <w:tc>
                <w:tcPr>
                  <w:tcW w:w="166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变电站南侧</w:t>
                  </w:r>
                </w:p>
              </w:tc>
              <w:tc>
                <w:tcPr>
                  <w:tcW w:w="1113"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10m</w:t>
                  </w:r>
                </w:p>
              </w:tc>
              <w:tc>
                <w:tcPr>
                  <w:tcW w:w="71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9户</w:t>
                  </w:r>
                </w:p>
              </w:tc>
              <w:tc>
                <w:tcPr>
                  <w:tcW w:w="1660" w:type="dxa"/>
                  <w:vMerge w:val="continue"/>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30" w:type="dxa"/>
                  <w:vMerge w:val="continue"/>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c>
                <w:tcPr>
                  <w:tcW w:w="2374" w:type="dxa"/>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勘探三队家属楼（3层）</w:t>
                  </w:r>
                </w:p>
              </w:tc>
              <w:tc>
                <w:tcPr>
                  <w:tcW w:w="1662" w:type="dxa"/>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变电站西南侧</w:t>
                  </w:r>
                </w:p>
              </w:tc>
              <w:tc>
                <w:tcPr>
                  <w:tcW w:w="1113" w:type="dxa"/>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60m</w:t>
                  </w:r>
                </w:p>
              </w:tc>
              <w:tc>
                <w:tcPr>
                  <w:tcW w:w="718" w:type="dxa"/>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lang w:eastAsia="zh-CN"/>
                    </w:rPr>
                    <w:t>户</w:t>
                  </w:r>
                </w:p>
              </w:tc>
              <w:tc>
                <w:tcPr>
                  <w:tcW w:w="1660" w:type="dxa"/>
                  <w:vMerge w:val="continue"/>
                  <w:noWrap w:val="0"/>
                  <w:vAlign w:val="center"/>
                </w:tcPr>
                <w:p>
                  <w:pPr>
                    <w:spacing w:beforeLines="0" w:afterLines="0"/>
                    <w:ind w:firstLine="0" w:firstLineChars="0"/>
                    <w:jc w:val="center"/>
                    <w:rPr>
                      <w:rFonts w:hint="eastAsia" w:ascii="宋体" w:hAnsi="宋体" w:eastAsia="宋体" w:cs="宋体"/>
                      <w:color w:val="auto"/>
                      <w:sz w:val="21"/>
                      <w:szCs w:val="21"/>
                      <w:highlight w:val="none"/>
                      <w:lang w:val="en-US" w:eastAsia="zh-CN"/>
                    </w:rPr>
                  </w:pPr>
                </w:p>
              </w:tc>
            </w:tr>
          </w:tbl>
          <w:p>
            <w:pPr>
              <w:pStyle w:val="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0288" behindDoc="0" locked="0" layoutInCell="1" allowOverlap="1">
                  <wp:simplePos x="0" y="0"/>
                  <wp:positionH relativeFrom="column">
                    <wp:posOffset>7620</wp:posOffset>
                  </wp:positionH>
                  <wp:positionV relativeFrom="paragraph">
                    <wp:posOffset>215900</wp:posOffset>
                  </wp:positionV>
                  <wp:extent cx="5709920" cy="4680585"/>
                  <wp:effectExtent l="0" t="0" r="5080" b="571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1"/>
                          <a:stretch>
                            <a:fillRect/>
                          </a:stretch>
                        </pic:blipFill>
                        <pic:spPr>
                          <a:xfrm>
                            <a:off x="0" y="0"/>
                            <a:ext cx="5709920" cy="4680585"/>
                          </a:xfrm>
                          <a:prstGeom prst="rect">
                            <a:avLst/>
                          </a:prstGeom>
                          <a:noFill/>
                          <a:ln>
                            <a:noFill/>
                          </a:ln>
                        </pic:spPr>
                      </pic:pic>
                    </a:graphicData>
                  </a:graphic>
                </wp:anchor>
              </w:drawing>
            </w: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7456" behindDoc="0" locked="0" layoutInCell="1" allowOverlap="1">
                  <wp:simplePos x="0" y="0"/>
                  <wp:positionH relativeFrom="column">
                    <wp:posOffset>3580130</wp:posOffset>
                  </wp:positionH>
                  <wp:positionV relativeFrom="paragraph">
                    <wp:posOffset>635</wp:posOffset>
                  </wp:positionV>
                  <wp:extent cx="2106295" cy="838200"/>
                  <wp:effectExtent l="0" t="0" r="8255" b="0"/>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2"/>
                          <a:stretch>
                            <a:fillRect/>
                          </a:stretch>
                        </pic:blipFill>
                        <pic:spPr>
                          <a:xfrm>
                            <a:off x="0" y="0"/>
                            <a:ext cx="2106295" cy="838200"/>
                          </a:xfrm>
                          <a:prstGeom prst="rect">
                            <a:avLst/>
                          </a:prstGeom>
                          <a:noFill/>
                          <a:ln>
                            <a:noFill/>
                          </a:ln>
                        </pic:spPr>
                      </pic:pic>
                    </a:graphicData>
                  </a:graphic>
                </wp:anchor>
              </w:drawing>
            </w: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图2-1  本项目周边关系示意图</w:t>
            </w:r>
          </w:p>
          <w:p>
            <w:pPr>
              <w:rPr>
                <w:rFonts w:hint="eastAsia" w:ascii="宋体" w:hAnsi="宋体" w:eastAsia="宋体" w:cs="宋体"/>
                <w:color w:val="auto"/>
                <w:highlight w:val="none"/>
              </w:rPr>
            </w:pPr>
          </w:p>
          <w:p>
            <w:pPr>
              <w:pStyle w:val="2"/>
              <w:ind w:firstLine="0"/>
              <w:rPr>
                <w:rFonts w:hint="eastAsia" w:ascii="宋体" w:hAnsi="宋体" w:eastAsia="宋体" w:cs="宋体"/>
                <w:color w:val="auto"/>
                <w:highlight w:val="none"/>
              </w:rPr>
            </w:pPr>
          </w:p>
        </w:tc>
      </w:tr>
    </w:tbl>
    <w:p>
      <w:pPr>
        <w:pStyle w:val="2"/>
        <w:ind w:firstLine="0"/>
        <w:rPr>
          <w:rFonts w:hint="eastAsia" w:ascii="宋体" w:hAnsi="宋体" w:eastAsia="宋体" w:cs="宋体"/>
          <w:color w:val="auto"/>
          <w:highlight w:val="none"/>
        </w:rPr>
        <w:sectPr>
          <w:headerReference r:id="rId5" w:type="default"/>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docGrid w:type="lines" w:linePitch="318" w:charSpace="0"/>
        </w:sectPr>
      </w:pP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adjustRightInd w:val="0"/>
              <w:snapToGrid w:val="0"/>
              <w:spacing w:line="480" w:lineRule="exact"/>
              <w:jc w:val="both"/>
              <w:rPr>
                <w:rFonts w:hint="eastAsia" w:ascii="宋体" w:hAnsi="宋体" w:eastAsia="宋体" w:cs="宋体"/>
                <w:color w:val="auto"/>
                <w:highlight w:val="none"/>
              </w:rPr>
            </w:pPr>
            <w:r>
              <w:rPr>
                <w:rFonts w:hint="eastAsia" w:ascii="宋体" w:hAnsi="宋体" w:eastAsia="宋体" w:cs="宋体"/>
                <w:b/>
                <w:bCs/>
                <w:color w:val="auto"/>
                <w:highlight w:val="none"/>
              </w:rPr>
              <w:t>调查重点</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（1）核查设计及环境影响评价文件中提出的造成环境影响的主要建设内容；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（2）核实实际建设内容、方案设计变更情况和造成的环境影响变化情况；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（3）环境敏感目标基本情况及变动情况；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（4）环境影响评价制度及其他环境保护规章制度执行情况；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（5）环境保护设计文件、环境影响评价文件及其批复文件中提出的环境保护设施和环境保护措施落实情况及其效果、环境风险防范与应急措施落实情况；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（6）环境质量和环境监测因子达标情况； </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（7）建设项目环境保护投资落实情况。 </w:t>
            </w:r>
          </w:p>
          <w:p>
            <w:pPr>
              <w:pStyle w:val="2"/>
              <w:spacing w:line="480" w:lineRule="exact"/>
              <w:rPr>
                <w:rFonts w:hint="eastAsia" w:ascii="宋体" w:hAnsi="宋体" w:eastAsia="宋体" w:cs="宋体"/>
                <w:color w:val="auto"/>
                <w:highlight w:val="none"/>
              </w:rPr>
            </w:pPr>
          </w:p>
          <w:p>
            <w:pPr>
              <w:pStyle w:val="2"/>
              <w:spacing w:line="480" w:lineRule="exact"/>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spacing w:line="480" w:lineRule="exact"/>
              <w:ind w:firstLine="0"/>
              <w:rPr>
                <w:rFonts w:hint="eastAsia" w:ascii="宋体" w:hAnsi="宋体" w:eastAsia="宋体" w:cs="宋体"/>
                <w:color w:val="auto"/>
                <w:highlight w:val="none"/>
              </w:rPr>
            </w:pPr>
          </w:p>
        </w:tc>
      </w:tr>
    </w:tbl>
    <w:p>
      <w:pPr>
        <w:pStyle w:val="2"/>
        <w:numPr>
          <w:ilvl w:val="0"/>
          <w:numId w:val="0"/>
        </w:numPr>
        <w:spacing w:line="240" w:lineRule="auto"/>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三、</w:t>
      </w:r>
      <w:r>
        <w:rPr>
          <w:rFonts w:hint="eastAsia" w:ascii="宋体" w:hAnsi="宋体" w:eastAsia="宋体" w:cs="宋体"/>
          <w:b/>
          <w:bCs/>
          <w:color w:val="auto"/>
          <w:sz w:val="28"/>
          <w:highlight w:val="none"/>
        </w:rPr>
        <w:t>验收执行标准</w:t>
      </w:r>
    </w:p>
    <w:tbl>
      <w:tblPr>
        <w:tblStyle w:val="17"/>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8" w:type="dxa"/>
            <w:vAlign w:val="center"/>
          </w:tcPr>
          <w:p>
            <w:pPr>
              <w:adjustRightInd w:val="0"/>
              <w:snapToGrid w:val="0"/>
              <w:spacing w:line="480" w:lineRule="exact"/>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电磁环境标准</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本次验收变电站运行期执行的电磁环境标准为《电磁环境控制限值》（GB8702-2014）中的表1中公众曝露控制限值，具体见表3-1。</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rPr>
              <w:t xml:space="preserve">表3-1   </w:t>
            </w:r>
            <w:r>
              <w:rPr>
                <w:rFonts w:hint="eastAsia" w:ascii="宋体" w:hAnsi="宋体" w:eastAsia="宋体" w:cs="宋体"/>
                <w:color w:val="auto"/>
                <w:sz w:val="24"/>
                <w:szCs w:val="24"/>
                <w:highlight w:val="none"/>
                <w:lang w:eastAsia="zh-CN"/>
              </w:rPr>
              <w:t>电磁环境执行标准</w:t>
            </w:r>
          </w:p>
          <w:tbl>
            <w:tblPr>
              <w:tblStyle w:val="17"/>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220"/>
              <w:gridCol w:w="4044"/>
              <w:gridCol w:w="27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3460" w:type="pct"/>
                  <w:gridSpan w:val="2"/>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环评阶段</w:t>
                  </w:r>
                </w:p>
              </w:tc>
              <w:tc>
                <w:tcPr>
                  <w:tcW w:w="1539" w:type="pct"/>
                  <w:vMerge w:val="restar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验收阶段执行标准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226"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执行标准</w:t>
                  </w:r>
                </w:p>
              </w:tc>
              <w:tc>
                <w:tcPr>
                  <w:tcW w:w="2234"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标准值</w:t>
                  </w:r>
                </w:p>
              </w:tc>
              <w:tc>
                <w:tcPr>
                  <w:tcW w:w="1539" w:type="pct"/>
                  <w:vMerge w:val="continue"/>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226" w:type="pct"/>
                  <w:vMerge w:val="restar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《电磁环境控制限值》（GB8702-2014）</w:t>
                  </w:r>
                </w:p>
              </w:tc>
              <w:tc>
                <w:tcPr>
                  <w:tcW w:w="2234"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频率</w:t>
                  </w:r>
                  <w:r>
                    <w:rPr>
                      <w:rFonts w:hint="eastAsia" w:ascii="宋体" w:hAnsi="宋体" w:eastAsia="宋体" w:cs="宋体"/>
                      <w:color w:val="auto"/>
                      <w:sz w:val="21"/>
                      <w:szCs w:val="21"/>
                      <w:highlight w:val="none"/>
                      <w:lang w:val="en-US" w:eastAsia="zh-CN"/>
                    </w:rPr>
                    <w:t>50Hz的电场强度控制限值为4000V/m</w:t>
                  </w:r>
                </w:p>
              </w:tc>
              <w:tc>
                <w:tcPr>
                  <w:tcW w:w="1539"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226" w:type="pct"/>
                  <w:vMerge w:val="continue"/>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p>
              </w:tc>
              <w:tc>
                <w:tcPr>
                  <w:tcW w:w="2234"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磁感应强度控制限值为</w:t>
                  </w:r>
                  <w:r>
                    <w:rPr>
                      <w:rFonts w:hint="eastAsia" w:ascii="宋体" w:hAnsi="宋体" w:eastAsia="宋体" w:cs="宋体"/>
                      <w:color w:val="auto"/>
                      <w:sz w:val="21"/>
                      <w:szCs w:val="21"/>
                      <w:highlight w:val="none"/>
                      <w:lang w:val="en-US" w:eastAsia="zh-CN"/>
                    </w:rPr>
                    <w:t>100μT</w:t>
                  </w:r>
                </w:p>
              </w:tc>
              <w:tc>
                <w:tcPr>
                  <w:tcW w:w="1539"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bl>
          <w:p>
            <w:pPr>
              <w:adjustRightInd w:val="0"/>
              <w:snapToGrid w:val="0"/>
              <w:spacing w:line="480" w:lineRule="exact"/>
              <w:ind w:firstLine="480" w:firstLineChars="200"/>
              <w:rPr>
                <w:rFonts w:hint="eastAsia" w:ascii="宋体" w:hAnsi="宋体" w:eastAsia="宋体" w:cs="宋体"/>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288" w:type="dxa"/>
            <w:vAlign w:val="center"/>
          </w:tcPr>
          <w:p>
            <w:pPr>
              <w:adjustRightInd w:val="0"/>
              <w:snapToGrid w:val="0"/>
              <w:spacing w:line="480" w:lineRule="exact"/>
              <w:jc w:val="both"/>
              <w:rPr>
                <w:rFonts w:hint="eastAsia" w:ascii="宋体" w:hAnsi="宋体" w:eastAsia="宋体" w:cs="宋体"/>
                <w:color w:val="auto"/>
                <w:highlight w:val="none"/>
              </w:rPr>
            </w:pPr>
            <w:r>
              <w:rPr>
                <w:rFonts w:hint="eastAsia" w:ascii="宋体" w:hAnsi="宋体" w:eastAsia="宋体" w:cs="宋体"/>
                <w:b/>
                <w:bCs/>
                <w:color w:val="auto"/>
                <w:highlight w:val="none"/>
                <w:lang w:eastAsia="zh-CN"/>
              </w:rPr>
              <w:t>声环境</w:t>
            </w:r>
            <w:r>
              <w:rPr>
                <w:rFonts w:hint="eastAsia" w:ascii="宋体" w:hAnsi="宋体" w:eastAsia="宋体" w:cs="宋体"/>
                <w:b/>
                <w:bCs/>
                <w:color w:val="auto"/>
                <w:highlight w:val="none"/>
              </w:rPr>
              <w:t>标准</w:t>
            </w:r>
          </w:p>
          <w:p>
            <w:pPr>
              <w:spacing w:line="480" w:lineRule="exact"/>
              <w:ind w:firstLine="480" w:firstLineChars="200"/>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本次验收变电站运行期执行的声环境标准为《声环境质量标准》（GB3096-2008）</w:t>
            </w:r>
            <w:r>
              <w:rPr>
                <w:rFonts w:hint="eastAsia" w:ascii="宋体" w:hAnsi="宋体" w:eastAsia="宋体" w:cs="宋体"/>
                <w:color w:val="auto"/>
                <w:highlight w:val="none"/>
              </w:rPr>
              <w:t>2类标准</w:t>
            </w:r>
            <w:r>
              <w:rPr>
                <w:rFonts w:hint="eastAsia" w:ascii="宋体" w:hAnsi="宋体" w:eastAsia="宋体" w:cs="宋体"/>
                <w:bCs/>
                <w:color w:val="auto"/>
                <w:highlight w:val="none"/>
                <w:lang w:val="en-US" w:eastAsia="zh-CN"/>
              </w:rPr>
              <w:t>，运营期厂界噪声执行《工业企业厂界环境噪声排放标准》（GB12348-2008）中</w:t>
            </w:r>
            <w:r>
              <w:rPr>
                <w:rFonts w:hint="eastAsia" w:ascii="宋体" w:hAnsi="宋体" w:eastAsia="宋体" w:cs="宋体"/>
                <w:color w:val="auto"/>
                <w:highlight w:val="none"/>
              </w:rPr>
              <w:t>2类标准</w:t>
            </w:r>
            <w:r>
              <w:rPr>
                <w:rFonts w:hint="eastAsia" w:ascii="宋体" w:hAnsi="宋体" w:eastAsia="宋体" w:cs="宋体"/>
                <w:bCs/>
                <w:color w:val="auto"/>
                <w:highlight w:val="none"/>
                <w:lang w:val="en-US" w:eastAsia="zh-CN"/>
              </w:rPr>
              <w:t>的限值要求。具体见表3-2。</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声环境</w:t>
            </w:r>
            <w:r>
              <w:rPr>
                <w:rFonts w:hint="eastAsia" w:ascii="宋体" w:hAnsi="宋体" w:eastAsia="宋体" w:cs="宋体"/>
                <w:color w:val="auto"/>
                <w:sz w:val="24"/>
                <w:szCs w:val="24"/>
                <w:highlight w:val="none"/>
                <w:lang w:eastAsia="zh-CN"/>
              </w:rPr>
              <w:t>执行</w:t>
            </w:r>
            <w:r>
              <w:rPr>
                <w:rFonts w:hint="eastAsia" w:ascii="宋体" w:hAnsi="宋体" w:eastAsia="宋体" w:cs="宋体"/>
                <w:color w:val="auto"/>
                <w:sz w:val="24"/>
                <w:szCs w:val="24"/>
                <w:highlight w:val="none"/>
              </w:rPr>
              <w:t>标准   单位：dB（A）</w:t>
            </w:r>
          </w:p>
          <w:tbl>
            <w:tblPr>
              <w:tblStyle w:val="17"/>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499"/>
              <w:gridCol w:w="3288"/>
              <w:gridCol w:w="22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3753" w:type="pct"/>
                  <w:gridSpan w:val="2"/>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环评阶段</w:t>
                  </w:r>
                </w:p>
              </w:tc>
              <w:tc>
                <w:tcPr>
                  <w:tcW w:w="1246" w:type="pct"/>
                  <w:vMerge w:val="restar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验收阶段执行标准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935"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执行标准</w:t>
                  </w:r>
                </w:p>
              </w:tc>
              <w:tc>
                <w:tcPr>
                  <w:tcW w:w="1817"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标准值</w:t>
                  </w:r>
                </w:p>
              </w:tc>
              <w:tc>
                <w:tcPr>
                  <w:tcW w:w="1246" w:type="pct"/>
                  <w:vMerge w:val="continue"/>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935"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《声环境质量标准》</w:t>
                  </w:r>
                </w:p>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（GB3096-2008）</w:t>
                  </w:r>
                </w:p>
              </w:tc>
              <w:tc>
                <w:tcPr>
                  <w:tcW w:w="1817" w:type="pct"/>
                  <w:tcBorders>
                    <w:tl2br w:val="nil"/>
                    <w:tr2bl w:val="nil"/>
                  </w:tcBorders>
                  <w:shd w:val="clear" w:color="auto" w:fill="auto"/>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2类标准：</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昼间≤60dB（A）、夜间≤50dB（A）</w:t>
                  </w:r>
                </w:p>
              </w:tc>
              <w:tc>
                <w:tcPr>
                  <w:tcW w:w="1246"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1935"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《工业企业厂界环境噪声排放标准》（GB12348-2008）</w:t>
                  </w:r>
                </w:p>
              </w:tc>
              <w:tc>
                <w:tcPr>
                  <w:tcW w:w="3288" w:type="dxa"/>
                  <w:tcBorders>
                    <w:tl2br w:val="nil"/>
                    <w:tr2bl w:val="nil"/>
                  </w:tcBorders>
                  <w:shd w:val="clear" w:color="auto" w:fill="auto"/>
                  <w:vAlign w:val="center"/>
                </w:tcPr>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2类标准：</w:t>
                  </w:r>
                </w:p>
                <w:p>
                  <w:pPr>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昼间≤60dB（A）、夜间≤50dB（A）</w:t>
                  </w:r>
                </w:p>
              </w:tc>
              <w:tc>
                <w:tcPr>
                  <w:tcW w:w="1246"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bl>
          <w:p>
            <w:pPr>
              <w:pStyle w:val="2"/>
              <w:ind w:firstLine="480" w:firstLineChars="200"/>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9288" w:type="dxa"/>
            <w:vAlign w:val="center"/>
          </w:tcPr>
          <w:p>
            <w:pPr>
              <w:adjustRightInd w:val="0"/>
              <w:snapToGrid w:val="0"/>
              <w:spacing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其他标准和要求</w:t>
            </w:r>
          </w:p>
          <w:p>
            <w:pPr>
              <w:widowControl/>
              <w:spacing w:before="156" w:beforeLines="50" w:after="156" w:afterLines="50" w:line="360" w:lineRule="auto"/>
              <w:ind w:firstLine="600" w:firstLineChars="25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其他标准执行情况见表</w:t>
            </w:r>
            <w:r>
              <w:rPr>
                <w:rFonts w:hint="eastAsia" w:ascii="宋体" w:hAnsi="宋体" w:eastAsia="宋体" w:cs="宋体"/>
                <w:color w:val="auto"/>
                <w:highlight w:val="none"/>
                <w:lang w:val="en-US" w:eastAsia="zh-CN"/>
              </w:rPr>
              <w:t>3-3。</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和要求</w:t>
            </w:r>
            <w:r>
              <w:rPr>
                <w:rFonts w:hint="eastAsia" w:ascii="宋体" w:hAnsi="宋体" w:eastAsia="宋体" w:cs="宋体"/>
                <w:color w:val="auto"/>
                <w:sz w:val="24"/>
                <w:szCs w:val="24"/>
                <w:highlight w:val="none"/>
              </w:rPr>
              <w:t xml:space="preserve">   </w:t>
            </w:r>
          </w:p>
          <w:tbl>
            <w:tblPr>
              <w:tblStyle w:val="17"/>
              <w:tblW w:w="497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84"/>
              <w:gridCol w:w="4472"/>
              <w:gridCol w:w="34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35" w:hRule="atLeast"/>
                <w:jc w:val="center"/>
              </w:trPr>
              <w:tc>
                <w:tcPr>
                  <w:tcW w:w="601"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w:t>
                  </w:r>
                </w:p>
              </w:tc>
              <w:tc>
                <w:tcPr>
                  <w:tcW w:w="2480"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环评阶段执行标准</w:t>
                  </w:r>
                </w:p>
              </w:tc>
              <w:tc>
                <w:tcPr>
                  <w:tcW w:w="1918"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验收阶段执行标准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601"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施工废气</w:t>
                  </w:r>
                </w:p>
              </w:tc>
              <w:tc>
                <w:tcPr>
                  <w:tcW w:w="2480"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《大气污染物综合排放标准》（GB16297-1996）表2无组织排放标准限值</w:t>
                  </w:r>
                  <w:r>
                    <w:rPr>
                      <w:rFonts w:hint="eastAsia" w:ascii="宋体" w:hAnsi="宋体" w:eastAsia="宋体" w:cs="宋体"/>
                      <w:color w:val="auto"/>
                      <w:sz w:val="21"/>
                      <w:szCs w:val="21"/>
                      <w:highlight w:val="none"/>
                      <w:lang w:val="en-US" w:eastAsia="zh-CN"/>
                    </w:rPr>
                    <w:t>（颗粒物≤1.0mg/m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w:t>
                  </w:r>
                </w:p>
              </w:tc>
              <w:tc>
                <w:tcPr>
                  <w:tcW w:w="1918"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601"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施工噪声</w:t>
                  </w:r>
                </w:p>
              </w:tc>
              <w:tc>
                <w:tcPr>
                  <w:tcW w:w="2480"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《建筑施工场界环境噪声排放标准》（GB12523-2011）排放限值（</w:t>
                  </w:r>
                  <w:r>
                    <w:rPr>
                      <w:rFonts w:hint="eastAsia" w:ascii="宋体" w:hAnsi="宋体" w:eastAsia="宋体" w:cs="宋体"/>
                      <w:color w:val="auto"/>
                      <w:sz w:val="21"/>
                      <w:szCs w:val="21"/>
                      <w:highlight w:val="none"/>
                      <w:lang w:val="en-US" w:eastAsia="zh-CN"/>
                    </w:rPr>
                    <w:t>昼间≤70dB（A）、夜间≤55dB（A）</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 xml:space="preserve"> </w:t>
                  </w:r>
                </w:p>
              </w:tc>
              <w:tc>
                <w:tcPr>
                  <w:tcW w:w="1918"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与环评阶段一致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9" w:hRule="atLeast"/>
                <w:jc w:val="center"/>
              </w:trPr>
              <w:tc>
                <w:tcPr>
                  <w:tcW w:w="601"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危险废物</w:t>
                  </w:r>
                </w:p>
              </w:tc>
              <w:tc>
                <w:tcPr>
                  <w:tcW w:w="2480"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《危险废物贮存污染控制标准》（GB18597-2001）及其修改单中的相关规定</w:t>
                  </w:r>
                </w:p>
              </w:tc>
              <w:tc>
                <w:tcPr>
                  <w:tcW w:w="1918" w:type="pct"/>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《危险废物贮存污染控制标准》（GB18597-20</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2023年7月1日起实施</w:t>
                  </w:r>
                  <w:r>
                    <w:rPr>
                      <w:rFonts w:hint="eastAsia" w:ascii="宋体" w:hAnsi="宋体" w:eastAsia="宋体" w:cs="宋体"/>
                      <w:color w:val="auto"/>
                      <w:sz w:val="21"/>
                      <w:szCs w:val="21"/>
                      <w:highlight w:val="none"/>
                      <w:lang w:eastAsia="zh-CN"/>
                    </w:rPr>
                    <w:t>）</w:t>
                  </w:r>
                </w:p>
              </w:tc>
            </w:tr>
          </w:tbl>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tc>
      </w:tr>
    </w:tbl>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四、建设项目</w:t>
      </w:r>
      <w:r>
        <w:rPr>
          <w:rFonts w:hint="eastAsia" w:ascii="宋体" w:hAnsi="宋体" w:eastAsia="宋体" w:cs="宋体"/>
          <w:b/>
          <w:bCs/>
          <w:color w:val="auto"/>
          <w:sz w:val="28"/>
          <w:highlight w:val="none"/>
        </w:rPr>
        <w:t>概况</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adjustRightInd w:val="0"/>
              <w:snapToGrid w:val="0"/>
              <w:spacing w:line="480" w:lineRule="exact"/>
              <w:jc w:val="both"/>
              <w:rPr>
                <w:rFonts w:hint="eastAsia" w:ascii="宋体" w:hAnsi="宋体" w:eastAsia="宋体" w:cs="宋体"/>
                <w:color w:val="auto"/>
                <w:highlight w:val="none"/>
              </w:rPr>
            </w:pP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eastAsia="zh-CN"/>
              </w:rPr>
              <w:t>建设地点</w:t>
            </w:r>
            <w:r>
              <w:rPr>
                <w:rFonts w:hint="eastAsia" w:ascii="宋体" w:hAnsi="宋体" w:eastAsia="宋体" w:cs="宋体"/>
                <w:b/>
                <w:bCs/>
                <w:color w:val="auto"/>
                <w:highlight w:val="none"/>
              </w:rPr>
              <w:t>（附地理位置图）</w:t>
            </w:r>
          </w:p>
          <w:p>
            <w:pPr>
              <w:adjustRightInd w:val="0"/>
              <w:snapToGrid w:val="0"/>
              <w:spacing w:line="48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本项目位于</w:t>
            </w:r>
            <w:r>
              <w:rPr>
                <w:rFonts w:hint="eastAsia" w:ascii="宋体" w:hAnsi="宋体" w:eastAsia="宋体" w:cs="宋体"/>
                <w:bCs/>
                <w:color w:val="auto"/>
                <w:highlight w:val="none"/>
                <w:lang w:val="en-US" w:eastAsia="zh-CN"/>
              </w:rPr>
              <w:t>七台河市桃山区与茄子河区交界处</w:t>
            </w:r>
            <w:r>
              <w:rPr>
                <w:rFonts w:hint="eastAsia" w:ascii="宋体" w:hAnsi="宋体" w:eastAsia="宋体" w:cs="宋体"/>
                <w:bCs/>
                <w:color w:val="auto"/>
                <w:highlight w:val="none"/>
              </w:rPr>
              <w:t>，</w:t>
            </w:r>
            <w:r>
              <w:rPr>
                <w:rFonts w:hint="eastAsia" w:ascii="宋体" w:hAnsi="宋体" w:eastAsia="宋体" w:cs="宋体"/>
                <w:bCs/>
                <w:color w:val="auto"/>
                <w:highlight w:val="none"/>
                <w:lang w:eastAsia="zh-CN"/>
              </w:rPr>
              <w:t>变电站工程在原址征地范围内进行，不新增占地。</w:t>
            </w:r>
            <w:r>
              <w:rPr>
                <w:rFonts w:hint="eastAsia" w:ascii="宋体" w:hAnsi="宋体" w:eastAsia="宋体" w:cs="宋体"/>
                <w:bCs/>
                <w:color w:val="auto"/>
                <w:highlight w:val="none"/>
              </w:rPr>
              <w:t>地理位置见图</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rPr>
              <w:t>1</w:t>
            </w:r>
            <w:r>
              <w:rPr>
                <w:rFonts w:hint="eastAsia" w:ascii="宋体" w:hAnsi="宋体" w:eastAsia="宋体" w:cs="宋体"/>
                <w:bCs/>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9504" behindDoc="0" locked="0" layoutInCell="1" allowOverlap="1">
                  <wp:simplePos x="0" y="0"/>
                  <wp:positionH relativeFrom="column">
                    <wp:posOffset>5255895</wp:posOffset>
                  </wp:positionH>
                  <wp:positionV relativeFrom="paragraph">
                    <wp:posOffset>27940</wp:posOffset>
                  </wp:positionV>
                  <wp:extent cx="472440" cy="658495"/>
                  <wp:effectExtent l="0" t="0" r="3810" b="8255"/>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rcRect l="4242" t="5296" r="5576"/>
                          <a:stretch>
                            <a:fillRect/>
                          </a:stretch>
                        </pic:blipFill>
                        <pic:spPr>
                          <a:xfrm>
                            <a:off x="0" y="0"/>
                            <a:ext cx="472440" cy="658495"/>
                          </a:xfrm>
                          <a:prstGeom prst="rect">
                            <a:avLst/>
                          </a:prstGeom>
                          <a:noFill/>
                          <a:ln>
                            <a:noFill/>
                          </a:ln>
                        </pic:spPr>
                      </pic:pic>
                    </a:graphicData>
                  </a:graphic>
                </wp:anchor>
              </w:drawing>
            </w:r>
            <w:r>
              <w:rPr>
                <w:color w:val="auto"/>
                <w:highlight w:val="none"/>
              </w:rPr>
              <w:drawing>
                <wp:anchor distT="0" distB="0" distL="114300" distR="114300" simplePos="0" relativeHeight="251659264" behindDoc="0" locked="0" layoutInCell="1" allowOverlap="1">
                  <wp:simplePos x="0" y="0"/>
                  <wp:positionH relativeFrom="column">
                    <wp:posOffset>259080</wp:posOffset>
                  </wp:positionH>
                  <wp:positionV relativeFrom="paragraph">
                    <wp:posOffset>18415</wp:posOffset>
                  </wp:positionV>
                  <wp:extent cx="5481955" cy="5540375"/>
                  <wp:effectExtent l="0" t="0" r="4445" b="317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5481955" cy="5540375"/>
                          </a:xfrm>
                          <a:prstGeom prst="rect">
                            <a:avLst/>
                          </a:prstGeom>
                          <a:noFill/>
                          <a:ln>
                            <a:noFill/>
                          </a:ln>
                        </pic:spPr>
                      </pic:pic>
                    </a:graphicData>
                  </a:graphic>
                </wp:anchor>
              </w:drawing>
            </w:r>
          </w:p>
          <w:p>
            <w:pPr>
              <w:pStyle w:val="29"/>
              <w:spacing w:line="240" w:lineRule="auto"/>
              <w:ind w:firstLine="0" w:firstLineChars="0"/>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4315460</wp:posOffset>
                      </wp:positionH>
                      <wp:positionV relativeFrom="paragraph">
                        <wp:posOffset>276225</wp:posOffset>
                      </wp:positionV>
                      <wp:extent cx="87630" cy="111125"/>
                      <wp:effectExtent l="6350" t="6350" r="20320" b="15875"/>
                      <wp:wrapNone/>
                      <wp:docPr id="18" name="椭圆 18"/>
                      <wp:cNvGraphicFramePr/>
                      <a:graphic xmlns:a="http://schemas.openxmlformats.org/drawingml/2006/main">
                        <a:graphicData uri="http://schemas.microsoft.com/office/word/2010/wordprocessingShape">
                          <wps:wsp>
                            <wps:cNvSpPr/>
                            <wps:spPr>
                              <a:xfrm>
                                <a:off x="5184775" y="6278245"/>
                                <a:ext cx="87630" cy="1111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9.8pt;margin-top:21.75pt;height:8.75pt;width:6.9pt;z-index:251703296;v-text-anchor:middle;mso-width-relative:page;mso-height-relative:page;" fillcolor="#FF0000" filled="t" stroked="t" coordsize="21600,21600" o:gfxdata="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EjfGLaAAAA&#10;CQEAAA8AAAAAAAAAAQAgAAAAIgAAAGRycy9kb3ducmV2LnhtbFBLAQIUABQAAAAIAIdO4kD1jTmi&#10;jQIAACQFAAAOAAAAAAAAAAEAIAAAACkBAABkcnMvZTJvRG9jLnhtbFBLBQYAAAAABgAGAFkBAAAo&#10;BgAAAAA=&#10;">
                      <v:fill on="t" focussize="0,0"/>
                      <v:stroke weight="1pt" color="#41719C [3204]" miterlimit="8" joinstyle="miter"/>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3570605</wp:posOffset>
                      </wp:positionH>
                      <wp:positionV relativeFrom="paragraph">
                        <wp:posOffset>205740</wp:posOffset>
                      </wp:positionV>
                      <wp:extent cx="793750" cy="317500"/>
                      <wp:effectExtent l="6350" t="434340" r="19050" b="10160"/>
                      <wp:wrapNone/>
                      <wp:docPr id="26" name="矩形标注 26"/>
                      <wp:cNvGraphicFramePr/>
                      <a:graphic xmlns:a="http://schemas.openxmlformats.org/drawingml/2006/main">
                        <a:graphicData uri="http://schemas.microsoft.com/office/word/2010/wordprocessingShape">
                          <wps:wsp>
                            <wps:cNvSpPr/>
                            <wps:spPr>
                              <a:xfrm>
                                <a:off x="4708525" y="6683375"/>
                                <a:ext cx="793750" cy="317500"/>
                              </a:xfrm>
                              <a:prstGeom prst="wedgeRectCallout">
                                <a:avLst>
                                  <a:gd name="adj1" fmla="val 48160"/>
                                  <a:gd name="adj2" fmla="val -177400"/>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仿宋_GB2312"/>
                                      <w:color w:val="0000FF"/>
                                      <w:sz w:val="21"/>
                                      <w:szCs w:val="21"/>
                                      <w:highlight w:val="yellow"/>
                                      <w:lang w:eastAsia="zh-CN"/>
                                    </w:rPr>
                                  </w:pPr>
                                  <w:r>
                                    <w:rPr>
                                      <w:rFonts w:hint="eastAsia"/>
                                      <w:color w:val="0000FF"/>
                                      <w:sz w:val="21"/>
                                      <w:szCs w:val="21"/>
                                      <w:highlight w:val="yellow"/>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1.15pt;margin-top:16.2pt;height:25pt;width:62.5pt;z-index:251704320;v-text-anchor:middle;mso-width-relative:page;mso-height-relative:page;" filled="f" stroked="t" coordsize="21600,21600" o:gfxdata="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P9+v71QAAAAkBAAAPAAAAAAAAAAEAIAAAACIAAABkcnMv&#10;ZG93bnJldi54bWxQSwECFAAUAAAACACHTuJAEHaASrECAABIBQAADgAAAAAAAAABACAAAAAkAQAA&#10;ZHJzL2Uyb0RvYy54bWxQSwUGAAAAAAYABgBZAQAARwYAAAAA&#10;" adj="21203,-27518">
                      <v:fill on="f" focussize="0,0"/>
                      <v:stroke weight="1pt" color="#000000 [3213]" miterlimit="8" joinstyle="miter"/>
                      <v:imagedata o:title=""/>
                      <o:lock v:ext="edit" aspectratio="f"/>
                      <v:textbox>
                        <w:txbxContent>
                          <w:p>
                            <w:pPr>
                              <w:jc w:val="center"/>
                              <w:rPr>
                                <w:rFonts w:hint="eastAsia" w:eastAsia="仿宋_GB2312"/>
                                <w:color w:val="0000FF"/>
                                <w:sz w:val="21"/>
                                <w:szCs w:val="21"/>
                                <w:highlight w:val="yellow"/>
                                <w:lang w:eastAsia="zh-CN"/>
                              </w:rPr>
                            </w:pPr>
                            <w:r>
                              <w:rPr>
                                <w:rFonts w:hint="eastAsia"/>
                                <w:color w:val="0000FF"/>
                                <w:sz w:val="21"/>
                                <w:szCs w:val="21"/>
                                <w:highlight w:val="yellow"/>
                                <w:lang w:eastAsia="zh-CN"/>
                              </w:rPr>
                              <w:t>本项目</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图</w:t>
            </w: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 xml:space="preserve">  工程地理位置图</w:t>
            </w:r>
          </w:p>
          <w:p>
            <w:pPr>
              <w:pStyle w:val="2"/>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adjustRightInd w:val="0"/>
              <w:snapToGrid w:val="0"/>
              <w:spacing w:line="480" w:lineRule="exact"/>
              <w:rPr>
                <w:rFonts w:hint="eastAsia" w:ascii="宋体" w:hAnsi="宋体" w:eastAsia="宋体" w:cs="宋体"/>
                <w:bCs/>
                <w:color w:val="auto"/>
                <w:highlight w:val="none"/>
              </w:rPr>
            </w:pPr>
          </w:p>
          <w:p>
            <w:pPr>
              <w:pStyle w:val="2"/>
              <w:rPr>
                <w:rFonts w:hint="eastAsia" w:ascii="宋体" w:hAnsi="宋体" w:eastAsia="宋体" w:cs="宋体"/>
                <w:color w:val="auto"/>
                <w:highlight w:val="none"/>
              </w:rPr>
            </w:pPr>
          </w:p>
          <w:p>
            <w:pPr>
              <w:adjustRightInd w:val="0"/>
              <w:snapToGrid w:val="0"/>
              <w:spacing w:line="480" w:lineRule="exact"/>
              <w:ind w:firstLine="480" w:firstLineChars="200"/>
              <w:rPr>
                <w:rFonts w:hint="eastAsia" w:ascii="宋体" w:hAnsi="宋体" w:eastAsia="宋体" w:cs="宋体"/>
                <w:bCs/>
                <w:color w:val="auto"/>
                <w:highlight w:val="none"/>
              </w:rPr>
            </w:pPr>
          </w:p>
          <w:p>
            <w:pPr>
              <w:adjustRightInd w:val="0"/>
              <w:snapToGrid w:val="0"/>
              <w:spacing w:line="480" w:lineRule="exact"/>
              <w:ind w:firstLine="480" w:firstLineChars="200"/>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adjustRightInd w:val="0"/>
              <w:snapToGrid w:val="0"/>
              <w:spacing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主要建设内容及规模</w:t>
            </w:r>
          </w:p>
          <w:p>
            <w:pPr>
              <w:pStyle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本次建设规模</w:t>
            </w:r>
          </w:p>
          <w:p>
            <w:pPr>
              <w:pStyle w:val="2"/>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eastAsia="zh-CN"/>
              </w:rPr>
              <w:t>根据调查，</w:t>
            </w:r>
            <w:r>
              <w:rPr>
                <w:rFonts w:hint="eastAsia" w:ascii="宋体" w:hAnsi="宋体" w:eastAsia="宋体" w:cs="宋体"/>
                <w:color w:val="auto"/>
                <w:highlight w:val="none"/>
              </w:rPr>
              <w:t>本项目</w:t>
            </w:r>
            <w:r>
              <w:rPr>
                <w:rFonts w:hint="eastAsia" w:ascii="宋体" w:hAnsi="宋体" w:eastAsia="宋体" w:cs="宋体"/>
                <w:color w:val="auto"/>
                <w:highlight w:val="none"/>
                <w:lang w:eastAsia="zh-CN"/>
              </w:rPr>
              <w:t>为改扩建项目，选址位于七台河市桃山区与茄子河区交界处</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主要建设内容包括</w:t>
            </w:r>
            <w:r>
              <w:rPr>
                <w:rFonts w:hint="eastAsia" w:ascii="宋体" w:hAnsi="宋体" w:eastAsia="宋体" w:cs="宋体"/>
                <w:bCs/>
                <w:color w:val="auto"/>
                <w:highlight w:val="none"/>
              </w:rPr>
              <w:t>将110kV七市变</w:t>
            </w:r>
            <w:r>
              <w:rPr>
                <w:rFonts w:hint="eastAsia" w:ascii="宋体" w:hAnsi="宋体" w:eastAsia="宋体" w:cs="宋体"/>
                <w:bCs/>
                <w:color w:val="auto"/>
                <w:highlight w:val="none"/>
                <w:lang w:eastAsia="zh-CN"/>
              </w:rPr>
              <w:t>原有</w:t>
            </w:r>
            <w:r>
              <w:rPr>
                <w:rFonts w:hint="eastAsia" w:ascii="宋体" w:hAnsi="宋体" w:eastAsia="宋体" w:cs="宋体"/>
                <w:bCs/>
                <w:color w:val="auto"/>
                <w:highlight w:val="none"/>
              </w:rPr>
              <w:t>2</w:t>
            </w:r>
            <w:r>
              <w:rPr>
                <w:rFonts w:hint="eastAsia" w:ascii="宋体" w:hAnsi="宋体" w:eastAsia="宋体" w:cs="宋体"/>
                <w:bCs/>
                <w:color w:val="auto"/>
                <w:highlight w:val="none"/>
                <w:lang w:eastAsia="zh-CN"/>
              </w:rPr>
              <w:t>台</w:t>
            </w:r>
            <w:r>
              <w:rPr>
                <w:rFonts w:hint="eastAsia" w:ascii="宋体" w:hAnsi="宋体" w:eastAsia="宋体" w:cs="宋体"/>
                <w:bCs/>
                <w:color w:val="auto"/>
                <w:highlight w:val="none"/>
              </w:rPr>
              <w:t>20MVA主变更换为2台31.5MVA主变，拆除原有</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rPr>
              <w:t>31.5MVA主变</w:t>
            </w:r>
            <w:r>
              <w:rPr>
                <w:rFonts w:hint="eastAsia" w:ascii="宋体" w:hAnsi="宋体" w:eastAsia="宋体" w:cs="宋体"/>
                <w:bCs/>
                <w:color w:val="auto"/>
                <w:highlight w:val="none"/>
                <w:lang w:eastAsia="zh-CN"/>
              </w:rPr>
              <w:t>。改造后，主供电源富市线保持现状，将原新万分线新建架空线路“</w:t>
            </w:r>
            <w:r>
              <w:rPr>
                <w:rFonts w:hint="eastAsia" w:ascii="宋体" w:hAnsi="宋体" w:eastAsia="宋体" w:cs="宋体"/>
                <w:bCs/>
                <w:color w:val="auto"/>
                <w:highlight w:val="none"/>
                <w:lang w:val="en-US" w:eastAsia="zh-CN"/>
              </w:rPr>
              <w:t>T</w:t>
            </w:r>
            <w:r>
              <w:rPr>
                <w:rFonts w:hint="eastAsia" w:ascii="宋体" w:hAnsi="宋体" w:eastAsia="宋体" w:cs="宋体"/>
                <w:bCs/>
                <w:color w:val="auto"/>
                <w:highlight w:val="none"/>
                <w:lang w:eastAsia="zh-CN"/>
              </w:rPr>
              <w:t>”接至</w:t>
            </w:r>
            <w:r>
              <w:rPr>
                <w:rFonts w:hint="eastAsia" w:ascii="宋体" w:hAnsi="宋体" w:eastAsia="宋体" w:cs="宋体"/>
                <w:bCs/>
                <w:color w:val="auto"/>
                <w:highlight w:val="none"/>
                <w:lang w:val="en-US" w:eastAsia="zh-CN"/>
              </w:rPr>
              <w:t>110kV富万线，改建后由110kV富强变为七市110kV变电站提供主供和备用两路点源。</w:t>
            </w:r>
            <w:r>
              <w:rPr>
                <w:rFonts w:hint="eastAsia" w:ascii="宋体" w:hAnsi="宋体" w:eastAsia="宋体" w:cs="宋体"/>
                <w:color w:val="auto"/>
                <w:highlight w:val="none"/>
              </w:rPr>
              <w:t>建设内容与环</w:t>
            </w:r>
            <w:r>
              <w:rPr>
                <w:rFonts w:hint="eastAsia" w:ascii="宋体" w:hAnsi="宋体" w:eastAsia="宋体" w:cs="宋体"/>
                <w:bCs/>
                <w:color w:val="auto"/>
                <w:highlight w:val="none"/>
                <w:lang w:val="en-US" w:eastAsia="zh-CN"/>
              </w:rPr>
              <w:t>评时期相比，均无变化，项目不存在重大变更。具体设备见附表1。</w:t>
            </w:r>
          </w:p>
          <w:p>
            <w:pPr>
              <w:pStyle w:val="6"/>
              <w:spacing w:line="24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表4-1  项目组成及规模</w:t>
            </w:r>
          </w:p>
          <w:tbl>
            <w:tblPr>
              <w:tblStyle w:val="17"/>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82"/>
              <w:gridCol w:w="2987"/>
              <w:gridCol w:w="3050"/>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工程组成</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环评时期建设内容</w:t>
                  </w:r>
                  <w:r>
                    <w:rPr>
                      <w:rFonts w:hint="eastAsia" w:ascii="宋体" w:hAnsi="宋体" w:eastAsia="宋体" w:cs="宋体"/>
                      <w:color w:val="auto"/>
                      <w:sz w:val="21"/>
                      <w:highlight w:val="none"/>
                    </w:rPr>
                    <w:t>及规模</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实际建设内容及规划</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主体</w:t>
                  </w:r>
                </w:p>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工程</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rPr>
                  </w:pPr>
                  <w:r>
                    <w:rPr>
                      <w:rFonts w:hint="eastAsia" w:ascii="宋体" w:hAnsi="宋体" w:eastAsia="宋体" w:cs="宋体"/>
                      <w:color w:val="auto"/>
                      <w:kern w:val="0"/>
                      <w:sz w:val="21"/>
                      <w:highlight w:val="none"/>
                    </w:rPr>
                    <w:t>110千伏变电站</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将原有2台20MVA主变更换为2台31.5MVA主变，拆除3#31.5MVA主变。</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本期将110kV七市变2×20MVA+31.5MVA主变更换为2台31.5MVA主变，拆除原有31.5MVA主变，更换2套中性点装置。更换1#主变35kV侧进线隔离开关2组。10kVI段、Ⅱ段主变进线柜以及10kV母联柜分别更换3台电流互感器。土建部分新上钢管设备支架，新建25米避雷针1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拆除的变压器送至七台河农电的中心河变电所继续使用。</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ind w:firstLine="0" w:firstLineChars="0"/>
                    <w:jc w:val="center"/>
                    <w:textAlignment w:val="baseline"/>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47"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辅助工程</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lang w:eastAsia="zh-CN"/>
                    </w:rPr>
                  </w:pPr>
                  <w:r>
                    <w:rPr>
                      <w:rFonts w:hint="eastAsia" w:ascii="宋体" w:hAnsi="宋体" w:eastAsia="宋体" w:cs="宋体"/>
                      <w:color w:val="auto"/>
                      <w:kern w:val="0"/>
                      <w:sz w:val="21"/>
                      <w:highlight w:val="none"/>
                      <w:lang w:eastAsia="zh-CN"/>
                    </w:rPr>
                    <w:t>输电</w:t>
                  </w:r>
                </w:p>
                <w:p>
                  <w:pPr>
                    <w:widowControl/>
                    <w:spacing w:line="240" w:lineRule="auto"/>
                    <w:ind w:firstLine="0" w:firstLineChars="0"/>
                    <w:jc w:val="center"/>
                    <w:rPr>
                      <w:rFonts w:hint="eastAsia" w:ascii="宋体" w:hAnsi="宋体" w:eastAsia="宋体" w:cs="宋体"/>
                      <w:color w:val="auto"/>
                      <w:kern w:val="0"/>
                      <w:sz w:val="21"/>
                      <w:highlight w:val="none"/>
                      <w:lang w:eastAsia="zh-CN"/>
                    </w:rPr>
                  </w:pPr>
                  <w:r>
                    <w:rPr>
                      <w:rFonts w:hint="eastAsia" w:ascii="宋体" w:hAnsi="宋体" w:eastAsia="宋体" w:cs="宋体"/>
                      <w:color w:val="auto"/>
                      <w:kern w:val="0"/>
                      <w:sz w:val="21"/>
                      <w:highlight w:val="none"/>
                      <w:lang w:eastAsia="zh-CN"/>
                    </w:rPr>
                    <w:t>线路</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本次改造后主供电源富市线保持现状，将原新万分线新建架空线路“T”接至110kV富万线，改接后由110kV富强变为七市110kV变电站提供主供和备用两路电源。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本工程新万分线“T”接至110kV富万线共计新建架空线路0.1km，无塔基工程。</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本工程改造新万分改接富万线110千伏线路导线长0.lkm，光缆4.2km，无塔基工程。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将原新万分线新建架空线路“T”接至110kV富万线，改接后由110kV富强变为七市110kV变电站提供主供和备用两路电源。</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beforeLines="0" w:afterLines="0" w:line="240" w:lineRule="auto"/>
                    <w:ind w:firstLine="0" w:firstLineChars="0"/>
                    <w:jc w:val="center"/>
                    <w:textAlignment w:val="baseline"/>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rPr>
                  </w:pPr>
                  <w:r>
                    <w:rPr>
                      <w:rFonts w:hint="eastAsia" w:ascii="宋体" w:hAnsi="宋体" w:eastAsia="宋体" w:cs="宋体"/>
                      <w:color w:val="auto"/>
                      <w:kern w:val="0"/>
                      <w:sz w:val="21"/>
                      <w:highlight w:val="none"/>
                    </w:rPr>
                    <w:t>主控室</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主控室主要用途主控设备及蓄电池存放用途</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主控室主要用途主控设备及蓄电池存放用途</w:t>
                  </w:r>
                  <w:r>
                    <w:rPr>
                      <w:rFonts w:hint="eastAsia" w:ascii="宋体" w:hAnsi="宋体" w:eastAsia="宋体" w:cs="宋体"/>
                      <w:color w:val="auto"/>
                      <w:sz w:val="21"/>
                      <w:highlight w:val="none"/>
                      <w:lang w:eastAsia="zh-CN"/>
                    </w:rPr>
                    <w:t>。</w:t>
                  </w:r>
                </w:p>
              </w:tc>
              <w:tc>
                <w:tcPr>
                  <w:tcW w:w="1152" w:type="dxa"/>
                  <w:vMerge w:val="restart"/>
                  <w:tcBorders>
                    <w:top w:val="single" w:color="auto" w:sz="4" w:space="0"/>
                    <w:left w:val="single" w:color="auto" w:sz="4" w:space="0"/>
                    <w:right w:val="single" w:color="auto" w:sz="4" w:space="0"/>
                  </w:tcBorders>
                  <w:noWrap w:val="0"/>
                  <w:vAlign w:val="center"/>
                </w:tcPr>
                <w:p>
                  <w:pPr>
                    <w:widowControl w:val="0"/>
                    <w:adjustRightInd w:val="0"/>
                    <w:snapToGrid w:val="0"/>
                    <w:spacing w:beforeLines="0" w:afterLines="0" w:line="240" w:lineRule="auto"/>
                    <w:ind w:firstLine="0" w:firstLineChars="0"/>
                    <w:jc w:val="center"/>
                    <w:textAlignment w:val="baseline"/>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依托现有，本次验收不变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rPr>
                  </w:pPr>
                  <w:r>
                    <w:rPr>
                      <w:rFonts w:hint="eastAsia" w:ascii="宋体" w:hAnsi="宋体" w:eastAsia="宋体" w:cs="宋体"/>
                      <w:color w:val="auto"/>
                      <w:kern w:val="0"/>
                      <w:sz w:val="21"/>
                      <w:highlight w:val="none"/>
                    </w:rPr>
                    <w:t>110kV配电室</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主控室内用于配置安放</w:t>
                  </w:r>
                  <w:r>
                    <w:rPr>
                      <w:rFonts w:hint="eastAsia" w:ascii="宋体" w:hAnsi="宋体" w:eastAsia="宋体" w:cs="宋体"/>
                      <w:color w:val="auto"/>
                      <w:kern w:val="0"/>
                      <w:sz w:val="21"/>
                      <w:highlight w:val="none"/>
                    </w:rPr>
                    <w:t>110kV配电设备</w:t>
                  </w:r>
                  <w:r>
                    <w:rPr>
                      <w:rFonts w:hint="eastAsia" w:ascii="宋体" w:hAnsi="宋体" w:eastAsia="宋体" w:cs="宋体"/>
                      <w:color w:val="auto"/>
                      <w:kern w:val="0"/>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主控室内用于配置安放</w:t>
                  </w:r>
                  <w:r>
                    <w:rPr>
                      <w:rFonts w:hint="eastAsia" w:ascii="宋体" w:hAnsi="宋体" w:eastAsia="宋体" w:cs="宋体"/>
                      <w:color w:val="auto"/>
                      <w:kern w:val="0"/>
                      <w:sz w:val="21"/>
                      <w:highlight w:val="none"/>
                    </w:rPr>
                    <w:t>110kV配电设备</w:t>
                  </w:r>
                  <w:r>
                    <w:rPr>
                      <w:rFonts w:hint="eastAsia" w:ascii="宋体" w:hAnsi="宋体" w:eastAsia="宋体" w:cs="宋体"/>
                      <w:color w:val="auto"/>
                      <w:kern w:val="0"/>
                      <w:sz w:val="21"/>
                      <w:highlight w:val="none"/>
                      <w:lang w:eastAsia="zh-CN"/>
                    </w:rPr>
                    <w:t>。</w:t>
                  </w:r>
                </w:p>
              </w:tc>
              <w:tc>
                <w:tcPr>
                  <w:tcW w:w="1152"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ind w:firstLine="0" w:firstLineChars="0"/>
                    <w:jc w:val="center"/>
                    <w:textAlignment w:val="baseline"/>
                    <w:rPr>
                      <w:rFonts w:hint="eastAsia" w:ascii="宋体" w:hAnsi="宋体" w:eastAsia="宋体" w:cs="宋体"/>
                      <w:color w:val="auto"/>
                      <w:kern w:val="0"/>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7"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rPr>
                  </w:pPr>
                  <w:r>
                    <w:rPr>
                      <w:rFonts w:hint="eastAsia" w:ascii="宋体" w:hAnsi="宋体" w:eastAsia="宋体" w:cs="宋体"/>
                      <w:color w:val="auto"/>
                      <w:kern w:val="0"/>
                      <w:sz w:val="21"/>
                      <w:highlight w:val="none"/>
                    </w:rPr>
                    <w:t>35kV配电室</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主控室内用于配置安放</w:t>
                  </w:r>
                  <w:r>
                    <w:rPr>
                      <w:rFonts w:hint="eastAsia" w:ascii="宋体" w:hAnsi="宋体" w:eastAsia="宋体" w:cs="宋体"/>
                      <w:color w:val="auto"/>
                      <w:kern w:val="0"/>
                      <w:sz w:val="21"/>
                      <w:highlight w:val="none"/>
                      <w:lang w:val="en-US" w:eastAsia="zh-CN"/>
                    </w:rPr>
                    <w:t>35</w:t>
                  </w:r>
                  <w:r>
                    <w:rPr>
                      <w:rFonts w:hint="eastAsia" w:ascii="宋体" w:hAnsi="宋体" w:eastAsia="宋体" w:cs="宋体"/>
                      <w:color w:val="auto"/>
                      <w:kern w:val="0"/>
                      <w:sz w:val="21"/>
                      <w:highlight w:val="none"/>
                    </w:rPr>
                    <w:t>kV配电设备</w:t>
                  </w:r>
                  <w:r>
                    <w:rPr>
                      <w:rFonts w:hint="eastAsia" w:ascii="宋体" w:hAnsi="宋体" w:eastAsia="宋体" w:cs="宋体"/>
                      <w:color w:val="auto"/>
                      <w:kern w:val="0"/>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主控室内用于配置安放</w:t>
                  </w:r>
                  <w:r>
                    <w:rPr>
                      <w:rFonts w:hint="eastAsia" w:ascii="宋体" w:hAnsi="宋体" w:eastAsia="宋体" w:cs="宋体"/>
                      <w:color w:val="auto"/>
                      <w:kern w:val="0"/>
                      <w:sz w:val="21"/>
                      <w:highlight w:val="none"/>
                      <w:lang w:val="en-US" w:eastAsia="zh-CN"/>
                    </w:rPr>
                    <w:t>35</w:t>
                  </w:r>
                  <w:r>
                    <w:rPr>
                      <w:rFonts w:hint="eastAsia" w:ascii="宋体" w:hAnsi="宋体" w:eastAsia="宋体" w:cs="宋体"/>
                      <w:color w:val="auto"/>
                      <w:kern w:val="0"/>
                      <w:sz w:val="21"/>
                      <w:highlight w:val="none"/>
                    </w:rPr>
                    <w:t>kV配电设备</w:t>
                  </w:r>
                  <w:r>
                    <w:rPr>
                      <w:rFonts w:hint="eastAsia" w:ascii="宋体" w:hAnsi="宋体" w:eastAsia="宋体" w:cs="宋体"/>
                      <w:color w:val="auto"/>
                      <w:kern w:val="0"/>
                      <w:sz w:val="21"/>
                      <w:highlight w:val="none"/>
                      <w:lang w:eastAsia="zh-CN"/>
                    </w:rPr>
                    <w:t>。</w:t>
                  </w:r>
                </w:p>
              </w:tc>
              <w:tc>
                <w:tcPr>
                  <w:tcW w:w="1152" w:type="dxa"/>
                  <w:vMerge w:val="continue"/>
                  <w:tcBorders>
                    <w:left w:val="single" w:color="auto" w:sz="4" w:space="0"/>
                    <w:right w:val="single" w:color="auto" w:sz="4" w:space="0"/>
                  </w:tcBorders>
                  <w:noWrap w:val="0"/>
                  <w:vAlign w:val="center"/>
                </w:tcPr>
                <w:p>
                  <w:pPr>
                    <w:widowControl w:val="0"/>
                    <w:adjustRightInd w:val="0"/>
                    <w:snapToGrid w:val="0"/>
                    <w:spacing w:beforeLines="0" w:afterLines="0" w:line="240" w:lineRule="auto"/>
                    <w:ind w:firstLine="0" w:firstLineChars="0"/>
                    <w:jc w:val="center"/>
                    <w:textAlignment w:val="baseline"/>
                    <w:rPr>
                      <w:rFonts w:hint="eastAsia" w:ascii="宋体" w:hAnsi="宋体" w:eastAsia="宋体" w:cs="宋体"/>
                      <w:color w:val="auto"/>
                      <w:kern w:val="0"/>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公用工程</w:t>
                  </w: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供水</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市政供水。</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lang w:val="en-US" w:eastAsia="zh-CN"/>
                    </w:rPr>
                    <w:t>市政供水。</w:t>
                  </w:r>
                </w:p>
              </w:tc>
              <w:tc>
                <w:tcPr>
                  <w:tcW w:w="1152"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kern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排水</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雨水采用所内散排方式排至所外排水沟。</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lang w:eastAsia="zh-CN"/>
                    </w:rPr>
                    <w:t>雨水采用所内散排方式排至所外排水沟。</w:t>
                  </w:r>
                </w:p>
              </w:tc>
              <w:tc>
                <w:tcPr>
                  <w:tcW w:w="1152"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供电</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引自当地电网</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引自当地电网</w:t>
                  </w:r>
                  <w:r>
                    <w:rPr>
                      <w:rFonts w:hint="eastAsia" w:ascii="宋体" w:hAnsi="宋体" w:eastAsia="宋体" w:cs="宋体"/>
                      <w:color w:val="auto"/>
                      <w:sz w:val="21"/>
                      <w:highlight w:val="none"/>
                      <w:lang w:eastAsia="zh-CN"/>
                    </w:rPr>
                    <w:t>。</w:t>
                  </w:r>
                </w:p>
              </w:tc>
              <w:tc>
                <w:tcPr>
                  <w:tcW w:w="1152"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供暖</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变电站</w:t>
                  </w:r>
                  <w:r>
                    <w:rPr>
                      <w:rFonts w:hint="eastAsia" w:ascii="宋体" w:hAnsi="宋体" w:eastAsia="宋体" w:cs="宋体"/>
                      <w:color w:val="auto"/>
                      <w:sz w:val="21"/>
                      <w:highlight w:val="none"/>
                    </w:rPr>
                    <w:t>冬季采用</w:t>
                  </w:r>
                  <w:r>
                    <w:rPr>
                      <w:rFonts w:hint="eastAsia" w:ascii="宋体" w:hAnsi="宋体" w:eastAsia="宋体" w:cs="宋体"/>
                      <w:color w:val="auto"/>
                      <w:sz w:val="21"/>
                      <w:highlight w:val="none"/>
                      <w:lang w:val="en-US" w:eastAsia="zh-CN"/>
                    </w:rPr>
                    <w:t>市政供暖。</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lang w:val="en-US" w:eastAsia="zh-CN"/>
                    </w:rPr>
                    <w:t>变电站</w:t>
                  </w:r>
                  <w:r>
                    <w:rPr>
                      <w:rFonts w:hint="eastAsia" w:ascii="宋体" w:hAnsi="宋体" w:eastAsia="宋体" w:cs="宋体"/>
                      <w:color w:val="auto"/>
                      <w:sz w:val="21"/>
                      <w:highlight w:val="none"/>
                    </w:rPr>
                    <w:t>冬季采用</w:t>
                  </w:r>
                  <w:r>
                    <w:rPr>
                      <w:rFonts w:hint="eastAsia" w:ascii="宋体" w:hAnsi="宋体" w:eastAsia="宋体" w:cs="宋体"/>
                      <w:color w:val="auto"/>
                      <w:sz w:val="21"/>
                      <w:highlight w:val="none"/>
                      <w:lang w:val="en-US" w:eastAsia="zh-CN"/>
                    </w:rPr>
                    <w:t>市政供暖。</w:t>
                  </w:r>
                </w:p>
              </w:tc>
              <w:tc>
                <w:tcPr>
                  <w:tcW w:w="1152"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通风</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依托现有通风系统，通风系统空气均不作循环，各房间均为独立的通风系统</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依托现有通风系统，通风系统空气均不作循环，各房间均为独立的通风系统</w:t>
                  </w:r>
                  <w:r>
                    <w:rPr>
                      <w:rFonts w:hint="eastAsia" w:ascii="宋体" w:hAnsi="宋体" w:eastAsia="宋体" w:cs="宋体"/>
                      <w:color w:val="auto"/>
                      <w:sz w:val="21"/>
                      <w:highlight w:val="none"/>
                      <w:lang w:eastAsia="zh-CN"/>
                    </w:rPr>
                    <w:t>。</w:t>
                  </w:r>
                </w:p>
              </w:tc>
              <w:tc>
                <w:tcPr>
                  <w:tcW w:w="1152"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消防</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依托现有消防设置，各房间设置手提式干粉灭火器</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highlight w:val="none"/>
                    </w:rPr>
                    <w:t>依托现有消防设置，各房间设置手提式干粉灭火器</w:t>
                  </w:r>
                  <w:r>
                    <w:rPr>
                      <w:rFonts w:hint="eastAsia" w:ascii="宋体" w:hAnsi="宋体" w:eastAsia="宋体" w:cs="宋体"/>
                      <w:color w:val="auto"/>
                      <w:sz w:val="21"/>
                      <w:highlight w:val="none"/>
                      <w:lang w:eastAsia="zh-CN"/>
                    </w:rPr>
                    <w:t>。</w:t>
                  </w:r>
                </w:p>
              </w:tc>
              <w:tc>
                <w:tcPr>
                  <w:tcW w:w="1152"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环保工程</w:t>
                  </w: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噪声</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基础减震措施</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变压器设置基础减震。</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固废</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检修或事故状态下产生的废变压器油由新建的22</w:t>
                  </w:r>
                  <w:r>
                    <w:rPr>
                      <w:rFonts w:hint="eastAsia" w:ascii="宋体" w:hAnsi="宋体" w:eastAsia="宋体" w:cs="宋体"/>
                      <w:color w:val="auto"/>
                      <w:sz w:val="21"/>
                      <w:highlight w:val="none"/>
                    </w:rPr>
                    <w:t>m</w:t>
                  </w:r>
                  <w:r>
                    <w:rPr>
                      <w:rFonts w:hint="eastAsia" w:ascii="宋体" w:hAnsi="宋体" w:eastAsia="宋体" w:cs="宋体"/>
                      <w:color w:val="auto"/>
                      <w:sz w:val="21"/>
                      <w:highlight w:val="none"/>
                      <w:vertAlign w:val="superscript"/>
                    </w:rPr>
                    <w:t>3</w:t>
                  </w:r>
                  <w:r>
                    <w:rPr>
                      <w:rFonts w:hint="eastAsia" w:ascii="宋体" w:hAnsi="宋体" w:eastAsia="宋体" w:cs="宋体"/>
                      <w:color w:val="auto"/>
                      <w:sz w:val="21"/>
                      <w:highlight w:val="none"/>
                    </w:rPr>
                    <w:t>事故油池</w:t>
                  </w:r>
                  <w:r>
                    <w:rPr>
                      <w:rFonts w:hint="eastAsia" w:ascii="宋体" w:hAnsi="宋体" w:eastAsia="宋体" w:cs="宋体"/>
                      <w:color w:val="auto"/>
                      <w:sz w:val="21"/>
                      <w:highlight w:val="none"/>
                      <w:lang w:val="en-US" w:eastAsia="zh-CN"/>
                    </w:rPr>
                    <w:t>收集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val="en-US" w:eastAsia="zh-CN"/>
                    </w:rPr>
                    <w:t>之后交由有资质</w:t>
                  </w:r>
                  <w:r>
                    <w:rPr>
                      <w:rFonts w:hint="eastAsia" w:ascii="宋体" w:hAnsi="宋体" w:eastAsia="宋体" w:cs="宋体"/>
                      <w:color w:val="auto"/>
                      <w:sz w:val="21"/>
                      <w:highlight w:val="none"/>
                    </w:rPr>
                    <w:t>公司统一回收处置</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建设1座22m</w:t>
                  </w:r>
                  <w:r>
                    <w:rPr>
                      <w:rFonts w:hint="eastAsia" w:ascii="宋体" w:hAnsi="宋体" w:eastAsia="宋体" w:cs="宋体"/>
                      <w:color w:val="auto"/>
                      <w:sz w:val="21"/>
                      <w:highlight w:val="none"/>
                      <w:vertAlign w:val="superscript"/>
                      <w:lang w:val="en-US" w:eastAsia="zh-CN"/>
                    </w:rPr>
                    <w:t>3</w:t>
                  </w:r>
                  <w:r>
                    <w:rPr>
                      <w:rFonts w:hint="eastAsia" w:ascii="宋体" w:hAnsi="宋体" w:eastAsia="宋体" w:cs="宋体"/>
                      <w:color w:val="auto"/>
                      <w:sz w:val="21"/>
                      <w:highlight w:val="none"/>
                      <w:lang w:val="en-US" w:eastAsia="zh-CN"/>
                    </w:rPr>
                    <w:t>事故油池（事故油池基础3.6m×3.6m），变电站自运行以来未发生过事故油排放的情况。</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废蓄电池委托有资质单位处置</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更换下的废旧蓄电池，随工作人员检修更换时集中收集，直接外运，不在本项目场界内暂存，七市110kV变电站不设危废暂存间。变电站内蓄电池正常情况下10年为一次更换周期，尚未进行更换。</w:t>
                  </w:r>
                </w:p>
              </w:tc>
              <w:tc>
                <w:tcPr>
                  <w:tcW w:w="1152" w:type="dxa"/>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4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p>
              </w:tc>
              <w:tc>
                <w:tcPr>
                  <w:tcW w:w="9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风险</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eastAsia="zh-CN"/>
                    </w:rPr>
                    <w:t>七台河</w:t>
                  </w:r>
                  <w:r>
                    <w:rPr>
                      <w:rFonts w:hint="eastAsia" w:ascii="宋体" w:hAnsi="宋体" w:eastAsia="宋体" w:cs="宋体"/>
                      <w:color w:val="auto"/>
                      <w:sz w:val="21"/>
                      <w:highlight w:val="none"/>
                    </w:rPr>
                    <w:t>110</w:t>
                  </w:r>
                  <w:r>
                    <w:rPr>
                      <w:rFonts w:hint="eastAsia" w:ascii="宋体" w:hAnsi="宋体" w:eastAsia="宋体" w:cs="宋体"/>
                      <w:color w:val="auto"/>
                      <w:sz w:val="21"/>
                      <w:highlight w:val="none"/>
                      <w:lang w:val="en-US" w:eastAsia="zh-CN"/>
                    </w:rPr>
                    <w:t>k</w:t>
                  </w:r>
                  <w:r>
                    <w:rPr>
                      <w:rFonts w:hint="eastAsia" w:ascii="宋体" w:hAnsi="宋体" w:eastAsia="宋体" w:cs="宋体"/>
                      <w:color w:val="auto"/>
                      <w:sz w:val="21"/>
                      <w:highlight w:val="none"/>
                    </w:rPr>
                    <w:t>V变电站</w:t>
                  </w:r>
                  <w:r>
                    <w:rPr>
                      <w:rFonts w:hint="eastAsia" w:ascii="宋体" w:hAnsi="宋体" w:eastAsia="宋体" w:cs="宋体"/>
                      <w:color w:val="auto"/>
                      <w:sz w:val="21"/>
                      <w:highlight w:val="none"/>
                      <w:lang w:val="en-US" w:eastAsia="zh-CN"/>
                    </w:rPr>
                    <w:t>新建22</w:t>
                  </w:r>
                  <w:r>
                    <w:rPr>
                      <w:rFonts w:hint="eastAsia" w:ascii="宋体" w:hAnsi="宋体" w:eastAsia="宋体" w:cs="宋体"/>
                      <w:color w:val="auto"/>
                      <w:spacing w:val="-6"/>
                      <w:sz w:val="21"/>
                      <w:highlight w:val="none"/>
                    </w:rPr>
                    <w:t>m</w:t>
                  </w:r>
                  <w:r>
                    <w:rPr>
                      <w:rFonts w:hint="eastAsia" w:ascii="宋体" w:hAnsi="宋体" w:eastAsia="宋体" w:cs="宋体"/>
                      <w:color w:val="auto"/>
                      <w:spacing w:val="-6"/>
                      <w:sz w:val="21"/>
                      <w:highlight w:val="none"/>
                      <w:vertAlign w:val="superscript"/>
                    </w:rPr>
                    <w:t>3</w:t>
                  </w:r>
                  <w:r>
                    <w:rPr>
                      <w:rFonts w:hint="eastAsia" w:ascii="宋体" w:hAnsi="宋体" w:eastAsia="宋体" w:cs="宋体"/>
                      <w:color w:val="auto"/>
                      <w:sz w:val="21"/>
                      <w:highlight w:val="none"/>
                    </w:rPr>
                    <w:t>事故油池，采用刚性防渗结构，采用防渗混凝土及2mm厚高密度聚乙烯的形式，防渗系数≤10</w:t>
                  </w:r>
                  <w:r>
                    <w:rPr>
                      <w:rFonts w:hint="eastAsia" w:ascii="宋体" w:hAnsi="宋体" w:eastAsia="宋体" w:cs="宋体"/>
                      <w:color w:val="auto"/>
                      <w:sz w:val="21"/>
                      <w:highlight w:val="none"/>
                      <w:vertAlign w:val="superscript"/>
                    </w:rPr>
                    <w:t>-10</w:t>
                  </w:r>
                  <w:r>
                    <w:rPr>
                      <w:rFonts w:hint="eastAsia" w:ascii="宋体" w:hAnsi="宋体" w:eastAsia="宋体" w:cs="宋体"/>
                      <w:color w:val="auto"/>
                      <w:sz w:val="21"/>
                      <w:highlight w:val="none"/>
                    </w:rPr>
                    <w:t>cm/s，事故油采用真空泵抽吸出，直接交由有资质单位进行处置</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建设1座22m</w:t>
                  </w:r>
                  <w:r>
                    <w:rPr>
                      <w:rFonts w:hint="eastAsia" w:ascii="宋体" w:hAnsi="宋体" w:eastAsia="宋体" w:cs="宋体"/>
                      <w:color w:val="auto"/>
                      <w:sz w:val="21"/>
                      <w:highlight w:val="none"/>
                      <w:vertAlign w:val="superscript"/>
                      <w:lang w:val="en-US" w:eastAsia="zh-CN"/>
                    </w:rPr>
                    <w:t>3</w:t>
                  </w:r>
                  <w:r>
                    <w:rPr>
                      <w:rFonts w:hint="eastAsia" w:ascii="宋体" w:hAnsi="宋体" w:eastAsia="宋体" w:cs="宋体"/>
                      <w:color w:val="auto"/>
                      <w:sz w:val="21"/>
                      <w:highlight w:val="none"/>
                      <w:lang w:val="en-US" w:eastAsia="zh-CN"/>
                    </w:rPr>
                    <w:t>事故油池（事故油池基础3.6m×3.6m），</w:t>
                  </w:r>
                  <w:r>
                    <w:rPr>
                      <w:rFonts w:hint="eastAsia" w:ascii="宋体" w:hAnsi="宋体" w:eastAsia="宋体" w:cs="宋体"/>
                      <w:color w:val="auto"/>
                      <w:sz w:val="21"/>
                      <w:highlight w:val="none"/>
                    </w:rPr>
                    <w:t>采用刚性防渗结构，采用防渗混凝土及2mm厚高密度聚乙烯的形式，防渗系数≤10</w:t>
                  </w:r>
                  <w:r>
                    <w:rPr>
                      <w:rFonts w:hint="eastAsia" w:ascii="宋体" w:hAnsi="宋体" w:eastAsia="宋体" w:cs="宋体"/>
                      <w:color w:val="auto"/>
                      <w:sz w:val="21"/>
                      <w:highlight w:val="none"/>
                      <w:vertAlign w:val="superscript"/>
                    </w:rPr>
                    <w:t>-10</w:t>
                  </w:r>
                  <w:r>
                    <w:rPr>
                      <w:rFonts w:hint="eastAsia" w:ascii="宋体" w:hAnsi="宋体" w:eastAsia="宋体" w:cs="宋体"/>
                      <w:color w:val="auto"/>
                      <w:sz w:val="21"/>
                      <w:highlight w:val="none"/>
                    </w:rPr>
                    <w:t>cm/s，</w:t>
                  </w:r>
                  <w:r>
                    <w:rPr>
                      <w:rFonts w:hint="eastAsia" w:ascii="宋体" w:hAnsi="宋体" w:eastAsia="宋体" w:cs="宋体"/>
                      <w:color w:val="auto"/>
                      <w:sz w:val="21"/>
                      <w:highlight w:val="none"/>
                      <w:lang w:val="en-US" w:eastAsia="zh-CN"/>
                    </w:rPr>
                    <w:t>变电站自运行以来未发生过事故油排放的情况。</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与环评时期一致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center"/>
                </w:tcPr>
                <w:p>
                  <w:pPr>
                    <w:pStyle w:val="30"/>
                    <w:spacing w:line="240" w:lineRule="auto"/>
                    <w:rPr>
                      <w:rFonts w:hint="eastAsia" w:ascii="宋体" w:hAnsi="宋体" w:eastAsia="宋体" w:cs="宋体"/>
                      <w:color w:val="auto"/>
                      <w:highlight w:val="none"/>
                    </w:rPr>
                  </w:pPr>
                  <w:r>
                    <w:rPr>
                      <w:rFonts w:hint="eastAsia" w:ascii="宋体" w:hAnsi="宋体" w:eastAsia="宋体" w:cs="宋体"/>
                      <w:color w:val="auto"/>
                      <w:highlight w:val="none"/>
                    </w:rPr>
                    <w:t>依托工程</w:t>
                  </w:r>
                </w:p>
              </w:tc>
              <w:tc>
                <w:tcPr>
                  <w:tcW w:w="982"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color w:val="auto"/>
                      <w:kern w:val="0"/>
                      <w:sz w:val="21"/>
                      <w:highlight w:val="none"/>
                    </w:rPr>
                  </w:pPr>
                  <w:r>
                    <w:rPr>
                      <w:rFonts w:hint="eastAsia" w:ascii="宋体" w:hAnsi="宋体" w:eastAsia="宋体" w:cs="宋体"/>
                      <w:color w:val="auto"/>
                      <w:kern w:val="0"/>
                      <w:sz w:val="21"/>
                      <w:highlight w:val="none"/>
                    </w:rPr>
                    <w:t>110千伏变电站</w:t>
                  </w:r>
                </w:p>
              </w:tc>
              <w:tc>
                <w:tcPr>
                  <w:tcW w:w="2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96" w:firstLineChars="200"/>
                    <w:jc w:val="both"/>
                    <w:textAlignment w:val="auto"/>
                    <w:rPr>
                      <w:rFonts w:hint="eastAsia" w:ascii="宋体" w:hAnsi="宋体" w:eastAsia="宋体" w:cs="宋体"/>
                      <w:color w:val="auto"/>
                      <w:spacing w:val="-6"/>
                      <w:sz w:val="21"/>
                      <w:highlight w:val="none"/>
                      <w:lang w:val="en-US" w:eastAsia="zh-CN"/>
                    </w:rPr>
                  </w:pPr>
                  <w:r>
                    <w:rPr>
                      <w:rFonts w:hint="eastAsia" w:ascii="宋体" w:hAnsi="宋体" w:eastAsia="宋体" w:cs="宋体"/>
                      <w:color w:val="auto"/>
                      <w:spacing w:val="-6"/>
                      <w:sz w:val="21"/>
                      <w:highlight w:val="none"/>
                    </w:rPr>
                    <w:t>本项目依托</w:t>
                  </w:r>
                  <w:r>
                    <w:rPr>
                      <w:rFonts w:hint="eastAsia" w:ascii="宋体" w:hAnsi="宋体" w:eastAsia="宋体" w:cs="宋体"/>
                      <w:color w:val="auto"/>
                      <w:spacing w:val="-6"/>
                      <w:sz w:val="21"/>
                      <w:highlight w:val="none"/>
                      <w:lang w:eastAsia="zh-CN"/>
                    </w:rPr>
                    <w:t>七台河</w:t>
                  </w:r>
                  <w:r>
                    <w:rPr>
                      <w:rFonts w:hint="eastAsia" w:ascii="宋体" w:hAnsi="宋体" w:eastAsia="宋体" w:cs="宋体"/>
                      <w:color w:val="auto"/>
                      <w:kern w:val="0"/>
                      <w:sz w:val="21"/>
                      <w:highlight w:val="none"/>
                    </w:rPr>
                    <w:t>110千伏变电站站内采用</w:t>
                  </w:r>
                  <w:r>
                    <w:rPr>
                      <w:rFonts w:hint="eastAsia" w:ascii="宋体" w:hAnsi="宋体" w:eastAsia="宋体" w:cs="宋体"/>
                      <w:color w:val="auto"/>
                      <w:kern w:val="0"/>
                      <w:sz w:val="21"/>
                      <w:highlight w:val="none"/>
                      <w:lang w:val="en-US" w:eastAsia="zh-CN"/>
                    </w:rPr>
                    <w:t>市政</w:t>
                  </w:r>
                  <w:r>
                    <w:rPr>
                      <w:rFonts w:hint="eastAsia" w:ascii="宋体" w:hAnsi="宋体" w:eastAsia="宋体" w:cs="宋体"/>
                      <w:color w:val="auto"/>
                      <w:kern w:val="0"/>
                      <w:sz w:val="21"/>
                      <w:highlight w:val="none"/>
                    </w:rPr>
                    <w:t>供水</w:t>
                  </w:r>
                  <w:r>
                    <w:rPr>
                      <w:rFonts w:hint="eastAsia" w:ascii="宋体" w:hAnsi="宋体" w:eastAsia="宋体" w:cs="宋体"/>
                      <w:color w:val="auto"/>
                      <w:sz w:val="21"/>
                      <w:highlight w:val="none"/>
                    </w:rPr>
                    <w:t>。雨水采用所内散排方式排至所外排水沟</w:t>
                  </w:r>
                  <w:r>
                    <w:rPr>
                      <w:rFonts w:hint="eastAsia" w:ascii="宋体" w:hAnsi="宋体" w:eastAsia="宋体" w:cs="宋体"/>
                      <w:color w:val="auto"/>
                      <w:sz w:val="21"/>
                      <w:highlight w:val="none"/>
                      <w:lang w:eastAsia="zh-CN"/>
                    </w:rPr>
                    <w:t>。</w:t>
                  </w:r>
                </w:p>
              </w:tc>
              <w:tc>
                <w:tcPr>
                  <w:tcW w:w="3050" w:type="dxa"/>
                  <w:tcBorders>
                    <w:top w:val="single" w:color="auto" w:sz="4" w:space="0"/>
                    <w:left w:val="single" w:color="auto" w:sz="4" w:space="0"/>
                    <w:bottom w:val="single" w:color="auto" w:sz="4" w:space="0"/>
                    <w:right w:val="single" w:color="auto" w:sz="4" w:space="0"/>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240" w:lineRule="auto"/>
                    <w:ind w:firstLine="396"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6"/>
                      <w:sz w:val="21"/>
                      <w:highlight w:val="none"/>
                    </w:rPr>
                    <w:t>依托</w:t>
                  </w:r>
                  <w:r>
                    <w:rPr>
                      <w:rFonts w:hint="eastAsia" w:ascii="宋体" w:hAnsi="宋体" w:eastAsia="宋体" w:cs="宋体"/>
                      <w:color w:val="auto"/>
                      <w:spacing w:val="-6"/>
                      <w:sz w:val="21"/>
                      <w:highlight w:val="none"/>
                      <w:lang w:eastAsia="zh-CN"/>
                    </w:rPr>
                    <w:t>七台河</w:t>
                  </w:r>
                  <w:r>
                    <w:rPr>
                      <w:rFonts w:hint="eastAsia" w:ascii="宋体" w:hAnsi="宋体" w:eastAsia="宋体" w:cs="宋体"/>
                      <w:color w:val="auto"/>
                      <w:kern w:val="0"/>
                      <w:sz w:val="21"/>
                      <w:highlight w:val="none"/>
                    </w:rPr>
                    <w:t>110千伏变电站站内采用</w:t>
                  </w:r>
                  <w:r>
                    <w:rPr>
                      <w:rFonts w:hint="eastAsia" w:ascii="宋体" w:hAnsi="宋体" w:eastAsia="宋体" w:cs="宋体"/>
                      <w:color w:val="auto"/>
                      <w:kern w:val="0"/>
                      <w:sz w:val="21"/>
                      <w:highlight w:val="none"/>
                      <w:lang w:val="en-US" w:eastAsia="zh-CN"/>
                    </w:rPr>
                    <w:t>市政</w:t>
                  </w:r>
                  <w:r>
                    <w:rPr>
                      <w:rFonts w:hint="eastAsia" w:ascii="宋体" w:hAnsi="宋体" w:eastAsia="宋体" w:cs="宋体"/>
                      <w:color w:val="auto"/>
                      <w:kern w:val="0"/>
                      <w:sz w:val="21"/>
                      <w:highlight w:val="none"/>
                    </w:rPr>
                    <w:t>供水</w:t>
                  </w:r>
                  <w:r>
                    <w:rPr>
                      <w:rFonts w:hint="eastAsia" w:ascii="宋体" w:hAnsi="宋体" w:eastAsia="宋体" w:cs="宋体"/>
                      <w:color w:val="auto"/>
                      <w:sz w:val="21"/>
                      <w:highlight w:val="none"/>
                    </w:rPr>
                    <w:t>。雨水采用所内散排方式排至所外排水沟</w:t>
                  </w:r>
                  <w:r>
                    <w:rPr>
                      <w:rFonts w:hint="eastAsia" w:ascii="宋体" w:hAnsi="宋体" w:eastAsia="宋体" w:cs="宋体"/>
                      <w:color w:val="auto"/>
                      <w:sz w:val="21"/>
                      <w:highlight w:val="none"/>
                      <w:lang w:eastAsia="zh-CN"/>
                    </w:rPr>
                    <w:t>。</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pStyle w:val="30"/>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sz w:val="21"/>
                      <w:szCs w:val="24"/>
                      <w:highlight w:val="none"/>
                      <w:lang w:val="en-US" w:eastAsia="zh-CN" w:bidi="ar-SA"/>
                    </w:rPr>
                    <w:t>依托现有，本次验收不变</w:t>
                  </w:r>
                </w:p>
              </w:tc>
            </w:tr>
          </w:tbl>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2、七市110千伏变电站环保手续履行情况</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七市110kV变电站于1987年建设，变电站主体工程未进行环境评价和竣工环境保护验收工作。</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七市110kV变电站为无人值守，采用市政供暖，无废气、废水、生活污水及生活垃圾产生。变电站自运行以来未发生过事故油排放的情况，建成投运以来无环保投诉。</w:t>
            </w:r>
          </w:p>
          <w:p>
            <w:pPr>
              <w:rPr>
                <w:rFonts w:hint="eastAsia" w:ascii="宋体" w:hAnsi="宋体" w:eastAsia="宋体" w:cs="宋体"/>
                <w:color w:val="auto"/>
                <w:highlight w:val="none"/>
              </w:rPr>
            </w:pPr>
          </w:p>
          <w:p>
            <w:pPr>
              <w:pStyle w:val="2"/>
              <w:rPr>
                <w:rFonts w:hint="eastAsia"/>
                <w:color w:val="auto"/>
                <w:highlight w:val="none"/>
              </w:rPr>
            </w:pPr>
          </w:p>
          <w:p>
            <w:pPr>
              <w:adjustRightInd w:val="0"/>
              <w:snapToGrid w:val="0"/>
              <w:spacing w:line="480" w:lineRule="exact"/>
              <w:ind w:firstLine="482" w:firstLineChars="200"/>
              <w:rPr>
                <w:rFonts w:hint="eastAsia" w:ascii="宋体" w:hAnsi="宋体" w:eastAsia="宋体" w:cs="宋体"/>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adjustRightInd w:val="0"/>
              <w:snapToGrid w:val="0"/>
              <w:spacing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建设项目占地及总平面布置、输电线路路径（附总平面布置、输电线路路径示意图）</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1、工程占地</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本期工程在变电站围墙内原1号、2号主变位置建设，施工均在变电站内，无新增永久占地及临时占地；输电线路无塔基建设，不产生永久性占地及临时占地。</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2、变电站总平面布置</w:t>
            </w:r>
          </w:p>
          <w:p>
            <w:pPr>
              <w:pStyle w:val="2"/>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七台河七市110kV变电站（即110kV市政变）属B类（城网）供电区，采用户外布置方式，110kV配电装置采用户外软母线AIS单列布置方式，35kV配电装置采用户外软母线AIS单列布置方式，10kV配电装置室双列布置。北侧设有2座高压室、保护室和控制室，东北侧为接地消弧变成套装置，1、2号主变设置在中间，在2台主变之间设置事故油池1座，西侧为车库及运维楼。改造后，总平面布置见图4-2。</w:t>
            </w:r>
          </w:p>
          <w:p>
            <w:pPr>
              <w:pStyle w:val="2"/>
              <w:rPr>
                <w:rFonts w:hint="eastAsia" w:ascii="宋体" w:hAnsi="宋体" w:eastAsia="宋体" w:cs="宋体"/>
                <w:color w:val="auto"/>
                <w:highlight w:val="none"/>
              </w:rPr>
            </w:pPr>
            <w:r>
              <w:rPr>
                <w:rFonts w:hint="eastAsia" w:ascii="宋体" w:hAnsi="宋体" w:eastAsia="宋体" w:cs="宋体"/>
                <w:bCs/>
                <w:color w:val="auto"/>
                <w:highlight w:val="none"/>
                <w:lang w:val="en-US" w:eastAsia="zh-CN"/>
              </w:rPr>
              <w:t>本工程改造新万分改接富万线110千伏线路导线长0.lkm，光缆4.2km，无塔基工程。将原新万分线新建架空线路“T”接至110kV富万线，改接后由110kV富强变为七市110kV变电站提供主供和备用两路电源。输电线路路径见图4-3。</w:t>
            </w:r>
          </w:p>
          <w:p>
            <w:pPr>
              <w:ind w:firstLine="3150" w:firstLineChars="150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rPr>
                <w:rFonts w:hint="eastAsia" w:ascii="宋体" w:hAnsi="宋体" w:eastAsia="宋体" w:cs="宋体"/>
                <w:color w:val="auto"/>
                <w:highlight w:val="none"/>
              </w:rPr>
            </w:pPr>
            <w:r>
              <w:rPr>
                <w:rFonts w:hint="eastAsia" w:ascii="宋体" w:hAnsi="宋体" w:eastAsia="宋体" w:cs="宋体"/>
                <w:b/>
                <w:bCs/>
                <w:color w:val="auto"/>
                <w:highlight w:val="none"/>
                <w:lang w:eastAsia="zh-CN"/>
              </w:rPr>
              <w:t>建设项目环境保护投资</w:t>
            </w:r>
          </w:p>
          <w:p>
            <w:pPr>
              <w:pStyle w:val="2"/>
              <w:rPr>
                <w:rFonts w:hint="eastAsia" w:ascii="宋体" w:hAnsi="宋体" w:eastAsia="宋体" w:cs="宋体"/>
                <w:color w:val="auto"/>
                <w:highlight w:val="none"/>
              </w:rPr>
            </w:pPr>
            <w:r>
              <w:rPr>
                <w:rFonts w:hint="eastAsia" w:ascii="宋体" w:hAnsi="宋体" w:eastAsia="宋体" w:cs="宋体"/>
                <w:color w:val="auto"/>
                <w:highlight w:val="none"/>
              </w:rPr>
              <w:t>根据建设单位提供的资料，并结合现场调查，项目实际总投资为</w:t>
            </w:r>
            <w:r>
              <w:rPr>
                <w:rFonts w:hint="eastAsia" w:ascii="宋体" w:hAnsi="宋体" w:eastAsia="宋体" w:cs="宋体"/>
                <w:color w:val="auto"/>
                <w:highlight w:val="none"/>
                <w:lang w:val="en-US" w:eastAsia="zh-CN"/>
              </w:rPr>
              <w:t>1446</w:t>
            </w:r>
            <w:r>
              <w:rPr>
                <w:rFonts w:hint="eastAsia" w:ascii="宋体" w:hAnsi="宋体" w:eastAsia="宋体" w:cs="宋体"/>
                <w:color w:val="auto"/>
                <w:highlight w:val="none"/>
              </w:rPr>
              <w:t>万元，与原环评相比</w:t>
            </w:r>
            <w:r>
              <w:rPr>
                <w:rFonts w:hint="eastAsia" w:ascii="宋体" w:hAnsi="宋体" w:eastAsia="宋体" w:cs="宋体"/>
                <w:color w:val="auto"/>
                <w:highlight w:val="none"/>
                <w:lang w:eastAsia="zh-CN"/>
              </w:rPr>
              <w:t>减少了</w:t>
            </w:r>
            <w:r>
              <w:rPr>
                <w:rFonts w:hint="eastAsia" w:ascii="宋体" w:hAnsi="宋体" w:eastAsia="宋体" w:cs="宋体"/>
                <w:color w:val="auto"/>
                <w:highlight w:val="none"/>
                <w:lang w:val="en-US" w:eastAsia="zh-CN"/>
              </w:rPr>
              <w:t>27</w:t>
            </w:r>
            <w:r>
              <w:rPr>
                <w:rFonts w:hint="eastAsia" w:ascii="宋体" w:hAnsi="宋体" w:eastAsia="宋体" w:cs="宋体"/>
                <w:color w:val="auto"/>
                <w:highlight w:val="none"/>
              </w:rPr>
              <w:t>万元；实际环保投资为</w:t>
            </w:r>
            <w:r>
              <w:rPr>
                <w:rFonts w:hint="eastAsia" w:ascii="宋体" w:hAnsi="宋体" w:eastAsia="宋体" w:cs="宋体"/>
                <w:color w:val="auto"/>
                <w:highlight w:val="none"/>
                <w:lang w:val="en-US" w:eastAsia="zh-CN"/>
              </w:rPr>
              <w:t>31.5</w:t>
            </w:r>
            <w:r>
              <w:rPr>
                <w:rFonts w:hint="eastAsia" w:ascii="宋体" w:hAnsi="宋体" w:eastAsia="宋体" w:cs="宋体"/>
                <w:color w:val="auto"/>
                <w:highlight w:val="none"/>
              </w:rPr>
              <w:t>万元，与环评时期相比</w:t>
            </w:r>
            <w:r>
              <w:rPr>
                <w:rFonts w:hint="eastAsia" w:ascii="宋体" w:hAnsi="宋体" w:eastAsia="宋体" w:cs="宋体"/>
                <w:color w:val="auto"/>
                <w:highlight w:val="none"/>
                <w:lang w:eastAsia="zh-CN"/>
              </w:rPr>
              <w:t>增加</w:t>
            </w:r>
            <w:r>
              <w:rPr>
                <w:rFonts w:hint="eastAsia" w:ascii="宋体" w:hAnsi="宋体" w:eastAsia="宋体" w:cs="宋体"/>
                <w:color w:val="auto"/>
                <w:highlight w:val="none"/>
                <w:lang w:val="en-US" w:eastAsia="zh-CN"/>
              </w:rPr>
              <w:t>1.5万元</w:t>
            </w:r>
            <w:r>
              <w:rPr>
                <w:rFonts w:hint="eastAsia" w:ascii="宋体" w:hAnsi="宋体" w:eastAsia="宋体" w:cs="宋体"/>
                <w:color w:val="auto"/>
                <w:highlight w:val="none"/>
              </w:rPr>
              <w:t>。环保投资对比情况见表4-</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，环保投资均得到了落实。</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表4-</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工程环保投资对比表</w:t>
            </w:r>
          </w:p>
          <w:tbl>
            <w:tblPr>
              <w:tblStyle w:val="17"/>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99"/>
              <w:gridCol w:w="2327"/>
              <w:gridCol w:w="1325"/>
              <w:gridCol w:w="2754"/>
              <w:gridCol w:w="10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6" w:hRule="atLeast"/>
                <w:jc w:val="center"/>
              </w:trPr>
              <w:tc>
                <w:tcPr>
                  <w:tcW w:w="1599"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环保设施名称</w:t>
                  </w:r>
                </w:p>
              </w:tc>
              <w:tc>
                <w:tcPr>
                  <w:tcW w:w="2327"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环评环保措施</w:t>
                  </w:r>
                </w:p>
              </w:tc>
              <w:tc>
                <w:tcPr>
                  <w:tcW w:w="132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环评预计投资（万元）</w:t>
                  </w:r>
                </w:p>
              </w:tc>
              <w:tc>
                <w:tcPr>
                  <w:tcW w:w="2754"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实际环保措施</w:t>
                  </w:r>
                </w:p>
              </w:tc>
              <w:tc>
                <w:tcPr>
                  <w:tcW w:w="1067"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实际投资（万元）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3" w:hRule="atLeast"/>
                <w:jc w:val="center"/>
              </w:trPr>
              <w:tc>
                <w:tcPr>
                  <w:tcW w:w="1599" w:type="dxa"/>
                  <w:tcBorders>
                    <w:tl2br w:val="nil"/>
                    <w:tr2bl w:val="nil"/>
                  </w:tcBorders>
                  <w:shd w:val="clear" w:color="auto" w:fill="auto"/>
                  <w:vAlign w:val="center"/>
                </w:tcPr>
                <w:p>
                  <w:pPr>
                    <w:pStyle w:val="23"/>
                    <w:adjustRightIn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施工期治理</w:t>
                  </w:r>
                </w:p>
              </w:tc>
              <w:tc>
                <w:tcPr>
                  <w:tcW w:w="2327" w:type="dxa"/>
                  <w:tcBorders>
                    <w:tl2br w:val="nil"/>
                    <w:tr2bl w:val="nil"/>
                  </w:tcBorders>
                  <w:shd w:val="clear" w:color="auto" w:fill="auto"/>
                  <w:vAlign w:val="center"/>
                </w:tcPr>
                <w:p>
                  <w:pPr>
                    <w:pStyle w:val="23"/>
                    <w:adjustRightIn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施工期</w:t>
                  </w:r>
                  <w:r>
                    <w:rPr>
                      <w:rFonts w:hint="eastAsia" w:ascii="宋体" w:hAnsi="宋体" w:eastAsia="宋体" w:cs="宋体"/>
                      <w:color w:val="auto"/>
                      <w:sz w:val="21"/>
                      <w:szCs w:val="21"/>
                      <w:highlight w:val="none"/>
                      <w:lang w:eastAsia="zh-CN"/>
                    </w:rPr>
                    <w:t>覆网防尘</w:t>
                  </w:r>
                </w:p>
              </w:tc>
              <w:tc>
                <w:tcPr>
                  <w:tcW w:w="132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754" w:type="dxa"/>
                  <w:tcBorders>
                    <w:tl2br w:val="nil"/>
                    <w:tr2bl w:val="nil"/>
                  </w:tcBorders>
                  <w:shd w:val="clear" w:color="auto" w:fill="auto"/>
                  <w:vAlign w:val="center"/>
                </w:tcPr>
                <w:p>
                  <w:pPr>
                    <w:pStyle w:val="23"/>
                    <w:adjustRightIn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施工期</w:t>
                  </w:r>
                  <w:r>
                    <w:rPr>
                      <w:rFonts w:hint="eastAsia" w:ascii="宋体" w:hAnsi="宋体" w:eastAsia="宋体" w:cs="宋体"/>
                      <w:color w:val="auto"/>
                      <w:sz w:val="21"/>
                      <w:szCs w:val="21"/>
                      <w:highlight w:val="none"/>
                      <w:lang w:eastAsia="zh-CN"/>
                    </w:rPr>
                    <w:t>覆网防尘</w:t>
                  </w:r>
                </w:p>
              </w:tc>
              <w:tc>
                <w:tcPr>
                  <w:tcW w:w="1067"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99" w:type="dxa"/>
                  <w:vMerge w:val="restart"/>
                  <w:tcBorders>
                    <w:tl2br w:val="nil"/>
                    <w:tr2bl w:val="nil"/>
                  </w:tcBorders>
                  <w:shd w:val="clear" w:color="auto" w:fill="auto"/>
                  <w:vAlign w:val="center"/>
                </w:tcPr>
                <w:p>
                  <w:pPr>
                    <w:pStyle w:val="23"/>
                    <w:adjustRightIn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运营期治理</w:t>
                  </w:r>
                </w:p>
              </w:tc>
              <w:tc>
                <w:tcPr>
                  <w:tcW w:w="2327" w:type="dxa"/>
                  <w:tcBorders>
                    <w:tl2br w:val="nil"/>
                    <w:tr2bl w:val="nil"/>
                  </w:tcBorders>
                  <w:shd w:val="clear" w:color="auto" w:fill="auto"/>
                  <w:vAlign w:val="center"/>
                </w:tcPr>
                <w:p>
                  <w:pPr>
                    <w:autoSpaceDE w:val="0"/>
                    <w:autoSpaceDN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减震基础</w:t>
                  </w:r>
                </w:p>
              </w:tc>
              <w:tc>
                <w:tcPr>
                  <w:tcW w:w="132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754" w:type="dxa"/>
                  <w:tcBorders>
                    <w:tl2br w:val="nil"/>
                    <w:tr2bl w:val="nil"/>
                  </w:tcBorders>
                  <w:shd w:val="clear" w:color="auto" w:fill="auto"/>
                  <w:vAlign w:val="center"/>
                </w:tcPr>
                <w:p>
                  <w:pPr>
                    <w:autoSpaceDE w:val="0"/>
                    <w:autoSpaceDN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减震基础</w:t>
                  </w:r>
                </w:p>
              </w:tc>
              <w:tc>
                <w:tcPr>
                  <w:tcW w:w="1067"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1599" w:type="dxa"/>
                  <w:vMerge w:val="continue"/>
                  <w:tcBorders>
                    <w:tl2br w:val="nil"/>
                    <w:tr2bl w:val="nil"/>
                  </w:tcBorders>
                  <w:shd w:val="clear" w:color="auto" w:fill="auto"/>
                  <w:vAlign w:val="center"/>
                </w:tcPr>
                <w:p>
                  <w:pPr>
                    <w:pStyle w:val="23"/>
                    <w:adjustRightInd w:val="0"/>
                    <w:rPr>
                      <w:rFonts w:hint="eastAsia" w:ascii="宋体" w:hAnsi="宋体" w:eastAsia="宋体" w:cs="宋体"/>
                      <w:color w:val="auto"/>
                      <w:sz w:val="21"/>
                      <w:szCs w:val="21"/>
                      <w:highlight w:val="none"/>
                    </w:rPr>
                  </w:pPr>
                </w:p>
              </w:tc>
              <w:tc>
                <w:tcPr>
                  <w:tcW w:w="2327" w:type="dxa"/>
                  <w:tcBorders>
                    <w:tl2br w:val="nil"/>
                    <w:tr2bl w:val="nil"/>
                  </w:tcBorders>
                  <w:shd w:val="clear" w:color="auto" w:fill="auto"/>
                  <w:vAlign w:val="center"/>
                </w:tcPr>
                <w:p>
                  <w:pPr>
                    <w:pStyle w:val="23"/>
                    <w:adjustRightIn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事故油池</w:t>
                  </w:r>
                </w:p>
              </w:tc>
              <w:tc>
                <w:tcPr>
                  <w:tcW w:w="132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754" w:type="dxa"/>
                  <w:tcBorders>
                    <w:tl2br w:val="nil"/>
                    <w:tr2bl w:val="nil"/>
                  </w:tcBorders>
                  <w:shd w:val="clear" w:color="auto" w:fill="auto"/>
                  <w:vAlign w:val="center"/>
                </w:tcPr>
                <w:p>
                  <w:pPr>
                    <w:pStyle w:val="23"/>
                    <w:adjustRightIn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事故油池</w:t>
                  </w:r>
                </w:p>
              </w:tc>
              <w:tc>
                <w:tcPr>
                  <w:tcW w:w="1067"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599"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3652" w:type="dxa"/>
                  <w:gridSpan w:val="2"/>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30万元</w:t>
                  </w:r>
                </w:p>
              </w:tc>
              <w:tc>
                <w:tcPr>
                  <w:tcW w:w="3821" w:type="dxa"/>
                  <w:gridSpan w:val="2"/>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599"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总投资</w:t>
                  </w:r>
                </w:p>
              </w:tc>
              <w:tc>
                <w:tcPr>
                  <w:tcW w:w="3652" w:type="dxa"/>
                  <w:gridSpan w:val="2"/>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1483</w:t>
                  </w:r>
                  <w:r>
                    <w:rPr>
                      <w:rFonts w:hint="eastAsia" w:ascii="宋体" w:hAnsi="宋体" w:eastAsia="宋体" w:cs="宋体"/>
                      <w:color w:val="auto"/>
                      <w:sz w:val="21"/>
                      <w:szCs w:val="21"/>
                      <w:highlight w:val="none"/>
                    </w:rPr>
                    <w:t>万元</w:t>
                  </w:r>
                </w:p>
              </w:tc>
              <w:tc>
                <w:tcPr>
                  <w:tcW w:w="3821" w:type="dxa"/>
                  <w:gridSpan w:val="2"/>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1446</w:t>
                  </w:r>
                  <w:r>
                    <w:rPr>
                      <w:rFonts w:hint="eastAsia" w:ascii="宋体" w:hAnsi="宋体" w:eastAsia="宋体" w:cs="宋体"/>
                      <w:color w:val="auto"/>
                      <w:sz w:val="21"/>
                      <w:szCs w:val="21"/>
                      <w:highlight w:val="none"/>
                    </w:rPr>
                    <w:t>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599"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环保投资占比</w:t>
                  </w:r>
                </w:p>
              </w:tc>
              <w:tc>
                <w:tcPr>
                  <w:tcW w:w="3652" w:type="dxa"/>
                  <w:gridSpan w:val="2"/>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2.03</w:t>
                  </w:r>
                  <w:r>
                    <w:rPr>
                      <w:rFonts w:hint="eastAsia" w:ascii="宋体" w:hAnsi="宋体" w:eastAsia="宋体" w:cs="宋体"/>
                      <w:color w:val="auto"/>
                      <w:sz w:val="21"/>
                      <w:szCs w:val="21"/>
                      <w:highlight w:val="none"/>
                    </w:rPr>
                    <w:t>%</w:t>
                  </w:r>
                </w:p>
              </w:tc>
              <w:tc>
                <w:tcPr>
                  <w:tcW w:w="3821" w:type="dxa"/>
                  <w:gridSpan w:val="2"/>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2.18</w:t>
                  </w:r>
                  <w:r>
                    <w:rPr>
                      <w:rFonts w:hint="eastAsia" w:ascii="宋体" w:hAnsi="宋体" w:eastAsia="宋体" w:cs="宋体"/>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rPr>
            </w:pPr>
          </w:p>
          <w:p>
            <w:pPr>
              <w:ind w:firstLine="3150" w:firstLineChars="1500"/>
              <w:rPr>
                <w:rFonts w:hint="eastAsia" w:ascii="宋体" w:hAnsi="宋体" w:eastAsia="宋体" w:cs="宋体"/>
                <w:color w:val="auto"/>
                <w:sz w:val="21"/>
                <w:szCs w:val="21"/>
                <w:highlight w:val="none"/>
              </w:rPr>
            </w:pPr>
          </w:p>
        </w:tc>
      </w:tr>
    </w:tbl>
    <w:p>
      <w:pPr>
        <w:pStyle w:val="2"/>
        <w:adjustRightInd w:val="0"/>
        <w:snapToGrid w:val="0"/>
        <w:spacing w:line="240" w:lineRule="auto"/>
        <w:ind w:firstLine="0"/>
        <w:rPr>
          <w:rFonts w:hint="eastAsia" w:ascii="宋体" w:hAnsi="宋体" w:eastAsia="宋体" w:cs="宋体"/>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8480" behindDoc="0" locked="0" layoutInCell="1" allowOverlap="1">
            <wp:simplePos x="0" y="0"/>
            <wp:positionH relativeFrom="column">
              <wp:posOffset>6960235</wp:posOffset>
            </wp:positionH>
            <wp:positionV relativeFrom="paragraph">
              <wp:posOffset>-48895</wp:posOffset>
            </wp:positionV>
            <wp:extent cx="1974215" cy="3724910"/>
            <wp:effectExtent l="0" t="0" r="6985" b="8890"/>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15"/>
                    <a:stretch>
                      <a:fillRect/>
                    </a:stretch>
                  </pic:blipFill>
                  <pic:spPr>
                    <a:xfrm>
                      <a:off x="0" y="0"/>
                      <a:ext cx="1974215" cy="3724910"/>
                    </a:xfrm>
                    <a:prstGeom prst="rect">
                      <a:avLst/>
                    </a:prstGeom>
                    <a:noFill/>
                    <a:ln>
                      <a:noFill/>
                    </a:ln>
                  </pic:spPr>
                </pic:pic>
              </a:graphicData>
            </a:graphic>
          </wp:anchor>
        </w:drawing>
      </w:r>
      <w:r>
        <w:rPr>
          <w:rFonts w:hint="eastAsia" w:ascii="宋体" w:hAnsi="宋体" w:eastAsia="宋体" w:cs="宋体"/>
          <w:color w:val="auto"/>
          <w:highlight w:val="none"/>
        </w:rPr>
        <w:drawing>
          <wp:anchor distT="0" distB="0" distL="114300" distR="114300" simplePos="0" relativeHeight="251666432" behindDoc="0" locked="0" layoutInCell="1" allowOverlap="1">
            <wp:simplePos x="0" y="0"/>
            <wp:positionH relativeFrom="column">
              <wp:posOffset>902970</wp:posOffset>
            </wp:positionH>
            <wp:positionV relativeFrom="paragraph">
              <wp:posOffset>-59055</wp:posOffset>
            </wp:positionV>
            <wp:extent cx="6058535" cy="5423535"/>
            <wp:effectExtent l="0" t="0" r="18415" b="571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6"/>
                    <a:stretch>
                      <a:fillRect/>
                    </a:stretch>
                  </pic:blipFill>
                  <pic:spPr>
                    <a:xfrm>
                      <a:off x="0" y="0"/>
                      <a:ext cx="6058535" cy="5423535"/>
                    </a:xfrm>
                    <a:prstGeom prst="rect">
                      <a:avLst/>
                    </a:prstGeom>
                    <a:noFill/>
                    <a:ln>
                      <a:noFill/>
                    </a:ln>
                  </pic:spPr>
                </pic:pic>
              </a:graphicData>
            </a:graphic>
          </wp:anchor>
        </w:drawing>
      </w: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r>
        <w:rPr>
          <w:rFonts w:hint="eastAsia"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3333750</wp:posOffset>
                </wp:positionH>
                <wp:positionV relativeFrom="paragraph">
                  <wp:posOffset>169545</wp:posOffset>
                </wp:positionV>
                <wp:extent cx="2444750" cy="1818005"/>
                <wp:effectExtent l="13970" t="13970" r="17780" b="15875"/>
                <wp:wrapNone/>
                <wp:docPr id="85" name="任意多边形 85"/>
                <wp:cNvGraphicFramePr/>
                <a:graphic xmlns:a="http://schemas.openxmlformats.org/drawingml/2006/main">
                  <a:graphicData uri="http://schemas.microsoft.com/office/word/2010/wordprocessingShape">
                    <wps:wsp>
                      <wps:cNvSpPr/>
                      <wps:spPr>
                        <a:xfrm>
                          <a:off x="4733290" y="3712210"/>
                          <a:ext cx="2444750" cy="1818005"/>
                        </a:xfrm>
                        <a:custGeom>
                          <a:avLst/>
                          <a:gdLst>
                            <a:gd name="connsiteX0" fmla="*/ 479 w 3850"/>
                            <a:gd name="connsiteY0" fmla="*/ 2850 h 2863"/>
                            <a:gd name="connsiteX1" fmla="*/ 491 w 3850"/>
                            <a:gd name="connsiteY1" fmla="*/ 1863 h 2863"/>
                            <a:gd name="connsiteX2" fmla="*/ 0 w 3850"/>
                            <a:gd name="connsiteY2" fmla="*/ 1850 h 2863"/>
                            <a:gd name="connsiteX3" fmla="*/ 0 w 3850"/>
                            <a:gd name="connsiteY3" fmla="*/ 0 h 2863"/>
                            <a:gd name="connsiteX4" fmla="*/ 3850 w 3850"/>
                            <a:gd name="connsiteY4" fmla="*/ 0 h 2863"/>
                            <a:gd name="connsiteX5" fmla="*/ 3850 w 3850"/>
                            <a:gd name="connsiteY5" fmla="*/ 1913 h 2863"/>
                            <a:gd name="connsiteX6" fmla="*/ 2691 w 3850"/>
                            <a:gd name="connsiteY6" fmla="*/ 1888 h 2863"/>
                            <a:gd name="connsiteX7" fmla="*/ 2700 w 3850"/>
                            <a:gd name="connsiteY7" fmla="*/ 2863 h 2863"/>
                            <a:gd name="connsiteX8" fmla="*/ 488 w 3850"/>
                            <a:gd name="connsiteY8" fmla="*/ 2838 h 2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50" h="2863">
                              <a:moveTo>
                                <a:pt x="479" y="2850"/>
                              </a:moveTo>
                              <a:lnTo>
                                <a:pt x="491" y="1863"/>
                              </a:lnTo>
                              <a:lnTo>
                                <a:pt x="0" y="1850"/>
                              </a:lnTo>
                              <a:lnTo>
                                <a:pt x="0" y="0"/>
                              </a:lnTo>
                              <a:lnTo>
                                <a:pt x="3850" y="0"/>
                              </a:lnTo>
                              <a:lnTo>
                                <a:pt x="3850" y="1913"/>
                              </a:lnTo>
                              <a:lnTo>
                                <a:pt x="2691" y="1888"/>
                              </a:lnTo>
                              <a:lnTo>
                                <a:pt x="2700" y="2863"/>
                              </a:lnTo>
                              <a:lnTo>
                                <a:pt x="488" y="2838"/>
                              </a:lnTo>
                            </a:path>
                          </a:pathLst>
                        </a:custGeom>
                        <a:noFill/>
                        <a:ln w="28575" cmpd="sng">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62.5pt;margin-top:13.35pt;height:143.15pt;width:192.5pt;z-index:251670528;mso-width-relative:page;mso-height-relative:page;" filled="f" stroked="t" coordsize="3850,2863" o:gfxdata="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K+VqDrYAAAACgEAAA8AAAAAAAAAAQAgAAAAIgAAAGRycy9kb3ducmV2LnhtbFBLAQIUABQA&#10;AAAIAIdO4kBMC6T7fwMAABkLAAAOAAAAAAAAAAEAIAAAACcBAABkcnMvZTJvRG9jLnhtbFBLBQYA&#10;AAAABgAGAFkBAAAYBwAAAAA=&#10;" path="m479,2850l491,1863,0,1850,0,0,3850,0,3850,1913,2691,1888,2700,2863,488,2838e">
                <v:path o:connectlocs="304165,1809750;311785,1183005;0,1174750;0,0;2444750,0;2444750,1214755;1708785,1198880;1714500,1818005;309880,1802130" o:connectangles="0,0,0,0,0,0,0,0,0"/>
                <v:fill on="f" focussize="0,0"/>
                <v:stroke weight="2.25pt" color="#FF0000 [3204]" miterlimit="8" joinstyle="miter" dashstyle="dash"/>
                <v:imagedata o:title=""/>
                <o:lock v:ext="edit" aspectratio="f"/>
              </v:shape>
            </w:pict>
          </mc:Fallback>
        </mc:AlternateContent>
      </w: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4268470</wp:posOffset>
                </wp:positionH>
                <wp:positionV relativeFrom="paragraph">
                  <wp:posOffset>6350</wp:posOffset>
                </wp:positionV>
                <wp:extent cx="429260" cy="152400"/>
                <wp:effectExtent l="13970" t="14605" r="33020" b="23495"/>
                <wp:wrapNone/>
                <wp:docPr id="86" name="任意多边形 86"/>
                <wp:cNvGraphicFramePr/>
                <a:graphic xmlns:a="http://schemas.openxmlformats.org/drawingml/2006/main">
                  <a:graphicData uri="http://schemas.microsoft.com/office/word/2010/wordprocessingShape">
                    <wps:wsp>
                      <wps:cNvSpPr/>
                      <wps:spPr>
                        <a:xfrm>
                          <a:off x="0" y="0"/>
                          <a:ext cx="429260" cy="152400"/>
                        </a:xfrm>
                        <a:custGeom>
                          <a:avLst/>
                          <a:gdLst>
                            <a:gd name="connsiteX0" fmla="*/ 479 w 3850"/>
                            <a:gd name="connsiteY0" fmla="*/ 2850 h 2863"/>
                            <a:gd name="connsiteX1" fmla="*/ 491 w 3850"/>
                            <a:gd name="connsiteY1" fmla="*/ 1863 h 2863"/>
                            <a:gd name="connsiteX2" fmla="*/ 0 w 3850"/>
                            <a:gd name="connsiteY2" fmla="*/ 1850 h 2863"/>
                            <a:gd name="connsiteX3" fmla="*/ 0 w 3850"/>
                            <a:gd name="connsiteY3" fmla="*/ 0 h 2863"/>
                            <a:gd name="connsiteX4" fmla="*/ 3850 w 3850"/>
                            <a:gd name="connsiteY4" fmla="*/ 0 h 2863"/>
                            <a:gd name="connsiteX5" fmla="*/ 3850 w 3850"/>
                            <a:gd name="connsiteY5" fmla="*/ 1913 h 2863"/>
                            <a:gd name="connsiteX6" fmla="*/ 2691 w 3850"/>
                            <a:gd name="connsiteY6" fmla="*/ 1888 h 2863"/>
                            <a:gd name="connsiteX7" fmla="*/ 2700 w 3850"/>
                            <a:gd name="connsiteY7" fmla="*/ 2863 h 2863"/>
                            <a:gd name="connsiteX8" fmla="*/ 488 w 3850"/>
                            <a:gd name="connsiteY8" fmla="*/ 2838 h 2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50" h="2863">
                              <a:moveTo>
                                <a:pt x="479" y="2850"/>
                              </a:moveTo>
                              <a:lnTo>
                                <a:pt x="491" y="1863"/>
                              </a:lnTo>
                              <a:lnTo>
                                <a:pt x="0" y="1850"/>
                              </a:lnTo>
                              <a:lnTo>
                                <a:pt x="0" y="0"/>
                              </a:lnTo>
                              <a:lnTo>
                                <a:pt x="3850" y="0"/>
                              </a:lnTo>
                              <a:lnTo>
                                <a:pt x="3850" y="1913"/>
                              </a:lnTo>
                              <a:lnTo>
                                <a:pt x="2691" y="1888"/>
                              </a:lnTo>
                              <a:lnTo>
                                <a:pt x="2700" y="2863"/>
                              </a:lnTo>
                              <a:lnTo>
                                <a:pt x="488" y="2838"/>
                              </a:lnTo>
                            </a:path>
                          </a:pathLst>
                        </a:custGeom>
                        <a:noFill/>
                        <a:ln w="28575" cmpd="sng">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36.1pt;margin-top:0.5pt;height:12pt;width:33.8pt;z-index:251671552;mso-width-relative:page;mso-height-relative:page;" filled="f" stroked="t" coordsize="3850,2863" o:gfxdata="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8yeqGdUAAAAIAQAA&#10;DwAAAAAAAAABACAAAAAiAAAAZHJzL2Rvd25yZXYueG1sUEsBAhQAFAAAAAgAh07iQKCQ8ilyAwAA&#10;CwsAAA4AAAAAAAAAAQAgAAAAJAEAAGRycy9lMm9Eb2MueG1sUEsFBgAAAAAGAAYAWQEAAAgHAAAA&#10;AA==&#10;" path="m479,2850l491,1863,0,1850,0,0,3850,0,3850,1913,2691,1888,2700,2863,488,2838e">
                <v:path o:connectlocs="53406,151707;54744,99169;0,98477;0,0;429260,0;429260,101830;300036,100499;301039,152400;54410,151069" o:connectangles="0,0,0,0,0,0,0,0,0"/>
                <v:fill on="f" focussize="0,0"/>
                <v:stroke weight="2.25pt" color="#FF0000 [3204]" miterlimit="8" joinstyle="miter" dashstyle="dash"/>
                <v:imagedata o:title=""/>
                <o:lock v:ext="edit" aspectratio="f"/>
              </v:shape>
            </w:pict>
          </mc:Fallback>
        </mc:AlternateContent>
      </w:r>
      <w:r>
        <w:rPr>
          <w:rFonts w:hint="eastAsia" w:ascii="宋体" w:hAnsi="宋体" w:eastAsia="宋体" w:cs="宋体"/>
          <w:color w:val="auto"/>
          <w:sz w:val="24"/>
          <w:szCs w:val="24"/>
          <w:highlight w:val="none"/>
        </w:rPr>
        <w:t>图</w:t>
      </w: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项目平面布置</w:t>
      </w:r>
      <w:r>
        <w:rPr>
          <w:rFonts w:hint="eastAsia" w:ascii="宋体" w:hAnsi="宋体" w:eastAsia="宋体" w:cs="宋体"/>
          <w:color w:val="auto"/>
          <w:sz w:val="24"/>
          <w:szCs w:val="24"/>
          <w:highlight w:val="none"/>
        </w:rPr>
        <w:t>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——平面布置变化部分）</w:t>
      </w:r>
    </w:p>
    <w:p>
      <w:pPr>
        <w:pStyle w:val="2"/>
        <w:rPr>
          <w:rFonts w:hint="eastAsia" w:ascii="宋体" w:hAnsi="宋体" w:eastAsia="宋体" w:cs="宋体"/>
          <w:color w:val="auto"/>
          <w:sz w:val="24"/>
          <w:szCs w:val="24"/>
          <w:highlight w:val="none"/>
          <w:lang w:eastAsia="zh-CN"/>
        </w:rPr>
      </w:pPr>
      <w:r>
        <w:rPr>
          <w:color w:val="auto"/>
          <w:highlight w:val="none"/>
        </w:rPr>
        <w:drawing>
          <wp:anchor distT="0" distB="0" distL="114300" distR="114300" simplePos="0" relativeHeight="251705344" behindDoc="0" locked="0" layoutInCell="1" allowOverlap="1">
            <wp:simplePos x="0" y="0"/>
            <wp:positionH relativeFrom="column">
              <wp:posOffset>230505</wp:posOffset>
            </wp:positionH>
            <wp:positionV relativeFrom="paragraph">
              <wp:posOffset>-80010</wp:posOffset>
            </wp:positionV>
            <wp:extent cx="8194040" cy="5288280"/>
            <wp:effectExtent l="0" t="0" r="16510" b="7620"/>
            <wp:wrapSquare wrapText="bothSides"/>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7"/>
                    <a:stretch>
                      <a:fillRect/>
                    </a:stretch>
                  </pic:blipFill>
                  <pic:spPr>
                    <a:xfrm>
                      <a:off x="0" y="0"/>
                      <a:ext cx="8194040" cy="5288280"/>
                    </a:xfrm>
                    <a:prstGeom prst="rect">
                      <a:avLst/>
                    </a:prstGeom>
                    <a:noFill/>
                    <a:ln>
                      <a:noFill/>
                    </a:ln>
                  </pic:spPr>
                </pic:pic>
              </a:graphicData>
            </a:graphic>
          </wp:anchor>
        </w:drawing>
      </w: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rPr>
          <w:rFonts w:hint="eastAsia" w:ascii="宋体" w:hAnsi="宋体" w:eastAsia="宋体" w:cs="宋体"/>
          <w:color w:val="auto"/>
          <w:sz w:val="24"/>
          <w:szCs w:val="24"/>
          <w:highlight w:val="none"/>
          <w:lang w:eastAsia="zh-CN"/>
        </w:rPr>
      </w:pPr>
    </w:p>
    <w:p>
      <w:pPr>
        <w:pStyle w:val="2"/>
        <w:rPr>
          <w:rFonts w:hint="eastAsia" w:ascii="宋体" w:hAnsi="宋体" w:eastAsia="宋体" w:cs="宋体"/>
          <w:color w:val="auto"/>
          <w:sz w:val="24"/>
          <w:szCs w:val="24"/>
          <w:highlight w:val="none"/>
          <w:lang w:eastAsia="zh-CN"/>
        </w:rPr>
      </w:pPr>
    </w:p>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图</w:t>
      </w: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项目输电线路路径</w:t>
      </w:r>
      <w:r>
        <w:rPr>
          <w:rFonts w:hint="eastAsia" w:ascii="宋体" w:hAnsi="宋体" w:eastAsia="宋体" w:cs="宋体"/>
          <w:color w:val="auto"/>
          <w:sz w:val="24"/>
          <w:szCs w:val="24"/>
          <w:highlight w:val="none"/>
        </w:rPr>
        <w:t>图</w:t>
      </w:r>
    </w:p>
    <w:p>
      <w:pPr>
        <w:pStyle w:val="2"/>
        <w:rPr>
          <w:rFonts w:hint="eastAsia"/>
          <w:color w:val="auto"/>
          <w:highlight w:val="none"/>
          <w:lang w:eastAsia="zh-CN"/>
        </w:rPr>
      </w:pPr>
    </w:p>
    <w:p>
      <w:pPr>
        <w:pStyle w:val="2"/>
        <w:rPr>
          <w:rFonts w:hint="eastAsia" w:ascii="宋体" w:hAnsi="宋体" w:eastAsia="宋体" w:cs="宋体"/>
          <w:color w:val="auto"/>
          <w:highlight w:val="none"/>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建设项目变动情况及变动原因</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根据环境保护部办公厅文件《关于印发&lt;输变电建设项目重大变动清单（试行）&gt;的通知》（环办辐射[2016]84号），本项目判定情况见表4-3。</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表4-</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输变电建设项目重大变动清单对照表</w:t>
            </w:r>
          </w:p>
          <w:tbl>
            <w:tblPr>
              <w:tblStyle w:val="17"/>
              <w:tblW w:w="90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6"/>
              <w:gridCol w:w="2888"/>
              <w:gridCol w:w="2212"/>
              <w:gridCol w:w="2275"/>
              <w:gridCol w:w="1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环评阶段</w:t>
                  </w:r>
                </w:p>
              </w:tc>
              <w:tc>
                <w:tcPr>
                  <w:tcW w:w="227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验收阶段</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变化结果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电压等级升高</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110kV</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主变压器、换流变压器、高压电抗器等主要设备总数量增加超过原数量的30%</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lang w:val="en-US" w:eastAsia="zh-CN"/>
                    </w:rPr>
                    <w:t>将原有2台20MVA主变更换为2台31.5MVA主变，拆除3#31.5MVA主变</w:t>
                  </w:r>
                </w:p>
              </w:tc>
              <w:tc>
                <w:tcPr>
                  <w:tcW w:w="2275"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lang w:val="en-US" w:eastAsia="zh-CN"/>
                    </w:rPr>
                    <w:t>将110kV七市变2×20MVA+31.5MVA主变更换为2台31.5MVA主变，拆除原有31.5MVA主</w:t>
                  </w:r>
                  <w:r>
                    <w:rPr>
                      <w:rFonts w:hint="eastAsia" w:ascii="宋体" w:hAnsi="宋体" w:eastAsia="宋体" w:cs="宋体"/>
                      <w:color w:val="auto"/>
                      <w:sz w:val="21"/>
                      <w:szCs w:val="21"/>
                      <w:highlight w:val="none"/>
                      <w:lang w:eastAsia="zh-CN"/>
                    </w:rPr>
                    <w:t>变</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输电线路路径长度增加超过原路径长度的30%</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新万分线“T”接至110kV富万线共计新建架空线路0.1km</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新万分线“T”接至110kV富万线共计新建架空线路0.1km</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变电站、换流站、开关站、串补站站址位移超过500米</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七台河市桃山区与茄子河区交界处</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七台河市桃山区与茄子河区交界处</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输电线路横向位移超出500米的累计长度超过原路径长度的30%</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新万分线“T”接至110kV富万线</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新万分线“T”接至110kV富万线</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因输变电工程路径、站址等发生变化，导致进入新的自然保护区、风景名胜区、饮用水水源保护区等生态敏感区</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无</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因输变电工程路径、站址等发生变化，导致新增的电磁和声环境敏感目标超过原数量的30%</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无</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变电站由户内布置变为户外布置</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无</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输电线路由地下电缆改为架空线路</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架空线路</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架空线路</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586"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888"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输电线路同塔多回架设改为多条线路架设累计长度超过原路径长度的30%</w:t>
                  </w:r>
                </w:p>
              </w:tc>
              <w:tc>
                <w:tcPr>
                  <w:tcW w:w="2212"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无塔基工程</w:t>
                  </w:r>
                </w:p>
              </w:tc>
              <w:tc>
                <w:tcPr>
                  <w:tcW w:w="2275" w:type="dxa"/>
                  <w:tcBorders>
                    <w:tl2br w:val="nil"/>
                    <w:tr2bl w:val="nil"/>
                  </w:tcBorders>
                  <w:shd w:val="clear" w:color="auto" w:fill="auto"/>
                  <w:vAlign w:val="center"/>
                </w:tcPr>
                <w:p>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无塔基工程</w:t>
                  </w:r>
                </w:p>
              </w:tc>
              <w:tc>
                <w:tcPr>
                  <w:tcW w:w="1111" w:type="dxa"/>
                  <w:tcBorders>
                    <w:tl2br w:val="nil"/>
                    <w:tr2bl w:val="nil"/>
                  </w:tcBorders>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未变动</w:t>
                  </w:r>
                </w:p>
              </w:tc>
            </w:tr>
          </w:tbl>
          <w:p>
            <w:pPr>
              <w:pStyle w:val="2"/>
              <w:rPr>
                <w:rFonts w:hint="eastAsia" w:ascii="宋体" w:hAnsi="宋体" w:eastAsia="宋体" w:cs="宋体"/>
                <w:color w:val="auto"/>
                <w:highlight w:val="none"/>
                <w:lang w:val="en-US" w:eastAsia="zh-CN"/>
              </w:rPr>
            </w:pPr>
            <w:r>
              <w:rPr>
                <w:rFonts w:hint="eastAsia" w:ascii="宋体" w:hAnsi="宋体" w:eastAsia="宋体" w:cs="宋体"/>
                <w:color w:val="auto"/>
                <w:kern w:val="0"/>
                <w:sz w:val="24"/>
                <w:szCs w:val="24"/>
                <w:highlight w:val="none"/>
                <w:lang w:val="en-US" w:eastAsia="zh-CN" w:bidi="ar"/>
              </w:rPr>
              <w:t>根</w:t>
            </w:r>
            <w:r>
              <w:rPr>
                <w:rFonts w:hint="eastAsia" w:ascii="宋体" w:hAnsi="宋体" w:eastAsia="宋体" w:cs="宋体"/>
                <w:color w:val="auto"/>
                <w:highlight w:val="none"/>
                <w:lang w:val="en-US" w:eastAsia="zh-CN"/>
              </w:rPr>
              <w:t xml:space="preserve">据以上分析可知：本项目电压等级、涉及生态敏感区情况、环境敏感目标等均无变化。 </w:t>
            </w:r>
          </w:p>
          <w:p>
            <w:pPr>
              <w:pStyle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综上所述，根据《关于印发输变电建设项目重大变动清单（试行）》（环办辐射[2016]84号），本项目未发生重大变动。</w:t>
            </w:r>
          </w:p>
          <w:p>
            <w:pPr>
              <w:pStyle w:val="2"/>
              <w:rPr>
                <w:rFonts w:hint="eastAsia" w:ascii="宋体" w:hAnsi="宋体" w:eastAsia="宋体" w:cs="宋体"/>
                <w:color w:val="auto"/>
                <w:sz w:val="21"/>
                <w:szCs w:val="21"/>
                <w:highlight w:val="none"/>
              </w:rPr>
            </w:pPr>
          </w:p>
        </w:tc>
      </w:tr>
    </w:tbl>
    <w:p>
      <w:pPr>
        <w:pStyle w:val="2"/>
        <w:rPr>
          <w:rFonts w:hint="eastAsia" w:ascii="宋体" w:hAnsi="宋体" w:eastAsia="宋体" w:cs="宋体"/>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五、</w:t>
      </w:r>
      <w:r>
        <w:rPr>
          <w:rFonts w:hint="eastAsia" w:ascii="宋体" w:hAnsi="宋体" w:eastAsia="宋体" w:cs="宋体"/>
          <w:b/>
          <w:bCs/>
          <w:color w:val="auto"/>
          <w:sz w:val="28"/>
          <w:highlight w:val="none"/>
        </w:rPr>
        <w:t>环境影响评价回顾</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pStyle w:val="2"/>
              <w:adjustRightInd w:val="0"/>
              <w:snapToGrid w:val="0"/>
              <w:ind w:left="0" w:leftChars="0" w:firstLine="0" w:firstLineChars="0"/>
              <w:rPr>
                <w:rFonts w:hint="eastAsia" w:ascii="宋体" w:hAnsi="宋体" w:eastAsia="宋体" w:cs="宋体"/>
                <w:b/>
                <w:bCs/>
                <w:color w:val="auto"/>
                <w:highlight w:val="none"/>
              </w:rPr>
            </w:pPr>
            <w:r>
              <w:rPr>
                <w:rFonts w:hint="eastAsia" w:ascii="宋体" w:hAnsi="宋体" w:eastAsia="宋体" w:cs="宋体"/>
                <w:b/>
                <w:bCs/>
                <w:color w:val="auto"/>
                <w:highlight w:val="none"/>
              </w:rPr>
              <w:t>环境影响评价的主要环境影响预测及结论（生态、</w:t>
            </w:r>
            <w:r>
              <w:rPr>
                <w:rFonts w:hint="eastAsia" w:ascii="宋体" w:hAnsi="宋体" w:eastAsia="宋体" w:cs="宋体"/>
                <w:b/>
                <w:bCs/>
                <w:color w:val="auto"/>
                <w:highlight w:val="none"/>
                <w:lang w:eastAsia="zh-CN"/>
              </w:rPr>
              <w:t>电磁、</w:t>
            </w:r>
            <w:r>
              <w:rPr>
                <w:rFonts w:hint="eastAsia" w:ascii="宋体" w:hAnsi="宋体" w:eastAsia="宋体" w:cs="宋体"/>
                <w:b/>
                <w:bCs/>
                <w:color w:val="auto"/>
                <w:highlight w:val="none"/>
              </w:rPr>
              <w:t>声、水、固体废物等）</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szCs w:val="21"/>
                <w:highlight w:val="none"/>
                <w:lang w:val="en-US" w:eastAsia="zh-CN"/>
              </w:rPr>
              <w:t>黑龙江七台河七市110千伏变电站增容改造工程环境影响报告表</w:t>
            </w:r>
            <w:r>
              <w:rPr>
                <w:rFonts w:hint="eastAsia" w:ascii="宋体" w:hAnsi="宋体" w:eastAsia="宋体" w:cs="宋体"/>
                <w:color w:val="auto"/>
                <w:highlight w:val="none"/>
                <w:lang w:eastAsia="zh-CN"/>
              </w:rPr>
              <w:t>》由</w:t>
            </w:r>
            <w:r>
              <w:rPr>
                <w:rFonts w:hint="eastAsia" w:ascii="宋体" w:hAnsi="宋体" w:eastAsia="宋体" w:cs="宋体"/>
                <w:bCs/>
                <w:color w:val="auto"/>
                <w:highlight w:val="none"/>
                <w:lang w:eastAsia="zh-CN"/>
              </w:rPr>
              <w:t>北京百灵天地环保科技股份有限公司于</w:t>
            </w:r>
            <w:r>
              <w:rPr>
                <w:rFonts w:hint="eastAsia" w:ascii="宋体" w:hAnsi="宋体" w:eastAsia="宋体" w:cs="宋体"/>
                <w:bCs/>
                <w:color w:val="auto"/>
                <w:highlight w:val="none"/>
                <w:lang w:val="en-US" w:eastAsia="zh-CN"/>
              </w:rPr>
              <w:t>2020年8月编制完成，本次摘录报告表中结论。</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1、项目概况总结</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变电站</w:t>
            </w:r>
            <w:r>
              <w:rPr>
                <w:rFonts w:hint="eastAsia" w:ascii="宋体" w:hAnsi="宋体" w:eastAsia="宋体" w:cs="宋体"/>
                <w:color w:val="auto"/>
                <w:highlight w:val="none"/>
                <w:lang w:val="en-US" w:eastAsia="zh-CN"/>
              </w:rPr>
              <w:t>内</w:t>
            </w:r>
            <w:r>
              <w:rPr>
                <w:rFonts w:hint="eastAsia" w:ascii="宋体" w:hAnsi="宋体" w:eastAsia="宋体" w:cs="宋体"/>
                <w:color w:val="auto"/>
                <w:highlight w:val="none"/>
                <w:lang w:eastAsia="zh-CN"/>
              </w:rPr>
              <w:t>将原有2台20MVA主变更换为2台31.5MVA主变，原有3#31.5MVA主变调回110kV九龙变；新建110kV富市线进线间隔；10kV侧Ι、</w:t>
            </w:r>
            <w:r>
              <w:rPr>
                <w:rFonts w:hint="eastAsia" w:ascii="宋体" w:hAnsi="宋体" w:eastAsia="宋体" w:cs="宋体"/>
                <w:color w:val="auto"/>
                <w:highlight w:val="none"/>
                <w:lang w:val="en-US" w:eastAsia="zh-CN"/>
              </w:rPr>
              <w:t>II</w:t>
            </w:r>
            <w:r>
              <w:rPr>
                <w:rFonts w:hint="eastAsia" w:ascii="宋体" w:hAnsi="宋体" w:eastAsia="宋体" w:cs="宋体"/>
                <w:color w:val="auto"/>
                <w:highlight w:val="none"/>
                <w:lang w:eastAsia="zh-CN"/>
              </w:rPr>
              <w:t>段母线各新上1套10kV无功补偿装置。</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输电线路部分本工程新万分线“T”接至110kV富万线共计新建0.1km。</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2、环境质量现状结论</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本期建设项目所在地空气环境质量符合《环境质量空气标准》（GB3095-2012）二级标准；水环境质量符合</w:t>
            </w:r>
            <w:r>
              <w:rPr>
                <w:rFonts w:hint="eastAsia" w:ascii="宋体" w:hAnsi="宋体" w:eastAsia="宋体" w:cs="宋体"/>
                <w:color w:val="auto"/>
                <w:highlight w:val="none"/>
                <w:lang w:eastAsia="zh-CN"/>
              </w:rPr>
              <w:t>《地表水环境质量标准》（GB3838-2002）Ⅲ类水域标准评价；声环境满足《工业企业厂界环境噪声排放标准》（GB12348-2008）中规定的2类标准；电磁环境满足《电磁环境控制限值》（GB8702-2014）要求。</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环境影响评价结论</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）电磁环境影响分析</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经类比预测分析，本期工程变电站</w:t>
            </w:r>
            <w:r>
              <w:rPr>
                <w:rFonts w:hint="eastAsia" w:ascii="宋体" w:hAnsi="宋体" w:eastAsia="宋体" w:cs="宋体"/>
                <w:color w:val="auto"/>
                <w:highlight w:val="none"/>
                <w:lang w:val="en-US" w:eastAsia="zh-CN"/>
              </w:rPr>
              <w:t>及输电线路工程</w:t>
            </w:r>
            <w:r>
              <w:rPr>
                <w:rFonts w:hint="eastAsia" w:ascii="宋体" w:hAnsi="宋体" w:eastAsia="宋体" w:cs="宋体"/>
                <w:color w:val="auto"/>
                <w:highlight w:val="none"/>
                <w:lang w:eastAsia="zh-CN"/>
              </w:rPr>
              <w:t>改造后，变电站四周厂界的工频电场强度、工频磁感应强度均满足《电磁环境控制限值》（GB8702-2014）中规定标准限值，因此本期工程变电站的扩建对周围电磁环境影响较小。</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）声环境影响分析</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根据类比及预测分析可知，本期工程变电站改造后四周厂界昼间、夜间噪声值均低于《工业企业厂界环境噪声排放标准》（GB12348-2008）中</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类标准限值，</w:t>
            </w:r>
            <w:r>
              <w:rPr>
                <w:rFonts w:hint="eastAsia" w:ascii="宋体" w:hAnsi="宋体" w:eastAsia="宋体" w:cs="宋体"/>
                <w:color w:val="auto"/>
                <w:highlight w:val="none"/>
                <w:lang w:val="en-US" w:eastAsia="zh-CN"/>
              </w:rPr>
              <w:t>输电线路改造后线路两侧昼、夜间噪声值低于《声环境质量标准》（GB3096-2008）中2类标准限值，故</w:t>
            </w:r>
            <w:r>
              <w:rPr>
                <w:rFonts w:hint="eastAsia" w:ascii="宋体" w:hAnsi="宋体" w:eastAsia="宋体" w:cs="宋体"/>
                <w:color w:val="auto"/>
                <w:highlight w:val="none"/>
                <w:lang w:eastAsia="zh-CN"/>
              </w:rPr>
              <w:t>本期工程变电站的改造对周围声环境影响较小。</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）水环境影响分析</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变电站无值守人员，不会产生生活废水。本次改造不新增值守人员，故不会新增生活污水。</w:t>
            </w:r>
            <w:r>
              <w:rPr>
                <w:rFonts w:hint="eastAsia" w:ascii="宋体" w:hAnsi="宋体" w:eastAsia="宋体" w:cs="宋体"/>
                <w:color w:val="auto"/>
                <w:highlight w:val="none"/>
                <w:lang w:val="en-US" w:eastAsia="zh-CN"/>
              </w:rPr>
              <w:t>输电线路营运期不产生废水。</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）固体废物影响分析</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变电站无值守人员，不会产生生活垃圾。营运期固废主要为事故状态下产生的变压器油和废旧蓄电池。</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在火灾或者检修不当等情况下发生事故时可能会产生事故废油。本工程变电站内</w:t>
            </w:r>
            <w:r>
              <w:rPr>
                <w:rFonts w:hint="eastAsia" w:ascii="宋体" w:hAnsi="宋体" w:eastAsia="宋体" w:cs="宋体"/>
                <w:color w:val="auto"/>
                <w:highlight w:val="none"/>
                <w:lang w:val="en-US" w:eastAsia="zh-CN"/>
              </w:rPr>
              <w:t>新</w:t>
            </w:r>
            <w:r>
              <w:rPr>
                <w:rFonts w:hint="eastAsia" w:ascii="宋体" w:hAnsi="宋体" w:eastAsia="宋体" w:cs="宋体"/>
                <w:color w:val="auto"/>
                <w:highlight w:val="none"/>
                <w:lang w:eastAsia="zh-CN"/>
              </w:rPr>
              <w:t>建事故油池，变电站内</w:t>
            </w:r>
            <w:r>
              <w:rPr>
                <w:rFonts w:hint="eastAsia" w:ascii="宋体" w:hAnsi="宋体" w:eastAsia="宋体" w:cs="宋体"/>
                <w:color w:val="auto"/>
                <w:highlight w:val="none"/>
                <w:lang w:val="en-US" w:eastAsia="zh-CN"/>
              </w:rPr>
              <w:t>新建</w:t>
            </w:r>
            <w:r>
              <w:rPr>
                <w:rFonts w:hint="eastAsia" w:ascii="宋体" w:hAnsi="宋体" w:eastAsia="宋体" w:cs="宋体"/>
                <w:color w:val="auto"/>
                <w:highlight w:val="none"/>
                <w:lang w:eastAsia="zh-CN"/>
              </w:rPr>
              <w:t>总事故油池容量为</w:t>
            </w:r>
            <w:r>
              <w:rPr>
                <w:rFonts w:hint="eastAsia" w:ascii="宋体" w:hAnsi="宋体" w:eastAsia="宋体" w:cs="宋体"/>
                <w:color w:val="auto"/>
                <w:highlight w:val="none"/>
                <w:lang w:val="en-US" w:eastAsia="zh-CN"/>
              </w:rPr>
              <w:t>22</w:t>
            </w:r>
            <w:r>
              <w:rPr>
                <w:rFonts w:hint="eastAsia" w:ascii="宋体" w:hAnsi="宋体" w:eastAsia="宋体" w:cs="宋体"/>
                <w:color w:val="auto"/>
                <w:highlight w:val="none"/>
                <w:lang w:eastAsia="zh-CN"/>
              </w:rPr>
              <w:t>m³，可以满足事故状态下废变压器油的收集，废变压器油交由有资质的单位处置。变电站更换下来的废旧蓄电池由有资质单位进行处置。对周围环境影响较小。</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输电线路营运期不产生固体废物。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环境影响评价文件批复意见</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七台河市生态环境局</w:t>
            </w:r>
            <w:r>
              <w:rPr>
                <w:rFonts w:hint="eastAsia" w:ascii="宋体" w:hAnsi="宋体" w:eastAsia="宋体" w:cs="宋体"/>
                <w:color w:val="auto"/>
                <w:highlight w:val="none"/>
              </w:rPr>
              <w:t>于20</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年1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26</w:t>
            </w:r>
            <w:r>
              <w:rPr>
                <w:rFonts w:hint="eastAsia" w:ascii="宋体" w:hAnsi="宋体" w:eastAsia="宋体" w:cs="宋体"/>
                <w:color w:val="auto"/>
                <w:highlight w:val="none"/>
              </w:rPr>
              <w:t>日对《</w:t>
            </w:r>
            <w:r>
              <w:rPr>
                <w:rFonts w:hint="eastAsia" w:ascii="宋体" w:hAnsi="宋体" w:eastAsia="宋体" w:cs="宋体"/>
                <w:color w:val="auto"/>
                <w:highlight w:val="none"/>
                <w:lang w:eastAsia="zh-CN"/>
              </w:rPr>
              <w:t>黑龙江七台河七市110千伏变电站增容改造工程</w:t>
            </w:r>
            <w:r>
              <w:rPr>
                <w:rFonts w:hint="eastAsia" w:ascii="宋体" w:hAnsi="宋体" w:eastAsia="宋体" w:cs="宋体"/>
                <w:color w:val="auto"/>
                <w:highlight w:val="none"/>
              </w:rPr>
              <w:t>环境影响报告表》进行了批复（</w:t>
            </w:r>
            <w:r>
              <w:rPr>
                <w:rFonts w:hint="eastAsia" w:ascii="宋体" w:hAnsi="宋体" w:eastAsia="宋体" w:cs="宋体"/>
                <w:color w:val="auto"/>
                <w:highlight w:val="none"/>
                <w:lang w:eastAsia="zh-CN"/>
              </w:rPr>
              <w:t>七</w:t>
            </w:r>
            <w:r>
              <w:rPr>
                <w:rFonts w:hint="eastAsia" w:ascii="宋体" w:hAnsi="宋体" w:eastAsia="宋体" w:cs="宋体"/>
                <w:color w:val="auto"/>
                <w:highlight w:val="none"/>
              </w:rPr>
              <w:t>环审[20</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32</w:t>
            </w:r>
            <w:r>
              <w:rPr>
                <w:rFonts w:hint="eastAsia" w:ascii="宋体" w:hAnsi="宋体" w:eastAsia="宋体" w:cs="宋体"/>
                <w:color w:val="auto"/>
                <w:highlight w:val="none"/>
              </w:rPr>
              <w:t>号）主要批复意见如下：</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一、该项目属改扩建项目，选址位于七台河市桃山区与茄子河区交界处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主要建设内容包括将原有2台20MVA主变更换为2台31.5MVA主变，拆除原有3#31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5mVA主变；本次改造后主供电源富市线保持现状，将原新万分线新建架空线路“T”型接至110kV富万线，改接后由110kV富强变为七市110kV变电站提供主供和备用两路电源</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变电站采用市政供热管网集中供热，变电站无值守人员，无生活污水和生活垃圾</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该项目符合国家产业政策，选址符合城市总体规划和环境保护要求，在落实环境影响报告表提出的环境保护措施后，污染物可达标排放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因此，我局原则同意环境影响报告表中所列建设项目的性质、建设规模、设施、地点和拟采取的环境保护对策措施。</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二、项目建设及运营中应重点做好的工作</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(一)落实水污染防治措施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加强施工期水环境保护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建筑材料堆放场地应加盖蓬布，防止雨水冲刷对地表水造成环境污染</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施工废水经隔油池、沉淀池沉淀处理后，回用于施工现场洒水降尘</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(二)落实大气污染防治措施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施工过程中水泥及砂石骨料存放应用苫布遮盖，外运建筑垃圾的运输车辆采用加盖篷布，防止粉尘逸散，施工期大气污染物排放应符合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大气污染物综合排放标准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(GB16297-1996)规定颗粒物厂界外浓度最高点限值要求</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(三)落实噪声污染防治措施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施工期运输车辆途经环境敏感区时应减速慢行、禁止鸣笛，夜间禁止运输</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合理选择施工机械设备，选用低噪音、低振动的各类施工机械设备，注意维修养护及正确使用，保持较好工作状态和低声级水平</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对排放高强度噪音的施工机械设备应设置隔声或消音装置，减少对环境的影响</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运营期优选低噪设备，并采取基础减震、绿化降噪和距离衰减等措施后，变电站厂界噪声排放应符合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工业企业厂界环境噪声排放标准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(GB12348-2008)中的2类区排放标准限值要求</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(四)落实固体废物防治措施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本项目采用的砂石骨料全部外购，不设取土场和采沙场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施工期废弃土石方全部运至垃圾填埋场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作为覆土，建筑垃圾应按市政部门要求运至指定地点处理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生活垃圾统一收集后，定期委托当地环卫部门及时清运处置</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运营期职工生活垃圾经统一收集后，由当地环卫部门及时清运至垃圾处理场进行卫生填埋</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检修或事故状态下产生的废变压器油由事故油池收集，直接交由有相应危废处置资质的单位统一回收处置，不在厂区暂存</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蓄电池到期后直接交由有相应危废处置资质的单位统一回收处置，不在厂区暂存</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五)落实生态环境保护措施。各种施工活动应严格控制在施工区域内，并将临时占地面积控制在最低程度。工程施工中要分层堆放弃土，再分层回填.土石方的堆放应采取遮盖措施，防止暴雨冲刷，待线路塔基完成后，尽快回填并恢复地表植被。施工结束后应拆除施工区临时设施，清理场地，恢复原生态功能。</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(六)落实辐射安全防护措施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运营期工频电场强度和工频磁感应强度应符合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电磁环境控制限值</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(GB8702-2014)中标准限值要求</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(七)落实监测计划，制定监测方案，按照方案自行或委托有资质的监测机构进行监测并定期上报监测结果</w:t>
            </w:r>
            <w:r>
              <w:rPr>
                <w:rFonts w:hint="eastAsia" w:ascii="宋体" w:hAnsi="宋体" w:eastAsia="宋体" w:cs="宋体"/>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三、工程建设必须严格执行配套的环境保护设施与主体工程同时设计、同时施工、同时投产使用的环境保护“三同时”制度。项目竣工后，建设单位应按生态环境部规定的标准和程序，对配套建设的环境保护设施进行验收。验收合格后，方可正式投入运营。</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四、环境影响报告表经批准后，项目的性质、规模、地点或者防治污染的措施发生重大变动的，应当重新报批该项目的环境影响报告表。自环境影响报告表批复文件批准之日起，如超过5年方决定开工建设的，环境影响报告表应当重新报我局审核。</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五、桃山区生态环境局、茄子河区生态环境局按辖区负责该建设项目环境保护事中事后监管工作。</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六、你单位应在收到本批复后10日内，将批准后的环境影响报告表和批复文件分别送至桃山区生态环境局、茄子河区生态环境局，并按规定接受各级环境保护主管部门的日常监督检查。</w:t>
            </w:r>
          </w:p>
          <w:p>
            <w:pPr>
              <w:pStyle w:val="2"/>
              <w:ind w:left="0" w:leftChars="0" w:firstLine="0" w:firstLineChars="0"/>
              <w:rPr>
                <w:rFonts w:hint="eastAsia" w:ascii="宋体" w:hAnsi="宋体" w:eastAsia="宋体" w:cs="宋体"/>
                <w:color w:val="auto"/>
                <w:highlight w:val="none"/>
                <w:lang w:eastAsia="zh-CN"/>
              </w:rPr>
            </w:pPr>
          </w:p>
          <w:p>
            <w:pPr>
              <w:pStyle w:val="2"/>
              <w:adjustRightInd w:val="0"/>
              <w:snapToGrid w:val="0"/>
              <w:spacing w:line="480" w:lineRule="exact"/>
              <w:ind w:firstLine="480" w:firstLineChars="200"/>
              <w:rPr>
                <w:rFonts w:hint="eastAsia" w:ascii="宋体" w:hAnsi="宋体" w:eastAsia="宋体" w:cs="宋体"/>
                <w:color w:val="auto"/>
                <w:szCs w:val="21"/>
                <w:highlight w:val="none"/>
              </w:rPr>
            </w:pPr>
          </w:p>
        </w:tc>
      </w:tr>
    </w:tbl>
    <w:p>
      <w:pPr>
        <w:pStyle w:val="2"/>
        <w:spacing w:line="240" w:lineRule="auto"/>
        <w:ind w:firstLine="0"/>
        <w:jc w:val="center"/>
        <w:outlineLvl w:val="0"/>
        <w:rPr>
          <w:rFonts w:hint="eastAsia" w:ascii="宋体" w:hAnsi="宋体" w:eastAsia="宋体" w:cs="宋体"/>
          <w:b/>
          <w:bCs/>
          <w:color w:val="auto"/>
          <w:sz w:val="28"/>
          <w:highlight w:val="none"/>
          <w:lang w:eastAsia="zh-CN"/>
        </w:rPr>
      </w:pPr>
      <w:r>
        <w:rPr>
          <w:rFonts w:hint="eastAsia" w:ascii="宋体" w:hAnsi="宋体" w:eastAsia="宋体" w:cs="宋体"/>
          <w:b/>
          <w:bCs/>
          <w:color w:val="auto"/>
          <w:sz w:val="28"/>
          <w:highlight w:val="none"/>
          <w:lang w:eastAsia="zh-CN"/>
        </w:rPr>
        <w:t>六、</w:t>
      </w:r>
      <w:r>
        <w:rPr>
          <w:rFonts w:hint="eastAsia" w:ascii="宋体" w:hAnsi="宋体" w:eastAsia="宋体" w:cs="宋体"/>
          <w:b/>
          <w:bCs/>
          <w:color w:val="auto"/>
          <w:sz w:val="28"/>
          <w:highlight w:val="none"/>
        </w:rPr>
        <w:t>环境保护</w:t>
      </w:r>
      <w:r>
        <w:rPr>
          <w:rFonts w:hint="eastAsia" w:ascii="宋体" w:hAnsi="宋体" w:eastAsia="宋体" w:cs="宋体"/>
          <w:b/>
          <w:bCs/>
          <w:color w:val="auto"/>
          <w:sz w:val="28"/>
          <w:highlight w:val="none"/>
          <w:lang w:eastAsia="zh-CN"/>
        </w:rPr>
        <w:t>设施、环境保护</w:t>
      </w:r>
      <w:r>
        <w:rPr>
          <w:rFonts w:hint="eastAsia" w:ascii="宋体" w:hAnsi="宋体" w:eastAsia="宋体" w:cs="宋体"/>
          <w:b/>
          <w:bCs/>
          <w:color w:val="auto"/>
          <w:sz w:val="28"/>
          <w:highlight w:val="none"/>
        </w:rPr>
        <w:t>措施</w:t>
      </w:r>
      <w:r>
        <w:rPr>
          <w:rFonts w:hint="eastAsia" w:ascii="宋体" w:hAnsi="宋体" w:eastAsia="宋体" w:cs="宋体"/>
          <w:b/>
          <w:bCs/>
          <w:color w:val="auto"/>
          <w:sz w:val="28"/>
          <w:highlight w:val="none"/>
          <w:lang w:eastAsia="zh-CN"/>
        </w:rPr>
        <w:t>落实</w:t>
      </w:r>
      <w:r>
        <w:rPr>
          <w:rFonts w:hint="eastAsia" w:ascii="宋体" w:hAnsi="宋体" w:eastAsia="宋体" w:cs="宋体"/>
          <w:b/>
          <w:bCs/>
          <w:color w:val="auto"/>
          <w:sz w:val="28"/>
          <w:highlight w:val="none"/>
        </w:rPr>
        <w:t>情况</w:t>
      </w:r>
      <w:r>
        <w:rPr>
          <w:rFonts w:hint="eastAsia" w:ascii="宋体" w:hAnsi="宋体" w:eastAsia="宋体" w:cs="宋体"/>
          <w:b/>
          <w:bCs/>
          <w:color w:val="auto"/>
          <w:sz w:val="28"/>
          <w:highlight w:val="none"/>
          <w:lang w:eastAsia="zh-CN"/>
        </w:rPr>
        <w:t>（附照片）</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838"/>
        <w:gridCol w:w="3225"/>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812" w:type="dxa"/>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阶段</w:t>
            </w:r>
          </w:p>
        </w:tc>
        <w:tc>
          <w:tcPr>
            <w:tcW w:w="838" w:type="dxa"/>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影响类别</w:t>
            </w:r>
          </w:p>
        </w:tc>
        <w:tc>
          <w:tcPr>
            <w:tcW w:w="3225" w:type="dxa"/>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环境影响报告表中要求的环境保护</w:t>
            </w:r>
            <w:r>
              <w:rPr>
                <w:rFonts w:hint="eastAsia" w:ascii="宋体" w:hAnsi="宋体" w:eastAsia="宋体" w:cs="宋体"/>
                <w:color w:val="auto"/>
                <w:sz w:val="24"/>
                <w:szCs w:val="24"/>
                <w:highlight w:val="none"/>
                <w:lang w:eastAsia="zh-CN"/>
              </w:rPr>
              <w:t>设施、环境保护</w:t>
            </w:r>
            <w:r>
              <w:rPr>
                <w:rFonts w:hint="eastAsia" w:ascii="宋体" w:hAnsi="宋体" w:eastAsia="宋体" w:cs="宋体"/>
                <w:color w:val="auto"/>
                <w:sz w:val="24"/>
                <w:szCs w:val="24"/>
                <w:highlight w:val="none"/>
              </w:rPr>
              <w:t>措施</w:t>
            </w:r>
          </w:p>
        </w:tc>
        <w:tc>
          <w:tcPr>
            <w:tcW w:w="4413" w:type="dxa"/>
            <w:vAlign w:val="center"/>
          </w:tcPr>
          <w:p>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环境保护</w:t>
            </w:r>
            <w:r>
              <w:rPr>
                <w:rFonts w:hint="eastAsia" w:ascii="宋体" w:hAnsi="宋体" w:eastAsia="宋体" w:cs="宋体"/>
                <w:color w:val="auto"/>
                <w:sz w:val="24"/>
                <w:szCs w:val="24"/>
                <w:highlight w:val="none"/>
                <w:lang w:eastAsia="zh-CN"/>
              </w:rPr>
              <w:t>设施、环境保护</w:t>
            </w:r>
            <w:r>
              <w:rPr>
                <w:rFonts w:hint="eastAsia" w:ascii="宋体" w:hAnsi="宋体" w:eastAsia="宋体" w:cs="宋体"/>
                <w:color w:val="auto"/>
                <w:sz w:val="24"/>
                <w:szCs w:val="24"/>
                <w:highlight w:val="none"/>
              </w:rPr>
              <w:t>措施的落实情况</w:t>
            </w:r>
            <w:r>
              <w:rPr>
                <w:rFonts w:hint="eastAsia" w:ascii="宋体" w:hAnsi="宋体" w:eastAsia="宋体" w:cs="宋体"/>
                <w:color w:val="auto"/>
                <w:sz w:val="24"/>
                <w:szCs w:val="24"/>
                <w:highlight w:val="none"/>
                <w:lang w:eastAsia="zh-CN"/>
              </w:rPr>
              <w:t>，相关要求未落实的</w:t>
            </w:r>
            <w:r>
              <w:rPr>
                <w:rFonts w:hint="eastAsia" w:ascii="宋体" w:hAnsi="宋体" w:eastAsia="宋体" w:cs="宋体"/>
                <w:color w:val="auto"/>
                <w:sz w:val="24"/>
                <w:szCs w:val="24"/>
                <w:highlight w:val="none"/>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812" w:type="dxa"/>
            <w:vMerge w:val="restart"/>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前期</w:t>
            </w:r>
          </w:p>
        </w:tc>
        <w:tc>
          <w:tcPr>
            <w:tcW w:w="838" w:type="dxa"/>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生态影响</w:t>
            </w:r>
          </w:p>
        </w:tc>
        <w:tc>
          <w:tcPr>
            <w:tcW w:w="3225" w:type="dxa"/>
            <w:vAlign w:val="center"/>
          </w:tcPr>
          <w:p>
            <w:pPr>
              <w:adjustRightInd w:val="0"/>
              <w:snapToGrid w:val="0"/>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Cs/>
                <w:color w:val="auto"/>
                <w:highlight w:val="none"/>
                <w:lang w:val="en-US" w:eastAsia="zh-CN"/>
              </w:rPr>
              <w:t>本期工程在变电站围墙内原1号、2号主变位置建设，施工均在变电站内，无新增永久占地及临时占地；输电线路无塔基建设，不产生永久性占地及临时占地。</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Cs/>
                <w:color w:val="auto"/>
                <w:highlight w:val="none"/>
                <w:lang w:val="en-US" w:eastAsia="zh-CN"/>
              </w:rPr>
              <w:t>根据现场踏勘及调查结果，本工程在变电站围墙内原1号、2号主变位置建设，施工均在变电站内；输电线路无塔基建设，不产生永久性占地及临时占地。无新增占地。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812" w:type="dxa"/>
            <w:vMerge w:val="continue"/>
            <w:vAlign w:val="center"/>
          </w:tcPr>
          <w:p>
            <w:pPr>
              <w:adjustRightInd w:val="0"/>
              <w:snapToGrid w:val="0"/>
              <w:jc w:val="center"/>
              <w:rPr>
                <w:rFonts w:hint="eastAsia" w:ascii="宋体" w:hAnsi="宋体" w:eastAsia="宋体" w:cs="宋体"/>
                <w:color w:val="auto"/>
                <w:sz w:val="24"/>
                <w:szCs w:val="24"/>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污染影响</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变电站在选择主变时选用低噪声设备、合理安排设备布局、按时维护等。确保变电站运行期能满足相关技术标准和规范的要求。</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根据现场踏勘结果，本项目2台主变型号均为SZ11-31500kVA。配套2套带钢支架的中性点装置；2台电流互感器，型号均为LZZBJ9-12WG；设备噪声较小。</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主变采用户外布置，布置在站区中央。</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经过现场监测，监测结果均满足相关国家标准限值要求。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restart"/>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施工期</w:t>
            </w:r>
          </w:p>
        </w:tc>
        <w:tc>
          <w:tcPr>
            <w:tcW w:w="838"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生态影响</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工程在站区围墙内建设，不新增占地，建设完成后对站内进行硬化或绿化处理。 </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根据现场踏勘结果，工程在站区围墙内建设，建设完成后对站内进行了硬化处理。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0" w:hRule="atLeast"/>
          <w:jc w:val="center"/>
        </w:trPr>
        <w:tc>
          <w:tcPr>
            <w:tcW w:w="812" w:type="dxa"/>
            <w:vMerge w:val="continue"/>
            <w:vAlign w:val="center"/>
          </w:tcPr>
          <w:p>
            <w:pPr>
              <w:adjustRightInd w:val="0"/>
              <w:snapToGrid w:val="0"/>
              <w:jc w:val="center"/>
              <w:rPr>
                <w:rFonts w:hint="eastAsia" w:ascii="宋体" w:hAnsi="宋体" w:eastAsia="宋体" w:cs="宋体"/>
                <w:color w:val="auto"/>
                <w:sz w:val="24"/>
                <w:szCs w:val="24"/>
                <w:highlight w:val="none"/>
              </w:rPr>
            </w:pPr>
          </w:p>
        </w:tc>
        <w:tc>
          <w:tcPr>
            <w:tcW w:w="838"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污染影响</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1、声环境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①施工过程中严格控制施工噪声，大噪声施工机械岔开使用，夜间禁止施工。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②保证施工场界噪声不超过《建筑施工场界环境噪声排放标准》（GB12523-2011）限值要求。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2、大气环境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①设备运输过程中，经过居民区降低车速，减少扬尘对周围环境及大气环境的影响。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②施工场地定期洒水，做好扬尘控制措施，避开大风天气施工。</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3、水环境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①施工人员产生的生活污水依托站内设施处理。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②施工废水经沉淀后用于洒水抑尘，不外排。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4、固体废物</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①施工过程中必须加强管理，提高人员综合素质，增强环保意识，禁止乱堆乱放。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②生活垃圾集中收集后及时倒入规定地点。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③建筑垃圾运输到政府指定地点。</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1、声环境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①根据现场踏勘及调查结果，施工中严格控制了施工噪声，夜间没有施工。</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②根据现场踏勘及调查结果，施工期严格执行《建筑施工场界环境噪声排放标准》（GB12523-2011）中相关要求，无因噪声情况出现投诉。</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2、大气环境</w:t>
            </w:r>
          </w:p>
          <w:p>
            <w:pPr>
              <w:adjustRightInd w:val="0"/>
              <w:snapToGrid w:val="0"/>
              <w:ind w:firstLine="480" w:firstLineChars="200"/>
              <w:jc w:val="both"/>
              <w:rPr>
                <w:rFonts w:hint="eastAsia" w:ascii="宋体" w:hAnsi="宋体" w:eastAsia="宋体" w:cs="宋体"/>
                <w:color w:val="auto"/>
                <w:highlight w:val="none"/>
                <w:lang w:val="en-US" w:eastAsia="zh-CN"/>
              </w:rPr>
            </w:pPr>
            <w:r>
              <w:rPr>
                <w:rFonts w:hint="eastAsia" w:ascii="宋体" w:hAnsi="宋体" w:eastAsia="宋体" w:cs="宋体"/>
                <w:bCs/>
                <w:color w:val="auto"/>
                <w:highlight w:val="none"/>
                <w:lang w:val="en-US" w:eastAsia="zh-CN"/>
              </w:rPr>
              <w:t>根据现场踏勘及调查结果，施工时道路进行了洒水处理，施工场地进行了遮盖，施工垃圾进行了清运，运输时控制了运输车辆的车速，没有在大风天气施工现象，减少了施工期对周围环境的影响。</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3、水环境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①根据现场踏勘及调查结果，施工人员生活污水依托站内设施处理。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②根据现场踏勘及调查结果，施工废水经沉淀后重复利用，不外排。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4、固体废物</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①根据现场踏勘及调查结果，施工中加强了管理，提高了人员的综合素质，增强了其环保意识，施工中没有乱堆乱放现象。</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②根据现场踏勘及调查结果，施工期生活垃圾集中收集后及时倒入规定地点。</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③根据现场踏勘及调查结果，建筑垃圾进行了分类收集，集中堆放，并清运至指定地方。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12" w:type="dxa"/>
            <w:vMerge w:val="restart"/>
            <w:vAlign w:val="center"/>
          </w:tcPr>
          <w:p>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环境保护设施调试期</w:t>
            </w:r>
          </w:p>
        </w:tc>
        <w:tc>
          <w:tcPr>
            <w:tcW w:w="838"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生态影响</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变电站运行过程中定期进行变电站检修，无破坏生态的人为活动，运行过程中不会对生态环境产生影响。</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现场调查时发现施工区域地面已进行了硬化，变电站为无人值守变电站，无破坏生态的人为活动。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2" w:type="dxa"/>
            <w:vMerge w:val="continue"/>
            <w:vAlign w:val="center"/>
          </w:tcPr>
          <w:p>
            <w:pPr>
              <w:adjustRightInd w:val="0"/>
              <w:snapToGrid w:val="0"/>
              <w:jc w:val="center"/>
              <w:rPr>
                <w:rFonts w:hint="eastAsia" w:ascii="宋体" w:hAnsi="宋体" w:eastAsia="宋体" w:cs="宋体"/>
                <w:color w:val="auto"/>
                <w:sz w:val="24"/>
                <w:szCs w:val="24"/>
                <w:highlight w:val="none"/>
              </w:rPr>
            </w:pPr>
          </w:p>
        </w:tc>
        <w:tc>
          <w:tcPr>
            <w:tcW w:w="838"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污染影响</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1、水环境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eastAsia="zh-CN"/>
              </w:rPr>
              <w:t>变电站无值守人员，不会产生生活废水。本次改造不新增值守人员，故不会新增生活污水。</w:t>
            </w:r>
            <w:r>
              <w:rPr>
                <w:rFonts w:hint="eastAsia" w:ascii="宋体" w:hAnsi="宋体" w:eastAsia="宋体" w:cs="宋体"/>
                <w:color w:val="auto"/>
                <w:highlight w:val="none"/>
                <w:lang w:val="en-US" w:eastAsia="zh-CN"/>
              </w:rPr>
              <w:t>输电线路营运期不产生废水</w:t>
            </w:r>
            <w:r>
              <w:rPr>
                <w:rFonts w:hint="eastAsia" w:ascii="宋体" w:hAnsi="宋体" w:eastAsia="宋体" w:cs="宋体"/>
                <w:bCs/>
                <w:color w:val="auto"/>
                <w:highlight w:val="none"/>
                <w:lang w:val="en-US" w:eastAsia="zh-CN"/>
              </w:rPr>
              <w:t>。</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2、固体废物</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①变电站为无人值守站，不会产生生活垃圾。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②变压器废油先收集到事故油池，然后将废油交由有资质的单位收集处理。</w:t>
            </w:r>
            <w:r>
              <w:rPr>
                <w:rFonts w:hint="eastAsia" w:ascii="宋体" w:hAnsi="宋体" w:eastAsia="宋体" w:cs="宋体"/>
                <w:color w:val="auto"/>
                <w:highlight w:val="none"/>
                <w:lang w:eastAsia="zh-CN"/>
              </w:rPr>
              <w:t>变电站更换下来的废旧蓄电池由有资质单位进行处置。</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3、声环境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加强运行管理，运行期噪声符合国家相应标准。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4、电磁环境：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 xml:space="preserve">加强运行管理，运行期电磁影响符合国家相应标准 </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1、水环境</w:t>
            </w:r>
          </w:p>
          <w:p>
            <w:pPr>
              <w:adjustRightInd w:val="0"/>
              <w:snapToGrid w:val="0"/>
              <w:ind w:firstLine="480" w:firstLineChars="200"/>
              <w:jc w:val="both"/>
              <w:rPr>
                <w:rFonts w:hint="eastAsia" w:ascii="宋体" w:hAnsi="宋体" w:eastAsia="宋体" w:cs="宋体"/>
                <w:color w:val="auto"/>
                <w:highlight w:val="none"/>
                <w:lang w:eastAsia="zh-CN"/>
              </w:rPr>
            </w:pPr>
            <w:r>
              <w:rPr>
                <w:rFonts w:hint="eastAsia" w:ascii="宋体" w:hAnsi="宋体" w:eastAsia="宋体" w:cs="宋体"/>
                <w:bCs/>
                <w:color w:val="auto"/>
                <w:highlight w:val="none"/>
                <w:lang w:val="en-US" w:eastAsia="zh-CN"/>
              </w:rPr>
              <w:t>变电站为无人值守站，不新增运行人员，</w:t>
            </w:r>
            <w:r>
              <w:rPr>
                <w:rFonts w:hint="eastAsia" w:ascii="宋体" w:hAnsi="宋体" w:eastAsia="宋体" w:cs="宋体"/>
                <w:color w:val="auto"/>
                <w:highlight w:val="none"/>
                <w:lang w:eastAsia="zh-CN"/>
              </w:rPr>
              <w:t>不会产生生活污水。</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val="en-US" w:eastAsia="zh-CN"/>
              </w:rPr>
              <w:t>输电线路营运期不产生废水</w:t>
            </w:r>
            <w:r>
              <w:rPr>
                <w:rFonts w:hint="eastAsia" w:ascii="宋体" w:hAnsi="宋体" w:eastAsia="宋体" w:cs="宋体"/>
                <w:bCs/>
                <w:color w:val="auto"/>
                <w:highlight w:val="none"/>
                <w:lang w:val="en-US" w:eastAsia="zh-CN"/>
              </w:rPr>
              <w:t>。</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2、固体废物</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①变电站为无人值守站，不产生生活垃圾。</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②根据现场踏勘及调查结果，变电站建有事故油池（22m</w:t>
            </w:r>
            <w:r>
              <w:rPr>
                <w:rFonts w:hint="eastAsia" w:ascii="宋体" w:hAnsi="宋体" w:eastAsia="宋体" w:cs="宋体"/>
                <w:bCs/>
                <w:color w:val="auto"/>
                <w:highlight w:val="none"/>
                <w:vertAlign w:val="superscript"/>
                <w:lang w:val="en-US" w:eastAsia="zh-CN"/>
              </w:rPr>
              <w:t>3</w:t>
            </w:r>
            <w:r>
              <w:rPr>
                <w:rFonts w:hint="eastAsia" w:ascii="宋体" w:hAnsi="宋体" w:eastAsia="宋体" w:cs="宋体"/>
                <w:bCs/>
                <w:color w:val="auto"/>
                <w:highlight w:val="none"/>
                <w:lang w:val="en-US" w:eastAsia="zh-CN"/>
              </w:rPr>
              <w:t>），事故油池日常仅作为事故备用，主变发生事故时，主变压器油通过事故油坑排入事故油池，公司立即按照事故应急响应机制要求通过招标确定的有资质的单位进行转移处理，并按要求办理危险废物转移联单，变电站运营期间未出现事故漏油外泄情况。</w:t>
            </w:r>
            <w:r>
              <w:rPr>
                <w:rFonts w:hint="eastAsia" w:ascii="宋体" w:hAnsi="宋体" w:eastAsia="宋体" w:cs="宋体"/>
                <w:color w:val="auto"/>
                <w:highlight w:val="none"/>
                <w:lang w:eastAsia="zh-CN"/>
              </w:rPr>
              <w:t>变电站尚未更换蓄电池，待更换时，产生的废旧蓄电池直接由有资质单位进行处置，不在站内储存。</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3、声环境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选用低噪声设备，并设置基础减震设施，运行期噪声满足</w:t>
            </w:r>
            <w:r>
              <w:rPr>
                <w:rFonts w:hint="eastAsia" w:ascii="宋体" w:hAnsi="宋体" w:eastAsia="宋体" w:cs="宋体"/>
                <w:color w:val="auto"/>
                <w:kern w:val="0"/>
                <w:sz w:val="24"/>
                <w:szCs w:val="24"/>
                <w:highlight w:val="none"/>
                <w:lang w:val="en-US" w:eastAsia="zh-CN" w:bidi="ar"/>
              </w:rPr>
              <w:t>《工业企业厂界环境噪声排放标准》（GB12348-2008）中2类标准限值要求</w:t>
            </w:r>
            <w:r>
              <w:rPr>
                <w:rFonts w:hint="eastAsia" w:ascii="宋体" w:hAnsi="宋体" w:eastAsia="宋体" w:cs="宋体"/>
                <w:bCs/>
                <w:color w:val="auto"/>
                <w:highlight w:val="none"/>
                <w:lang w:val="en-US" w:eastAsia="zh-CN"/>
              </w:rPr>
              <w:t xml:space="preserve">。 </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4、电磁环境</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运行期电磁影响符合</w:t>
            </w:r>
            <w:r>
              <w:rPr>
                <w:rFonts w:hint="eastAsia" w:ascii="宋体" w:hAnsi="宋体" w:eastAsia="宋体" w:cs="宋体"/>
                <w:color w:val="auto"/>
                <w:kern w:val="0"/>
                <w:sz w:val="24"/>
                <w:szCs w:val="24"/>
                <w:highlight w:val="none"/>
                <w:lang w:val="en-US" w:eastAsia="zh-CN" w:bidi="ar"/>
              </w:rPr>
              <w:t>《电磁环境控制限值》（GB8702-2014）中工频电场强度4000V/m的限值要求、工频磁感应强度100μT的限值要求</w:t>
            </w:r>
            <w:r>
              <w:rPr>
                <w:rFonts w:hint="eastAsia" w:ascii="宋体" w:hAnsi="宋体" w:eastAsia="宋体" w:cs="宋体"/>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批复</w:t>
            </w:r>
          </w:p>
        </w:tc>
        <w:tc>
          <w:tcPr>
            <w:tcW w:w="838"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序号</w:t>
            </w:r>
          </w:p>
        </w:tc>
        <w:tc>
          <w:tcPr>
            <w:tcW w:w="3225"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环评批复文件中要求的环境保护设施、环境保护措施</w:t>
            </w:r>
          </w:p>
        </w:tc>
        <w:tc>
          <w:tcPr>
            <w:tcW w:w="4413" w:type="dxa"/>
            <w:vAlign w:val="center"/>
          </w:tcPr>
          <w:p>
            <w:pPr>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环境保护设施、环境保护措施的落实情况，相关要求未落实的原因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restart"/>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七环审</w:t>
            </w:r>
            <w:r>
              <w:rPr>
                <w:rFonts w:hint="eastAsia" w:ascii="宋体" w:hAnsi="宋体" w:eastAsia="宋体" w:cs="宋体"/>
                <w:color w:val="auto"/>
                <w:highlight w:val="none"/>
                <w:lang w:val="en-US" w:eastAsia="zh-CN"/>
              </w:rPr>
              <w:t>[2020]32号</w:t>
            </w: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落实水污染防治措施。加强施工期水环境保护。建筑材料堆放场地应加盖蓬布，防止雨水冲刷对地表水造成环境污染。施工废水经隔油池、沉淀池沉淀处理后，回用于施工现场洒水降尘。</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根据现场踏勘及调查结果，施工期间避开雨水季节，场地堆场设置苫布遮盖，施工废水经沉淀后重复利用，不外排。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pStyle w:val="2"/>
              <w:rPr>
                <w:rFonts w:hint="eastAsia" w:ascii="宋体" w:hAnsi="宋体" w:eastAsia="宋体" w:cs="宋体"/>
                <w:color w:val="auto"/>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大气污染防治措施。施工过程中水泥及砂石骨料存放应用苫布遮盖，外运建筑垃圾的运输车辆采用加盖篷布，防止粉尘逸散，施工期大气污染物排放应符合《大气污染物综合排放标准》(GB16297-1996)规定颗粒物厂界外浓度最高点限值要求。</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及调查结果，施工时道路进行了洒水处理，施工场地进行了遮盖，施工过程中水泥及砂石骨料存放用苫布进行遮盖，采用加盖篷布车辆运输，防止粉尘逸散，施工垃圾进行了清运，运输时控制了运输车辆的车速，没有在大风天气施工现象，减少了施工期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pStyle w:val="2"/>
              <w:rPr>
                <w:rFonts w:hint="eastAsia" w:ascii="宋体" w:hAnsi="宋体" w:eastAsia="宋体" w:cs="宋体"/>
                <w:color w:val="auto"/>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噪声污染防治措施。施工期运输车辆途经环境敏感区时应减速慢行、禁止鸣笛，夜间禁止运输。合理选择施工机械设备，选用低噪音、低振动的各类施工机械设备，注意维修养护及正确使用，保持较好工作状态和低声级水平。对排放高强度噪音的施工机械设备应设置隔声或消音装置，减少对环境的影响。运营期优选低噪设备，并采取基础减震、绿化降噪和距离衰减等措施后，变电站厂界噪声排放应符合《工业企业厂界环境噪声排放标准》(GB12348-2008)中的2类区排放标准限值要求。</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根据现场踏勘及调查结果，施工中严格控制了施工噪声，夜间没有施工。施工期严格执行《建筑施工场界环境噪声排放标准》（GB12523-2011）中相关要求，无因噪声情况出现投诉。</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选用低噪声设备，并设置基础减震设施，建设单位已将该项目列入环保监督计划，定期进行监测；绿化降噪和距离衰减等措施后，变电站厂界噪声排放符合《工业企业厂界环境噪声排放标准》(GB12348-2008)中的2类区排放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pStyle w:val="2"/>
              <w:rPr>
                <w:rFonts w:hint="eastAsia" w:ascii="宋体" w:hAnsi="宋体" w:eastAsia="宋体" w:cs="宋体"/>
                <w:color w:val="auto"/>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固体废物防治措施。本项目采用的砂石骨料全部外购，不设取土场和采沙场。施工期废弃土石方全部运至垃圾填埋场。作为覆土，建筑垃圾应按市政部门要求运至指定地点处理。生活垃圾统一收集后，定期委托当地环卫部门及时清运处置。运营期职工生活垃圾经统一收集后，由当地环卫部门及时清运至垃圾处理场进行卫生填埋。检修或事故状态下产生的废变压器油由事故油池收集，直接交由有相应危废处置资质的单位统一回收处置，不在厂区暂存。蓄电池到期后直接交由有相应危废处置资质的单位统一回收处置，不在厂区暂存。</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及调查结果，施工中加强了管理，提高了人员的综合素质，增强了其环保意识，施工中没有乱堆乱放现象。施工期生活垃圾集中收集后及时倒入规定地点。本项目施工材料全部外购，未设置取土场和采沙场，产生的弃土全部用作场地回填，无废弃土石方外运，建筑垃圾进行了分类收集，集中堆放，并清运至指定地方。拆除的变压器送至七台河农电的中心河变电所继续使用。</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变电站为无人值守站，不产生生活垃圾。变电站建有事故油池（22m</w:t>
            </w:r>
            <w:r>
              <w:rPr>
                <w:rFonts w:hint="eastAsia" w:ascii="宋体" w:hAnsi="宋体" w:eastAsia="宋体" w:cs="宋体"/>
                <w:bCs/>
                <w:color w:val="auto"/>
                <w:highlight w:val="none"/>
                <w:vertAlign w:val="superscript"/>
                <w:lang w:val="en-US" w:eastAsia="zh-CN"/>
              </w:rPr>
              <w:t>3</w:t>
            </w:r>
            <w:r>
              <w:rPr>
                <w:rFonts w:hint="eastAsia" w:ascii="宋体" w:hAnsi="宋体" w:eastAsia="宋体" w:cs="宋体"/>
                <w:bCs/>
                <w:color w:val="auto"/>
                <w:highlight w:val="none"/>
                <w:lang w:val="en-US" w:eastAsia="zh-CN"/>
              </w:rPr>
              <w:t>），事故油池日常仅作为事故备用，主变发生事故时，主变压器油通过事故油坑排入事故油池，公司立即按照事故应急响应机制要求通过招标确定的有资质的单位进行转移处理，并按要求办理危险废物转移联单，变电站运营期间未出现事故漏油外泄情况。</w:t>
            </w:r>
            <w:r>
              <w:rPr>
                <w:rFonts w:hint="eastAsia" w:ascii="宋体" w:hAnsi="宋体" w:eastAsia="宋体" w:cs="宋体"/>
                <w:color w:val="auto"/>
                <w:highlight w:val="none"/>
                <w:lang w:eastAsia="zh-CN"/>
              </w:rPr>
              <w:t>变电站尚未更换蓄电池，待更换时，产生的废旧蓄电池直接由有资质单位进行处置，不在站内储存。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pStyle w:val="2"/>
              <w:rPr>
                <w:rFonts w:hint="eastAsia" w:ascii="宋体" w:hAnsi="宋体" w:eastAsia="宋体" w:cs="宋体"/>
                <w:color w:val="auto"/>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color w:val="auto"/>
                <w:highlight w:val="none"/>
                <w:lang w:eastAsia="zh-CN"/>
              </w:rPr>
              <w:t>落实生态环境保护措施。各种施工活动应严格控制在施工区域内，并将临时占地面积控制在最低程度。工程施工中要分层堆放弃土，再分层回填。土石方的堆放应采取遮盖措施，防止暴雨冲刷，待线路塔基完成后，尽快回填并恢复地表植被。施工结束后应拆除施工区临时设施，清理场地，恢复原生态功能。</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根据现场踏勘及调查结果，本工程在变电站围墙内原1号、2号主变位置建设，施工均在变电站内；输电线路无塔基建设，不产生永久性占地及临时占地。无新增占地。本项目施工材料全部外购，未设置取土场和采沙场，产生的弃土全部用作场地回填，无废弃土石方外运。</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工程在站区围墙内建设，建设完成后对站内进行了硬化处理。变电站为无人值守变电站，无破坏生态的人为活动。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adjustRightInd w:val="0"/>
              <w:snapToGrid w:val="0"/>
              <w:jc w:val="center"/>
              <w:rPr>
                <w:rFonts w:hint="eastAsia" w:ascii="宋体" w:hAnsi="宋体" w:eastAsia="宋体" w:cs="宋体"/>
                <w:color w:val="auto"/>
                <w:sz w:val="24"/>
                <w:szCs w:val="24"/>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落实辐射安全防护措施。运营期工频电场强度和工频磁感应强度应符合《电磁环境控制限值》(GB8702-2014)中标准限值要求。</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建设单位已将该项目列入环保监督计划，定期进行监测；运营期工频电场强度和工频磁感应强度应符合《电磁环境控制限值》(GB8702-2014)中标准限值要求。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Merge w:val="continue"/>
            <w:vAlign w:val="center"/>
          </w:tcPr>
          <w:p>
            <w:pPr>
              <w:adjustRightInd w:val="0"/>
              <w:snapToGrid w:val="0"/>
              <w:jc w:val="center"/>
              <w:rPr>
                <w:rFonts w:hint="eastAsia" w:ascii="宋体" w:hAnsi="宋体" w:eastAsia="宋体" w:cs="宋体"/>
                <w:color w:val="auto"/>
                <w:sz w:val="24"/>
                <w:szCs w:val="24"/>
                <w:highlight w:val="none"/>
              </w:rPr>
            </w:pPr>
          </w:p>
        </w:tc>
        <w:tc>
          <w:tcPr>
            <w:tcW w:w="838" w:type="dxa"/>
            <w:vAlign w:val="center"/>
          </w:tcPr>
          <w:p>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3225"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落实监测计划，制定监测方案，按照方案自行或委托有资质的监测机构进行监测并定期上报监测结果。</w:t>
            </w:r>
          </w:p>
        </w:tc>
        <w:tc>
          <w:tcPr>
            <w:tcW w:w="4413" w:type="dxa"/>
            <w:vAlign w:val="center"/>
          </w:tcPr>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已落实。</w:t>
            </w:r>
          </w:p>
          <w:p>
            <w:pPr>
              <w:adjustRightInd w:val="0"/>
              <w:snapToGrid w:val="0"/>
              <w:ind w:firstLine="480" w:firstLineChars="200"/>
              <w:jc w:val="both"/>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建设单位已将噪声和电磁列入环保监督计划，定期进行监测落实监测计划，制定监测方案，按照方案委托有资质的监测机构进行监测并定期上报监测结果。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4"/>
            <w:vAlign w:val="center"/>
          </w:tcPr>
          <w:p>
            <w:pPr>
              <w:adjustRightInd w:val="0"/>
              <w:snapToGrid w:val="0"/>
              <w:ind w:firstLine="480" w:firstLineChars="200"/>
              <w:jc w:val="both"/>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ind w:left="0" w:leftChars="0" w:firstLine="0" w:firstLineChars="0"/>
              <w:rPr>
                <w:rFonts w:hint="eastAsia" w:ascii="宋体" w:hAnsi="宋体" w:eastAsia="宋体" w:cs="宋体"/>
                <w:color w:val="auto"/>
                <w:highlight w:val="none"/>
                <w:lang w:val="en-US" w:eastAsia="zh-CN"/>
              </w:rPr>
            </w:pPr>
          </w:p>
          <w:p>
            <w:pPr>
              <w:ind w:firstLine="1200" w:firstLineChars="50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anchor distT="0" distB="0" distL="114300" distR="114300" simplePos="0" relativeHeight="251695104" behindDoc="0" locked="0" layoutInCell="1" allowOverlap="1">
                  <wp:simplePos x="0" y="0"/>
                  <wp:positionH relativeFrom="column">
                    <wp:posOffset>2847975</wp:posOffset>
                  </wp:positionH>
                  <wp:positionV relativeFrom="paragraph">
                    <wp:posOffset>39370</wp:posOffset>
                  </wp:positionV>
                  <wp:extent cx="2709545" cy="2100580"/>
                  <wp:effectExtent l="0" t="0" r="14605" b="1397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709545" cy="2100580"/>
                          </a:xfrm>
                          <a:prstGeom prst="rect">
                            <a:avLst/>
                          </a:prstGeom>
                          <a:noFill/>
                          <a:ln>
                            <a:noFill/>
                          </a:ln>
                        </pic:spPr>
                      </pic:pic>
                    </a:graphicData>
                  </a:graphic>
                </wp:anchor>
              </w:drawing>
            </w:r>
            <w:r>
              <w:rPr>
                <w:rFonts w:hint="eastAsia" w:ascii="宋体" w:hAnsi="宋体" w:eastAsia="宋体" w:cs="宋体"/>
                <w:color w:val="auto"/>
                <w:highlight w:val="none"/>
                <w:lang w:val="en-US" w:eastAsia="zh-CN"/>
              </w:rPr>
              <w:drawing>
                <wp:anchor distT="0" distB="0" distL="114300" distR="114300" simplePos="0" relativeHeight="251696128" behindDoc="0" locked="0" layoutInCell="1" allowOverlap="1">
                  <wp:simplePos x="0" y="0"/>
                  <wp:positionH relativeFrom="column">
                    <wp:posOffset>33020</wp:posOffset>
                  </wp:positionH>
                  <wp:positionV relativeFrom="paragraph">
                    <wp:posOffset>127635</wp:posOffset>
                  </wp:positionV>
                  <wp:extent cx="2717165" cy="2037080"/>
                  <wp:effectExtent l="0" t="0" r="6985" b="1270"/>
                  <wp:wrapSquare wrapText="bothSides"/>
                  <wp:docPr id="4" name="图片 4" descr="57015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0158996"/>
                          <pic:cNvPicPr>
                            <a:picLocks noChangeAspect="1"/>
                          </pic:cNvPicPr>
                        </pic:nvPicPr>
                        <pic:blipFill>
                          <a:blip r:embed="rId19"/>
                          <a:stretch>
                            <a:fillRect/>
                          </a:stretch>
                        </pic:blipFill>
                        <pic:spPr>
                          <a:xfrm>
                            <a:off x="0" y="0"/>
                            <a:ext cx="2717165" cy="2037080"/>
                          </a:xfrm>
                          <a:prstGeom prst="rect">
                            <a:avLst/>
                          </a:prstGeom>
                        </pic:spPr>
                      </pic:pic>
                    </a:graphicData>
                  </a:graphic>
                </wp:anchor>
              </w:drawing>
            </w:r>
            <w:r>
              <w:rPr>
                <w:rFonts w:hint="eastAsia" w:ascii="宋体" w:hAnsi="宋体" w:eastAsia="宋体" w:cs="宋体"/>
                <w:color w:val="auto"/>
                <w:highlight w:val="none"/>
                <w:lang w:val="en-US" w:eastAsia="zh-CN"/>
              </w:rPr>
              <w:t>施工期围栏照片                        施工期场地照片</w:t>
            </w:r>
          </w:p>
          <w:p>
            <w:pPr>
              <w:pStyle w:val="2"/>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anchor distT="0" distB="0" distL="114300" distR="114300" simplePos="0" relativeHeight="251694080" behindDoc="0" locked="0" layoutInCell="1" allowOverlap="1">
                  <wp:simplePos x="0" y="0"/>
                  <wp:positionH relativeFrom="column">
                    <wp:posOffset>2956560</wp:posOffset>
                  </wp:positionH>
                  <wp:positionV relativeFrom="paragraph">
                    <wp:posOffset>173355</wp:posOffset>
                  </wp:positionV>
                  <wp:extent cx="2724785" cy="2043430"/>
                  <wp:effectExtent l="0" t="0" r="18415" b="13970"/>
                  <wp:wrapSquare wrapText="bothSides"/>
                  <wp:docPr id="2" name="图片 2" descr="134796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47966280"/>
                          <pic:cNvPicPr>
                            <a:picLocks noChangeAspect="1"/>
                          </pic:cNvPicPr>
                        </pic:nvPicPr>
                        <pic:blipFill>
                          <a:blip r:embed="rId20"/>
                          <a:stretch>
                            <a:fillRect/>
                          </a:stretch>
                        </pic:blipFill>
                        <pic:spPr>
                          <a:xfrm>
                            <a:off x="0" y="0"/>
                            <a:ext cx="2724785" cy="2043430"/>
                          </a:xfrm>
                          <a:prstGeom prst="rect">
                            <a:avLst/>
                          </a:prstGeom>
                        </pic:spPr>
                      </pic:pic>
                    </a:graphicData>
                  </a:graphic>
                </wp:anchor>
              </w:drawing>
            </w:r>
            <w:r>
              <w:rPr>
                <w:rFonts w:hint="eastAsia" w:ascii="宋体" w:hAnsi="宋体" w:eastAsia="宋体" w:cs="宋体"/>
                <w:color w:val="auto"/>
                <w:highlight w:val="none"/>
                <w:lang w:val="en-US" w:eastAsia="zh-CN"/>
              </w:rPr>
              <w:drawing>
                <wp:anchor distT="0" distB="0" distL="114300" distR="114300" simplePos="0" relativeHeight="251693056" behindDoc="0" locked="0" layoutInCell="1" allowOverlap="1">
                  <wp:simplePos x="0" y="0"/>
                  <wp:positionH relativeFrom="column">
                    <wp:posOffset>93345</wp:posOffset>
                  </wp:positionH>
                  <wp:positionV relativeFrom="paragraph">
                    <wp:posOffset>212090</wp:posOffset>
                  </wp:positionV>
                  <wp:extent cx="2702560" cy="2026285"/>
                  <wp:effectExtent l="0" t="0" r="2540" b="12065"/>
                  <wp:wrapSquare wrapText="bothSides"/>
                  <wp:docPr id="1" name="图片 1" descr="198665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86656153"/>
                          <pic:cNvPicPr>
                            <a:picLocks noChangeAspect="1"/>
                          </pic:cNvPicPr>
                        </pic:nvPicPr>
                        <pic:blipFill>
                          <a:blip r:embed="rId21"/>
                          <a:stretch>
                            <a:fillRect/>
                          </a:stretch>
                        </pic:blipFill>
                        <pic:spPr>
                          <a:xfrm>
                            <a:off x="0" y="0"/>
                            <a:ext cx="2702560" cy="2026285"/>
                          </a:xfrm>
                          <a:prstGeom prst="rect">
                            <a:avLst/>
                          </a:prstGeom>
                        </pic:spPr>
                      </pic:pic>
                    </a:graphicData>
                  </a:graphic>
                </wp:anchor>
              </w:drawing>
            </w:r>
            <w:r>
              <w:rPr>
                <w:rFonts w:hint="eastAsia" w:ascii="宋体" w:hAnsi="宋体" w:eastAsia="宋体" w:cs="宋体"/>
                <w:color w:val="auto"/>
                <w:highlight w:val="none"/>
                <w:lang w:val="en-US" w:eastAsia="zh-CN"/>
              </w:rPr>
              <w:t>施工期拆除现有主变照片</w:t>
            </w:r>
          </w:p>
          <w:p>
            <w:pPr>
              <w:rPr>
                <w:rFonts w:hint="eastAsia" w:ascii="宋体" w:hAnsi="宋体" w:eastAsia="宋体" w:cs="宋体"/>
                <w:color w:val="auto"/>
                <w:highlight w:val="none"/>
                <w:lang w:val="en-US" w:eastAsia="zh-CN"/>
              </w:rPr>
            </w:pPr>
            <w:r>
              <w:rPr>
                <w:color w:val="auto"/>
                <w:highlight w:val="none"/>
              </w:rPr>
              <w:drawing>
                <wp:anchor distT="0" distB="0" distL="114300" distR="114300" simplePos="0" relativeHeight="251708416" behindDoc="0" locked="0" layoutInCell="1" allowOverlap="1">
                  <wp:simplePos x="0" y="0"/>
                  <wp:positionH relativeFrom="column">
                    <wp:posOffset>2955925</wp:posOffset>
                  </wp:positionH>
                  <wp:positionV relativeFrom="paragraph">
                    <wp:posOffset>142875</wp:posOffset>
                  </wp:positionV>
                  <wp:extent cx="2771140" cy="2503805"/>
                  <wp:effectExtent l="0" t="0" r="10160" b="10795"/>
                  <wp:wrapNone/>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2"/>
                          <a:stretch>
                            <a:fillRect/>
                          </a:stretch>
                        </pic:blipFill>
                        <pic:spPr>
                          <a:xfrm>
                            <a:off x="0" y="0"/>
                            <a:ext cx="2771140" cy="2503805"/>
                          </a:xfrm>
                          <a:prstGeom prst="rect">
                            <a:avLst/>
                          </a:prstGeom>
                          <a:noFill/>
                          <a:ln>
                            <a:noFill/>
                          </a:ln>
                        </pic:spPr>
                      </pic:pic>
                    </a:graphicData>
                  </a:graphic>
                </wp:anchor>
              </w:drawing>
            </w:r>
            <w:r>
              <w:rPr>
                <w:color w:val="auto"/>
                <w:highlight w:val="none"/>
              </w:rPr>
              <w:drawing>
                <wp:anchor distT="0" distB="0" distL="114300" distR="114300" simplePos="0" relativeHeight="251710464" behindDoc="0" locked="0" layoutInCell="1" allowOverlap="1">
                  <wp:simplePos x="0" y="0"/>
                  <wp:positionH relativeFrom="column">
                    <wp:posOffset>78740</wp:posOffset>
                  </wp:positionH>
                  <wp:positionV relativeFrom="paragraph">
                    <wp:posOffset>130810</wp:posOffset>
                  </wp:positionV>
                  <wp:extent cx="2759710" cy="2531110"/>
                  <wp:effectExtent l="0" t="0" r="2540" b="2540"/>
                  <wp:wrapNone/>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2759710" cy="2531110"/>
                          </a:xfrm>
                          <a:prstGeom prst="rect">
                            <a:avLst/>
                          </a:prstGeom>
                          <a:noFill/>
                          <a:ln>
                            <a:noFill/>
                          </a:ln>
                        </pic:spPr>
                      </pic:pic>
                    </a:graphicData>
                  </a:graphic>
                </wp:anchor>
              </w:drawing>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ind w:left="0" w:leftChars="0"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本次变更后1号主变照片</w:t>
            </w: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r>
              <w:rPr>
                <w:color w:val="auto"/>
                <w:highlight w:val="none"/>
              </w:rPr>
              <w:drawing>
                <wp:anchor distT="0" distB="0" distL="114300" distR="114300" simplePos="0" relativeHeight="251706368" behindDoc="0" locked="0" layoutInCell="1" allowOverlap="1">
                  <wp:simplePos x="0" y="0"/>
                  <wp:positionH relativeFrom="column">
                    <wp:posOffset>3004185</wp:posOffset>
                  </wp:positionH>
                  <wp:positionV relativeFrom="paragraph">
                    <wp:posOffset>149860</wp:posOffset>
                  </wp:positionV>
                  <wp:extent cx="2682240" cy="1983105"/>
                  <wp:effectExtent l="0" t="0" r="3810" b="1714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4"/>
                          <a:stretch>
                            <a:fillRect/>
                          </a:stretch>
                        </pic:blipFill>
                        <pic:spPr>
                          <a:xfrm>
                            <a:off x="0" y="0"/>
                            <a:ext cx="2682240" cy="1983105"/>
                          </a:xfrm>
                          <a:prstGeom prst="rect">
                            <a:avLst/>
                          </a:prstGeom>
                          <a:noFill/>
                          <a:ln>
                            <a:noFill/>
                          </a:ln>
                        </pic:spPr>
                      </pic:pic>
                    </a:graphicData>
                  </a:graphic>
                </wp:anchor>
              </w:drawing>
            </w:r>
            <w:r>
              <w:rPr>
                <w:color w:val="auto"/>
                <w:highlight w:val="none"/>
              </w:rPr>
              <w:drawing>
                <wp:anchor distT="0" distB="0" distL="114300" distR="114300" simplePos="0" relativeHeight="251711488" behindDoc="0" locked="0" layoutInCell="1" allowOverlap="1">
                  <wp:simplePos x="0" y="0"/>
                  <wp:positionH relativeFrom="column">
                    <wp:posOffset>76200</wp:posOffset>
                  </wp:positionH>
                  <wp:positionV relativeFrom="paragraph">
                    <wp:posOffset>119380</wp:posOffset>
                  </wp:positionV>
                  <wp:extent cx="2846705" cy="2094865"/>
                  <wp:effectExtent l="0" t="0" r="10795" b="635"/>
                  <wp:wrapNone/>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5"/>
                          <a:stretch>
                            <a:fillRect/>
                          </a:stretch>
                        </pic:blipFill>
                        <pic:spPr>
                          <a:xfrm>
                            <a:off x="0" y="0"/>
                            <a:ext cx="2846705" cy="2094865"/>
                          </a:xfrm>
                          <a:prstGeom prst="rect">
                            <a:avLst/>
                          </a:prstGeom>
                          <a:noFill/>
                          <a:ln>
                            <a:noFill/>
                          </a:ln>
                        </pic:spPr>
                      </pic:pic>
                    </a:graphicData>
                  </a:graphic>
                </wp:anchor>
              </w:drawing>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pStyle w:val="2"/>
              <w:ind w:left="0" w:leftChars="0" w:firstLine="0" w:firstLineChars="0"/>
              <w:rPr>
                <w:rFonts w:hint="eastAsia" w:ascii="宋体" w:hAnsi="宋体" w:eastAsia="宋体" w:cs="宋体"/>
                <w:color w:val="auto"/>
                <w:highlight w:val="none"/>
                <w:lang w:val="en-US" w:eastAsia="zh-CN"/>
              </w:rPr>
            </w:pPr>
          </w:p>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本次变更后2号主变照片</w:t>
            </w:r>
          </w:p>
          <w:p>
            <w:pPr>
              <w:pStyle w:val="2"/>
              <w:rPr>
                <w:rFonts w:hint="eastAsia" w:ascii="宋体" w:hAnsi="宋体" w:eastAsia="宋体" w:cs="宋体"/>
                <w:color w:val="auto"/>
                <w:highlight w:val="none"/>
                <w:lang w:val="en-US" w:eastAsia="zh-CN"/>
              </w:rPr>
            </w:pPr>
            <w:r>
              <w:rPr>
                <w:color w:val="auto"/>
                <w:highlight w:val="none"/>
              </w:rPr>
              <w:drawing>
                <wp:anchor distT="0" distB="0" distL="114300" distR="114300" simplePos="0" relativeHeight="251707392" behindDoc="0" locked="0" layoutInCell="1" allowOverlap="1">
                  <wp:simplePos x="0" y="0"/>
                  <wp:positionH relativeFrom="column">
                    <wp:posOffset>141605</wp:posOffset>
                  </wp:positionH>
                  <wp:positionV relativeFrom="paragraph">
                    <wp:posOffset>259715</wp:posOffset>
                  </wp:positionV>
                  <wp:extent cx="2785110" cy="2122170"/>
                  <wp:effectExtent l="0" t="0" r="15240" b="11430"/>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6"/>
                          <a:stretch>
                            <a:fillRect/>
                          </a:stretch>
                        </pic:blipFill>
                        <pic:spPr>
                          <a:xfrm>
                            <a:off x="0" y="0"/>
                            <a:ext cx="2785110" cy="2122170"/>
                          </a:xfrm>
                          <a:prstGeom prst="rect">
                            <a:avLst/>
                          </a:prstGeom>
                          <a:noFill/>
                          <a:ln>
                            <a:noFill/>
                          </a:ln>
                        </pic:spPr>
                      </pic:pic>
                    </a:graphicData>
                  </a:graphic>
                </wp:anchor>
              </w:drawing>
            </w:r>
            <w:r>
              <w:rPr>
                <w:color w:val="auto"/>
                <w:highlight w:val="none"/>
              </w:rPr>
              <w:drawing>
                <wp:anchor distT="0" distB="0" distL="114300" distR="114300" simplePos="0" relativeHeight="251709440" behindDoc="0" locked="0" layoutInCell="1" allowOverlap="1">
                  <wp:simplePos x="0" y="0"/>
                  <wp:positionH relativeFrom="column">
                    <wp:posOffset>3112135</wp:posOffset>
                  </wp:positionH>
                  <wp:positionV relativeFrom="paragraph">
                    <wp:posOffset>219075</wp:posOffset>
                  </wp:positionV>
                  <wp:extent cx="2606040" cy="2128520"/>
                  <wp:effectExtent l="0" t="0" r="3810" b="5080"/>
                  <wp:wrapNone/>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7"/>
                          <a:stretch>
                            <a:fillRect/>
                          </a:stretch>
                        </pic:blipFill>
                        <pic:spPr>
                          <a:xfrm>
                            <a:off x="0" y="0"/>
                            <a:ext cx="2606040" cy="2128520"/>
                          </a:xfrm>
                          <a:prstGeom prst="rect">
                            <a:avLst/>
                          </a:prstGeom>
                          <a:noFill/>
                          <a:ln>
                            <a:noFill/>
                          </a:ln>
                        </pic:spPr>
                      </pic:pic>
                    </a:graphicData>
                  </a:graphic>
                </wp:anchor>
              </w:drawing>
            </w: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jc w:val="center"/>
              <w:rPr>
                <w:rFonts w:hint="eastAsia"/>
                <w:color w:val="auto"/>
                <w:highlight w:val="none"/>
                <w:lang w:val="en-US" w:eastAsia="zh-CN"/>
              </w:rPr>
            </w:pPr>
            <w:r>
              <w:rPr>
                <w:rFonts w:hint="eastAsia" w:ascii="宋体" w:hAnsi="宋体" w:eastAsia="宋体" w:cs="宋体"/>
                <w:color w:val="auto"/>
                <w:highlight w:val="none"/>
                <w:lang w:val="en-US" w:eastAsia="zh-CN"/>
              </w:rPr>
              <w:t>本次变更后路线照片                   本次建设的事故油池照片</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anchor distT="0" distB="0" distL="114300" distR="114300" simplePos="0" relativeHeight="251696128" behindDoc="0" locked="0" layoutInCell="1" allowOverlap="1">
                  <wp:simplePos x="0" y="0"/>
                  <wp:positionH relativeFrom="column">
                    <wp:posOffset>3063240</wp:posOffset>
                  </wp:positionH>
                  <wp:positionV relativeFrom="paragraph">
                    <wp:posOffset>173990</wp:posOffset>
                  </wp:positionV>
                  <wp:extent cx="2533650" cy="2121535"/>
                  <wp:effectExtent l="0" t="0" r="0" b="1206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2533650" cy="2121535"/>
                          </a:xfrm>
                          <a:prstGeom prst="rect">
                            <a:avLst/>
                          </a:prstGeom>
                          <a:noFill/>
                          <a:ln>
                            <a:noFill/>
                          </a:ln>
                        </pic:spPr>
                      </pic:pic>
                    </a:graphicData>
                  </a:graphic>
                </wp:anchor>
              </w:drawing>
            </w:r>
            <w:r>
              <w:rPr>
                <w:rFonts w:hint="eastAsia" w:ascii="宋体" w:hAnsi="宋体" w:eastAsia="宋体" w:cs="宋体"/>
                <w:color w:val="auto"/>
                <w:highlight w:val="none"/>
                <w:lang w:val="en-US" w:eastAsia="zh-CN"/>
              </w:rPr>
              <w:drawing>
                <wp:anchor distT="0" distB="0" distL="114300" distR="114300" simplePos="0" relativeHeight="251695104" behindDoc="0" locked="0" layoutInCell="1" allowOverlap="1">
                  <wp:simplePos x="0" y="0"/>
                  <wp:positionH relativeFrom="column">
                    <wp:posOffset>102235</wp:posOffset>
                  </wp:positionH>
                  <wp:positionV relativeFrom="paragraph">
                    <wp:posOffset>182245</wp:posOffset>
                  </wp:positionV>
                  <wp:extent cx="2832100" cy="2125345"/>
                  <wp:effectExtent l="0" t="0" r="6350" b="8255"/>
                  <wp:wrapNone/>
                  <wp:docPr id="3" name="图片 3" descr="175134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1343352"/>
                          <pic:cNvPicPr>
                            <a:picLocks noChangeAspect="1"/>
                          </pic:cNvPicPr>
                        </pic:nvPicPr>
                        <pic:blipFill>
                          <a:blip r:embed="rId29"/>
                          <a:stretch>
                            <a:fillRect/>
                          </a:stretch>
                        </pic:blipFill>
                        <pic:spPr>
                          <a:xfrm>
                            <a:off x="0" y="0"/>
                            <a:ext cx="2832100" cy="2125345"/>
                          </a:xfrm>
                          <a:prstGeom prst="rect">
                            <a:avLst/>
                          </a:prstGeom>
                        </pic:spPr>
                      </pic:pic>
                    </a:graphicData>
                  </a:graphic>
                </wp:anchor>
              </w:drawing>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场地平整照片</w:t>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tc>
      </w:tr>
    </w:tbl>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七、电磁环境、声环境</w:t>
      </w:r>
      <w:r>
        <w:rPr>
          <w:rFonts w:hint="eastAsia" w:ascii="宋体" w:hAnsi="宋体" w:eastAsia="宋体" w:cs="宋体"/>
          <w:b/>
          <w:bCs/>
          <w:color w:val="auto"/>
          <w:sz w:val="28"/>
          <w:highlight w:val="none"/>
        </w:rPr>
        <w:t>监测（附监测</w:t>
      </w:r>
      <w:r>
        <w:rPr>
          <w:rFonts w:hint="eastAsia" w:ascii="宋体" w:hAnsi="宋体" w:eastAsia="宋体" w:cs="宋体"/>
          <w:b/>
          <w:bCs/>
          <w:color w:val="auto"/>
          <w:sz w:val="28"/>
          <w:highlight w:val="none"/>
          <w:lang w:eastAsia="zh-CN"/>
        </w:rPr>
        <w:t>点位图</w:t>
      </w:r>
      <w:r>
        <w:rPr>
          <w:rFonts w:hint="eastAsia" w:ascii="宋体" w:hAnsi="宋体" w:eastAsia="宋体" w:cs="宋体"/>
          <w:b/>
          <w:bCs/>
          <w:color w:val="auto"/>
          <w:sz w:val="28"/>
          <w:highlight w:val="none"/>
        </w:rPr>
        <w:t>）</w:t>
      </w:r>
    </w:p>
    <w:tbl>
      <w:tblPr>
        <w:tblStyle w:val="17"/>
        <w:tblW w:w="9673" w:type="dxa"/>
        <w:jc w:val="center"/>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Layout w:type="autofit"/>
        <w:tblCellMar>
          <w:top w:w="0" w:type="dxa"/>
          <w:left w:w="108" w:type="dxa"/>
          <w:bottom w:w="0" w:type="dxa"/>
          <w:right w:w="108" w:type="dxa"/>
        </w:tblCellMar>
      </w:tblPr>
      <w:tblGrid>
        <w:gridCol w:w="9673"/>
      </w:tblGrid>
      <w:tr>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9673" w:type="dxa"/>
            <w:tcBorders>
              <w:tl2br w:val="nil"/>
              <w:tr2bl w:val="nil"/>
            </w:tcBorders>
          </w:tcPr>
          <w:p>
            <w:pPr>
              <w:adjustRightInd w:val="0"/>
              <w:snapToGrid w:val="0"/>
              <w:spacing w:line="480" w:lineRule="exact"/>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监测</w:t>
            </w:r>
            <w:r>
              <w:rPr>
                <w:rFonts w:hint="eastAsia" w:ascii="宋体" w:hAnsi="宋体" w:eastAsia="宋体" w:cs="宋体"/>
                <w:b/>
                <w:bCs/>
                <w:color w:val="auto"/>
                <w:highlight w:val="none"/>
                <w:lang w:eastAsia="zh-CN"/>
              </w:rPr>
              <w:t>因子及监测频次</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1、监测因子</w:t>
            </w:r>
          </w:p>
          <w:p>
            <w:pPr>
              <w:spacing w:line="480" w:lineRule="exact"/>
              <w:ind w:firstLine="480" w:firstLineChars="200"/>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电磁环境：工频电场、工频磁场。</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声环境：等效连续A声级。</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2、监测频次</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电磁环境：各监测点位测量1次。</w:t>
            </w:r>
          </w:p>
          <w:p>
            <w:pPr>
              <w:spacing w:line="480" w:lineRule="exact"/>
              <w:ind w:firstLine="480" w:firstLineChars="200"/>
              <w:rPr>
                <w:rFonts w:hint="eastAsia" w:ascii="宋体" w:hAnsi="宋体" w:eastAsia="宋体" w:cs="宋体"/>
                <w:color w:val="auto"/>
                <w:sz w:val="21"/>
                <w:szCs w:val="21"/>
                <w:highlight w:val="none"/>
              </w:rPr>
            </w:pPr>
            <w:r>
              <w:rPr>
                <w:rFonts w:hint="eastAsia" w:ascii="宋体" w:hAnsi="宋体" w:eastAsia="宋体" w:cs="宋体"/>
                <w:color w:val="auto"/>
                <w:highlight w:val="none"/>
                <w:lang w:val="en-US" w:eastAsia="zh-CN"/>
              </w:rPr>
              <w:t>声环境：昼间、夜间各监测1次。</w:t>
            </w:r>
          </w:p>
        </w:tc>
      </w:tr>
      <w:tr>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1870" w:hRule="atLeast"/>
          <w:jc w:val="center"/>
        </w:trPr>
        <w:tc>
          <w:tcPr>
            <w:tcW w:w="9673" w:type="dxa"/>
            <w:tcBorders>
              <w:tl2br w:val="nil"/>
              <w:tr2bl w:val="nil"/>
            </w:tcBorders>
          </w:tcPr>
          <w:p>
            <w:pPr>
              <w:pStyle w:val="15"/>
              <w:autoSpaceDE w:val="0"/>
              <w:adjustRightInd w:val="0"/>
              <w:snapToGrid w:val="0"/>
              <w:spacing w:beforeAutospacing="0" w:afterAutospacing="0"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监测方法及监测布点</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1、监测方法</w:t>
            </w:r>
          </w:p>
          <w:p>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①《交流输变电工程电磁环境监测方法（试行）》（HJ681-2013）；</w:t>
            </w:r>
          </w:p>
          <w:p>
            <w:pPr>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②《环境影响评价技术导则 输变电》（HJ24-2020）；</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③《建设项目竣工环境保护验收技术规范 输变电》（HJ705-2020）；</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④《电磁环境控制限值》（GB8702-2014）；</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⑤《工业企业厂界环境噪声排放标准》（GB 12348-2008）；</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⑥《声环境质量标准》（GB 3096-2008）。</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2、监测布点</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（1）电磁环境</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本次电磁环境验收监测点位主要依据《建设项目竣工环境保护验收技术规范 输变电》（HJ705-2020）的要求，结合本项目环评文件提出的监测要求，选取验收监测测点，主要原则如下： </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①变电站</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厂界：监测点应选择在无进出线或远离进出线（距离边导线地面投影不少于20m）的围墙外且距离围墙5m处布置，探头距地面1.5m高度处。</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②环境敏感目标</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本项目环境敏感目标分别为变电站西侧14户居民、西南侧2栋勘探三队家属楼、南侧9户居民。按照本次确定的调查范围，通过现场调查，验收调查阶段调查范围内环境敏感目标共3处。</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（2）声环境</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本次声环境验收监测点位主要依据《声环境质量标准》(GB3096-2008)的要求，结合本项目环评文件提出的监测要求，选取验收监测测点，主要原则如下：</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①变电站</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在变电站厂界四周外1m各设置1个测点，传声器高于地面1.2m以上；当厂界有围墙且周围有受影响的噪声敏感建筑物时，测点应选在厂界外1m、高于围墙0.5m以上的位置。昼、夜各监测1次，每个测点持续监测1min。 </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②环境敏感目标</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在敏感目标建筑物外，距离墙壁1m以上，地面1.5m高度处，靠近线路侧布点。</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根据以上布点原则，项目监测点位示意图见图7-1。</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anchor distT="0" distB="0" distL="114300" distR="114300" simplePos="0" relativeHeight="251672576" behindDoc="0" locked="0" layoutInCell="1" allowOverlap="1">
                  <wp:simplePos x="0" y="0"/>
                  <wp:positionH relativeFrom="column">
                    <wp:posOffset>899795</wp:posOffset>
                  </wp:positionH>
                  <wp:positionV relativeFrom="paragraph">
                    <wp:posOffset>130175</wp:posOffset>
                  </wp:positionV>
                  <wp:extent cx="4318635" cy="3539490"/>
                  <wp:effectExtent l="0" t="0" r="5715" b="3810"/>
                  <wp:wrapNone/>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1"/>
                          <a:stretch>
                            <a:fillRect/>
                          </a:stretch>
                        </pic:blipFill>
                        <pic:spPr>
                          <a:xfrm>
                            <a:off x="0" y="0"/>
                            <a:ext cx="4318635" cy="3539490"/>
                          </a:xfrm>
                          <a:prstGeom prst="rect">
                            <a:avLst/>
                          </a:prstGeom>
                          <a:noFill/>
                          <a:ln>
                            <a:noFill/>
                          </a:ln>
                        </pic:spPr>
                      </pic:pic>
                    </a:graphicData>
                  </a:graphic>
                </wp:anchor>
              </w:drawing>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9"/>
              <w:ind w:firstLine="482"/>
              <w:rPr>
                <w:rFonts w:hint="eastAsia" w:ascii="宋体" w:hAnsi="宋体" w:eastAsia="宋体" w:cs="宋体"/>
                <w:color w:val="auto"/>
                <w:highlight w:val="none"/>
              </w:rPr>
            </w:pPr>
          </w:p>
          <w:p>
            <w:pPr>
              <w:pStyle w:val="29"/>
              <w:ind w:firstLine="482"/>
              <w:rPr>
                <w:rFonts w:hint="eastAsia" w:ascii="宋体" w:hAnsi="宋体" w:eastAsia="宋体" w:cs="宋体"/>
                <w:color w:val="auto"/>
                <w:highlight w:val="none"/>
              </w:rPr>
            </w:pPr>
          </w:p>
          <w:p>
            <w:pPr>
              <w:pStyle w:val="29"/>
              <w:ind w:firstLine="482"/>
              <w:rPr>
                <w:rFonts w:hint="eastAsia" w:ascii="宋体" w:hAnsi="宋体" w:eastAsia="宋体" w:cs="宋体"/>
                <w:color w:val="auto"/>
                <w:highlight w:val="none"/>
              </w:rPr>
            </w:pPr>
            <w:r>
              <w:rPr>
                <w:rFonts w:hint="eastAsia" w:ascii="宋体" w:hAnsi="宋体" w:eastAsia="宋体" w:cs="宋体"/>
                <w:color w:val="auto"/>
                <w:sz w:val="21"/>
                <w:highlight w:val="none"/>
              </w:rPr>
              <mc:AlternateContent>
                <mc:Choice Requires="wps">
                  <w:drawing>
                    <wp:anchor distT="0" distB="0" distL="114300" distR="114300" simplePos="0" relativeHeight="251681792" behindDoc="0" locked="0" layoutInCell="1" allowOverlap="1">
                      <wp:simplePos x="0" y="0"/>
                      <wp:positionH relativeFrom="column">
                        <wp:posOffset>2516505</wp:posOffset>
                      </wp:positionH>
                      <wp:positionV relativeFrom="paragraph">
                        <wp:posOffset>258445</wp:posOffset>
                      </wp:positionV>
                      <wp:extent cx="79375" cy="79375"/>
                      <wp:effectExtent l="4445" t="4445" r="11430" b="11430"/>
                      <wp:wrapNone/>
                      <wp:docPr id="101" name="椭圆 101"/>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98.15pt;margin-top:20.35pt;height:6.25pt;width:6.25pt;z-index:251681792;mso-width-relative:page;mso-height-relative:page;" fillcolor="#FFFF00" filled="t" stroked="t" coordsize="21600,21600" o:gfxdata="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r3p7aAAAACQEAAA8AAAAAAAAAAQAgAAAAIgAAAGRycy9kb3ducmV2LnhtbFBLAQIU&#10;ABQAAAAIAIdO4kBNlVOK8QEAABgEAAAOAAAAAAAAAAEAIAAAACkBAABkcnMvZTJvRG9jLnhtbFBL&#10;BQYAAAAABgAGAFkBAACMBQ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3048000</wp:posOffset>
                      </wp:positionH>
                      <wp:positionV relativeFrom="paragraph">
                        <wp:posOffset>139700</wp:posOffset>
                      </wp:positionV>
                      <wp:extent cx="79375" cy="79375"/>
                      <wp:effectExtent l="4445" t="4445" r="11430" b="11430"/>
                      <wp:wrapNone/>
                      <wp:docPr id="96" name="椭圆 96"/>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40pt;margin-top:11pt;height:6.25pt;width:6.25pt;z-index:251680768;mso-width-relative:page;mso-height-relative:page;" fillcolor="#FFFF00" filled="t" stroked="t" coordsize="21600,21600" o:gfxdata="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04AWvaAAAACQEAAA8AAAAAAAAAAQAgAAAAIgAAAGRycy9kb3ducmV2LnhtbFBLAQIU&#10;ABQAAAAIAIdO4kDN7b/j8QEAABYEAAAOAAAAAAAAAAEAIAAAACkBAABkcnMvZTJvRG9jLnhtbFBL&#10;BQYAAAAABgAGAFkBAACMBQ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2806700</wp:posOffset>
                      </wp:positionH>
                      <wp:positionV relativeFrom="paragraph">
                        <wp:posOffset>194310</wp:posOffset>
                      </wp:positionV>
                      <wp:extent cx="134620" cy="127000"/>
                      <wp:effectExtent l="7620" t="10160" r="10160" b="15240"/>
                      <wp:wrapNone/>
                      <wp:docPr id="100" name="等腰三角形 100"/>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21pt;margin-top:15.3pt;height:10pt;width:10.6pt;z-index:251674624;mso-width-relative:page;mso-height-relative:page;" fillcolor="#FF0000" filled="t" stroked="t" coordsize="21600,21600" o:gfxdata="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Px&#10;ChzZAAAACQEAAA8AAAAAAAAAAQAgAAAAIgAAAGRycy9kb3ducmV2LnhtbFBLAQIUABQAAAAIAIdO&#10;4kC9Od9aIgIAAFoEAAAOAAAAAAAAAAEAIAAAACgBAABkcnMvZTJvRG9jLnhtbFBLBQYAAAAABgAG&#10;AFkBAAC8BQAAAAA=&#10;" adj="10800">
                      <v:fill on="t" focussize="0,0"/>
                      <v:stroke color="#000000" joinstyle="miter"/>
                      <v:imagedata o:title=""/>
                      <o:lock v:ext="edit" aspectratio="f"/>
                    </v:shape>
                  </w:pict>
                </mc:Fallback>
              </mc:AlternateContent>
            </w:r>
          </w:p>
          <w:p>
            <w:pPr>
              <w:pStyle w:val="29"/>
              <w:ind w:firstLine="482"/>
              <w:rPr>
                <w:rFonts w:hint="eastAsia" w:ascii="宋体" w:hAnsi="宋体" w:eastAsia="宋体" w:cs="宋体"/>
                <w:color w:val="auto"/>
                <w:highlight w:val="none"/>
              </w:rPr>
            </w:pPr>
            <w:r>
              <w:rPr>
                <w:rFonts w:hint="eastAsia" w:ascii="宋体" w:hAnsi="宋体" w:eastAsia="宋体" w:cs="宋体"/>
                <w:color w:val="auto"/>
                <w:sz w:val="21"/>
                <w:highlight w:val="none"/>
              </w:rPr>
              <mc:AlternateContent>
                <mc:Choice Requires="wps">
                  <w:drawing>
                    <wp:anchor distT="0" distB="0" distL="114300" distR="114300" simplePos="0" relativeHeight="251687936" behindDoc="0" locked="0" layoutInCell="1" allowOverlap="1">
                      <wp:simplePos x="0" y="0"/>
                      <wp:positionH relativeFrom="column">
                        <wp:posOffset>3373755</wp:posOffset>
                      </wp:positionH>
                      <wp:positionV relativeFrom="paragraph">
                        <wp:posOffset>18415</wp:posOffset>
                      </wp:positionV>
                      <wp:extent cx="79375" cy="79375"/>
                      <wp:effectExtent l="4445" t="4445" r="11430" b="11430"/>
                      <wp:wrapNone/>
                      <wp:docPr id="107" name="椭圆 107"/>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5.65pt;margin-top:1.45pt;height:6.25pt;width:6.25pt;z-index:251687936;mso-width-relative:page;mso-height-relative:page;" fillcolor="#FFFF00" filled="t" stroked="t" coordsize="21600,21600" o:gfxdata="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s9TD9gAAAAIAQAADwAAAAAAAAABACAAAAAiAAAAZHJzL2Rvd25yZXYueG1sUEsBAhQA&#10;FAAAAAgAh07iQIITbhvyAQAAGAQAAA4AAAAAAAAAAQAgAAAAJwEAAGRycy9lMm9Eb2MueG1sUEsF&#10;BgAAAAAGAAYAWQEAAIsFA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3433445</wp:posOffset>
                      </wp:positionH>
                      <wp:positionV relativeFrom="paragraph">
                        <wp:posOffset>128905</wp:posOffset>
                      </wp:positionV>
                      <wp:extent cx="134620" cy="127000"/>
                      <wp:effectExtent l="7620" t="10160" r="10160" b="15240"/>
                      <wp:wrapNone/>
                      <wp:docPr id="90" name="等腰三角形 90"/>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70.35pt;margin-top:10.15pt;height:10pt;width:10.6pt;z-index:251673600;mso-width-relative:page;mso-height-relative:page;" fillcolor="#FF0000" filled="t" stroked="t" coordsize="21600,21600" o:gfxdata="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6Y&#10;E/DZAAAACQEAAA8AAAAAAAAAAQAgAAAAIgAAAGRycy9kb3ducmV2LnhtbFBLAQIUABQAAAAIAIdO&#10;4kCVBnz0IgIAAFgEAAAOAAAAAAAAAAEAIAAAACgBAABkcnMvZTJvRG9jLnhtbFBLBQYAAAAABgAG&#10;AFkBAAC8BQAAAAA=&#10;" adj="10800">
                      <v:fill on="t" focussize="0,0"/>
                      <v:stroke color="#000000" joinstyle="miter"/>
                      <v:imagedata o:title=""/>
                      <o:lock v:ext="edit" aspectratio="f"/>
                    </v:shape>
                  </w:pict>
                </mc:Fallback>
              </mc:AlternateContent>
            </w:r>
          </w:p>
          <w:p>
            <w:pPr>
              <w:pStyle w:val="29"/>
              <w:ind w:firstLine="482"/>
              <w:rPr>
                <w:rFonts w:hint="eastAsia" w:ascii="宋体" w:hAnsi="宋体" w:eastAsia="宋体" w:cs="宋体"/>
                <w:color w:val="auto"/>
                <w:highlight w:val="none"/>
              </w:rPr>
            </w:pPr>
            <w:r>
              <w:rPr>
                <w:rFonts w:hint="eastAsia" w:ascii="宋体" w:hAnsi="宋体" w:eastAsia="宋体" w:cs="宋体"/>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2381250</wp:posOffset>
                      </wp:positionH>
                      <wp:positionV relativeFrom="paragraph">
                        <wp:posOffset>40640</wp:posOffset>
                      </wp:positionV>
                      <wp:extent cx="79375" cy="79375"/>
                      <wp:effectExtent l="4445" t="4445" r="11430" b="11430"/>
                      <wp:wrapNone/>
                      <wp:docPr id="99" name="椭圆 99"/>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7.5pt;margin-top:3.2pt;height:6.25pt;width:6.25pt;z-index:251682816;mso-width-relative:page;mso-height-relative:page;" fillcolor="#FFFF00" filled="t" stroked="t" coordsize="21600,21600" o:gfxdata="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4MJ39kAAAAIAQAADwAAAAAAAAABACAAAAAiAAAAZHJzL2Rvd25yZXYueG1sUEsBAhQA&#10;FAAAAAgAh07iQI/yFdfxAQAAFgQAAA4AAAAAAAAAAQAgAAAAKAEAAGRycy9lMm9Eb2MueG1sUEsF&#10;BgAAAAAGAAYAWQEAAIsFA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2227580</wp:posOffset>
                      </wp:positionH>
                      <wp:positionV relativeFrom="paragraph">
                        <wp:posOffset>64135</wp:posOffset>
                      </wp:positionV>
                      <wp:extent cx="134620" cy="127000"/>
                      <wp:effectExtent l="7620" t="10160" r="10160" b="15240"/>
                      <wp:wrapNone/>
                      <wp:docPr id="93" name="等腰三角形 93"/>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75.4pt;margin-top:5.05pt;height:10pt;width:10.6pt;z-index:251678720;mso-width-relative:page;mso-height-relative:page;" fillcolor="#FF0000" filled="t" stroked="t" coordsize="21600,21600" o:gfxdata="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CTr&#10;mtgAAAAJAQAADwAAAAAAAAABACAAAAAiAAAAZHJzL2Rvd25yZXYueG1sUEsBAhQAFAAAAAgAh07i&#10;QA/5t6EiAgAAWAQAAA4AAAAAAAAAAQAgAAAAJwEAAGRycy9lMm9Eb2MueG1sUEsFBgAAAAAGAAYA&#10;WQEAALsFAAAAAA==&#10;" adj="10800">
                      <v:fill on="t" focussize="0,0"/>
                      <v:stroke color="#000000" joinstyle="miter"/>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89984" behindDoc="0" locked="0" layoutInCell="1" allowOverlap="1">
                      <wp:simplePos x="0" y="0"/>
                      <wp:positionH relativeFrom="column">
                        <wp:posOffset>2190750</wp:posOffset>
                      </wp:positionH>
                      <wp:positionV relativeFrom="paragraph">
                        <wp:posOffset>247650</wp:posOffset>
                      </wp:positionV>
                      <wp:extent cx="79375" cy="79375"/>
                      <wp:effectExtent l="4445" t="4445" r="11430" b="11430"/>
                      <wp:wrapNone/>
                      <wp:docPr id="91" name="椭圆 91"/>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2.5pt;margin-top:19.5pt;height:6.25pt;width:6.25pt;z-index:251689984;mso-width-relative:page;mso-height-relative:page;" fillcolor="#FFFF00" filled="t" stroked="t" coordsize="21600,21600" o:gfxdata="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IixH9oAAAAJAQAADwAAAAAAAAABACAAAAAiAAAAZHJzL2Rvd25yZXYueG1sUEsBAhQA&#10;FAAAAAgAh07iQL8vKfvwAQAAFgQAAA4AAAAAAAAAAQAgAAAAKQEAAGRycy9lMm9Eb2MueG1sUEsF&#10;BgAAAAAGAAYAWQEAAIsFA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86912" behindDoc="0" locked="0" layoutInCell="1" allowOverlap="1">
                      <wp:simplePos x="0" y="0"/>
                      <wp:positionH relativeFrom="column">
                        <wp:posOffset>3548380</wp:posOffset>
                      </wp:positionH>
                      <wp:positionV relativeFrom="paragraph">
                        <wp:posOffset>175260</wp:posOffset>
                      </wp:positionV>
                      <wp:extent cx="79375" cy="79375"/>
                      <wp:effectExtent l="4445" t="4445" r="11430" b="11430"/>
                      <wp:wrapNone/>
                      <wp:docPr id="103" name="椭圆 103"/>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79.4pt;margin-top:13.8pt;height:6.25pt;width:6.25pt;z-index:251686912;mso-width-relative:page;mso-height-relative:page;" fillcolor="#FFFF00" filled="t" stroked="t" coordsize="21600,21600" o:gfxdata="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sXT2gAAAAkBAAAPAAAAAAAAAAEAIAAAACIAAABkcnMvZG93bnJldi54bWxQSwEC&#10;FAAUAAAACACHTuJANxVoTPIBAAAYBAAADgAAAAAAAAABACAAAAApAQAAZHJzL2Uyb0RvYy54bWxQ&#10;SwUGAAAAAAYABgBZAQAAjQU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2393950</wp:posOffset>
                      </wp:positionH>
                      <wp:positionV relativeFrom="paragraph">
                        <wp:posOffset>191135</wp:posOffset>
                      </wp:positionV>
                      <wp:extent cx="134620" cy="127000"/>
                      <wp:effectExtent l="7620" t="10160" r="10160" b="15240"/>
                      <wp:wrapNone/>
                      <wp:docPr id="98" name="等腰三角形 98"/>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88.5pt;margin-top:15.05pt;height:10pt;width:10.6pt;z-index:251675648;mso-width-relative:page;mso-height-relative:page;" fillcolor="#FF0000" filled="t" stroked="t" coordsize="21600,21600" o:gfxdata="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nK&#10;dOnZAAAACQEAAA8AAAAAAAAAAQAgAAAAIgAAAGRycy9kb3ducmV2LnhtbFBLAQIUABQAAAAIAIdO&#10;4kBbqegDIgIAAFgEAAAOAAAAAAAAAAEAIAAAACgBAABkcnMvZTJvRG9jLnhtbFBLBQYAAAAABgAG&#10;AFkBAAC8BQAAAAA=&#10;" adj="10800">
                      <v:fill on="t" focussize="0,0"/>
                      <v:stroke color="#000000" joinstyle="miter"/>
                      <v:imagedata o:title=""/>
                      <o:lock v:ext="edit" aspectratio="f"/>
                    </v:shape>
                  </w:pict>
                </mc:Fallback>
              </mc:AlternateContent>
            </w:r>
          </w:p>
          <w:p>
            <w:pPr>
              <w:pStyle w:val="29"/>
              <w:ind w:firstLine="482"/>
              <w:rPr>
                <w:rFonts w:hint="eastAsia" w:ascii="宋体" w:hAnsi="宋体" w:eastAsia="宋体" w:cs="宋体"/>
                <w:color w:val="auto"/>
                <w:highlight w:val="none"/>
              </w:rPr>
            </w:pPr>
            <w:r>
              <w:rPr>
                <w:rFonts w:hint="eastAsia" w:ascii="宋体" w:hAnsi="宋体" w:eastAsia="宋体" w:cs="宋体"/>
                <w:color w:val="auto"/>
                <w:sz w:val="21"/>
                <w:highlight w:val="none"/>
              </w:rPr>
              <mc:AlternateContent>
                <mc:Choice Requires="wps">
                  <w:drawing>
                    <wp:anchor distT="0" distB="0" distL="114300" distR="114300" simplePos="0" relativeHeight="251685888" behindDoc="0" locked="0" layoutInCell="1" allowOverlap="1">
                      <wp:simplePos x="0" y="0"/>
                      <wp:positionH relativeFrom="column">
                        <wp:posOffset>3405505</wp:posOffset>
                      </wp:positionH>
                      <wp:positionV relativeFrom="paragraph">
                        <wp:posOffset>133985</wp:posOffset>
                      </wp:positionV>
                      <wp:extent cx="79375" cy="79375"/>
                      <wp:effectExtent l="4445" t="4445" r="11430" b="11430"/>
                      <wp:wrapNone/>
                      <wp:docPr id="105" name="椭圆 105"/>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8.15pt;margin-top:10.55pt;height:6.25pt;width:6.25pt;z-index:251685888;mso-width-relative:page;mso-height-relative:page;" fillcolor="#FFFF00" filled="t" stroked="t" coordsize="21600,21600" o:gfxdata="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cYPyPaAAAACQEAAA8AAAAAAAAAAQAgAAAAIgAAAGRycy9kb3ducmV2LnhtbFBLAQIU&#10;ABQAAAAIAIdO4kD4k1Xd8QEAABgEAAAOAAAAAAAAAAEAIAAAACkBAABkcnMvZTJvRG9jLnhtbFBL&#10;BQYAAAAABgAGAFkBAACMBQ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2508250</wp:posOffset>
                      </wp:positionH>
                      <wp:positionV relativeFrom="paragraph">
                        <wp:posOffset>221615</wp:posOffset>
                      </wp:positionV>
                      <wp:extent cx="79375" cy="79375"/>
                      <wp:effectExtent l="4445" t="4445" r="11430" b="11430"/>
                      <wp:wrapNone/>
                      <wp:docPr id="102" name="椭圆 102"/>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97.5pt;margin-top:17.45pt;height:6.25pt;width:6.25pt;z-index:251683840;mso-width-relative:page;mso-height-relative:page;" fillcolor="#FFFF00" filled="t" stroked="t" coordsize="21600,21600" o:gfxdata="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rgSW2gAAAAkBAAAPAAAAAAAAAAEAIAAAACIAAABkcnMvZG93bnJldi54bWxQSwEC&#10;FAAUAAAACACHTuJACtV1L/IBAAAYBAAADgAAAAAAAAABACAAAAApAQAAZHJzL2Uyb0RvYy54bWxQ&#10;SwUGAAAAAAYABgBZAQAAjQU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3298825</wp:posOffset>
                      </wp:positionH>
                      <wp:positionV relativeFrom="paragraph">
                        <wp:posOffset>142240</wp:posOffset>
                      </wp:positionV>
                      <wp:extent cx="134620" cy="127000"/>
                      <wp:effectExtent l="7620" t="10160" r="10160" b="15240"/>
                      <wp:wrapNone/>
                      <wp:docPr id="94" name="等腰三角形 94"/>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59.75pt;margin-top:11.2pt;height:10pt;width:10.6pt;z-index:251679744;mso-width-relative:page;mso-height-relative:page;" fillcolor="#FF0000" filled="t" stroked="t" coordsize="21600,21600" o:gfxdata="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ZQ&#10;Hf/ZAAAACQEAAA8AAAAAAAAAAQAgAAAAIgAAAGRycy9kb3ducmV2LnhtbFBLAQIUABQAAAAIAIdO&#10;4kByUbaPIgIAAFgEAAAOAAAAAAAAAAEAIAAAACgBAABkcnMvZTJvRG9jLnhtbFBLBQYAAAAABgAG&#10;AFkBAAC8BQAAAAA=&#10;" adj="10800">
                      <v:fill on="t" focussize="0,0"/>
                      <v:stroke color="#000000" joinstyle="miter"/>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3028950</wp:posOffset>
                      </wp:positionH>
                      <wp:positionV relativeFrom="paragraph">
                        <wp:posOffset>181610</wp:posOffset>
                      </wp:positionV>
                      <wp:extent cx="134620" cy="127000"/>
                      <wp:effectExtent l="7620" t="10160" r="10160" b="15240"/>
                      <wp:wrapNone/>
                      <wp:docPr id="88" name="等腰三角形 88"/>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238.5pt;margin-top:14.3pt;height:10pt;width:10.6pt;z-index:251676672;mso-width-relative:page;mso-height-relative:page;" fillcolor="#FF0000" filled="t" stroked="t" coordsize="21600,21600" o:gfxdata="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5&#10;+Onc2QAAAAkBAAAPAAAAAAAAAAEAIAAAACIAAABkcnMvZG93bnJldi54bWxQSwECFAAUAAAACACH&#10;TuJAOMZtDCMCAABYBAAADgAAAAAAAAABACAAAAAoAQAAZHJzL2Uyb0RvYy54bWxQSwUGAAAAAAYA&#10;BgBZAQAAvQUAAAAA&#10;" adj="10800">
                      <v:fill on="t" focussize="0,0"/>
                      <v:stroke color="#000000" joinstyle="miter"/>
                      <v:imagedata o:title=""/>
                      <o:lock v:ext="edit" aspectratio="f"/>
                    </v:shape>
                  </w:pict>
                </mc:Fallback>
              </mc:AlternateContent>
            </w:r>
          </w:p>
          <w:p>
            <w:pPr>
              <w:pStyle w:val="29"/>
              <w:ind w:firstLine="482"/>
              <w:rPr>
                <w:rFonts w:hint="eastAsia" w:ascii="宋体" w:hAnsi="宋体" w:eastAsia="宋体" w:cs="宋体"/>
                <w:color w:val="auto"/>
                <w:highlight w:val="none"/>
              </w:rPr>
            </w:pPr>
            <w:r>
              <w:rPr>
                <w:rFonts w:hint="eastAsia" w:ascii="宋体" w:hAnsi="宋体" w:eastAsia="宋体" w:cs="宋体"/>
                <w:color w:val="auto"/>
                <w:sz w:val="21"/>
                <w:highlight w:val="none"/>
              </w:rPr>
              <mc:AlternateContent>
                <mc:Choice Requires="wps">
                  <w:drawing>
                    <wp:anchor distT="0" distB="0" distL="114300" distR="114300" simplePos="0" relativeHeight="251688960" behindDoc="0" locked="0" layoutInCell="1" allowOverlap="1">
                      <wp:simplePos x="0" y="0"/>
                      <wp:positionH relativeFrom="column">
                        <wp:posOffset>3325495</wp:posOffset>
                      </wp:positionH>
                      <wp:positionV relativeFrom="paragraph">
                        <wp:posOffset>6350</wp:posOffset>
                      </wp:positionV>
                      <wp:extent cx="79375" cy="79375"/>
                      <wp:effectExtent l="4445" t="4445" r="11430" b="11430"/>
                      <wp:wrapNone/>
                      <wp:docPr id="92" name="椭圆 92"/>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1.85pt;margin-top:0.5pt;height:6.25pt;width:6.25pt;z-index:251688960;mso-width-relative:page;mso-height-relative:page;" fillcolor="#FFFF00" filled="t" stroked="t" coordsize="21600,21600" o:gfxdata="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XtRTnXAAAACAEAAA8AAAAAAAAAAQAgAAAAIgAAAGRycy9kb3ducmV2LnhtbFBLAQIUABQA&#10;AAAIAIdO4kBVg6H18QEAABYEAAAOAAAAAAAAAAEAIAAAACYBAABkcnMvZTJvRG9jLnhtbFBLBQYA&#10;AAAABgAGAFkBAACJBQ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2722880</wp:posOffset>
                      </wp:positionH>
                      <wp:positionV relativeFrom="paragraph">
                        <wp:posOffset>45085</wp:posOffset>
                      </wp:positionV>
                      <wp:extent cx="79375" cy="79375"/>
                      <wp:effectExtent l="4445" t="4445" r="11430" b="11430"/>
                      <wp:wrapNone/>
                      <wp:docPr id="89" name="椭圆 89"/>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4.4pt;margin-top:3.55pt;height:6.25pt;width:6.25pt;z-index:251684864;mso-width-relative:page;mso-height-relative:page;" fillcolor="#FFFF00" filled="t" stroked="t" coordsize="21600,21600" o:gfxdata="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8OsJjZAAAACAEAAA8AAAAAAAAAAQAgAAAAIgAAAGRycy9kb3ducmV2LnhtbFBLAQIU&#10;ABQAAAAIAIdO4kDJc6Xo8gEAABYEAAAOAAAAAAAAAAEAIAAAACgBAABkcnMvZTJvRG9jLnhtbFBL&#10;BQYAAAAABgAGAFkBAACMBQAAAAA=&#10;">
                      <v:fill on="t" focussize="0,0"/>
                      <v:stroke color="#FFFF00" joinstyle="round"/>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2370455</wp:posOffset>
                      </wp:positionH>
                      <wp:positionV relativeFrom="paragraph">
                        <wp:posOffset>116840</wp:posOffset>
                      </wp:positionV>
                      <wp:extent cx="134620" cy="127000"/>
                      <wp:effectExtent l="7620" t="10160" r="10160" b="15240"/>
                      <wp:wrapNone/>
                      <wp:docPr id="95" name="等腰三角形 95"/>
                      <wp:cNvGraphicFramePr/>
                      <a:graphic xmlns:a="http://schemas.openxmlformats.org/drawingml/2006/main">
                        <a:graphicData uri="http://schemas.microsoft.com/office/word/2010/wordprocessingShape">
                          <wps:wsp>
                            <wps:cNvSpPr/>
                            <wps:spPr>
                              <a:xfrm>
                                <a:off x="0" y="0"/>
                                <a:ext cx="134620" cy="127000"/>
                              </a:xfrm>
                              <a:prstGeom prst="triangle">
                                <a:avLst>
                                  <a:gd name="adj" fmla="val 50000"/>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5" type="#_x0000_t5" style="position:absolute;left:0pt;margin-left:186.65pt;margin-top:9.2pt;height:10pt;width:10.6pt;z-index:251677696;mso-width-relative:page;mso-height-relative:page;" fillcolor="#FF0000" filled="t" stroked="t" coordsize="21600,21600" o:gfxdata="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fHg&#10;SdkAAAAJAQAADwAAAAAAAAABACAAAAAiAAAAZHJzL2Rvd25yZXYueG1sUEsBAhQAFAAAAAgAh07i&#10;QDsGIAohAgAAWAQAAA4AAAAAAAAAAQAgAAAAKAEAAGRycy9lMm9Eb2MueG1sUEsFBgAAAAAGAAYA&#10;WQEAALsFAAAAAA==&#10;" adj="10800">
                      <v:fill on="t" focussize="0,0"/>
                      <v:stroke color="#000000" joinstyle="miter"/>
                      <v:imagedata o:title=""/>
                      <o:lock v:ext="edit" aspectratio="f"/>
                    </v:shape>
                  </w:pict>
                </mc:Fallback>
              </mc:AlternateContent>
            </w:r>
            <w:r>
              <w:rPr>
                <w:rFonts w:hint="eastAsia" w:ascii="宋体" w:hAnsi="宋体" w:eastAsia="宋体" w:cs="宋体"/>
                <w:color w:val="auto"/>
                <w:sz w:val="21"/>
                <w:highlight w:val="none"/>
              </w:rPr>
              <mc:AlternateContent>
                <mc:Choice Requires="wps">
                  <w:drawing>
                    <wp:anchor distT="0" distB="0" distL="114300" distR="114300" simplePos="0" relativeHeight="251691008" behindDoc="0" locked="0" layoutInCell="1" allowOverlap="1">
                      <wp:simplePos x="0" y="0"/>
                      <wp:positionH relativeFrom="column">
                        <wp:posOffset>2261870</wp:posOffset>
                      </wp:positionH>
                      <wp:positionV relativeFrom="paragraph">
                        <wp:posOffset>212725</wp:posOffset>
                      </wp:positionV>
                      <wp:extent cx="79375" cy="79375"/>
                      <wp:effectExtent l="4445" t="4445" r="11430" b="11430"/>
                      <wp:wrapNone/>
                      <wp:docPr id="97" name="椭圆 97"/>
                      <wp:cNvGraphicFramePr/>
                      <a:graphic xmlns:a="http://schemas.openxmlformats.org/drawingml/2006/main">
                        <a:graphicData uri="http://schemas.microsoft.com/office/word/2010/wordprocessingShape">
                          <wps:wsp>
                            <wps:cNvSpPr/>
                            <wps:spPr>
                              <a:xfrm>
                                <a:off x="0" y="0"/>
                                <a:ext cx="79375" cy="79375"/>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8.1pt;margin-top:16.75pt;height:6.25pt;width:6.25pt;z-index:251691008;mso-width-relative:page;mso-height-relative:page;" fillcolor="#FFFF00" filled="t" stroked="t" coordsize="21600,21600" o:gfxdata="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v6VpHaAAAACQEAAA8AAAAAAAAAAQAgAAAAIgAAAGRycy9kb3ducmV2LnhtbFBLAQIU&#10;ABQAAAAIAIdO4kBrdjjm8QEAABYEAAAOAAAAAAAAAAEAIAAAACkBAABkcnMvZTJvRG9jLnhtbFBL&#10;BQYAAAAABgAGAFkBAACMBQAAAAA=&#10;">
                      <v:fill on="t" focussize="0,0"/>
                      <v:stroke color="#FFFF00" joinstyle="round"/>
                      <v:imagedata o:title=""/>
                      <o:lock v:ext="edit" aspectratio="f"/>
                    </v:shape>
                  </w:pict>
                </mc:Fallback>
              </mc:AlternateContent>
            </w:r>
          </w:p>
          <w:p>
            <w:pPr>
              <w:pStyle w:val="29"/>
              <w:ind w:firstLine="482"/>
              <w:rPr>
                <w:rFonts w:hint="eastAsia" w:ascii="宋体" w:hAnsi="宋体" w:eastAsia="宋体" w:cs="宋体"/>
                <w:color w:val="auto"/>
                <w:highlight w:val="none"/>
              </w:rPr>
            </w:pPr>
          </w:p>
          <w:p>
            <w:pPr>
              <w:pStyle w:val="29"/>
              <w:ind w:firstLine="482"/>
              <w:rPr>
                <w:rFonts w:hint="eastAsia" w:ascii="宋体" w:hAnsi="宋体" w:eastAsia="宋体" w:cs="宋体"/>
                <w:color w:val="auto"/>
                <w:highlight w:val="none"/>
              </w:rPr>
            </w:pPr>
          </w:p>
          <w:p>
            <w:pPr>
              <w:pStyle w:val="29"/>
              <w:ind w:firstLine="482"/>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92032" behindDoc="0" locked="0" layoutInCell="1" allowOverlap="1">
                  <wp:simplePos x="0" y="0"/>
                  <wp:positionH relativeFrom="column">
                    <wp:posOffset>3682365</wp:posOffset>
                  </wp:positionH>
                  <wp:positionV relativeFrom="paragraph">
                    <wp:posOffset>68580</wp:posOffset>
                  </wp:positionV>
                  <wp:extent cx="1449705" cy="347980"/>
                  <wp:effectExtent l="0" t="0" r="17145" b="13970"/>
                  <wp:wrapNone/>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pic:cNvPicPr>
                            <a:picLocks noChangeAspect="1"/>
                          </pic:cNvPicPr>
                        </pic:nvPicPr>
                        <pic:blipFill>
                          <a:blip r:embed="rId30"/>
                          <a:stretch>
                            <a:fillRect/>
                          </a:stretch>
                        </pic:blipFill>
                        <pic:spPr>
                          <a:xfrm>
                            <a:off x="0" y="0"/>
                            <a:ext cx="1449705" cy="347980"/>
                          </a:xfrm>
                          <a:prstGeom prst="rect">
                            <a:avLst/>
                          </a:prstGeom>
                          <a:noFill/>
                          <a:ln>
                            <a:noFill/>
                          </a:ln>
                        </pic:spPr>
                      </pic:pic>
                    </a:graphicData>
                  </a:graphic>
                </wp:anchor>
              </w:drawing>
            </w:r>
          </w:p>
          <w:p>
            <w:pPr>
              <w:pStyle w:val="29"/>
              <w:ind w:firstLine="482"/>
              <w:rPr>
                <w:rFonts w:hint="eastAsia" w:ascii="宋体" w:hAnsi="宋体" w:eastAsia="宋体" w:cs="宋体"/>
                <w:color w:val="auto"/>
                <w:highlight w:val="none"/>
              </w:rPr>
            </w:pPr>
          </w:p>
          <w:p>
            <w:pPr>
              <w:spacing w:line="480" w:lineRule="exact"/>
              <w:jc w:val="center"/>
              <w:rPr>
                <w:rFonts w:hint="eastAsia" w:ascii="宋体" w:hAnsi="宋体" w:eastAsia="宋体" w:cs="宋体"/>
                <w:bCs/>
                <w:color w:val="auto"/>
                <w:highlight w:val="none"/>
                <w:lang w:val="en-US" w:eastAsia="zh-CN"/>
              </w:rPr>
            </w:pPr>
            <w:r>
              <w:rPr>
                <w:rFonts w:hint="eastAsia" w:ascii="宋体" w:hAnsi="宋体" w:eastAsia="宋体" w:cs="宋体"/>
                <w:bCs/>
                <w:color w:val="auto"/>
                <w:highlight w:val="none"/>
                <w:lang w:val="en-US" w:eastAsia="zh-CN"/>
              </w:rPr>
              <w:t>图7-1  七市110kV变电站厂界及环境敏感目标监测点位图</w:t>
            </w:r>
          </w:p>
          <w:p>
            <w:pPr>
              <w:pStyle w:val="2"/>
              <w:rPr>
                <w:rFonts w:hint="eastAsia" w:ascii="宋体" w:hAnsi="宋体" w:eastAsia="宋体" w:cs="宋体"/>
                <w:bCs/>
                <w:color w:val="auto"/>
                <w:highlight w:val="none"/>
                <w:lang w:val="en-US" w:eastAsia="zh-CN"/>
              </w:rPr>
            </w:pPr>
          </w:p>
          <w:p>
            <w:pPr>
              <w:rPr>
                <w:rFonts w:hint="eastAsia" w:ascii="宋体" w:hAnsi="宋体" w:eastAsia="宋体" w:cs="宋体"/>
                <w:bCs/>
                <w:color w:val="auto"/>
                <w:highlight w:val="none"/>
                <w:lang w:val="en-US" w:eastAsia="zh-CN"/>
              </w:rPr>
            </w:pPr>
          </w:p>
          <w:p>
            <w:pPr>
              <w:pStyle w:val="2"/>
              <w:rPr>
                <w:rFonts w:hint="eastAsia" w:ascii="宋体" w:hAnsi="宋体" w:eastAsia="宋体" w:cs="宋体"/>
                <w:bCs/>
                <w:color w:val="auto"/>
                <w:highlight w:val="none"/>
                <w:lang w:val="en-US" w:eastAsia="zh-CN"/>
              </w:rPr>
            </w:pPr>
          </w:p>
          <w:p>
            <w:pPr>
              <w:rPr>
                <w:rFonts w:hint="eastAsia" w:ascii="宋体" w:hAnsi="宋体" w:eastAsia="宋体" w:cs="宋体"/>
                <w:bCs/>
                <w:color w:val="auto"/>
                <w:highlight w:val="none"/>
                <w:lang w:val="en-US" w:eastAsia="zh-CN"/>
              </w:rPr>
            </w:pPr>
          </w:p>
          <w:p>
            <w:pPr>
              <w:pStyle w:val="2"/>
              <w:rPr>
                <w:rFonts w:hint="eastAsia" w:ascii="宋体" w:hAnsi="宋体" w:eastAsia="宋体" w:cs="宋体"/>
                <w:color w:val="auto"/>
                <w:highlight w:val="none"/>
                <w:lang w:val="en-US" w:eastAsia="zh-CN"/>
              </w:rPr>
            </w:pPr>
          </w:p>
          <w:p>
            <w:pPr>
              <w:pStyle w:val="15"/>
              <w:autoSpaceDE w:val="0"/>
              <w:adjustRightInd w:val="0"/>
              <w:snapToGrid w:val="0"/>
              <w:spacing w:beforeAutospacing="0" w:afterAutospacing="0" w:line="480" w:lineRule="exact"/>
              <w:jc w:val="both"/>
              <w:rPr>
                <w:rFonts w:hint="eastAsia" w:ascii="宋体" w:hAnsi="宋体" w:eastAsia="宋体" w:cs="宋体"/>
                <w:b/>
                <w:bCs/>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2483" w:hRule="atLeast"/>
          <w:jc w:val="center"/>
        </w:trPr>
        <w:tc>
          <w:tcPr>
            <w:tcW w:w="9673" w:type="dxa"/>
            <w:tcBorders>
              <w:tl2br w:val="nil"/>
              <w:tr2bl w:val="nil"/>
            </w:tcBorders>
          </w:tcPr>
          <w:p>
            <w:pPr>
              <w:pStyle w:val="15"/>
              <w:autoSpaceDE w:val="0"/>
              <w:adjustRightInd w:val="0"/>
              <w:snapToGrid w:val="0"/>
              <w:spacing w:beforeAutospacing="0" w:afterAutospacing="0" w:line="48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监测单位、监测时间、监测环境条件</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1、监测单位</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电磁监测单位：黑龙江隆嘉环境检测有限公司。</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噪声监测单位：黑龙江省天顺达检测科技有限公司。</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2、监测时间</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2023年3月22日。</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3、监测环境条件</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本次监测环境条件见表7-1。</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w:t>
            </w:r>
            <w:r>
              <w:rPr>
                <w:rFonts w:hint="eastAsia" w:ascii="宋体" w:hAnsi="宋体" w:eastAsia="宋体" w:cs="宋体"/>
                <w:color w:val="auto"/>
                <w:sz w:val="24"/>
                <w:szCs w:val="24"/>
                <w:highlight w:val="none"/>
                <w:lang w:val="en-US" w:eastAsia="zh-CN"/>
              </w:rPr>
              <w:t>7-1</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本项目验收调查监测气象条件</w:t>
            </w:r>
          </w:p>
          <w:tbl>
            <w:tblPr>
              <w:tblStyle w:val="18"/>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1804"/>
              <w:gridCol w:w="1804"/>
              <w:gridCol w:w="180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99"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监测时间</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天气</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温度（℃）</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风向</w:t>
                  </w:r>
                </w:p>
              </w:tc>
              <w:tc>
                <w:tcPr>
                  <w:tcW w:w="180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9"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多云</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西南风</w:t>
                  </w:r>
                </w:p>
              </w:tc>
              <w:tc>
                <w:tcPr>
                  <w:tcW w:w="180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9"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夜间</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晴</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8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西南风</w:t>
                  </w:r>
                </w:p>
              </w:tc>
              <w:tc>
                <w:tcPr>
                  <w:tcW w:w="180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r>
          </w:tbl>
          <w:p>
            <w:pPr>
              <w:spacing w:line="480" w:lineRule="exact"/>
              <w:ind w:firstLine="480" w:firstLineChars="200"/>
              <w:rPr>
                <w:rFonts w:hint="eastAsia" w:ascii="宋体" w:hAnsi="宋体" w:eastAsia="宋体" w:cs="宋体"/>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2483" w:hRule="atLeast"/>
          <w:jc w:val="center"/>
        </w:trPr>
        <w:tc>
          <w:tcPr>
            <w:tcW w:w="9673" w:type="dxa"/>
            <w:tcBorders>
              <w:tl2br w:val="nil"/>
              <w:tr2bl w:val="nil"/>
            </w:tcBorders>
          </w:tcPr>
          <w:p>
            <w:pPr>
              <w:pStyle w:val="15"/>
              <w:autoSpaceDE w:val="0"/>
              <w:adjustRightInd w:val="0"/>
              <w:snapToGrid w:val="0"/>
              <w:spacing w:beforeAutospacing="0" w:afterAutospacing="0"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监测仪器及工况</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1、监测仪器</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本项目环境监测仪器见表7-2。</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w:t>
            </w:r>
            <w:r>
              <w:rPr>
                <w:rFonts w:hint="eastAsia" w:ascii="宋体" w:hAnsi="宋体" w:eastAsia="宋体" w:cs="宋体"/>
                <w:color w:val="auto"/>
                <w:sz w:val="24"/>
                <w:szCs w:val="24"/>
                <w:highlight w:val="none"/>
                <w:lang w:val="en-US" w:eastAsia="zh-CN"/>
              </w:rPr>
              <w:t>7-2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本项目验收调查监测仪器</w:t>
            </w:r>
          </w:p>
          <w:tbl>
            <w:tblPr>
              <w:tblStyle w:val="18"/>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192"/>
              <w:gridCol w:w="1336"/>
              <w:gridCol w:w="1434"/>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p>
              </w:tc>
              <w:tc>
                <w:tcPr>
                  <w:tcW w:w="219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测量范围</w:t>
                  </w:r>
                </w:p>
              </w:tc>
              <w:tc>
                <w:tcPr>
                  <w:tcW w:w="133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仪器型号</w:t>
                  </w:r>
                </w:p>
              </w:tc>
              <w:tc>
                <w:tcPr>
                  <w:tcW w:w="143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编号</w:t>
                  </w:r>
                </w:p>
              </w:tc>
              <w:tc>
                <w:tcPr>
                  <w:tcW w:w="178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检定有效期至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SEM-600型电磁辐射分析仪</w:t>
                  </w:r>
                </w:p>
              </w:tc>
              <w:tc>
                <w:tcPr>
                  <w:tcW w:w="219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场强仪频率：0.2V/m-320V/m</w:t>
                  </w:r>
                </w:p>
              </w:tc>
              <w:tc>
                <w:tcPr>
                  <w:tcW w:w="133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SEM-600</w:t>
                  </w:r>
                </w:p>
              </w:tc>
              <w:tc>
                <w:tcPr>
                  <w:tcW w:w="1434"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LJ-100</w:t>
                  </w:r>
                </w:p>
              </w:tc>
              <w:tc>
                <w:tcPr>
                  <w:tcW w:w="1784"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2023.10.10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6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AWA5680型声级计</w:t>
                  </w:r>
                </w:p>
              </w:tc>
              <w:tc>
                <w:tcPr>
                  <w:tcW w:w="219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20-132dB</w:t>
                  </w:r>
                </w:p>
              </w:tc>
              <w:tc>
                <w:tcPr>
                  <w:tcW w:w="1336"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AWA5680</w:t>
                  </w:r>
                </w:p>
              </w:tc>
              <w:tc>
                <w:tcPr>
                  <w:tcW w:w="143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SB-YQ-020</w:t>
                  </w:r>
                </w:p>
              </w:tc>
              <w:tc>
                <w:tcPr>
                  <w:tcW w:w="1784"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2023.8.15</w:t>
                  </w:r>
                </w:p>
              </w:tc>
            </w:tr>
          </w:tbl>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2、运行工况</w:t>
            </w:r>
          </w:p>
          <w:p>
            <w:p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本次验收调查监测时期，变压器运行工况见表7-3。</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w:t>
            </w:r>
            <w:r>
              <w:rPr>
                <w:rFonts w:hint="eastAsia" w:ascii="宋体" w:hAnsi="宋体" w:eastAsia="宋体" w:cs="宋体"/>
                <w:color w:val="auto"/>
                <w:sz w:val="24"/>
                <w:szCs w:val="24"/>
                <w:highlight w:val="none"/>
                <w:lang w:val="en-US" w:eastAsia="zh-CN"/>
              </w:rPr>
              <w:t>7-3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本项目验收调查运行工况</w:t>
            </w:r>
          </w:p>
          <w:tbl>
            <w:tblPr>
              <w:tblStyle w:val="18"/>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3544"/>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61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名称</w:t>
                  </w:r>
                </w:p>
              </w:tc>
              <w:tc>
                <w:tcPr>
                  <w:tcW w:w="354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电流（kVA）</w:t>
                  </w:r>
                </w:p>
              </w:tc>
              <w:tc>
                <w:tcPr>
                  <w:tcW w:w="3000"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电压（kV）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61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1号主变</w:t>
                  </w:r>
                </w:p>
              </w:tc>
              <w:tc>
                <w:tcPr>
                  <w:tcW w:w="3544"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31500</w:t>
                  </w:r>
                </w:p>
              </w:tc>
              <w:tc>
                <w:tcPr>
                  <w:tcW w:w="3000"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61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2号主变</w:t>
                  </w:r>
                </w:p>
              </w:tc>
              <w:tc>
                <w:tcPr>
                  <w:tcW w:w="3544"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31500</w:t>
                  </w:r>
                </w:p>
              </w:tc>
              <w:tc>
                <w:tcPr>
                  <w:tcW w:w="3000" w:type="dxa"/>
                  <w:noWrap w:val="0"/>
                  <w:vAlign w:val="center"/>
                </w:tcPr>
                <w:p>
                  <w:pPr>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109.9</w:t>
                  </w:r>
                </w:p>
              </w:tc>
            </w:tr>
          </w:tbl>
          <w:p>
            <w:pPr>
              <w:pStyle w:val="15"/>
              <w:autoSpaceDE w:val="0"/>
              <w:adjustRightInd w:val="0"/>
              <w:snapToGrid w:val="0"/>
              <w:spacing w:beforeAutospacing="0" w:afterAutospacing="0" w:line="480" w:lineRule="exact"/>
              <w:jc w:val="both"/>
              <w:rPr>
                <w:rFonts w:hint="eastAsia" w:ascii="宋体" w:hAnsi="宋体" w:eastAsia="宋体" w:cs="宋体"/>
                <w:b/>
                <w:bCs/>
                <w:color w:val="auto"/>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none" w:color="auto" w:sz="0" w:space="0"/>
          </w:tblBorders>
          <w:tblCellMar>
            <w:top w:w="0" w:type="dxa"/>
            <w:left w:w="108" w:type="dxa"/>
            <w:bottom w:w="0" w:type="dxa"/>
            <w:right w:w="108" w:type="dxa"/>
          </w:tblCellMar>
        </w:tblPrEx>
        <w:trPr>
          <w:trHeight w:val="2483" w:hRule="atLeast"/>
          <w:jc w:val="center"/>
        </w:trPr>
        <w:tc>
          <w:tcPr>
            <w:tcW w:w="9673" w:type="dxa"/>
            <w:tcBorders>
              <w:tl2br w:val="nil"/>
              <w:tr2bl w:val="nil"/>
            </w:tcBorders>
          </w:tcPr>
          <w:p>
            <w:pPr>
              <w:pStyle w:val="15"/>
              <w:autoSpaceDE w:val="0"/>
              <w:adjustRightInd w:val="0"/>
              <w:snapToGrid w:val="0"/>
              <w:spacing w:beforeAutospacing="0" w:afterAutospacing="0" w:line="480" w:lineRule="exact"/>
              <w:jc w:val="both"/>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监测结果分析</w:t>
            </w:r>
          </w:p>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1、电磁环境监测结果</w:t>
            </w:r>
          </w:p>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变电站厂界及环境敏感目标电磁环境监测结果见表7-4。</w:t>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ind w:left="0" w:leftChars="0" w:firstLine="0" w:firstLineChars="0"/>
              <w:rPr>
                <w:rFonts w:hint="eastAsia" w:ascii="宋体" w:hAnsi="宋体" w:eastAsia="宋体" w:cs="宋体"/>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w:t>
            </w:r>
            <w:r>
              <w:rPr>
                <w:rFonts w:hint="eastAsia" w:ascii="宋体" w:hAnsi="宋体" w:eastAsia="宋体" w:cs="宋体"/>
                <w:color w:val="auto"/>
                <w:sz w:val="24"/>
                <w:szCs w:val="24"/>
                <w:highlight w:val="none"/>
                <w:lang w:val="en-US" w:eastAsia="zh-CN"/>
              </w:rPr>
              <w:t>7-4</w:t>
            </w:r>
            <w:r>
              <w:rPr>
                <w:rFonts w:hint="eastAsia" w:ascii="宋体" w:hAnsi="宋体" w:eastAsia="宋体" w:cs="宋体"/>
                <w:color w:val="auto"/>
                <w:sz w:val="24"/>
                <w:szCs w:val="24"/>
                <w:highlight w:val="none"/>
              </w:rPr>
              <w:t xml:space="preserve">  </w:t>
            </w:r>
            <w:r>
              <w:rPr>
                <w:rFonts w:hint="eastAsia" w:ascii="宋体" w:hAnsi="宋体" w:eastAsia="宋体" w:cs="宋体"/>
                <w:color w:val="auto"/>
                <w:highlight w:val="none"/>
                <w:lang w:val="en-US" w:eastAsia="zh-CN"/>
              </w:rPr>
              <w:t>变电站厂界及环境敏感目标电磁环境监测结果</w:t>
            </w:r>
          </w:p>
          <w:tbl>
            <w:tblPr>
              <w:tblStyle w:val="18"/>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612"/>
              <w:gridCol w:w="2098"/>
              <w:gridCol w:w="240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点位描述</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工频电场强度（V/m）</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工频磁感应强度（μT）</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110kV七市变站东侧①</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24.52</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0.0515</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110kV七市变站东侧②</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18.56</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0.0469</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110kV七市变站南侧①</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244.8</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0.0499</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110kV七市变站南侧②</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289.1</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0.0505</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110kV七市变站西侧①</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64.25</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0.0623</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110kV七市变站西侧②</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89.36</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0.0524</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110kV七市变站北侧①</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19.42</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0.0507</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61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110kV七市变站北侧②</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17.27</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0.0512</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612"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西侧14户居民区</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10.02</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0.0518</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612"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南侧9户居民区</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9.31</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0.0506</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612" w:type="dxa"/>
                  <w:noWrap w:val="0"/>
                  <w:vAlign w:val="center"/>
                </w:tcPr>
                <w:p>
                  <w:pPr>
                    <w:spacing w:beforeLines="0" w:afterLines="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西南侧勘探三队家属楼</w:t>
                  </w:r>
                </w:p>
              </w:tc>
              <w:tc>
                <w:tcPr>
                  <w:tcW w:w="209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14.22</w:t>
                  </w:r>
                </w:p>
              </w:tc>
              <w:tc>
                <w:tcPr>
                  <w:tcW w:w="240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0.0498</w:t>
                  </w:r>
                </w:p>
              </w:tc>
              <w:tc>
                <w:tcPr>
                  <w:tcW w:w="1208"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p>
              </w:tc>
            </w:tr>
          </w:tbl>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从表7-4可知，七市110kV变电站厂界工频电场强度监测值为17.27-289.1V/m，工频磁感应强度监测值为0.0469-0.0623μT；环境敏感目标处的工频电场强度监测值为9.31-14.22V/m，工频磁感应强度监测值为0.0498-0.0518μT。均满足《电磁环境控制限值》（GB8702-2014）中工频电场强度4000V/m以及工频磁感应强度100μT标准限值要求。</w:t>
            </w:r>
          </w:p>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2、声环境监测结果</w:t>
            </w:r>
          </w:p>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变电站厂界及环境敏感目标声环境监测结果见表7-5。</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表</w:t>
            </w:r>
            <w:r>
              <w:rPr>
                <w:rFonts w:hint="eastAsia" w:ascii="宋体" w:hAnsi="宋体" w:eastAsia="宋体" w:cs="宋体"/>
                <w:color w:val="auto"/>
                <w:sz w:val="24"/>
                <w:szCs w:val="24"/>
                <w:highlight w:val="none"/>
                <w:lang w:val="en-US" w:eastAsia="zh-CN"/>
              </w:rPr>
              <w:t>7-5</w:t>
            </w:r>
            <w:r>
              <w:rPr>
                <w:rFonts w:hint="eastAsia" w:ascii="宋体" w:hAnsi="宋体" w:eastAsia="宋体" w:cs="宋体"/>
                <w:color w:val="auto"/>
                <w:sz w:val="24"/>
                <w:szCs w:val="24"/>
                <w:highlight w:val="none"/>
              </w:rPr>
              <w:t xml:space="preserve">  </w:t>
            </w:r>
            <w:r>
              <w:rPr>
                <w:rFonts w:hint="eastAsia" w:ascii="宋体" w:hAnsi="宋体" w:eastAsia="宋体" w:cs="宋体"/>
                <w:color w:val="auto"/>
                <w:highlight w:val="none"/>
                <w:lang w:val="en-US" w:eastAsia="zh-CN"/>
              </w:rPr>
              <w:t>变电站厂界及环境敏感目标声环境监测结果</w:t>
            </w:r>
          </w:p>
          <w:tbl>
            <w:tblPr>
              <w:tblStyle w:val="1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965"/>
              <w:gridCol w:w="2382"/>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296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点位描述</w:t>
                  </w:r>
                </w:p>
              </w:tc>
              <w:tc>
                <w:tcPr>
                  <w:tcW w:w="238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昼间测量值dB(A)</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夜间测量值dB(A)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965"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110kV七市变站东侧</w:t>
                  </w:r>
                </w:p>
              </w:tc>
              <w:tc>
                <w:tcPr>
                  <w:tcW w:w="238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41.2</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965"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110kV七市变站南侧</w:t>
                  </w:r>
                </w:p>
              </w:tc>
              <w:tc>
                <w:tcPr>
                  <w:tcW w:w="2382"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43.4</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965"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110kV七市变站西侧</w:t>
                  </w:r>
                </w:p>
              </w:tc>
              <w:tc>
                <w:tcPr>
                  <w:tcW w:w="2382"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42.8</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965"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110kV七市变站北侧</w:t>
                  </w:r>
                </w:p>
              </w:tc>
              <w:tc>
                <w:tcPr>
                  <w:tcW w:w="2382"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43.4</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965"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西侧14户居民区</w:t>
                  </w:r>
                </w:p>
              </w:tc>
              <w:tc>
                <w:tcPr>
                  <w:tcW w:w="238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43.8</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965" w:type="dxa"/>
                  <w:noWrap w:val="0"/>
                  <w:vAlign w:val="center"/>
                </w:tcPr>
                <w:p>
                  <w:pPr>
                    <w:ind w:left="0" w:leftChars="0" w:right="0" w:righ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南侧9户居民区</w:t>
                  </w:r>
                </w:p>
              </w:tc>
              <w:tc>
                <w:tcPr>
                  <w:tcW w:w="238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43.6</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4"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965" w:type="dxa"/>
                  <w:noWrap w:val="0"/>
                  <w:vAlign w:val="center"/>
                </w:tcPr>
                <w:p>
                  <w:pPr>
                    <w:spacing w:beforeLines="0" w:afterLines="0"/>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西南侧勘探三队家属楼</w:t>
                  </w:r>
                </w:p>
              </w:tc>
              <w:tc>
                <w:tcPr>
                  <w:tcW w:w="2382"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44.2</w:t>
                  </w:r>
                </w:p>
              </w:tc>
              <w:tc>
                <w:tcPr>
                  <w:tcW w:w="2727" w:type="dxa"/>
                  <w:noWrap w:val="0"/>
                  <w:vAlign w:val="center"/>
                </w:tcPr>
                <w:p>
                  <w:pPr>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37.2</w:t>
                  </w:r>
                </w:p>
              </w:tc>
            </w:tr>
          </w:tbl>
          <w:p>
            <w:pPr>
              <w:numPr>
                <w:ilvl w:val="0"/>
                <w:numId w:val="0"/>
              </w:numPr>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从表7-5可知，七市110kV变电站厂界噪声监测值昼间为41.2-43.4dB(A)，夜间为38.4-39.6dB(A)，满足《工业企业厂界环境噪声排放标准》（GB12348-2008）中2类标准限值要求；环境敏感目标处的声环境监测值昼间为43.6-44.2dB(A)，夜间为37.2-38.8dB(A)，满足《声环境质量标准》（GB3096-2008）中2类标准限值要求。</w:t>
            </w:r>
          </w:p>
          <w:p>
            <w:pPr>
              <w:numPr>
                <w:ilvl w:val="0"/>
                <w:numId w:val="0"/>
              </w:numPr>
              <w:spacing w:line="480" w:lineRule="exact"/>
              <w:ind w:firstLine="480" w:firstLineChars="200"/>
              <w:rPr>
                <w:rFonts w:hint="eastAsia" w:ascii="宋体" w:hAnsi="宋体" w:eastAsia="宋体" w:cs="宋体"/>
                <w:color w:val="auto"/>
                <w:highlight w:val="none"/>
                <w:lang w:val="en-US" w:eastAsia="zh-CN"/>
              </w:rPr>
            </w:pPr>
          </w:p>
          <w:p>
            <w:pPr>
              <w:numPr>
                <w:ilvl w:val="0"/>
                <w:numId w:val="0"/>
              </w:numPr>
              <w:spacing w:line="480" w:lineRule="exact"/>
              <w:ind w:firstLine="480" w:firstLineChars="200"/>
              <w:rPr>
                <w:rFonts w:hint="eastAsia" w:ascii="宋体" w:hAnsi="宋体" w:eastAsia="宋体" w:cs="宋体"/>
                <w:color w:val="auto"/>
                <w:highlight w:val="none"/>
                <w:lang w:val="en-US" w:eastAsia="zh-CN"/>
              </w:rPr>
            </w:pPr>
          </w:p>
          <w:p>
            <w:pPr>
              <w:numPr>
                <w:ilvl w:val="0"/>
                <w:numId w:val="0"/>
              </w:numPr>
              <w:spacing w:line="480" w:lineRule="exact"/>
              <w:ind w:firstLine="482" w:firstLineChars="200"/>
              <w:rPr>
                <w:rFonts w:hint="eastAsia" w:ascii="宋体" w:hAnsi="宋体" w:eastAsia="宋体" w:cs="宋体"/>
                <w:b/>
                <w:bCs/>
                <w:color w:val="auto"/>
                <w:highlight w:val="none"/>
                <w:lang w:eastAsia="zh-CN"/>
              </w:rPr>
            </w:pPr>
          </w:p>
        </w:tc>
      </w:tr>
    </w:tbl>
    <w:p>
      <w:pPr>
        <w:pStyle w:val="2"/>
        <w:ind w:firstLine="0"/>
        <w:rPr>
          <w:rFonts w:hint="eastAsia" w:ascii="宋体" w:hAnsi="宋体" w:eastAsia="宋体" w:cs="宋体"/>
          <w:color w:val="auto"/>
          <w:sz w:val="21"/>
          <w:szCs w:val="21"/>
          <w:highlight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八、</w:t>
      </w:r>
      <w:r>
        <w:rPr>
          <w:rFonts w:hint="eastAsia" w:ascii="宋体" w:hAnsi="宋体" w:eastAsia="宋体" w:cs="宋体"/>
          <w:b/>
          <w:bCs/>
          <w:color w:val="auto"/>
          <w:sz w:val="28"/>
          <w:highlight w:val="none"/>
        </w:rPr>
        <w:t>环境影响调查</w:t>
      </w:r>
    </w:p>
    <w:tbl>
      <w:tblPr>
        <w:tblStyle w:val="17"/>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99"/>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Merge w:val="restart"/>
            <w:vAlign w:val="center"/>
          </w:tcPr>
          <w:p>
            <w:pPr>
              <w:adjustRightInd w:val="0"/>
              <w:snapToGrid w:val="0"/>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施工期</w:t>
            </w:r>
          </w:p>
        </w:tc>
        <w:tc>
          <w:tcPr>
            <w:tcW w:w="899"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生态影响</w:t>
            </w:r>
          </w:p>
        </w:tc>
        <w:tc>
          <w:tcPr>
            <w:tcW w:w="8287" w:type="dxa"/>
            <w:vAlign w:val="center"/>
          </w:tcPr>
          <w:p>
            <w:pPr>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本项目属于变电站增容改造工程，根据调查，本工程均在变电站区围墙内建设，未在站外进行施工，未新增占地，建设完成后对站内进行了硬化处理，不会对周围生态环境产生不利影响。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9" w:hRule="atLeast"/>
          <w:jc w:val="center"/>
        </w:trPr>
        <w:tc>
          <w:tcPr>
            <w:tcW w:w="487" w:type="dxa"/>
            <w:vMerge w:val="continue"/>
            <w:vAlign w:val="center"/>
          </w:tcPr>
          <w:p>
            <w:pPr>
              <w:adjustRightInd w:val="0"/>
              <w:snapToGrid w:val="0"/>
              <w:spacing w:line="480" w:lineRule="exact"/>
              <w:jc w:val="center"/>
              <w:rPr>
                <w:rFonts w:hint="eastAsia" w:ascii="宋体" w:hAnsi="宋体" w:eastAsia="宋体" w:cs="宋体"/>
                <w:color w:val="auto"/>
                <w:highlight w:val="none"/>
              </w:rPr>
            </w:pPr>
          </w:p>
        </w:tc>
        <w:tc>
          <w:tcPr>
            <w:tcW w:w="899"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污染影响</w:t>
            </w:r>
          </w:p>
        </w:tc>
        <w:tc>
          <w:tcPr>
            <w:tcW w:w="8287" w:type="dxa"/>
            <w:vAlign w:val="center"/>
          </w:tcPr>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1、声环境影响</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根据现场踏勘及咨询施工单位，本项目施工中严格控制了施工噪声，夜间没有施工现象，施工期噪声无超标情况，施工噪声对周围环境的影响较小。 </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2、大气环境影响</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施工期对道路进行了洒水处理，施工场地进行了遮盖，施工垃圾进行了清运，运输时控制了运输车辆的车速，没有在大风天气施工现象，工期短，范围小，对大气环境影响很小。</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3、水环境影响调查 </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施工人员产生的生活污水依托站内设施处理；施工废水经沉淀后用于洒水抑尘，不外排；施工期无施工废水、生活污水随意排放现象，对周围环境影响较小。</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4、固体废物环境影响调查 </w:t>
            </w:r>
          </w:p>
          <w:p>
            <w:pPr>
              <w:adjustRightInd w:val="0"/>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本次施工在变电站围墙内进行，施工期没有土方外弃；施工现场无生活垃圾随意丢弃现象，生活垃圾集中收集后及时倒入规定地点。建筑垃圾进行了分类收集，集中堆放，并清运至指定地方。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Merge w:val="restart"/>
            <w:vAlign w:val="center"/>
          </w:tcPr>
          <w:p>
            <w:pPr>
              <w:adjustRightInd w:val="0"/>
              <w:snapToGrid w:val="0"/>
              <w:spacing w:line="240" w:lineRule="atLeas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环境保护设施调试期</w:t>
            </w:r>
          </w:p>
        </w:tc>
        <w:tc>
          <w:tcPr>
            <w:tcW w:w="899"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生态影响</w:t>
            </w:r>
          </w:p>
        </w:tc>
        <w:tc>
          <w:tcPr>
            <w:tcW w:w="8287" w:type="dxa"/>
            <w:vAlign w:val="center"/>
          </w:tcPr>
          <w:p>
            <w:pPr>
              <w:keepNext w:val="0"/>
              <w:keepLines w:val="0"/>
              <w:widowControl/>
              <w:suppressLineNumbers w:val="0"/>
              <w:ind w:firstLine="480" w:firstLineChars="200"/>
              <w:jc w:val="left"/>
              <w:rPr>
                <w:rFonts w:hint="eastAsia" w:ascii="宋体" w:hAnsi="宋体" w:eastAsia="宋体" w:cs="宋体"/>
                <w:color w:val="auto"/>
                <w:highlight w:val="none"/>
                <w:lang w:val="de-DE"/>
              </w:rPr>
            </w:pPr>
            <w:r>
              <w:rPr>
                <w:rFonts w:hint="eastAsia" w:ascii="宋体" w:hAnsi="宋体" w:eastAsia="宋体" w:cs="宋体"/>
                <w:color w:val="auto"/>
                <w:kern w:val="0"/>
                <w:sz w:val="24"/>
                <w:szCs w:val="24"/>
                <w:highlight w:val="none"/>
                <w:lang w:val="en-US" w:eastAsia="zh-CN" w:bidi="ar"/>
              </w:rPr>
              <w:t>项目在站区围墙内建设，不新增占地，对周围生态环境无影响。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vMerge w:val="continue"/>
            <w:vAlign w:val="center"/>
          </w:tcPr>
          <w:p>
            <w:pPr>
              <w:adjustRightInd w:val="0"/>
              <w:snapToGrid w:val="0"/>
              <w:spacing w:line="480" w:lineRule="exact"/>
              <w:jc w:val="center"/>
              <w:rPr>
                <w:rFonts w:hint="eastAsia" w:ascii="宋体" w:hAnsi="宋体" w:eastAsia="宋体" w:cs="宋体"/>
                <w:color w:val="auto"/>
                <w:highlight w:val="none"/>
              </w:rPr>
            </w:pPr>
          </w:p>
        </w:tc>
        <w:tc>
          <w:tcPr>
            <w:tcW w:w="899" w:type="dxa"/>
            <w:vAlign w:val="center"/>
          </w:tcPr>
          <w:p>
            <w:pPr>
              <w:adjustRightInd w:val="0"/>
              <w:snapToGrid w:val="0"/>
              <w:jc w:val="center"/>
              <w:rPr>
                <w:rFonts w:hint="eastAsia" w:ascii="宋体" w:hAnsi="宋体" w:eastAsia="宋体" w:cs="宋体"/>
                <w:color w:val="auto"/>
                <w:highlight w:val="none"/>
              </w:rPr>
            </w:pPr>
            <w:r>
              <w:rPr>
                <w:rFonts w:hint="eastAsia" w:ascii="宋体" w:hAnsi="宋体" w:eastAsia="宋体" w:cs="宋体"/>
                <w:color w:val="auto"/>
                <w:highlight w:val="none"/>
              </w:rPr>
              <w:t>污染影响</w:t>
            </w:r>
          </w:p>
        </w:tc>
        <w:tc>
          <w:tcPr>
            <w:tcW w:w="8287" w:type="dxa"/>
            <w:vAlign w:val="center"/>
          </w:tcPr>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1、电磁环境影响</w:t>
            </w:r>
          </w:p>
          <w:p>
            <w:pPr>
              <w:keepNext w:val="0"/>
              <w:keepLines w:val="0"/>
              <w:widowControl/>
              <w:suppressLineNumbers w:val="0"/>
              <w:spacing w:line="360" w:lineRule="auto"/>
              <w:ind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现场监测结果表明，</w:t>
            </w:r>
            <w:r>
              <w:rPr>
                <w:rFonts w:hint="eastAsia" w:ascii="宋体" w:hAnsi="宋体" w:eastAsia="宋体" w:cs="宋体"/>
                <w:color w:val="auto"/>
                <w:highlight w:val="none"/>
                <w:lang w:val="en-US" w:eastAsia="zh-CN"/>
              </w:rPr>
              <w:t>七市110kV变电站厂界工频电场强度监测值为17.27-289.1V/m，工频磁感应强度监测值为0.0469-0.0623μT；环境敏感目标处的工频电场强度监测值为9.31-14.22V/m，工频磁感应强度监测值为0.0498-0.0518μT。</w:t>
            </w:r>
            <w:r>
              <w:rPr>
                <w:rFonts w:hint="eastAsia" w:ascii="宋体" w:hAnsi="宋体" w:eastAsia="宋体" w:cs="宋体"/>
                <w:color w:val="auto"/>
                <w:kern w:val="0"/>
                <w:sz w:val="24"/>
                <w:szCs w:val="24"/>
                <w:highlight w:val="none"/>
                <w:lang w:val="en-US" w:eastAsia="zh-CN" w:bidi="ar"/>
              </w:rPr>
              <w:t xml:space="preserve">变电站及环境敏感目标处的工频电场强度、工频磁感应强度监测值均满足《电磁环境控制限值》（GB8702-2014）中工频电场强度4000V/m的限值要求、工频磁感应强度100μT的限值要求。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2、声环境影响</w:t>
            </w:r>
          </w:p>
          <w:p>
            <w:pPr>
              <w:keepNext w:val="0"/>
              <w:keepLines w:val="0"/>
              <w:widowControl/>
              <w:suppressLineNumbers w:val="0"/>
              <w:spacing w:line="360" w:lineRule="auto"/>
              <w:ind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Cs/>
                <w:color w:val="auto"/>
                <w:highlight w:val="none"/>
                <w:lang w:val="en-US" w:eastAsia="zh-CN"/>
              </w:rPr>
              <w:t>选用低噪声设备，并设置基础减震设施，建设单位已将该项目列入环保监督计划，定期进行监测。</w:t>
            </w:r>
            <w:r>
              <w:rPr>
                <w:rFonts w:hint="eastAsia" w:ascii="宋体" w:hAnsi="宋体" w:eastAsia="宋体" w:cs="宋体"/>
                <w:color w:val="auto"/>
                <w:kern w:val="0"/>
                <w:sz w:val="24"/>
                <w:szCs w:val="24"/>
                <w:highlight w:val="none"/>
                <w:lang w:val="en-US" w:eastAsia="zh-CN" w:bidi="ar"/>
              </w:rPr>
              <w:t>现场监测结果表明，</w:t>
            </w:r>
            <w:r>
              <w:rPr>
                <w:rFonts w:hint="eastAsia" w:ascii="宋体" w:hAnsi="宋体" w:eastAsia="宋体" w:cs="宋体"/>
                <w:color w:val="auto"/>
                <w:highlight w:val="none"/>
                <w:lang w:val="en-US" w:eastAsia="zh-CN"/>
              </w:rPr>
              <w:t>七市110kV变电站厂界噪声监测值昼间为41.2-43.4dB(A)，夜间为38.4-39.6dB(A)，</w:t>
            </w:r>
            <w:r>
              <w:rPr>
                <w:rFonts w:hint="eastAsia" w:ascii="宋体" w:hAnsi="宋体" w:eastAsia="宋体" w:cs="宋体"/>
                <w:color w:val="auto"/>
                <w:kern w:val="0"/>
                <w:sz w:val="24"/>
                <w:szCs w:val="24"/>
                <w:highlight w:val="none"/>
                <w:lang w:val="en-US" w:eastAsia="zh-CN" w:bidi="ar"/>
              </w:rPr>
              <w:t>变电站厂界声环境满足《工业企业厂界环境噪声排放标准》（GB12348-2008）中2类标准限值要求；</w:t>
            </w:r>
            <w:r>
              <w:rPr>
                <w:rFonts w:hint="eastAsia" w:ascii="宋体" w:hAnsi="宋体" w:eastAsia="宋体" w:cs="宋体"/>
                <w:color w:val="auto"/>
                <w:highlight w:val="none"/>
                <w:lang w:val="en-US" w:eastAsia="zh-CN"/>
              </w:rPr>
              <w:t>环境敏感目标处的声环境监测值昼间为43.6-44.2dB(A)，夜间为37.2-38.8dB(A)，</w:t>
            </w:r>
            <w:r>
              <w:rPr>
                <w:rFonts w:hint="eastAsia" w:ascii="宋体" w:hAnsi="宋体" w:eastAsia="宋体" w:cs="宋体"/>
                <w:color w:val="auto"/>
                <w:kern w:val="0"/>
                <w:sz w:val="24"/>
                <w:szCs w:val="24"/>
                <w:highlight w:val="none"/>
                <w:lang w:val="en-US" w:eastAsia="zh-CN" w:bidi="ar"/>
              </w:rPr>
              <w:t>满足《声环境质量标准》（GB3096-2008）中2类标准限值要求。</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3、水环境影响</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七市110kV变电站为无人值守站，不新增运行人员，不会产生生活污水。</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输电线路营运期不产生废水。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4、固体废弃物影响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七市110kV变电站为无人值守站，本期增容改造后不新增工作人员，不新增生活垃圾。</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Cs/>
                <w:color w:val="auto"/>
                <w:highlight w:val="none"/>
                <w:lang w:val="en-US" w:eastAsia="zh-CN"/>
              </w:rPr>
              <w:t>根据现场踏勘及调查结果，</w:t>
            </w:r>
            <w:r>
              <w:rPr>
                <w:rFonts w:hint="eastAsia" w:ascii="宋体" w:hAnsi="宋体" w:eastAsia="宋体" w:cs="宋体"/>
                <w:color w:val="auto"/>
                <w:highlight w:val="none"/>
                <w:lang w:eastAsia="zh-CN"/>
              </w:rPr>
              <w:t>变电站尚未更换蓄电池，待更换时，产生的废旧蓄电池直接由有资质单位进行处置，不在站内储存。</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5、环境风险调查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本项目涉及的环境风险为变压器油外泄造成环境影响，</w:t>
            </w:r>
            <w:r>
              <w:rPr>
                <w:rFonts w:hint="eastAsia" w:ascii="宋体" w:hAnsi="宋体" w:eastAsia="宋体" w:cs="宋体"/>
                <w:bCs/>
                <w:color w:val="auto"/>
                <w:highlight w:val="none"/>
                <w:lang w:val="en-US" w:eastAsia="zh-CN"/>
              </w:rPr>
              <w:t>变电站建有事故油池（22m</w:t>
            </w:r>
            <w:r>
              <w:rPr>
                <w:rFonts w:hint="eastAsia" w:ascii="宋体" w:hAnsi="宋体" w:eastAsia="宋体" w:cs="宋体"/>
                <w:bCs/>
                <w:color w:val="auto"/>
                <w:highlight w:val="none"/>
                <w:vertAlign w:val="superscript"/>
                <w:lang w:val="en-US" w:eastAsia="zh-CN"/>
              </w:rPr>
              <w:t>3</w:t>
            </w:r>
            <w:r>
              <w:rPr>
                <w:rFonts w:hint="eastAsia" w:ascii="宋体" w:hAnsi="宋体" w:eastAsia="宋体" w:cs="宋体"/>
                <w:bCs/>
                <w:color w:val="auto"/>
                <w:highlight w:val="none"/>
                <w:lang w:val="en-US" w:eastAsia="zh-CN"/>
              </w:rPr>
              <w:t>），事故油池日常仅作为事故备用，主变发生事故时，主变压器油通过事故油坑排入事故油池，公司立即按照事故应急响应机制，委托有资质的单位进行转移处理，并按要求办理危险废物转移联单，变电站运营期间未出现事故漏油外泄情况</w:t>
            </w:r>
            <w:r>
              <w:rPr>
                <w:rFonts w:hint="eastAsia" w:ascii="宋体" w:hAnsi="宋体" w:eastAsia="宋体" w:cs="宋体"/>
                <w:color w:val="auto"/>
                <w:kern w:val="0"/>
                <w:sz w:val="24"/>
                <w:szCs w:val="24"/>
                <w:highlight w:val="none"/>
                <w:lang w:val="en-US" w:eastAsia="zh-CN" w:bidi="ar"/>
              </w:rPr>
              <w:t>，七市110kV变电站运营期间未发生事故排油。</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highlight w:val="none"/>
                <w:lang w:val="en-US" w:eastAsia="zh-CN"/>
              </w:rPr>
              <w:t>为正确、快速、高效处置此类风险事故，企业建立风险防范制度。以预防为主，通过宣传教育，增强员工防范突发环境风险事故的意识和掌握应急处置知识；坚持不懈做好应急准备工作，落实各项防范措施；对站内各环境要素全面覆盖，全面监控，以保证环境信息的完整性、连续性；对关键和重点部位污染源实施重点监控。国家电网有限公司根据有关法规及要求编制了《国家电网有限公司突发环境事件应急预案》，国网黑龙江省电力有限公司编制了《国网黑龙江省电力有限公司环境污染事件处置应急预案》，国网黑龙江省电力有限公司哈尔滨供电公司依据国网公司和省公司应急预案要求制定了严格的检修操作规程及风险应急预案。</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七市110kV变电站内建有容积为22m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的事故油池，根据主变铭牌标识，油重15000kg，折合容积约16.77m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，根据《变电站和换流站给水排水设计规程》（DL/T 5143-2018），事故油池容积能够满足变电站内油量最大1台变压器油量100%排入的要求。</w:t>
            </w: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ascii="宋体" w:hAnsi="宋体" w:eastAsia="宋体" w:cs="宋体"/>
                <w:color w:val="auto"/>
                <w:kern w:val="0"/>
                <w:sz w:val="24"/>
                <w:szCs w:val="24"/>
                <w:highlight w:val="none"/>
                <w:lang w:val="en-US" w:eastAsia="zh-CN" w:bidi="ar"/>
              </w:rPr>
            </w:pPr>
          </w:p>
          <w:p>
            <w:pPr>
              <w:pStyle w:val="2"/>
              <w:rPr>
                <w:rFonts w:hint="eastAsia" w:ascii="宋体" w:hAnsi="宋体" w:eastAsia="宋体" w:cs="宋体"/>
                <w:color w:val="auto"/>
                <w:kern w:val="0"/>
                <w:sz w:val="24"/>
                <w:szCs w:val="24"/>
                <w:highlight w:val="none"/>
                <w:lang w:val="en-US" w:eastAsia="zh-CN" w:bidi="ar"/>
              </w:rPr>
            </w:pPr>
          </w:p>
          <w:p>
            <w:pPr>
              <w:rPr>
                <w:rFonts w:hint="eastAsia"/>
                <w:lang w:val="en-US" w:eastAsia="zh-CN"/>
              </w:rPr>
            </w:pPr>
          </w:p>
        </w:tc>
      </w:tr>
    </w:tbl>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九、</w:t>
      </w:r>
      <w:r>
        <w:rPr>
          <w:rFonts w:hint="eastAsia" w:ascii="宋体" w:hAnsi="宋体" w:eastAsia="宋体" w:cs="宋体"/>
          <w:b/>
          <w:bCs/>
          <w:color w:val="auto"/>
          <w:sz w:val="28"/>
          <w:highlight w:val="none"/>
        </w:rPr>
        <w:t>环境管理状况及监测计划</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atLeast"/>
          <w:jc w:val="center"/>
        </w:trPr>
        <w:tc>
          <w:tcPr>
            <w:tcW w:w="5000" w:type="pct"/>
          </w:tcPr>
          <w:p>
            <w:pPr>
              <w:pStyle w:val="2"/>
              <w:adjustRightInd w:val="0"/>
              <w:snapToGrid w:val="0"/>
              <w:spacing w:line="480" w:lineRule="exact"/>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rPr>
              <w:t>环境管理机构设置</w:t>
            </w:r>
            <w:r>
              <w:rPr>
                <w:rFonts w:hint="eastAsia" w:ascii="宋体" w:hAnsi="宋体" w:eastAsia="宋体" w:cs="宋体"/>
                <w:b/>
                <w:bCs/>
                <w:color w:val="auto"/>
                <w:highlight w:val="none"/>
                <w:lang w:eastAsia="zh-CN"/>
              </w:rPr>
              <w:t>（分施工期和环境保护设施调试期）</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1、施工期</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（1）施工单位</w:t>
            </w:r>
            <w:r>
              <w:rPr>
                <w:rFonts w:hint="eastAsia" w:ascii="宋体" w:hAnsi="宋体" w:eastAsia="宋体" w:cs="宋体"/>
                <w:bCs/>
                <w:color w:val="auto"/>
                <w:highlight w:val="none"/>
                <w:lang w:eastAsia="zh-CN"/>
              </w:rPr>
              <w:t>七台河富兴电力工程有限责任公司</w:t>
            </w:r>
            <w:r>
              <w:rPr>
                <w:rFonts w:hint="eastAsia" w:ascii="宋体" w:hAnsi="宋体" w:eastAsia="宋体" w:cs="宋体"/>
                <w:color w:val="auto"/>
                <w:highlight w:val="none"/>
                <w:lang w:val="en-US" w:eastAsia="zh-CN"/>
              </w:rPr>
              <w:t>在项目建设过程中，严格执行了建设单位统一制定的各项环境保护管理制度，建立了环境保护与文明施工管理体系，拟定了环保措施，环境管理机构人员及项目</w:t>
            </w:r>
            <w:r>
              <w:rPr>
                <w:rFonts w:hint="eastAsia" w:ascii="宋体" w:hAnsi="宋体" w:eastAsia="宋体" w:cs="宋体"/>
                <w:color w:val="auto"/>
                <w:highlight w:val="none"/>
                <w:lang w:eastAsia="zh-CN"/>
              </w:rPr>
              <w:t>监理单位黑龙江安泰电力工程建设监理有限责任公司</w:t>
            </w:r>
            <w:r>
              <w:rPr>
                <w:rFonts w:hint="eastAsia" w:ascii="宋体" w:hAnsi="宋体" w:eastAsia="宋体" w:cs="宋体"/>
                <w:color w:val="auto"/>
                <w:highlight w:val="none"/>
                <w:lang w:val="en-US" w:eastAsia="zh-CN"/>
              </w:rPr>
              <w:t>监理人员对施工活动进行全过程环境监督，通过严格检查确保施工中的每一道工序满足环保要求，使施工期环境保护措施得到全面落实。</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建设单位在项目建设过程中，严格执行国家电网公司统一制定的各项环境保护管理制度，并组织各参建单位认真贯彻落实各项标准与制度，保证环保措施的落实。项目监理人员对施工活动进行全过程环境监督，通过严格检查确保施工中的每一道工序满足环保要求，使施工期环境保护措施得到了全面落实。 </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监理单位在施工过程中，严格敦促施工单位执行了建设单位统一制定的各项环境保护管理制度，保证环保措施落实；严格监督承包商执行设计和环境影响评价文件中提出的生态保护和污染防治措施、遵守环境保护方面的法律法规；加强施工人员的培训，使环评和设计中的环保措施得以实施。 </w:t>
            </w:r>
          </w:p>
          <w:p>
            <w:pPr>
              <w:pStyle w:val="2"/>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2、环境保护设施调试期 </w:t>
            </w:r>
          </w:p>
          <w:p>
            <w:pPr>
              <w:pStyle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为了贯彻落实《建设项目环境保护管理条例》，加强项目的环境保护工作的领导和管理，</w:t>
            </w:r>
            <w:r>
              <w:rPr>
                <w:rFonts w:hint="eastAsia" w:ascii="宋体" w:hAnsi="宋体" w:eastAsia="宋体" w:cs="宋体"/>
                <w:color w:val="auto"/>
                <w:kern w:val="2"/>
                <w:sz w:val="24"/>
                <w:szCs w:val="24"/>
                <w:highlight w:val="none"/>
                <w:lang w:val="en-US" w:eastAsia="zh-CN" w:bidi="ar-SA"/>
              </w:rPr>
              <w:t>国网黑龙江省电力有限公司七台河供电公司</w:t>
            </w:r>
            <w:r>
              <w:rPr>
                <w:rFonts w:hint="eastAsia" w:ascii="宋体" w:hAnsi="宋体" w:eastAsia="宋体" w:cs="宋体"/>
                <w:color w:val="auto"/>
                <w:highlight w:val="none"/>
                <w:lang w:val="en-US" w:eastAsia="zh-CN"/>
              </w:rPr>
              <w:t>对环境保护工作非常重视，根据要求，设置环保职能管理部门和环保兼职管理人员，从管理上保证环境保护措施的有效实施。</w:t>
            </w: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anchor distT="0" distB="0" distL="114300" distR="114300" simplePos="0" relativeHeight="251697152" behindDoc="0" locked="0" layoutInCell="1" allowOverlap="1">
                  <wp:simplePos x="0" y="0"/>
                  <wp:positionH relativeFrom="column">
                    <wp:posOffset>1383030</wp:posOffset>
                  </wp:positionH>
                  <wp:positionV relativeFrom="paragraph">
                    <wp:posOffset>15875</wp:posOffset>
                  </wp:positionV>
                  <wp:extent cx="3165475" cy="2372995"/>
                  <wp:effectExtent l="0" t="0" r="15875" b="8255"/>
                  <wp:wrapNone/>
                  <wp:docPr id="10" name="图片 10" descr="121834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18348897"/>
                          <pic:cNvPicPr>
                            <a:picLocks noChangeAspect="1"/>
                          </pic:cNvPicPr>
                        </pic:nvPicPr>
                        <pic:blipFill>
                          <a:blip r:embed="rId31"/>
                          <a:stretch>
                            <a:fillRect/>
                          </a:stretch>
                        </pic:blipFill>
                        <pic:spPr>
                          <a:xfrm>
                            <a:off x="0" y="0"/>
                            <a:ext cx="3165475" cy="2372995"/>
                          </a:xfrm>
                          <a:prstGeom prst="rect">
                            <a:avLst/>
                          </a:prstGeom>
                        </pic:spPr>
                      </pic:pic>
                    </a:graphicData>
                  </a:graphic>
                </wp:anchor>
              </w:drawing>
            </w:r>
          </w:p>
          <w:p>
            <w:pPr>
              <w:pStyle w:val="2"/>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rPr>
            </w:pPr>
          </w:p>
          <w:p>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施工组织照片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5000" w:type="pct"/>
            <w:vAlign w:val="center"/>
          </w:tcPr>
          <w:p>
            <w:pPr>
              <w:pStyle w:val="2"/>
              <w:adjustRightInd w:val="0"/>
              <w:snapToGrid w:val="0"/>
              <w:spacing w:line="480" w:lineRule="exact"/>
              <w:ind w:firstLine="0"/>
              <w:rPr>
                <w:rFonts w:hint="eastAsia" w:ascii="宋体" w:hAnsi="宋体" w:eastAsia="宋体" w:cs="宋体"/>
                <w:b/>
                <w:bCs/>
                <w:color w:val="auto"/>
                <w:kern w:val="2"/>
                <w:sz w:val="24"/>
                <w:szCs w:val="24"/>
                <w:highlight w:val="none"/>
                <w:lang w:val="de-DE" w:eastAsia="zh-CN" w:bidi="ar-SA"/>
              </w:rPr>
            </w:pPr>
            <w:r>
              <w:rPr>
                <w:rFonts w:hint="eastAsia" w:ascii="宋体" w:hAnsi="宋体" w:eastAsia="宋体" w:cs="宋体"/>
                <w:b/>
                <w:bCs/>
                <w:color w:val="auto"/>
                <w:kern w:val="2"/>
                <w:sz w:val="24"/>
                <w:szCs w:val="24"/>
                <w:highlight w:val="none"/>
                <w:lang w:val="en-US" w:eastAsia="zh-CN" w:bidi="ar-SA"/>
              </w:rPr>
              <w:t>环境监测计划及环境保护档案管理情况</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1、环境监测计划落实情况 </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根据工程环境影响报告表中的环境监测计划规定，项目正式开始运行后按要求进行监测，由建设单位委托有监测资质的单位负责定期对电磁环境进行监测，及时掌握工程的电磁环境状况。项目建成投入运行后，由</w:t>
            </w:r>
            <w:r>
              <w:rPr>
                <w:rFonts w:hint="eastAsia" w:ascii="宋体" w:hAnsi="宋体" w:eastAsia="宋体" w:cs="宋体"/>
                <w:bCs/>
                <w:color w:val="auto"/>
                <w:highlight w:val="none"/>
                <w:lang w:eastAsia="zh-CN"/>
              </w:rPr>
              <w:t>黑龙江省天顺达检测科技有限公司</w:t>
            </w:r>
            <w:r>
              <w:rPr>
                <w:rFonts w:hint="eastAsia" w:ascii="宋体" w:hAnsi="宋体" w:eastAsia="宋体" w:cs="宋体"/>
                <w:color w:val="auto"/>
                <w:kern w:val="2"/>
                <w:sz w:val="24"/>
                <w:szCs w:val="24"/>
                <w:highlight w:val="none"/>
                <w:lang w:val="en-US" w:eastAsia="zh-CN" w:bidi="ar-SA"/>
              </w:rPr>
              <w:t>对项目的电磁环境和噪声进行了竣工验收监测。</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本项目环境监测计划实施情况见表9-1。</w:t>
            </w:r>
          </w:p>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表9-1  环境监测计划一览表</w:t>
            </w:r>
          </w:p>
          <w:tbl>
            <w:tblPr>
              <w:tblStyle w:val="17"/>
              <w:tblW w:w="85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67"/>
              <w:gridCol w:w="792"/>
              <w:gridCol w:w="1936"/>
              <w:gridCol w:w="50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2728" w:type="dxa"/>
                  <w:gridSpan w:val="2"/>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名称</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restart"/>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92" w:type="dxa"/>
                  <w:vMerge w:val="restart"/>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电磁</w:t>
                  </w:r>
                </w:p>
              </w:tc>
              <w:tc>
                <w:tcPr>
                  <w:tcW w:w="1936"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点位布设</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变电站站界外及环境敏感目标处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监测因子</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工频电场、工频磁场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监测方法</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《交流输变电工程电磁环境监测方法（试行）》（HJ681-2013）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监测频次和时间</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竣工环境保护验收监测一次，正式运行后纳入国网黑龙江省电力公司环境保护技术监督监测计划，每四年监测一次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restart"/>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92" w:type="dxa"/>
                  <w:vMerge w:val="restart"/>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噪声</w:t>
                  </w:r>
                </w:p>
              </w:tc>
              <w:tc>
                <w:tcPr>
                  <w:tcW w:w="1936" w:type="dxa"/>
                  <w:noWrap w:val="0"/>
                  <w:vAlign w:val="center"/>
                </w:tcPr>
                <w:p>
                  <w:pPr>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点位布设</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变电站站界外及环境敏感目标处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监测因子</w:t>
                  </w:r>
                </w:p>
              </w:tc>
              <w:tc>
                <w:tcPr>
                  <w:tcW w:w="5063" w:type="dxa"/>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昼间、夜间等效连续</w:t>
                  </w:r>
                  <w:r>
                    <w:rPr>
                      <w:rFonts w:hint="eastAsia" w:ascii="宋体" w:hAnsi="宋体" w:eastAsia="宋体" w:cs="宋体"/>
                      <w:color w:val="auto"/>
                      <w:sz w:val="21"/>
                      <w:szCs w:val="21"/>
                      <w:highlight w:val="none"/>
                      <w:lang w:val="en-US" w:eastAsia="zh-CN"/>
                    </w:rPr>
                    <w:t>A声级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监测方法</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《声环境质量标准》（GB3096-2008），《工业企业厂界环境噪声排放标准》（GB12348-2008）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6" w:hRule="atLeast"/>
                <w:jc w:val="center"/>
              </w:trPr>
              <w:tc>
                <w:tcPr>
                  <w:tcW w:w="767"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792" w:type="dxa"/>
                  <w:vMerge w:val="continue"/>
                  <w:noWrap w:val="0"/>
                  <w:vAlign w:val="center"/>
                </w:tcPr>
                <w:p>
                  <w:pPr>
                    <w:jc w:val="center"/>
                    <w:rPr>
                      <w:rFonts w:hint="eastAsia" w:ascii="宋体" w:hAnsi="宋体" w:eastAsia="宋体" w:cs="宋体"/>
                      <w:color w:val="auto"/>
                      <w:sz w:val="21"/>
                      <w:szCs w:val="21"/>
                      <w:highlight w:val="none"/>
                      <w:lang w:eastAsia="zh-CN"/>
                    </w:rPr>
                  </w:pPr>
                </w:p>
              </w:tc>
              <w:tc>
                <w:tcPr>
                  <w:tcW w:w="1936" w:type="dxa"/>
                  <w:noWrap w:val="0"/>
                  <w:vAlign w:val="center"/>
                </w:tcPr>
                <w:p>
                  <w:pPr>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监测频次和时间</w:t>
                  </w:r>
                </w:p>
              </w:tc>
              <w:tc>
                <w:tcPr>
                  <w:tcW w:w="5063" w:type="dxa"/>
                  <w:noWrap w:val="0"/>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竣工环境保护验收监测一次，正式运行后纳入国网黑龙江省电力公司环境保护技术监督监测计划，每四年监测一次</w:t>
                  </w:r>
                </w:p>
              </w:tc>
            </w:tr>
          </w:tbl>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2、环境保护档案管理情况 </w:t>
            </w:r>
          </w:p>
          <w:p>
            <w:pPr>
              <w:pStyle w:val="2"/>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项目的环境影响评价审查、审批手续齐全，可行性研究、环境影响评价、初步设计文件及其批复等资料均已成册存档。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Pr>
          <w:p>
            <w:pPr>
              <w:pStyle w:val="2"/>
              <w:adjustRightInd w:val="0"/>
              <w:snapToGrid w:val="0"/>
              <w:spacing w:line="480" w:lineRule="exact"/>
              <w:ind w:firstLine="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环境管理状况分析</w:t>
            </w:r>
          </w:p>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为了贯彻落实《建设项目环境保护管理条例》，加强本项目的环境保护工作的领导和管理，建设单位对环境保护工作非常重视，设有兼职环境保护人员负责环境管理工作，从管理上保证环境保护措施的有效实施。建设过程中，未发生施工期环境污染事件，未收到环境投诉。 </w:t>
            </w:r>
          </w:p>
          <w:p>
            <w:pPr>
              <w:pStyle w:val="2"/>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建设单位建立了项目环境保护档案，各项环境管理工作和监测计划均符合环境影响报告表及批复文件的要求。建设单位依法执行了建设项目环境保护“三同时”制度，试运行期未收到环境投诉，也未发生环境污染事件</w:t>
            </w:r>
            <w:r>
              <w:rPr>
                <w:rFonts w:hint="eastAsia" w:ascii="宋体" w:hAnsi="宋体" w:eastAsia="宋体" w:cs="宋体"/>
                <w:color w:val="auto"/>
                <w:kern w:val="24"/>
                <w:sz w:val="24"/>
                <w:szCs w:val="24"/>
                <w:highlight w:val="none"/>
                <w:shd w:val="clear" w:color="auto" w:fill="auto"/>
              </w:rPr>
              <w:t>。</w:t>
            </w:r>
          </w:p>
        </w:tc>
      </w:tr>
    </w:tbl>
    <w:p>
      <w:pPr>
        <w:pStyle w:val="2"/>
        <w:spacing w:line="240" w:lineRule="auto"/>
        <w:ind w:firstLine="0"/>
        <w:jc w:val="center"/>
        <w:outlineLvl w:val="0"/>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lang w:eastAsia="zh-CN"/>
        </w:rPr>
        <w:t>十、竣工环境保护验收</w:t>
      </w:r>
      <w:r>
        <w:rPr>
          <w:rFonts w:hint="eastAsia" w:ascii="宋体" w:hAnsi="宋体" w:eastAsia="宋体" w:cs="宋体"/>
          <w:b/>
          <w:bCs/>
          <w:color w:val="auto"/>
          <w:sz w:val="28"/>
          <w:highlight w:val="none"/>
        </w:rPr>
        <w:t>调查结论及建议</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9288" w:type="dxa"/>
          </w:tcPr>
          <w:p>
            <w:pPr>
              <w:adjustRightInd w:val="0"/>
              <w:snapToGrid w:val="0"/>
              <w:spacing w:line="48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调查结论</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通过对黑龙江七台河七市110千伏变电站增容改造工程的环境状况调查，分析有关技术文件、报告等，核实项目的环境保护措施落实情况，以及分析与评价该工程的验收监测结 果，从环境保护角度，提出如下调查结论和建议</w:t>
            </w:r>
          </w:p>
          <w:p>
            <w:pPr>
              <w:pStyle w:val="2"/>
              <w:adjustRightInd w:val="0"/>
              <w:snapToGrid w:val="0"/>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1、项目概况 </w:t>
            </w:r>
          </w:p>
          <w:p>
            <w:pPr>
              <w:pStyle w:val="2"/>
              <w:adjustRightInd w:val="0"/>
              <w:snapToGrid w:val="0"/>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黑龙江七台河七市110千伏变电站增容改造工程位于七台河市桃山区与茄子河区交界处。工程内容：将110kV七市变2×20MVA+31.5MVA主变更换为2台31.5MVA主变，拆除原有31.5MVA主变，更换2套中性点装置。更换1#主变35kV侧进线隔离开关2组。10kVI段、Ⅱ段主变进线柜以及10kV母联柜分别更换3台电流互感器。土建部分新上钢管设备支架，新建25米避雷针1座。本期更换110kV富强变电站110kV线路三端光纤保护装置1套。通讯部分新上双光口622MB/S光接口板1块，0DF光纤分配架扩容1套。更换110kV万宝变电站110kV线路三端光纤保护装置1套。通讯部分新上双光口622MB/S光接口板1块，0DF光纤分配架扩容1套。本工程改造新万分改接富万线110千伏线路导线长0.lkm，光缆4.2km。</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本期工程在变电站围墙内建设，不新增占地。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项目总投资1446万元，其中环保投资31.5万元，占总投资的2.18%。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2、环境保护措施落实情况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本项目的设计文件、环境影响报告表及批复文件均提出了相关的环保措施和建议。根据验收现场调查、走访咨询调查，各项措施和建议在工程设计、施工及运行过程中已落实。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3、环境影响调查分析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（1）设计、施工期环境影响调查</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项目在设计的过程中，在考虑项目可能的环境影响的基础上，对各种环境影响提出了相关对策并落实到项目设计之中。建设单位针对施工期的各类环境影响分别采取了防治措施。通过验收调查可知，建设单位对项目采取生态恢复效果良好。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（2）生态环境影响调查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本项目为改扩建工程，在变电站围墙内建设，不新增占地，对周围生态环境无影响。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（3）污染影响调查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①工频电场、工频磁场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现场监测结果表明，变电站厂界及环境敏感目标处工频电场强度、工频磁感应强度监测值均满足《电磁环境控制限值》（GB8702-2014）中工频电场强度4000V/m以及工频磁感应强度100μT标准限值要求。</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②声环境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现场监测结果表明，变电站厂界声环境满足《工业企业厂界环境噪声排放标准》（GB12348-2008）中2类标准限值要求；环境敏感目标处声环境满足《声环境质量标准》（GB3096-2008）中2类。</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③水环境</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施工人员产生的生活污水利用站内原有设施处理；施工废水经沉淀后用于洒水抑尘，不外排；施工期无施工废水、生活污水随意排放，对周围水环境影响较小。本项目施工集中在变电站围墙内，施工过程中严格执行了各项环境保护措施。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七市110kV变电站为无人值守站，本期增容改造后不新增运行人员，无生活污水。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④固体废弃物</w:t>
            </w:r>
          </w:p>
          <w:p>
            <w:pPr>
              <w:pStyle w:val="2"/>
              <w:adjustRightInd w:val="0"/>
              <w:snapToGrid w:val="0"/>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施工在变电站围墙内进行，施工期无垃圾乱堆乱放现象，施工结束后垃圾及时处理。施工期间产生的建筑垃圾和生活垃圾均得到了妥善处置，不会污染周围环境。本项目施工集中在变电站围墙内，施工过程中严格执行了各项环境保护措施。</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七市110kV变电站为无人值守站，本期增容改造后不新增运行人员，无生活垃圾。</w:t>
            </w:r>
            <w:r>
              <w:rPr>
                <w:rFonts w:hint="eastAsia" w:ascii="宋体" w:hAnsi="宋体" w:eastAsia="宋体" w:cs="宋体"/>
                <w:color w:val="auto"/>
                <w:highlight w:val="none"/>
                <w:lang w:eastAsia="zh-CN"/>
              </w:rPr>
              <w:t>变电站尚未更换蓄电池，待更换时，产生的废旧蓄电池直接由有资质单位进行处置，不在站内储存。</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4、环境风险分析</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工程在运行过程中可能引发环境风险事故隐患主要为事故油外泄。七市110kV变电站内建有容积为22m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的事故油池。</w:t>
            </w:r>
            <w:r>
              <w:rPr>
                <w:rFonts w:hint="eastAsia" w:ascii="宋体" w:hAnsi="宋体" w:eastAsia="宋体" w:cs="宋体"/>
                <w:color w:val="auto"/>
                <w:kern w:val="0"/>
                <w:sz w:val="24"/>
                <w:szCs w:val="24"/>
                <w:highlight w:val="none"/>
                <w:lang w:val="en-US" w:eastAsia="zh-CN" w:bidi="ar"/>
              </w:rPr>
              <w:t>根据主变铭牌标识，油重15000kg，折合容积约16.77m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highlight w:val="none"/>
                <w:lang w:val="en-US" w:eastAsia="zh-CN"/>
              </w:rPr>
              <w:t>满足《变电站和换流站给水排水设计规程》（DL/T 5143-2018），事故油池容积能够满足变电站内油量最大1台变压器油量100%排入的要求。</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5、环境管理与监测</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环境管理状况及监测计划落实情况调查结果表明，本项目在建设过程中较好地落实了建设项目环境保护“三同时”制度，建设单位环境保护管理组织机构健全，管理规章制度较完善，环境监测计划得到落实。 </w:t>
            </w:r>
          </w:p>
          <w:p>
            <w:pPr>
              <w:pStyle w:val="2"/>
              <w:adjustRightInd w:val="0"/>
              <w:snapToGrid w:val="0"/>
              <w:spacing w:line="48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6、调查结论 </w:t>
            </w:r>
          </w:p>
          <w:p>
            <w:pPr>
              <w:pStyle w:val="2"/>
              <w:adjustRightInd w:val="0"/>
              <w:snapToGrid w:val="0"/>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实施无重大变动；项目在设计、施工和环境保护设施调试期落实了环境影响报告表及批复中提出的各项环保要求，采取了有效的污染防治措施和生态保护措施，变电站及周围环境敏感目标监测数据均满足相关标准及限值要求，该项目具备环保验收的条件。明确今后建设单位应该加强变电站站管理，落实各项环境风险措施防范制度，落实项目制定的电磁和噪声监测计划，按照相关要求对蓄电池和事故油等危险废物进行妥善处置。建议该项目通过竣工环境保护验收。</w:t>
            </w:r>
          </w:p>
          <w:p>
            <w:pPr>
              <w:pStyle w:val="8"/>
              <w:rPr>
                <w:rFonts w:hint="eastAsia" w:ascii="宋体" w:hAnsi="宋体" w:eastAsia="宋体" w:cs="宋体"/>
                <w:color w:val="auto"/>
                <w:highlight w:val="none"/>
              </w:rPr>
            </w:pPr>
          </w:p>
          <w:p>
            <w:pPr>
              <w:pStyle w:val="2"/>
              <w:ind w:firstLine="0"/>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9288" w:type="dxa"/>
          </w:tcPr>
          <w:p>
            <w:pPr>
              <w:keepNext w:val="0"/>
              <w:keepLines w:val="0"/>
              <w:widowControl/>
              <w:suppressLineNumbers w:val="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建议</w:t>
            </w:r>
          </w:p>
          <w:p>
            <w:pPr>
              <w:pStyle w:val="2"/>
              <w:adjustRightInd w:val="0"/>
              <w:snapToGrid w:val="0"/>
              <w:spacing w:line="48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继续做好对工程周边公众的电磁环境知识宣传工作，提高公众对本项目的了解程度。</w:t>
            </w: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bookmarkStart w:id="0" w:name="_GoBack"/>
            <w:bookmarkEnd w:id="0"/>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pStyle w:val="2"/>
              <w:ind w:firstLine="0"/>
              <w:rPr>
                <w:rFonts w:hint="eastAsia" w:ascii="宋体" w:hAnsi="宋体" w:eastAsia="宋体" w:cs="宋体"/>
                <w:color w:val="auto"/>
                <w:highlight w:val="none"/>
                <w:lang w:eastAsia="zh-CN"/>
              </w:rPr>
            </w:pPr>
          </w:p>
        </w:tc>
      </w:tr>
    </w:tbl>
    <w:p>
      <w:pPr>
        <w:pStyle w:val="2"/>
        <w:ind w:firstLine="0"/>
        <w:rPr>
          <w:rFonts w:hint="eastAsia" w:ascii="宋体" w:hAnsi="宋体" w:eastAsia="宋体" w:cs="宋体"/>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pStyle w:val="2"/>
        <w:spacing w:line="240" w:lineRule="auto"/>
        <w:ind w:firstLine="0"/>
        <w:outlineLvl w:val="0"/>
        <w:rPr>
          <w:rFonts w:hint="eastAsia" w:ascii="宋体" w:hAnsi="宋体" w:eastAsia="宋体" w:cs="宋体"/>
          <w:b/>
          <w:bCs/>
          <w:color w:val="auto"/>
          <w:szCs w:val="22"/>
          <w:highlight w:val="none"/>
          <w:lang w:val="en-US" w:eastAsia="zh-CN"/>
        </w:rPr>
      </w:pPr>
      <w:r>
        <w:rPr>
          <w:rFonts w:hint="eastAsia" w:ascii="宋体" w:hAnsi="宋体" w:eastAsia="宋体" w:cs="宋体"/>
          <w:b/>
          <w:bCs/>
          <w:color w:val="auto"/>
          <w:szCs w:val="22"/>
          <w:highlight w:val="none"/>
          <w:lang w:eastAsia="zh-CN"/>
        </w:rPr>
        <w:t>附件</w:t>
      </w:r>
      <w:r>
        <w:rPr>
          <w:rFonts w:hint="eastAsia" w:ascii="宋体" w:hAnsi="宋体" w:eastAsia="宋体" w:cs="宋体"/>
          <w:b/>
          <w:bCs/>
          <w:color w:val="auto"/>
          <w:szCs w:val="22"/>
          <w:highlight w:val="none"/>
          <w:lang w:val="en-US" w:eastAsia="zh-CN"/>
        </w:rPr>
        <w:t>1  环境影响评价批复文件</w:t>
      </w: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r>
        <w:rPr>
          <w:rFonts w:hint="eastAsia" w:ascii="宋体" w:hAnsi="宋体" w:eastAsia="宋体" w:cs="宋体"/>
          <w:color w:val="auto"/>
          <w:highlight w:val="none"/>
        </w:rPr>
        <w:drawing>
          <wp:anchor distT="0" distB="0" distL="114300" distR="114300" simplePos="0" relativeHeight="251663360" behindDoc="0" locked="0" layoutInCell="1" allowOverlap="1">
            <wp:simplePos x="0" y="0"/>
            <wp:positionH relativeFrom="column">
              <wp:posOffset>106680</wp:posOffset>
            </wp:positionH>
            <wp:positionV relativeFrom="paragraph">
              <wp:posOffset>60325</wp:posOffset>
            </wp:positionV>
            <wp:extent cx="5424170" cy="7025640"/>
            <wp:effectExtent l="0" t="0" r="5080" b="3810"/>
            <wp:wrapNone/>
            <wp:docPr id="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6"/>
                    <pic:cNvPicPr>
                      <a:picLocks noChangeAspect="1"/>
                    </pic:cNvPicPr>
                  </pic:nvPicPr>
                  <pic:blipFill>
                    <a:blip r:embed="rId32"/>
                    <a:stretch>
                      <a:fillRect/>
                    </a:stretch>
                  </pic:blipFill>
                  <pic:spPr>
                    <a:xfrm>
                      <a:off x="0" y="0"/>
                      <a:ext cx="5424170" cy="7025640"/>
                    </a:xfrm>
                    <a:prstGeom prst="rect">
                      <a:avLst/>
                    </a:prstGeom>
                    <a:noFill/>
                    <a:ln>
                      <a:noFill/>
                    </a:ln>
                  </pic:spPr>
                </pic:pic>
              </a:graphicData>
            </a:graphic>
          </wp:anchor>
        </w:drawing>
      </w: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b/>
          <w:bCs/>
          <w:color w:val="auto"/>
          <w:szCs w:val="22"/>
          <w:highlight w:val="none"/>
          <w:lang w:val="en-US" w:eastAsia="zh-CN"/>
        </w:rPr>
      </w:pPr>
    </w:p>
    <w:p>
      <w:pPr>
        <w:pStyle w:val="2"/>
        <w:rPr>
          <w:rFonts w:hint="eastAsia" w:ascii="宋体" w:hAnsi="宋体" w:eastAsia="宋体" w:cs="宋体"/>
          <w:b/>
          <w:bCs/>
          <w:color w:val="auto"/>
          <w:szCs w:val="22"/>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anchor distT="0" distB="0" distL="114300" distR="114300" simplePos="0" relativeHeight="251664384" behindDoc="0" locked="0" layoutInCell="1" allowOverlap="1">
            <wp:simplePos x="0" y="0"/>
            <wp:positionH relativeFrom="column">
              <wp:posOffset>128270</wp:posOffset>
            </wp:positionH>
            <wp:positionV relativeFrom="paragraph">
              <wp:posOffset>265430</wp:posOffset>
            </wp:positionV>
            <wp:extent cx="5480050" cy="8049895"/>
            <wp:effectExtent l="0" t="0" r="6350" b="8255"/>
            <wp:wrapSquare wrapText="bothSides"/>
            <wp:docPr id="1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7"/>
                    <pic:cNvPicPr>
                      <a:picLocks noChangeAspect="1"/>
                    </pic:cNvPicPr>
                  </pic:nvPicPr>
                  <pic:blipFill>
                    <a:blip r:embed="rId33"/>
                    <a:stretch>
                      <a:fillRect/>
                    </a:stretch>
                  </pic:blipFill>
                  <pic:spPr>
                    <a:xfrm>
                      <a:off x="0" y="0"/>
                      <a:ext cx="5480050" cy="8049895"/>
                    </a:xfrm>
                    <a:prstGeom prst="rect">
                      <a:avLst/>
                    </a:prstGeom>
                    <a:noFill/>
                    <a:ln>
                      <a:noFill/>
                    </a:ln>
                  </pic:spPr>
                </pic:pic>
              </a:graphicData>
            </a:graphic>
          </wp:anchor>
        </w:drawing>
      </w:r>
    </w:p>
    <w:p>
      <w:pPr>
        <w:rPr>
          <w:rFonts w:hint="eastAsia" w:ascii="宋体" w:hAnsi="宋体" w:eastAsia="宋体" w:cs="宋体"/>
          <w:color w:val="auto"/>
          <w:highlight w:val="none"/>
          <w:lang w:val="en-US" w:eastAsia="zh-CN"/>
        </w:rPr>
      </w:pP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anchor distT="0" distB="0" distL="114300" distR="114300" simplePos="0" relativeHeight="251665408" behindDoc="0" locked="0" layoutInCell="1" allowOverlap="1">
            <wp:simplePos x="0" y="0"/>
            <wp:positionH relativeFrom="column">
              <wp:posOffset>145415</wp:posOffset>
            </wp:positionH>
            <wp:positionV relativeFrom="paragraph">
              <wp:posOffset>71120</wp:posOffset>
            </wp:positionV>
            <wp:extent cx="5556885" cy="7945755"/>
            <wp:effectExtent l="0" t="0" r="5715" b="17145"/>
            <wp:wrapSquare wrapText="bothSides"/>
            <wp:docPr id="1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8"/>
                    <pic:cNvPicPr>
                      <a:picLocks noChangeAspect="1"/>
                    </pic:cNvPicPr>
                  </pic:nvPicPr>
                  <pic:blipFill>
                    <a:blip r:embed="rId34"/>
                    <a:stretch>
                      <a:fillRect/>
                    </a:stretch>
                  </pic:blipFill>
                  <pic:spPr>
                    <a:xfrm>
                      <a:off x="0" y="0"/>
                      <a:ext cx="5556885" cy="7945755"/>
                    </a:xfrm>
                    <a:prstGeom prst="rect">
                      <a:avLst/>
                    </a:prstGeom>
                    <a:noFill/>
                    <a:ln>
                      <a:noFill/>
                    </a:ln>
                  </pic:spPr>
                </pic:pic>
              </a:graphicData>
            </a:graphic>
          </wp:anchor>
        </w:drawing>
      </w:r>
    </w:p>
    <w:p>
      <w:pPr>
        <w:pStyle w:val="2"/>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r>
        <w:rPr>
          <w:rFonts w:hint="eastAsia" w:ascii="宋体" w:hAnsi="宋体" w:eastAsia="宋体" w:cs="宋体"/>
          <w:b/>
          <w:bCs/>
          <w:color w:val="auto"/>
          <w:szCs w:val="22"/>
          <w:highlight w:val="none"/>
          <w:lang w:val="en-US" w:eastAsia="zh-CN"/>
        </w:rPr>
        <w:t>附件2  竣工环境保护验收监测报告</w:t>
      </w:r>
    </w:p>
    <w:p>
      <w:pPr>
        <w:pStyle w:val="2"/>
        <w:spacing w:line="240" w:lineRule="auto"/>
        <w:ind w:firstLine="0"/>
        <w:outlineLvl w:val="0"/>
        <w:rPr>
          <w:rFonts w:hint="eastAsia" w:ascii="宋体" w:hAnsi="宋体" w:eastAsia="宋体" w:cs="宋体"/>
          <w:b/>
          <w:bCs/>
          <w:color w:val="auto"/>
          <w:szCs w:val="22"/>
          <w:highlight w:val="none"/>
        </w:rPr>
      </w:pPr>
      <w:r>
        <w:rPr>
          <w:color w:val="auto"/>
          <w:highlight w:val="none"/>
        </w:rPr>
        <w:drawing>
          <wp:anchor distT="0" distB="0" distL="114300" distR="114300" simplePos="0" relativeHeight="251698176" behindDoc="0" locked="0" layoutInCell="1" allowOverlap="1">
            <wp:simplePos x="0" y="0"/>
            <wp:positionH relativeFrom="column">
              <wp:posOffset>79375</wp:posOffset>
            </wp:positionH>
            <wp:positionV relativeFrom="paragraph">
              <wp:posOffset>127000</wp:posOffset>
            </wp:positionV>
            <wp:extent cx="5762625" cy="8077200"/>
            <wp:effectExtent l="0" t="0" r="9525" b="0"/>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5"/>
                    <a:stretch>
                      <a:fillRect/>
                    </a:stretch>
                  </pic:blipFill>
                  <pic:spPr>
                    <a:xfrm>
                      <a:off x="0" y="0"/>
                      <a:ext cx="5762625" cy="8077200"/>
                    </a:xfrm>
                    <a:prstGeom prst="rect">
                      <a:avLst/>
                    </a:prstGeom>
                    <a:noFill/>
                    <a:ln>
                      <a:noFill/>
                    </a:ln>
                  </pic:spPr>
                </pic:pic>
              </a:graphicData>
            </a:graphic>
          </wp:anchor>
        </w:drawing>
      </w:r>
    </w:p>
    <w:p>
      <w:pPr>
        <w:pStyle w:val="2"/>
        <w:spacing w:line="240" w:lineRule="auto"/>
        <w:ind w:firstLine="0"/>
        <w:outlineLvl w:val="0"/>
        <w:rPr>
          <w:rFonts w:hint="eastAsia" w:ascii="宋体" w:hAnsi="宋体" w:eastAsia="宋体" w:cs="宋体"/>
          <w:b/>
          <w:bCs/>
          <w:color w:val="auto"/>
          <w:szCs w:val="22"/>
          <w:highlight w:val="none"/>
        </w:rPr>
      </w:pPr>
    </w:p>
    <w:p>
      <w:pPr>
        <w:rPr>
          <w:rFonts w:hint="eastAsia" w:ascii="宋体" w:hAnsi="宋体" w:eastAsia="宋体" w:cs="宋体"/>
          <w:b/>
          <w:bCs/>
          <w:color w:val="auto"/>
          <w:szCs w:val="22"/>
          <w:highlight w:val="none"/>
        </w:rPr>
      </w:pPr>
      <w:r>
        <w:rPr>
          <w:color w:val="auto"/>
          <w:highlight w:val="none"/>
        </w:rPr>
        <w:drawing>
          <wp:anchor distT="0" distB="0" distL="114300" distR="114300" simplePos="0" relativeHeight="251699200" behindDoc="0" locked="0" layoutInCell="1" allowOverlap="1">
            <wp:simplePos x="0" y="0"/>
            <wp:positionH relativeFrom="column">
              <wp:posOffset>15875</wp:posOffset>
            </wp:positionH>
            <wp:positionV relativeFrom="paragraph">
              <wp:posOffset>238125</wp:posOffset>
            </wp:positionV>
            <wp:extent cx="5781675" cy="7762875"/>
            <wp:effectExtent l="0" t="0" r="9525" b="9525"/>
            <wp:wrapSquare wrapText="bothSides"/>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6"/>
                    <a:stretch>
                      <a:fillRect/>
                    </a:stretch>
                  </pic:blipFill>
                  <pic:spPr>
                    <a:xfrm>
                      <a:off x="0" y="0"/>
                      <a:ext cx="5781675" cy="7762875"/>
                    </a:xfrm>
                    <a:prstGeom prst="rect">
                      <a:avLst/>
                    </a:prstGeom>
                    <a:noFill/>
                    <a:ln>
                      <a:noFill/>
                    </a:ln>
                  </pic:spPr>
                </pic:pic>
              </a:graphicData>
            </a:graphic>
          </wp:anchor>
        </w:drawing>
      </w:r>
    </w:p>
    <w:p>
      <w:pPr>
        <w:pStyle w:val="2"/>
        <w:rPr>
          <w:rFonts w:hint="eastAsia" w:ascii="宋体" w:hAnsi="宋体" w:eastAsia="宋体" w:cs="宋体"/>
          <w:b/>
          <w:bCs/>
          <w:color w:val="auto"/>
          <w:szCs w:val="22"/>
          <w:highlight w:val="none"/>
        </w:rPr>
      </w:pPr>
    </w:p>
    <w:p>
      <w:pPr>
        <w:rPr>
          <w:rFonts w:hint="eastAsia" w:ascii="宋体" w:hAnsi="宋体" w:eastAsia="宋体" w:cs="宋体"/>
          <w:b/>
          <w:bCs/>
          <w:color w:val="auto"/>
          <w:szCs w:val="22"/>
          <w:highlight w:val="none"/>
        </w:rPr>
      </w:pPr>
    </w:p>
    <w:p>
      <w:pPr>
        <w:pStyle w:val="2"/>
        <w:rPr>
          <w:rFonts w:hint="eastAsia" w:ascii="宋体" w:hAnsi="宋体" w:eastAsia="宋体" w:cs="宋体"/>
          <w:b/>
          <w:bCs/>
          <w:color w:val="auto"/>
          <w:szCs w:val="22"/>
          <w:highlight w:val="none"/>
        </w:rPr>
      </w:pPr>
    </w:p>
    <w:p>
      <w:pPr>
        <w:rPr>
          <w:rFonts w:hint="eastAsia" w:ascii="宋体" w:hAnsi="宋体" w:eastAsia="宋体" w:cs="宋体"/>
          <w:b/>
          <w:bCs/>
          <w:color w:val="auto"/>
          <w:szCs w:val="22"/>
          <w:highlight w:val="none"/>
        </w:rPr>
      </w:pPr>
    </w:p>
    <w:p>
      <w:pPr>
        <w:pStyle w:val="2"/>
        <w:rPr>
          <w:rFonts w:hint="eastAsia" w:ascii="宋体" w:hAnsi="宋体" w:eastAsia="宋体" w:cs="宋体"/>
          <w:b/>
          <w:bCs/>
          <w:color w:val="auto"/>
          <w:szCs w:val="22"/>
          <w:highlight w:val="none"/>
        </w:rPr>
      </w:pPr>
      <w:r>
        <w:rPr>
          <w:color w:val="auto"/>
          <w:highlight w:val="none"/>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5734050" cy="7953375"/>
            <wp:effectExtent l="0" t="0" r="0" b="9525"/>
            <wp:wrapSquare wrapText="bothSides"/>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7"/>
                    <a:stretch>
                      <a:fillRect/>
                    </a:stretch>
                  </pic:blipFill>
                  <pic:spPr>
                    <a:xfrm>
                      <a:off x="0" y="0"/>
                      <a:ext cx="5734050" cy="7953375"/>
                    </a:xfrm>
                    <a:prstGeom prst="rect">
                      <a:avLst/>
                    </a:prstGeom>
                    <a:noFill/>
                    <a:ln>
                      <a:noFill/>
                    </a:ln>
                  </pic:spPr>
                </pic:pic>
              </a:graphicData>
            </a:graphic>
          </wp:anchor>
        </w:drawing>
      </w:r>
    </w:p>
    <w:p>
      <w:pPr>
        <w:rPr>
          <w:rFonts w:hint="eastAsia" w:ascii="宋体" w:hAnsi="宋体" w:eastAsia="宋体" w:cs="宋体"/>
          <w:b/>
          <w:bCs/>
          <w:color w:val="auto"/>
          <w:szCs w:val="22"/>
          <w:highlight w:val="none"/>
        </w:rPr>
      </w:pPr>
    </w:p>
    <w:p>
      <w:pPr>
        <w:pStyle w:val="2"/>
        <w:rPr>
          <w:rFonts w:hint="eastAsia" w:ascii="宋体" w:hAnsi="宋体" w:eastAsia="宋体" w:cs="宋体"/>
          <w:b/>
          <w:bCs/>
          <w:color w:val="auto"/>
          <w:szCs w:val="22"/>
          <w:highlight w:val="none"/>
        </w:rPr>
      </w:pPr>
      <w:r>
        <w:rPr>
          <w:color w:val="auto"/>
          <w:highlight w:val="none"/>
        </w:rPr>
        <w:drawing>
          <wp:anchor distT="0" distB="0" distL="114300" distR="114300" simplePos="0" relativeHeight="251701248" behindDoc="0" locked="0" layoutInCell="1" allowOverlap="1">
            <wp:simplePos x="0" y="0"/>
            <wp:positionH relativeFrom="column">
              <wp:posOffset>0</wp:posOffset>
            </wp:positionH>
            <wp:positionV relativeFrom="paragraph">
              <wp:posOffset>214630</wp:posOffset>
            </wp:positionV>
            <wp:extent cx="5753100" cy="8086725"/>
            <wp:effectExtent l="0" t="0" r="0" b="9525"/>
            <wp:wrapSquare wrapText="bothSides"/>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8"/>
                    <a:stretch>
                      <a:fillRect/>
                    </a:stretch>
                  </pic:blipFill>
                  <pic:spPr>
                    <a:xfrm>
                      <a:off x="0" y="0"/>
                      <a:ext cx="5753100" cy="8086725"/>
                    </a:xfrm>
                    <a:prstGeom prst="rect">
                      <a:avLst/>
                    </a:prstGeom>
                    <a:noFill/>
                    <a:ln>
                      <a:noFill/>
                    </a:ln>
                  </pic:spPr>
                </pic:pic>
              </a:graphicData>
            </a:graphic>
          </wp:anchor>
        </w:drawing>
      </w:r>
    </w:p>
    <w:p>
      <w:pPr>
        <w:rPr>
          <w:rFonts w:hint="eastAsia" w:ascii="宋体" w:hAnsi="宋体" w:eastAsia="宋体" w:cs="宋体"/>
          <w:b/>
          <w:bCs/>
          <w:color w:val="auto"/>
          <w:szCs w:val="22"/>
          <w:highlight w:val="none"/>
        </w:rPr>
      </w:pPr>
    </w:p>
    <w:p>
      <w:pPr>
        <w:pStyle w:val="2"/>
        <w:rPr>
          <w:rFonts w:hint="eastAsia" w:ascii="宋体" w:hAnsi="宋体" w:eastAsia="宋体" w:cs="宋体"/>
          <w:b/>
          <w:bCs/>
          <w:color w:val="auto"/>
          <w:szCs w:val="22"/>
          <w:highlight w:val="none"/>
        </w:rPr>
      </w:pPr>
    </w:p>
    <w:p>
      <w:pPr>
        <w:rPr>
          <w:rFonts w:hint="eastAsia" w:ascii="宋体" w:hAnsi="宋体" w:eastAsia="宋体" w:cs="宋体"/>
          <w:b/>
          <w:bCs/>
          <w:color w:val="auto"/>
          <w:szCs w:val="22"/>
          <w:highlight w:val="none"/>
        </w:rPr>
      </w:pPr>
      <w:r>
        <w:rPr>
          <w:color w:val="auto"/>
          <w:highlight w:val="none"/>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5695950" cy="8029575"/>
            <wp:effectExtent l="0" t="0" r="0" b="9525"/>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9"/>
                    <a:stretch>
                      <a:fillRect/>
                    </a:stretch>
                  </pic:blipFill>
                  <pic:spPr>
                    <a:xfrm>
                      <a:off x="0" y="0"/>
                      <a:ext cx="5695950" cy="8029575"/>
                    </a:xfrm>
                    <a:prstGeom prst="rect">
                      <a:avLst/>
                    </a:prstGeom>
                    <a:noFill/>
                    <a:ln>
                      <a:noFill/>
                    </a:ln>
                  </pic:spPr>
                </pic:pic>
              </a:graphicData>
            </a:graphic>
          </wp:anchor>
        </w:drawing>
      </w:r>
    </w:p>
    <w:p>
      <w:pPr>
        <w:pStyle w:val="2"/>
        <w:spacing w:line="240" w:lineRule="auto"/>
        <w:ind w:firstLine="0"/>
        <w:outlineLvl w:val="0"/>
        <w:rPr>
          <w:rFonts w:hint="eastAsia" w:ascii="宋体" w:hAnsi="宋体" w:eastAsia="宋体" w:cs="宋体"/>
          <w:b/>
          <w:bCs/>
          <w:color w:val="auto"/>
          <w:szCs w:val="22"/>
          <w:highlight w:val="none"/>
        </w:rPr>
      </w:pPr>
    </w:p>
    <w:p>
      <w:pPr>
        <w:rPr>
          <w:rFonts w:hint="eastAsia" w:ascii="宋体" w:hAnsi="宋体" w:eastAsia="宋体" w:cs="宋体"/>
          <w:color w:val="auto"/>
          <w:highlight w:val="none"/>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5073015</wp:posOffset>
                </wp:positionV>
                <wp:extent cx="970915" cy="446405"/>
                <wp:effectExtent l="0" t="0" r="635" b="10795"/>
                <wp:wrapNone/>
                <wp:docPr id="9" name="文本框 9"/>
                <wp:cNvGraphicFramePr/>
                <a:graphic xmlns:a="http://schemas.openxmlformats.org/drawingml/2006/main">
                  <a:graphicData uri="http://schemas.microsoft.com/office/word/2010/wordprocessingShape">
                    <wps:wsp>
                      <wps:cNvSpPr txBox="1"/>
                      <wps:spPr>
                        <a:xfrm>
                          <a:off x="1016000" y="6303645"/>
                          <a:ext cx="970915" cy="446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sz w:val="28"/>
                                <w:szCs w:val="28"/>
                              </w:rPr>
                              <w:t>1:310000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399.45pt;height:35.15pt;width:76.45pt;z-index:251662336;mso-width-relative:page;mso-height-relative:page;" fillcolor="#FFFFFF [3201]" filled="t" stroked="f" coordsize="21600,21600" o:gfxdata="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jBcj1AAA&#10;AAgBAAAPAAAAAAAAAAEAIAAAACIAAABkcnMvZG93bnJldi54bWxQSwECFAAUAAAACACHTuJAuY4U&#10;RFsCAACaBAAADgAAAAAAAAABACAAAAAjAQAAZHJzL2Uyb0RvYy54bWxQSwUGAAAAAAYABgBZAQAA&#10;8AUAAAAA&#10;">
                <v:fill on="t" focussize="0,0"/>
                <v:stroke on="f" weight="0.5pt"/>
                <v:imagedata o:title=""/>
                <o:lock v:ext="edit" aspectratio="f"/>
                <v:textbox>
                  <w:txbxContent>
                    <w:p>
                      <w:pPr>
                        <w:rPr>
                          <w:sz w:val="28"/>
                          <w:szCs w:val="28"/>
                        </w:rPr>
                      </w:pPr>
                      <w:r>
                        <w:rPr>
                          <w:sz w:val="28"/>
                          <w:szCs w:val="28"/>
                        </w:rPr>
                        <w:t>1:310000</w:t>
                      </w:r>
                    </w:p>
                  </w:txbxContent>
                </v:textbox>
              </v:shape>
            </w:pict>
          </mc:Fallback>
        </mc:AlternateContent>
      </w:r>
      <w:r>
        <w:rPr>
          <w:rFonts w:hint="eastAsia" w:ascii="宋体" w:hAnsi="宋体" w:eastAsia="宋体" w:cs="宋体"/>
          <w:color w:val="auto"/>
          <w:highlight w:val="none"/>
        </w:rPr>
        <w:drawing>
          <wp:anchor distT="0" distB="0" distL="114300" distR="114300" simplePos="0" relativeHeight="251661312" behindDoc="0" locked="0" layoutInCell="1" allowOverlap="1">
            <wp:simplePos x="0" y="0"/>
            <wp:positionH relativeFrom="column">
              <wp:posOffset>7419975</wp:posOffset>
            </wp:positionH>
            <wp:positionV relativeFrom="paragraph">
              <wp:posOffset>45720</wp:posOffset>
            </wp:positionV>
            <wp:extent cx="985520" cy="857250"/>
            <wp:effectExtent l="0" t="0" r="508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0"/>
                    <a:stretch>
                      <a:fillRect/>
                    </a:stretch>
                  </pic:blipFill>
                  <pic:spPr>
                    <a:xfrm>
                      <a:off x="0" y="0"/>
                      <a:ext cx="985520" cy="857250"/>
                    </a:xfrm>
                    <a:prstGeom prst="rect">
                      <a:avLst/>
                    </a:prstGeom>
                    <a:noFill/>
                    <a:ln>
                      <a:noFill/>
                    </a:ln>
                  </pic:spPr>
                </pic:pic>
              </a:graphicData>
            </a:graphic>
          </wp:anchor>
        </w:drawing>
      </w:r>
    </w:p>
    <w:p>
      <w:pPr>
        <w:ind w:firstLine="3373" w:firstLineChars="1200"/>
        <w:jc w:val="center"/>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rPr>
        <w:t>建设项目竣工环境保护“三同时”验收登记表</w:t>
      </w:r>
    </w:p>
    <w:p>
      <w:pP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 xml:space="preserve">填表单位（盖章）：                                                     填表人（签字）：                                                  项目经办人（签字）：         </w:t>
      </w:r>
    </w:p>
    <w:tbl>
      <w:tblPr>
        <w:tblStyle w:val="17"/>
        <w:tblW w:w="21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631"/>
        <w:gridCol w:w="1240"/>
        <w:gridCol w:w="1213"/>
        <w:gridCol w:w="1923"/>
        <w:gridCol w:w="492"/>
        <w:gridCol w:w="988"/>
        <w:gridCol w:w="212"/>
        <w:gridCol w:w="236"/>
        <w:gridCol w:w="1293"/>
        <w:gridCol w:w="62"/>
        <w:gridCol w:w="108"/>
        <w:gridCol w:w="1315"/>
        <w:gridCol w:w="1533"/>
        <w:gridCol w:w="518"/>
        <w:gridCol w:w="1010"/>
        <w:gridCol w:w="1812"/>
        <w:gridCol w:w="1062"/>
        <w:gridCol w:w="472"/>
        <w:gridCol w:w="850"/>
        <w:gridCol w:w="130"/>
        <w:gridCol w:w="554"/>
        <w:gridCol w:w="7"/>
        <w:gridCol w:w="1225"/>
        <w:gridCol w:w="48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745" w:type="dxa"/>
            <w:tcBorders>
              <w:bottom w:val="single" w:color="DDDDDD" w:sz="4" w:space="0"/>
            </w:tcBorders>
            <w:shd w:val="clear" w:color="auto" w:fill="DDDDDD"/>
            <w:textDirection w:val="tbRlV"/>
            <w:vAlign w:val="center"/>
          </w:tcPr>
          <w:p>
            <w:pPr>
              <w:keepNext w:val="0"/>
              <w:keepLines w:val="0"/>
              <w:pageBreakBefore w:val="0"/>
              <w:widowControl w:val="0"/>
              <w:kinsoku/>
              <w:wordWrap/>
              <w:overflowPunct/>
              <w:topLinePunct w:val="0"/>
              <w:autoSpaceDE/>
              <w:autoSpaceDN/>
              <w:bidi w:val="0"/>
              <w:spacing w:line="0" w:lineRule="atLeast"/>
              <w:ind w:left="113" w:right="113"/>
              <w:jc w:val="center"/>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项目名称*</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黑龙江七台河七市110千伏变电站增容改造工程</w:t>
            </w:r>
          </w:p>
        </w:tc>
        <w:tc>
          <w:tcPr>
            <w:tcW w:w="205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建设地点*</w:t>
            </w:r>
          </w:p>
        </w:tc>
        <w:tc>
          <w:tcPr>
            <w:tcW w:w="8769" w:type="dxa"/>
            <w:gridSpan w:val="11"/>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七台河市桃山区与茄子河区交界处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ind w:right="113"/>
              <w:jc w:val="center"/>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行业类别*</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电力供应</w:t>
            </w:r>
            <w:r>
              <w:rPr>
                <w:rFonts w:hint="eastAsia" w:ascii="宋体" w:hAnsi="宋体" w:eastAsia="宋体" w:cs="宋体"/>
                <w:color w:val="auto"/>
                <w:sz w:val="18"/>
                <w:szCs w:val="18"/>
                <w:highlight w:val="none"/>
                <w:lang w:val="en-US" w:eastAsia="zh-CN"/>
              </w:rPr>
              <w:t>D4420</w:t>
            </w:r>
          </w:p>
        </w:tc>
        <w:tc>
          <w:tcPr>
            <w:tcW w:w="205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建设性质*</w:t>
            </w:r>
          </w:p>
        </w:tc>
        <w:tc>
          <w:tcPr>
            <w:tcW w:w="8769" w:type="dxa"/>
            <w:gridSpan w:val="11"/>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 xml:space="preserve"> 新 建</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 xml:space="preserve">    改 扩 建</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 xml:space="preserve">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5"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设计生产能力</w:t>
            </w:r>
          </w:p>
        </w:tc>
        <w:tc>
          <w:tcPr>
            <w:tcW w:w="5064" w:type="dxa"/>
            <w:gridSpan w:val="6"/>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将110kV七市变原有2×20MVA主变更换为2台31.5MVA主变，拆除原有3#31.5MVA主变。现七台河七市110kV变电站由110kV富强变富市线变提供主供电源，由110kV万宝变新万分线提供备用电源。本次改造后主供电源富市线保持现状，将原新万分线新建架空线路“T”接至110kV富万线，改接后由110kV富强变为七市110kV变电站提供主供和备用两路电源。本工程新万分线“T”接至110kV富万线共计新建架空线路0.1km，无塔基工程。</w:t>
            </w:r>
          </w:p>
        </w:tc>
        <w:tc>
          <w:tcPr>
            <w:tcW w:w="1463" w:type="dxa"/>
            <w:gridSpan w:val="3"/>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建设项目</w:t>
            </w:r>
          </w:p>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开工日期</w:t>
            </w:r>
          </w:p>
        </w:tc>
        <w:tc>
          <w:tcPr>
            <w:tcW w:w="1315" w:type="dxa"/>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w:t>
            </w:r>
            <w:r>
              <w:rPr>
                <w:rFonts w:hint="eastAsia" w:ascii="宋体" w:hAnsi="宋体" w:eastAsia="宋体" w:cs="宋体"/>
                <w:color w:val="auto"/>
                <w:sz w:val="18"/>
                <w:szCs w:val="18"/>
                <w:highlight w:val="none"/>
                <w:lang w:val="en-US" w:eastAsia="zh-CN"/>
              </w:rPr>
              <w:t>21</w:t>
            </w:r>
            <w:r>
              <w:rPr>
                <w:rFonts w:hint="eastAsia" w:ascii="宋体" w:hAnsi="宋体" w:eastAsia="宋体" w:cs="宋体"/>
                <w:color w:val="auto"/>
                <w:sz w:val="18"/>
                <w:szCs w:val="18"/>
                <w:highlight w:val="none"/>
              </w:rPr>
              <w:t>年</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6</w:t>
            </w:r>
            <w:r>
              <w:rPr>
                <w:rFonts w:hint="eastAsia" w:ascii="宋体" w:hAnsi="宋体" w:eastAsia="宋体" w:cs="宋体"/>
                <w:color w:val="auto"/>
                <w:sz w:val="18"/>
                <w:szCs w:val="18"/>
                <w:highlight w:val="none"/>
              </w:rPr>
              <w:t>月</w:t>
            </w:r>
            <w:r>
              <w:rPr>
                <w:rFonts w:hint="eastAsia" w:ascii="宋体" w:hAnsi="宋体" w:eastAsia="宋体" w:cs="宋体"/>
                <w:color w:val="auto"/>
                <w:sz w:val="18"/>
                <w:szCs w:val="18"/>
                <w:highlight w:val="none"/>
                <w:lang w:val="en-US" w:eastAsia="zh-CN"/>
              </w:rPr>
              <w:t>11</w:t>
            </w:r>
            <w:r>
              <w:rPr>
                <w:rFonts w:hint="eastAsia" w:ascii="宋体" w:hAnsi="宋体" w:eastAsia="宋体" w:cs="宋体"/>
                <w:color w:val="auto"/>
                <w:sz w:val="18"/>
                <w:szCs w:val="18"/>
                <w:highlight w:val="none"/>
              </w:rPr>
              <w:t>日</w:t>
            </w:r>
          </w:p>
        </w:tc>
        <w:tc>
          <w:tcPr>
            <w:tcW w:w="205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实际生成能力</w:t>
            </w:r>
          </w:p>
        </w:tc>
        <w:tc>
          <w:tcPr>
            <w:tcW w:w="5897" w:type="dxa"/>
            <w:gridSpan w:val="8"/>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本期将110kV七市变2×20MVA+31.5MVA主变更换为2台31.5MVA主变，拆除原有31.5MVA主变，更换2套中性点装置。更换1#主变35kV侧进线隔离开关2组。10kVI段、Ⅱ段主变进线柜以及10kV母联柜分别更换3台电流互感器。土建部分新上钢管设备支架，新建25米避雷针1座。本期更换110kV富强变电站110 kV线路三端光纤保护装置1套。通讯部分新上双光口622MB/S光接口板1块，0DF光纤分配架扩容1套。本期更换110kV万宝变电站110kV线路三端光纤保护装置1套。通讯部分新上双光口622MB/S光接口板1块，0DF光纤分配架扩容1套。本工程改造新万分改接富万线110千伏线路导线长0.lkm，光缆4.2km。</w:t>
            </w:r>
          </w:p>
        </w:tc>
        <w:tc>
          <w:tcPr>
            <w:tcW w:w="1709"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投入试运营日期</w:t>
            </w:r>
          </w:p>
        </w:tc>
        <w:tc>
          <w:tcPr>
            <w:tcW w:w="116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202</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rPr>
              <w:t>年</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5</w:t>
            </w:r>
            <w:r>
              <w:rPr>
                <w:rFonts w:hint="eastAsia" w:ascii="宋体" w:hAnsi="宋体" w:eastAsia="宋体" w:cs="宋体"/>
                <w:color w:val="auto"/>
                <w:sz w:val="18"/>
                <w:szCs w:val="18"/>
                <w:highlight w:val="none"/>
              </w:rPr>
              <w:t>月</w:t>
            </w:r>
            <w:r>
              <w:rPr>
                <w:rFonts w:hint="eastAsia" w:ascii="宋体" w:hAnsi="宋体" w:eastAsia="宋体" w:cs="宋体"/>
                <w:color w:val="auto"/>
                <w:sz w:val="18"/>
                <w:szCs w:val="18"/>
                <w:highlight w:val="none"/>
                <w:lang w:val="en-US" w:eastAsia="zh-CN"/>
              </w:rPr>
              <w:t>17</w:t>
            </w:r>
            <w:r>
              <w:rPr>
                <w:rFonts w:hint="eastAsia" w:ascii="宋体" w:hAnsi="宋体" w:eastAsia="宋体" w:cs="宋体"/>
                <w:color w:val="auto"/>
                <w:sz w:val="18"/>
                <w:szCs w:val="18"/>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投资总概算（万元）*</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1483</w:t>
            </w:r>
          </w:p>
        </w:tc>
        <w:tc>
          <w:tcPr>
            <w:tcW w:w="3061" w:type="dxa"/>
            <w:gridSpan w:val="3"/>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环保投资总概算（万元）*</w:t>
            </w:r>
          </w:p>
        </w:tc>
        <w:tc>
          <w:tcPr>
            <w:tcW w:w="4196" w:type="dxa"/>
            <w:gridSpan w:val="4"/>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30</w:t>
            </w:r>
          </w:p>
        </w:tc>
        <w:tc>
          <w:tcPr>
            <w:tcW w:w="1916"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所占比例（%）</w:t>
            </w: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设</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环评审批部门*</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七台河市生态环境局</w:t>
            </w:r>
          </w:p>
        </w:tc>
        <w:tc>
          <w:tcPr>
            <w:tcW w:w="3061" w:type="dxa"/>
            <w:gridSpan w:val="3"/>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批准文号*</w:t>
            </w:r>
          </w:p>
        </w:tc>
        <w:tc>
          <w:tcPr>
            <w:tcW w:w="4196" w:type="dxa"/>
            <w:gridSpan w:val="4"/>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七环审[2020]32号</w:t>
            </w:r>
          </w:p>
        </w:tc>
        <w:tc>
          <w:tcPr>
            <w:tcW w:w="1916"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批准时间*</w:t>
            </w: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2015年12月14日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初步设计审批部门</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val="en-US" w:eastAsia="zh-CN"/>
              </w:rPr>
              <w:t>国网黑龙江省电力有限公司</w:t>
            </w:r>
          </w:p>
        </w:tc>
        <w:tc>
          <w:tcPr>
            <w:tcW w:w="3061" w:type="dxa"/>
            <w:gridSpan w:val="3"/>
            <w:tcBorders>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批准文号</w:t>
            </w:r>
          </w:p>
        </w:tc>
        <w:tc>
          <w:tcPr>
            <w:tcW w:w="4196" w:type="dxa"/>
            <w:gridSpan w:val="4"/>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黑电建设</w:t>
            </w:r>
            <w:r>
              <w:rPr>
                <w:rFonts w:hint="eastAsia" w:ascii="宋体" w:hAnsi="宋体" w:eastAsia="宋体" w:cs="宋体"/>
                <w:color w:val="auto"/>
                <w:sz w:val="18"/>
                <w:szCs w:val="18"/>
                <w:highlight w:val="none"/>
                <w:lang w:val="en-US" w:eastAsia="zh-CN"/>
              </w:rPr>
              <w:t>[2021]9号</w:t>
            </w:r>
          </w:p>
        </w:tc>
        <w:tc>
          <w:tcPr>
            <w:tcW w:w="1916"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批准时间</w:t>
            </w: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项</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环保验收审批部门</w:t>
            </w:r>
          </w:p>
        </w:tc>
        <w:tc>
          <w:tcPr>
            <w:tcW w:w="7842" w:type="dxa"/>
            <w:gridSpan w:val="10"/>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自主验收</w:t>
            </w:r>
          </w:p>
        </w:tc>
        <w:tc>
          <w:tcPr>
            <w:tcW w:w="3061" w:type="dxa"/>
            <w:gridSpan w:val="3"/>
            <w:tcBorders>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批准文号</w:t>
            </w:r>
          </w:p>
        </w:tc>
        <w:tc>
          <w:tcPr>
            <w:tcW w:w="4196" w:type="dxa"/>
            <w:gridSpan w:val="4"/>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916"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批准时间</w:t>
            </w: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745" w:type="dxa"/>
            <w:tcBorders>
              <w:top w:val="single" w:color="DDDDDD" w:sz="4" w:space="0"/>
              <w:bottom w:val="single" w:color="DDDDDD"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环保设施设计单位</w:t>
            </w:r>
          </w:p>
        </w:tc>
        <w:tc>
          <w:tcPr>
            <w:tcW w:w="4616" w:type="dxa"/>
            <w:gridSpan w:val="4"/>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黑龙江华瑞电力安装集团有限公司</w:t>
            </w:r>
          </w:p>
        </w:tc>
        <w:tc>
          <w:tcPr>
            <w:tcW w:w="1803"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环保设施施工单位</w:t>
            </w:r>
          </w:p>
        </w:tc>
        <w:tc>
          <w:tcPr>
            <w:tcW w:w="4484" w:type="dxa"/>
            <w:gridSpan w:val="5"/>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七台河富兴电力工程有限责任公司</w:t>
            </w:r>
          </w:p>
        </w:tc>
        <w:tc>
          <w:tcPr>
            <w:tcW w:w="4196" w:type="dxa"/>
            <w:gridSpan w:val="4"/>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  保  设  施  监  测  单  位</w:t>
            </w:r>
          </w:p>
        </w:tc>
        <w:tc>
          <w:tcPr>
            <w:tcW w:w="3563" w:type="dxa"/>
            <w:gridSpan w:val="6"/>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eastAsia="zh-CN"/>
              </w:rPr>
              <w:t>黑龙江省天顺达检测科技有限公司</w:t>
            </w:r>
            <w:r>
              <w:rPr>
                <w:rFonts w:hint="eastAsia" w:ascii="宋体" w:hAnsi="宋体" w:eastAsia="宋体" w:cs="宋体"/>
                <w:color w:val="auto"/>
                <w:sz w:val="18"/>
                <w:szCs w:val="18"/>
                <w:highlight w:val="none"/>
                <w:lang w:val="en-US" w:eastAsia="zh-CN"/>
              </w:rPr>
              <w:t>/</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eastAsia="zh-CN"/>
              </w:rPr>
              <w:t>黑龙江隆嘉环境检测有限公司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目</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实际总投资（万元）*</w:t>
            </w:r>
          </w:p>
        </w:tc>
        <w:tc>
          <w:tcPr>
            <w:tcW w:w="7842" w:type="dxa"/>
            <w:gridSpan w:val="10"/>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1446</w:t>
            </w:r>
          </w:p>
        </w:tc>
        <w:tc>
          <w:tcPr>
            <w:tcW w:w="3061" w:type="dxa"/>
            <w:gridSpan w:val="3"/>
            <w:tcBorders>
              <w:top w:val="single" w:color="auto" w:sz="4" w:space="0"/>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实际环保投资（万元）*</w:t>
            </w:r>
          </w:p>
        </w:tc>
        <w:tc>
          <w:tcPr>
            <w:tcW w:w="4196" w:type="dxa"/>
            <w:gridSpan w:val="4"/>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31.5</w:t>
            </w:r>
          </w:p>
        </w:tc>
        <w:tc>
          <w:tcPr>
            <w:tcW w:w="1916" w:type="dxa"/>
            <w:gridSpan w:val="4"/>
            <w:tcBorders>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所占比例（%）</w:t>
            </w:r>
          </w:p>
        </w:tc>
        <w:tc>
          <w:tcPr>
            <w:tcW w:w="1647"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废水治理（万元）</w:t>
            </w:r>
          </w:p>
        </w:tc>
        <w:tc>
          <w:tcPr>
            <w:tcW w:w="1213" w:type="dxa"/>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w:t>
            </w:r>
          </w:p>
        </w:tc>
        <w:tc>
          <w:tcPr>
            <w:tcW w:w="1923" w:type="dxa"/>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废气治理（万元）</w:t>
            </w:r>
          </w:p>
        </w:tc>
        <w:tc>
          <w:tcPr>
            <w:tcW w:w="1692" w:type="dxa"/>
            <w:gridSpan w:val="3"/>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ind w:left="117"/>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w:t>
            </w:r>
          </w:p>
        </w:tc>
        <w:tc>
          <w:tcPr>
            <w:tcW w:w="1529" w:type="dxa"/>
            <w:gridSpan w:val="2"/>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噪声治理(万元)</w:t>
            </w:r>
          </w:p>
        </w:tc>
        <w:tc>
          <w:tcPr>
            <w:tcW w:w="1485" w:type="dxa"/>
            <w:gridSpan w:val="3"/>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ind w:left="117"/>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10</w:t>
            </w:r>
          </w:p>
        </w:tc>
        <w:tc>
          <w:tcPr>
            <w:tcW w:w="1533" w:type="dxa"/>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固废治理(万元)</w:t>
            </w:r>
          </w:p>
        </w:tc>
        <w:tc>
          <w:tcPr>
            <w:tcW w:w="1528" w:type="dxa"/>
            <w:gridSpan w:val="2"/>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w:t>
            </w:r>
            <w:r>
              <w:rPr>
                <w:rFonts w:hint="eastAsia" w:ascii="宋体" w:hAnsi="宋体" w:eastAsia="宋体" w:cs="宋体"/>
                <w:color w:val="auto"/>
                <w:sz w:val="18"/>
                <w:szCs w:val="18"/>
                <w:highlight w:val="none"/>
                <w:lang w:val="en-US" w:eastAsia="zh-CN"/>
              </w:rPr>
              <w:t>4.5</w:t>
            </w:r>
          </w:p>
        </w:tc>
        <w:tc>
          <w:tcPr>
            <w:tcW w:w="1812" w:type="dxa"/>
            <w:tcBorders>
              <w:left w:val="single" w:color="auto" w:sz="4" w:space="0"/>
              <w:right w:val="single" w:color="auto"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b/>
                <w:color w:val="auto"/>
                <w:sz w:val="18"/>
                <w:szCs w:val="18"/>
                <w:highlight w:val="none"/>
              </w:rPr>
              <w:t>绿化及生态(万元</w:t>
            </w:r>
          </w:p>
        </w:tc>
        <w:tc>
          <w:tcPr>
            <w:tcW w:w="2384" w:type="dxa"/>
            <w:gridSpan w:val="3"/>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w:t>
            </w:r>
          </w:p>
        </w:tc>
        <w:tc>
          <w:tcPr>
            <w:tcW w:w="1916" w:type="dxa"/>
            <w:gridSpan w:val="4"/>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其他(万元)</w:t>
            </w:r>
          </w:p>
        </w:tc>
        <w:tc>
          <w:tcPr>
            <w:tcW w:w="164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745" w:type="dxa"/>
            <w:tcBorders>
              <w:top w:val="single" w:color="DDDDDD" w:sz="4" w:space="0"/>
              <w:bottom w:val="single" w:color="auto"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71" w:type="dxa"/>
            <w:gridSpan w:val="2"/>
            <w:tcBorders>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新增废水处理</w:t>
            </w:r>
          </w:p>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设施能力（t/d）</w:t>
            </w:r>
          </w:p>
        </w:tc>
        <w:tc>
          <w:tcPr>
            <w:tcW w:w="7842" w:type="dxa"/>
            <w:gridSpan w:val="10"/>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3061" w:type="dxa"/>
            <w:gridSpan w:val="3"/>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新增废气处理设施能力(Nm³/h)</w:t>
            </w:r>
          </w:p>
        </w:tc>
        <w:tc>
          <w:tcPr>
            <w:tcW w:w="4196" w:type="dxa"/>
            <w:gridSpan w:val="4"/>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c>
          <w:tcPr>
            <w:tcW w:w="1916" w:type="dxa"/>
            <w:gridSpan w:val="4"/>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年平均工作时(h/a)</w:t>
            </w:r>
          </w:p>
        </w:tc>
        <w:tc>
          <w:tcPr>
            <w:tcW w:w="1647" w:type="dxa"/>
            <w:gridSpan w:val="2"/>
            <w:tcBorders>
              <w:left w:val="single" w:color="auto" w:sz="4" w:space="0"/>
            </w:tcBorders>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2616" w:type="dxa"/>
            <w:gridSpan w:val="3"/>
            <w:tcBorders>
              <w:top w:val="single" w:color="auto" w:sz="4" w:space="0"/>
              <w:bottom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建设单位</w:t>
            </w:r>
          </w:p>
        </w:tc>
        <w:tc>
          <w:tcPr>
            <w:tcW w:w="3628" w:type="dxa"/>
            <w:gridSpan w:val="3"/>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国网黑龙江省电力有限公司</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七台河供电公司</w:t>
            </w:r>
          </w:p>
        </w:tc>
        <w:tc>
          <w:tcPr>
            <w:tcW w:w="1200" w:type="dxa"/>
            <w:gridSpan w:val="2"/>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邮政编码</w:t>
            </w:r>
          </w:p>
        </w:tc>
        <w:tc>
          <w:tcPr>
            <w:tcW w:w="3014" w:type="dxa"/>
            <w:gridSpan w:val="5"/>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154600</w:t>
            </w:r>
          </w:p>
        </w:tc>
        <w:tc>
          <w:tcPr>
            <w:tcW w:w="3061" w:type="dxa"/>
            <w:gridSpan w:val="3"/>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联系电话</w:t>
            </w:r>
          </w:p>
        </w:tc>
        <w:tc>
          <w:tcPr>
            <w:tcW w:w="2874" w:type="dxa"/>
            <w:gridSpan w:val="2"/>
            <w:tcBorders>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177</w:t>
            </w:r>
            <w:r>
              <w:rPr>
                <w:rFonts w:hint="eastAsia" w:ascii="宋体" w:hAnsi="宋体" w:eastAsia="宋体" w:cs="宋体"/>
                <w:color w:val="auto"/>
                <w:sz w:val="18"/>
                <w:szCs w:val="18"/>
                <w:highlight w:val="none"/>
                <w:lang w:val="en-US" w:eastAsia="zh-CN"/>
              </w:rPr>
              <w:t>13359018</w:t>
            </w:r>
          </w:p>
        </w:tc>
        <w:tc>
          <w:tcPr>
            <w:tcW w:w="1452" w:type="dxa"/>
            <w:gridSpan w:val="3"/>
            <w:tcBorders>
              <w:left w:val="single" w:color="auto" w:sz="4" w:space="0"/>
              <w:right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环评单位</w:t>
            </w:r>
          </w:p>
        </w:tc>
        <w:tc>
          <w:tcPr>
            <w:tcW w:w="3433" w:type="dxa"/>
            <w:gridSpan w:val="5"/>
            <w:tcBorders>
              <w:left w:val="single" w:color="auto" w:sz="4" w:space="0"/>
            </w:tcBorders>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eastAsia="zh-CN"/>
              </w:rPr>
              <w:t>北京百灵天地环保科技股份有限公司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745" w:type="dxa"/>
            <w:tcBorders>
              <w:top w:val="nil"/>
              <w:bottom w:val="single" w:color="DDDDDD" w:sz="4" w:space="0"/>
            </w:tcBorders>
            <w:shd w:val="clear" w:color="auto" w:fill="DDDDDD"/>
            <w:vAlign w:val="bottom"/>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20"/>
                <w:sz w:val="18"/>
                <w:szCs w:val="18"/>
                <w:highlight w:val="none"/>
              </w:rPr>
              <w:t>污</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pacing w:val="20"/>
                <w:sz w:val="18"/>
                <w:szCs w:val="18"/>
                <w:highlight w:val="none"/>
              </w:rPr>
              <w:t>染</w:t>
            </w:r>
          </w:p>
        </w:tc>
        <w:tc>
          <w:tcPr>
            <w:tcW w:w="1871" w:type="dxa"/>
            <w:gridSpan w:val="2"/>
            <w:tcBorders>
              <w:top w:val="single" w:color="auto"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污染物</w:t>
            </w:r>
          </w:p>
        </w:tc>
        <w:tc>
          <w:tcPr>
            <w:tcW w:w="1213"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原有排放量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w:t>
            </w:r>
          </w:p>
        </w:tc>
        <w:tc>
          <w:tcPr>
            <w:tcW w:w="1923"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本期工程实际</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排放浓度</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（2）</w:t>
            </w:r>
          </w:p>
        </w:tc>
        <w:tc>
          <w:tcPr>
            <w:tcW w:w="1692" w:type="dxa"/>
            <w:gridSpan w:val="3"/>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本期工程允许</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排放浓度</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（3）</w:t>
            </w:r>
          </w:p>
        </w:tc>
        <w:tc>
          <w:tcPr>
            <w:tcW w:w="1529" w:type="dxa"/>
            <w:gridSpan w:val="2"/>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本期工程产生量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（4）</w:t>
            </w:r>
          </w:p>
        </w:tc>
        <w:tc>
          <w:tcPr>
            <w:tcW w:w="1485" w:type="dxa"/>
            <w:gridSpan w:val="3"/>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本期工程自身</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消减量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（5）</w:t>
            </w:r>
          </w:p>
        </w:tc>
        <w:tc>
          <w:tcPr>
            <w:tcW w:w="1533"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本期工程实际</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（6）</w:t>
            </w:r>
          </w:p>
        </w:tc>
        <w:tc>
          <w:tcPr>
            <w:tcW w:w="1528" w:type="dxa"/>
            <w:gridSpan w:val="2"/>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本期工程核定</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排放总量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（7）</w:t>
            </w:r>
          </w:p>
        </w:tc>
        <w:tc>
          <w:tcPr>
            <w:tcW w:w="1812" w:type="dxa"/>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本期工程“以新</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带老”消减量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（8）</w:t>
            </w:r>
          </w:p>
        </w:tc>
        <w:tc>
          <w:tcPr>
            <w:tcW w:w="1534" w:type="dxa"/>
            <w:gridSpan w:val="2"/>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全厂实际</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排放总量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（9）</w:t>
            </w:r>
          </w:p>
        </w:tc>
        <w:tc>
          <w:tcPr>
            <w:tcW w:w="1534" w:type="dxa"/>
            <w:gridSpan w:val="3"/>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全厂核定</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排放总量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（10）</w:t>
            </w:r>
          </w:p>
        </w:tc>
        <w:tc>
          <w:tcPr>
            <w:tcW w:w="1232" w:type="dxa"/>
            <w:gridSpan w:val="2"/>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区域平衡替</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代消减量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（11）</w:t>
            </w:r>
          </w:p>
        </w:tc>
        <w:tc>
          <w:tcPr>
            <w:tcW w:w="1647" w:type="dxa"/>
            <w:gridSpan w:val="2"/>
            <w:tcBorders>
              <w:top w:val="nil"/>
            </w:tcBorders>
            <w:shd w:val="clear" w:color="auto" w:fill="DDDDDD"/>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排放增减量</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pacing w:val="20"/>
                <w:sz w:val="18"/>
                <w:szCs w:val="18"/>
                <w:highlight w:val="none"/>
              </w:rPr>
              <w:t>物</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废水</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排</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pacing w:val="20"/>
                <w:sz w:val="18"/>
                <w:szCs w:val="18"/>
                <w:highlight w:val="none"/>
              </w:rPr>
              <w:t>化学需氧量</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放</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20"/>
                <w:sz w:val="18"/>
                <w:szCs w:val="18"/>
                <w:highlight w:val="none"/>
              </w:rPr>
              <w:t>氨     氮</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lang w:val="en-US" w:eastAsia="zh-CN"/>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达</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20"/>
                <w:sz w:val="18"/>
                <w:szCs w:val="18"/>
                <w:highlight w:val="none"/>
              </w:rPr>
              <w:t>石  油  类</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标</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废气</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与</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40"/>
                <w:sz w:val="18"/>
                <w:szCs w:val="18"/>
                <w:highlight w:val="none"/>
              </w:rPr>
              <w:t>二氧化硫</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bCs/>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bCs/>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总</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20"/>
                <w:sz w:val="18"/>
                <w:szCs w:val="18"/>
                <w:highlight w:val="none"/>
              </w:rPr>
              <w:t>烟     尘</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bCs/>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bCs/>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量</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20"/>
                <w:sz w:val="18"/>
                <w:szCs w:val="18"/>
                <w:highlight w:val="none"/>
              </w:rPr>
            </w:pPr>
            <w:r>
              <w:rPr>
                <w:rFonts w:hint="eastAsia" w:ascii="宋体" w:hAnsi="宋体" w:eastAsia="宋体" w:cs="宋体"/>
                <w:b/>
                <w:color w:val="auto"/>
                <w:spacing w:val="40"/>
                <w:sz w:val="18"/>
                <w:szCs w:val="18"/>
                <w:highlight w:val="none"/>
              </w:rPr>
              <w:t>工业粉尘</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控</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pacing w:val="50"/>
                <w:sz w:val="18"/>
                <w:szCs w:val="18"/>
                <w:highlight w:val="none"/>
              </w:rPr>
            </w:pPr>
            <w:r>
              <w:rPr>
                <w:rFonts w:hint="eastAsia" w:ascii="宋体" w:hAnsi="宋体" w:eastAsia="宋体" w:cs="宋体"/>
                <w:b/>
                <w:color w:val="auto"/>
                <w:spacing w:val="50"/>
                <w:sz w:val="18"/>
                <w:szCs w:val="18"/>
                <w:highlight w:val="none"/>
              </w:rPr>
              <w:t>氮氧化物</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adjustRightInd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制</w:t>
            </w:r>
          </w:p>
        </w:tc>
        <w:tc>
          <w:tcPr>
            <w:tcW w:w="1871" w:type="dxa"/>
            <w:gridSpan w:val="2"/>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工业固体废物</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692"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29"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（工业</w:t>
            </w:r>
          </w:p>
        </w:tc>
        <w:tc>
          <w:tcPr>
            <w:tcW w:w="631" w:type="dxa"/>
            <w:vMerge w:val="restart"/>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项目</w:t>
            </w:r>
          </w:p>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相关</w:t>
            </w:r>
          </w:p>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的其</w:t>
            </w:r>
          </w:p>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它污染物</w:t>
            </w:r>
          </w:p>
        </w:tc>
        <w:tc>
          <w:tcPr>
            <w:tcW w:w="1240" w:type="dxa"/>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lang w:eastAsia="zh-CN"/>
              </w:rPr>
            </w:pPr>
            <w:r>
              <w:rPr>
                <w:rFonts w:hint="eastAsia" w:ascii="宋体" w:hAnsi="宋体" w:eastAsia="宋体" w:cs="宋体"/>
                <w:b/>
                <w:color w:val="auto"/>
                <w:sz w:val="18"/>
                <w:szCs w:val="18"/>
                <w:highlight w:val="none"/>
                <w:lang w:eastAsia="zh-CN"/>
              </w:rPr>
              <w:t>工频电场</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b w:val="0"/>
                <w:bCs/>
                <w:color w:val="auto"/>
                <w:sz w:val="18"/>
                <w:szCs w:val="18"/>
                <w:highlight w:val="none"/>
                <w:lang w:val="en-US" w:eastAsia="zh-CN"/>
              </w:rPr>
              <w:t>17.27-289.1V/m</w:t>
            </w:r>
          </w:p>
        </w:tc>
        <w:tc>
          <w:tcPr>
            <w:tcW w:w="1692"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val="en-US" w:eastAsia="zh-CN"/>
              </w:rPr>
              <w:t>4000V/m限值要求</w:t>
            </w:r>
          </w:p>
        </w:tc>
        <w:tc>
          <w:tcPr>
            <w:tcW w:w="1529"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建设</w:t>
            </w:r>
          </w:p>
        </w:tc>
        <w:tc>
          <w:tcPr>
            <w:tcW w:w="631" w:type="dxa"/>
            <w:vMerge w:val="continue"/>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p>
        </w:tc>
        <w:tc>
          <w:tcPr>
            <w:tcW w:w="1240" w:type="dxa"/>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lang w:eastAsia="zh-CN"/>
              </w:rPr>
            </w:pPr>
            <w:r>
              <w:rPr>
                <w:rFonts w:hint="eastAsia" w:ascii="宋体" w:hAnsi="宋体" w:eastAsia="宋体" w:cs="宋体"/>
                <w:b/>
                <w:color w:val="auto"/>
                <w:sz w:val="18"/>
                <w:szCs w:val="18"/>
                <w:highlight w:val="none"/>
                <w:lang w:eastAsia="zh-CN"/>
              </w:rPr>
              <w:t>工频磁场</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b w:val="0"/>
                <w:bCs/>
                <w:color w:val="auto"/>
                <w:sz w:val="18"/>
                <w:szCs w:val="18"/>
                <w:highlight w:val="none"/>
                <w:lang w:val="en-US" w:eastAsia="zh-CN"/>
              </w:rPr>
              <w:t>0.0469-0.0623μT</w:t>
            </w:r>
          </w:p>
        </w:tc>
        <w:tc>
          <w:tcPr>
            <w:tcW w:w="1692"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val="en-US" w:eastAsia="zh-CN"/>
              </w:rPr>
              <w:t>100μT限值要求</w:t>
            </w:r>
          </w:p>
        </w:tc>
        <w:tc>
          <w:tcPr>
            <w:tcW w:w="1529"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745" w:type="dxa"/>
            <w:tcBorders>
              <w:top w:val="single" w:color="DDDDDD" w:sz="4" w:space="0"/>
              <w:bottom w:val="single" w:color="DDDDDD" w:sz="4" w:space="0"/>
            </w:tcBorders>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项目</w:t>
            </w:r>
          </w:p>
        </w:tc>
        <w:tc>
          <w:tcPr>
            <w:tcW w:w="631" w:type="dxa"/>
            <w:vMerge w:val="continue"/>
            <w:shd w:val="clear" w:color="auto" w:fill="DDDDDD"/>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p>
        </w:tc>
        <w:tc>
          <w:tcPr>
            <w:tcW w:w="1240" w:type="dxa"/>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lang w:eastAsia="zh-CN"/>
              </w:rPr>
            </w:pPr>
            <w:r>
              <w:rPr>
                <w:rFonts w:hint="eastAsia" w:ascii="宋体" w:hAnsi="宋体" w:eastAsia="宋体" w:cs="宋体"/>
                <w:b/>
                <w:color w:val="auto"/>
                <w:sz w:val="18"/>
                <w:szCs w:val="18"/>
                <w:highlight w:val="none"/>
                <w:lang w:eastAsia="zh-CN"/>
              </w:rPr>
              <w:t>厂界噪声</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eastAsia="zh-CN"/>
              </w:rPr>
              <w:t>昼间</w:t>
            </w:r>
            <w:r>
              <w:rPr>
                <w:rFonts w:hint="eastAsia" w:ascii="宋体" w:hAnsi="宋体" w:eastAsia="宋体" w:cs="宋体"/>
                <w:b w:val="0"/>
                <w:bCs/>
                <w:color w:val="auto"/>
                <w:sz w:val="18"/>
                <w:szCs w:val="18"/>
                <w:highlight w:val="none"/>
                <w:lang w:val="en-US" w:eastAsia="zh-CN"/>
              </w:rPr>
              <w:t>41.2-43.4dB(A)</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b w:val="0"/>
                <w:bCs/>
                <w:color w:val="auto"/>
                <w:sz w:val="18"/>
                <w:szCs w:val="18"/>
                <w:highlight w:val="none"/>
                <w:lang w:val="en-US" w:eastAsia="zh-CN"/>
              </w:rPr>
              <w:t>夜间38.4-39.6dB(A)</w:t>
            </w:r>
          </w:p>
        </w:tc>
        <w:tc>
          <w:tcPr>
            <w:tcW w:w="1692"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eastAsia="zh-CN"/>
              </w:rPr>
              <w:t>昼间</w:t>
            </w:r>
            <w:r>
              <w:rPr>
                <w:rFonts w:hint="eastAsia" w:ascii="宋体" w:hAnsi="宋体" w:eastAsia="宋体" w:cs="宋体"/>
                <w:b w:val="0"/>
                <w:bCs/>
                <w:color w:val="auto"/>
                <w:sz w:val="18"/>
                <w:szCs w:val="18"/>
                <w:highlight w:val="none"/>
                <w:lang w:val="en-US" w:eastAsia="zh-CN"/>
              </w:rPr>
              <w:t>60dB(A)</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val="en-US" w:eastAsia="zh-CN"/>
              </w:rPr>
              <w:t>夜间50dB(A)</w:t>
            </w:r>
          </w:p>
        </w:tc>
        <w:tc>
          <w:tcPr>
            <w:tcW w:w="1529"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745" w:type="dxa"/>
            <w:tcBorders>
              <w:top w:val="single" w:color="DDDDDD" w:sz="4" w:space="0"/>
            </w:tcBorders>
            <w:shd w:val="clear" w:color="auto" w:fill="DDDDDD"/>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详填）</w:t>
            </w:r>
          </w:p>
        </w:tc>
        <w:tc>
          <w:tcPr>
            <w:tcW w:w="631" w:type="dxa"/>
            <w:vMerge w:val="continue"/>
            <w:shd w:val="clear" w:color="auto" w:fill="DDDDDD"/>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rPr>
            </w:pPr>
          </w:p>
        </w:tc>
        <w:tc>
          <w:tcPr>
            <w:tcW w:w="1240" w:type="dxa"/>
            <w:vAlign w:val="center"/>
          </w:tcPr>
          <w:p>
            <w:pPr>
              <w:keepNext w:val="0"/>
              <w:keepLines w:val="0"/>
              <w:pageBreakBefore w:val="0"/>
              <w:widowControl w:val="0"/>
              <w:kinsoku/>
              <w:wordWrap/>
              <w:overflowPunct/>
              <w:topLinePunct w:val="0"/>
              <w:autoSpaceDE/>
              <w:autoSpaceDN/>
              <w:bidi w:val="0"/>
              <w:spacing w:line="0" w:lineRule="atLeast"/>
              <w:jc w:val="distribute"/>
              <w:textAlignment w:val="auto"/>
              <w:rPr>
                <w:rFonts w:hint="eastAsia" w:ascii="宋体" w:hAnsi="宋体" w:eastAsia="宋体" w:cs="宋体"/>
                <w:b/>
                <w:color w:val="auto"/>
                <w:sz w:val="18"/>
                <w:szCs w:val="18"/>
                <w:highlight w:val="none"/>
                <w:lang w:eastAsia="zh-CN"/>
              </w:rPr>
            </w:pPr>
            <w:r>
              <w:rPr>
                <w:rFonts w:hint="eastAsia" w:ascii="宋体" w:hAnsi="宋体" w:eastAsia="宋体" w:cs="宋体"/>
                <w:b/>
                <w:color w:val="auto"/>
                <w:sz w:val="18"/>
                <w:szCs w:val="18"/>
                <w:highlight w:val="none"/>
                <w:lang w:eastAsia="zh-CN"/>
              </w:rPr>
              <w:t>敏感点噪声</w:t>
            </w:r>
          </w:p>
        </w:tc>
        <w:tc>
          <w:tcPr>
            <w:tcW w:w="121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92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eastAsia="zh-CN"/>
              </w:rPr>
              <w:t>昼间</w:t>
            </w:r>
            <w:r>
              <w:rPr>
                <w:rFonts w:hint="eastAsia" w:ascii="宋体" w:hAnsi="宋体" w:eastAsia="宋体" w:cs="宋体"/>
                <w:b w:val="0"/>
                <w:bCs/>
                <w:color w:val="auto"/>
                <w:sz w:val="18"/>
                <w:szCs w:val="18"/>
                <w:highlight w:val="none"/>
                <w:lang w:val="en-US" w:eastAsia="zh-CN"/>
              </w:rPr>
              <w:t>43.6-44.2dB(A)</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b w:val="0"/>
                <w:bCs/>
                <w:color w:val="auto"/>
                <w:sz w:val="18"/>
                <w:szCs w:val="18"/>
                <w:highlight w:val="none"/>
                <w:lang w:val="en-US" w:eastAsia="zh-CN"/>
              </w:rPr>
              <w:t>夜间37.2-38.2dB(A)</w:t>
            </w:r>
          </w:p>
        </w:tc>
        <w:tc>
          <w:tcPr>
            <w:tcW w:w="1692"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lang w:val="en-US" w:eastAsia="zh-CN"/>
              </w:rPr>
            </w:pPr>
            <w:r>
              <w:rPr>
                <w:rFonts w:hint="eastAsia" w:ascii="宋体" w:hAnsi="宋体" w:eastAsia="宋体" w:cs="宋体"/>
                <w:b w:val="0"/>
                <w:bCs/>
                <w:color w:val="auto"/>
                <w:sz w:val="18"/>
                <w:szCs w:val="18"/>
                <w:highlight w:val="none"/>
                <w:lang w:eastAsia="zh-CN"/>
              </w:rPr>
              <w:t>昼间</w:t>
            </w:r>
            <w:r>
              <w:rPr>
                <w:rFonts w:hint="eastAsia" w:ascii="宋体" w:hAnsi="宋体" w:eastAsia="宋体" w:cs="宋体"/>
                <w:b w:val="0"/>
                <w:bCs/>
                <w:color w:val="auto"/>
                <w:sz w:val="18"/>
                <w:szCs w:val="18"/>
                <w:highlight w:val="none"/>
                <w:lang w:val="en-US" w:eastAsia="zh-CN"/>
              </w:rPr>
              <w:t>60dB(A)</w:t>
            </w:r>
          </w:p>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val="0"/>
                <w:bCs/>
                <w:color w:val="auto"/>
                <w:sz w:val="18"/>
                <w:szCs w:val="18"/>
                <w:highlight w:val="none"/>
              </w:rPr>
            </w:pPr>
            <w:r>
              <w:rPr>
                <w:rFonts w:hint="eastAsia" w:ascii="宋体" w:hAnsi="宋体" w:eastAsia="宋体" w:cs="宋体"/>
                <w:b w:val="0"/>
                <w:bCs/>
                <w:color w:val="auto"/>
                <w:sz w:val="18"/>
                <w:szCs w:val="18"/>
                <w:highlight w:val="none"/>
                <w:lang w:val="en-US" w:eastAsia="zh-CN"/>
              </w:rPr>
              <w:t>夜间50dB(A)</w:t>
            </w:r>
          </w:p>
        </w:tc>
        <w:tc>
          <w:tcPr>
            <w:tcW w:w="1529"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485"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3"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28"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812" w:type="dxa"/>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534" w:type="dxa"/>
            <w:gridSpan w:val="3"/>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232"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c>
          <w:tcPr>
            <w:tcW w:w="1647" w:type="dxa"/>
            <w:gridSpan w:val="2"/>
            <w:vAlign w:val="center"/>
          </w:tcPr>
          <w:p>
            <w:pPr>
              <w:keepNext w:val="0"/>
              <w:keepLines w:val="0"/>
              <w:pageBreakBefore w:val="0"/>
              <w:widowControl w:val="0"/>
              <w:kinsoku/>
              <w:wordWrap/>
              <w:overflowPunct/>
              <w:topLinePunct w:val="0"/>
              <w:autoSpaceDE/>
              <w:autoSpaceDN/>
              <w:bidi w:val="0"/>
              <w:spacing w:line="0" w:lineRule="atLeast"/>
              <w:jc w:val="center"/>
              <w:textAlignment w:val="auto"/>
              <w:rPr>
                <w:rFonts w:hint="eastAsia" w:ascii="宋体" w:hAnsi="宋体" w:eastAsia="宋体" w:cs="宋体"/>
                <w:b/>
                <w:color w:val="auto"/>
                <w:sz w:val="18"/>
                <w:szCs w:val="18"/>
                <w:highlight w:val="none"/>
              </w:rPr>
            </w:pPr>
          </w:p>
        </w:tc>
      </w:tr>
    </w:tbl>
    <w:p>
      <w:pPr>
        <w:spacing w:line="360" w:lineRule="auto"/>
        <w:rPr>
          <w:rFonts w:hint="eastAsia" w:ascii="宋体" w:hAnsi="宋体" w:eastAsia="宋体" w:cs="宋体"/>
          <w:color w:val="auto"/>
          <w:highlight w:val="none"/>
        </w:rPr>
      </w:pPr>
      <w:r>
        <w:rPr>
          <w:rFonts w:hint="eastAsia" w:ascii="宋体" w:hAnsi="宋体" w:eastAsia="宋体" w:cs="宋体"/>
          <w:color w:val="auto"/>
          <w:sz w:val="18"/>
          <w:highlight w:val="none"/>
        </w:rPr>
        <w:t>注：1、排放增减量：(+)表示增加，(-)表示减少2、(12)=(6)-(8)-(11)，(9)=(4)-(5)-(8)-(11)+(1)  3、计量单位：废水排放量——万吨/年；废气排放量——万标立方米/年；工业固体废物排放量——万吨/年；水污染物排放浓度——毫克/升；大气污染物排放浓度——毫克/立方米；水污染物排放量——吨/年；大气污染物排放量——吨/年</w:t>
      </w:r>
    </w:p>
    <w:sectPr>
      <w:headerReference r:id="rId9" w:type="default"/>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48</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bCs/>
        <w:lang w:eastAsia="zh-CN"/>
      </w:rPr>
      <w:t>黑龙江七台河七市110千伏变电站增容改造工程竣工环境保护验收调查报告表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12E1FC"/>
    <w:multiLevelType w:val="singleLevel"/>
    <w:tmpl w:val="6212E1FC"/>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OTAwMWY0NDA0NWQ0MmQ1OTM3YmYyY2IyMjJmZTAifQ=="/>
  </w:docVars>
  <w:rsids>
    <w:rsidRoot w:val="63A84FDC"/>
    <w:rsid w:val="0001166E"/>
    <w:rsid w:val="001673B6"/>
    <w:rsid w:val="00176A33"/>
    <w:rsid w:val="001A6923"/>
    <w:rsid w:val="001F6B0B"/>
    <w:rsid w:val="00282826"/>
    <w:rsid w:val="003D0B0A"/>
    <w:rsid w:val="004932F4"/>
    <w:rsid w:val="00494B84"/>
    <w:rsid w:val="004B6079"/>
    <w:rsid w:val="004F1977"/>
    <w:rsid w:val="00541454"/>
    <w:rsid w:val="00562060"/>
    <w:rsid w:val="00570B4B"/>
    <w:rsid w:val="005D6335"/>
    <w:rsid w:val="006B4623"/>
    <w:rsid w:val="00704EB5"/>
    <w:rsid w:val="007743B0"/>
    <w:rsid w:val="00790764"/>
    <w:rsid w:val="00803001"/>
    <w:rsid w:val="008102F1"/>
    <w:rsid w:val="00814795"/>
    <w:rsid w:val="00850578"/>
    <w:rsid w:val="00897F3B"/>
    <w:rsid w:val="008C6068"/>
    <w:rsid w:val="009410D8"/>
    <w:rsid w:val="00973FD2"/>
    <w:rsid w:val="00A92671"/>
    <w:rsid w:val="00B43D24"/>
    <w:rsid w:val="00B5443F"/>
    <w:rsid w:val="00B87197"/>
    <w:rsid w:val="00BF57C4"/>
    <w:rsid w:val="00C26186"/>
    <w:rsid w:val="00CA7080"/>
    <w:rsid w:val="00CD6AFD"/>
    <w:rsid w:val="00D053B3"/>
    <w:rsid w:val="00D30A4D"/>
    <w:rsid w:val="00D64AFA"/>
    <w:rsid w:val="00D81204"/>
    <w:rsid w:val="00DB64E3"/>
    <w:rsid w:val="00DD5479"/>
    <w:rsid w:val="00DE5E2F"/>
    <w:rsid w:val="00E80C09"/>
    <w:rsid w:val="00F04428"/>
    <w:rsid w:val="00F04E6F"/>
    <w:rsid w:val="00F142D9"/>
    <w:rsid w:val="00FF187B"/>
    <w:rsid w:val="019374D3"/>
    <w:rsid w:val="02003DB7"/>
    <w:rsid w:val="02290C40"/>
    <w:rsid w:val="04BD1B14"/>
    <w:rsid w:val="05084354"/>
    <w:rsid w:val="056001C6"/>
    <w:rsid w:val="05B24C3C"/>
    <w:rsid w:val="05E422C8"/>
    <w:rsid w:val="06757435"/>
    <w:rsid w:val="06D511C9"/>
    <w:rsid w:val="06D7510F"/>
    <w:rsid w:val="07832BE3"/>
    <w:rsid w:val="07CB4548"/>
    <w:rsid w:val="08485A70"/>
    <w:rsid w:val="08744830"/>
    <w:rsid w:val="08834CC4"/>
    <w:rsid w:val="092A52F6"/>
    <w:rsid w:val="097338EA"/>
    <w:rsid w:val="097C690C"/>
    <w:rsid w:val="09C42D6C"/>
    <w:rsid w:val="09ED4202"/>
    <w:rsid w:val="0A130BDB"/>
    <w:rsid w:val="0A6C0264"/>
    <w:rsid w:val="0B62126E"/>
    <w:rsid w:val="0B7D4B31"/>
    <w:rsid w:val="0B9B0641"/>
    <w:rsid w:val="0BFB5CEE"/>
    <w:rsid w:val="0C061FF2"/>
    <w:rsid w:val="0C23533D"/>
    <w:rsid w:val="0C670CE3"/>
    <w:rsid w:val="0CA87014"/>
    <w:rsid w:val="0CDC4A11"/>
    <w:rsid w:val="0D470B14"/>
    <w:rsid w:val="0D883E84"/>
    <w:rsid w:val="0E6E3509"/>
    <w:rsid w:val="0E7E2F55"/>
    <w:rsid w:val="0FA22032"/>
    <w:rsid w:val="111F013A"/>
    <w:rsid w:val="115630D4"/>
    <w:rsid w:val="11567A86"/>
    <w:rsid w:val="1167210D"/>
    <w:rsid w:val="11C72224"/>
    <w:rsid w:val="12EE7EF0"/>
    <w:rsid w:val="12FC2B62"/>
    <w:rsid w:val="138E4030"/>
    <w:rsid w:val="13DD7ADC"/>
    <w:rsid w:val="169E79F7"/>
    <w:rsid w:val="16B11EA5"/>
    <w:rsid w:val="16F801F3"/>
    <w:rsid w:val="1804022B"/>
    <w:rsid w:val="18C64FE3"/>
    <w:rsid w:val="1907085F"/>
    <w:rsid w:val="1989731E"/>
    <w:rsid w:val="1A693E78"/>
    <w:rsid w:val="1AC45C69"/>
    <w:rsid w:val="1AC80905"/>
    <w:rsid w:val="1B0D392A"/>
    <w:rsid w:val="1BA2293D"/>
    <w:rsid w:val="1C444B9D"/>
    <w:rsid w:val="1C4C7E65"/>
    <w:rsid w:val="1CF739BD"/>
    <w:rsid w:val="1DC85A1C"/>
    <w:rsid w:val="1DED30AB"/>
    <w:rsid w:val="1E9049F4"/>
    <w:rsid w:val="1ED1023E"/>
    <w:rsid w:val="1F3173D2"/>
    <w:rsid w:val="1FBB33C8"/>
    <w:rsid w:val="1FF964C6"/>
    <w:rsid w:val="202350E2"/>
    <w:rsid w:val="20D35E9A"/>
    <w:rsid w:val="21186130"/>
    <w:rsid w:val="21442F49"/>
    <w:rsid w:val="21692C22"/>
    <w:rsid w:val="218B6DCA"/>
    <w:rsid w:val="21C85928"/>
    <w:rsid w:val="21DC3A48"/>
    <w:rsid w:val="22446799"/>
    <w:rsid w:val="22934188"/>
    <w:rsid w:val="23005752"/>
    <w:rsid w:val="23203542"/>
    <w:rsid w:val="242E4BAB"/>
    <w:rsid w:val="24425E1E"/>
    <w:rsid w:val="244E71A8"/>
    <w:rsid w:val="25506360"/>
    <w:rsid w:val="266F6CBA"/>
    <w:rsid w:val="26B01EDA"/>
    <w:rsid w:val="27032260"/>
    <w:rsid w:val="27982240"/>
    <w:rsid w:val="27AB3D22"/>
    <w:rsid w:val="27B801ED"/>
    <w:rsid w:val="27DE21B8"/>
    <w:rsid w:val="283F4BCD"/>
    <w:rsid w:val="2857591B"/>
    <w:rsid w:val="28941167"/>
    <w:rsid w:val="28BE1833"/>
    <w:rsid w:val="298E0E4D"/>
    <w:rsid w:val="2A716532"/>
    <w:rsid w:val="2A8A22C9"/>
    <w:rsid w:val="2AD553DC"/>
    <w:rsid w:val="2B057207"/>
    <w:rsid w:val="2B211F52"/>
    <w:rsid w:val="2BA016C4"/>
    <w:rsid w:val="2BA60CCC"/>
    <w:rsid w:val="2BA91ED6"/>
    <w:rsid w:val="2C3E381E"/>
    <w:rsid w:val="2CA31E38"/>
    <w:rsid w:val="2CDD3F34"/>
    <w:rsid w:val="2CF0667B"/>
    <w:rsid w:val="2D852124"/>
    <w:rsid w:val="2D9C5FE3"/>
    <w:rsid w:val="2DA5590A"/>
    <w:rsid w:val="2E0B191A"/>
    <w:rsid w:val="2E3F51C4"/>
    <w:rsid w:val="2E685345"/>
    <w:rsid w:val="2E7C7200"/>
    <w:rsid w:val="2E8B665B"/>
    <w:rsid w:val="2E9F5C62"/>
    <w:rsid w:val="2EA54A2B"/>
    <w:rsid w:val="2EFC30B5"/>
    <w:rsid w:val="2F2E0AE9"/>
    <w:rsid w:val="2F352E40"/>
    <w:rsid w:val="2F837332"/>
    <w:rsid w:val="2F933F7A"/>
    <w:rsid w:val="301B57BD"/>
    <w:rsid w:val="30405223"/>
    <w:rsid w:val="306058C5"/>
    <w:rsid w:val="317D7134"/>
    <w:rsid w:val="31C12394"/>
    <w:rsid w:val="32052280"/>
    <w:rsid w:val="329F4B49"/>
    <w:rsid w:val="33B53AD2"/>
    <w:rsid w:val="33FE329E"/>
    <w:rsid w:val="34886F13"/>
    <w:rsid w:val="34FB3A12"/>
    <w:rsid w:val="3509652C"/>
    <w:rsid w:val="36D97DE3"/>
    <w:rsid w:val="3700056A"/>
    <w:rsid w:val="370340CC"/>
    <w:rsid w:val="372E1271"/>
    <w:rsid w:val="37355187"/>
    <w:rsid w:val="374675C3"/>
    <w:rsid w:val="377A5C63"/>
    <w:rsid w:val="378A1ED3"/>
    <w:rsid w:val="37C029E7"/>
    <w:rsid w:val="39561614"/>
    <w:rsid w:val="3A361B71"/>
    <w:rsid w:val="3A4C2E2C"/>
    <w:rsid w:val="3A6B61EA"/>
    <w:rsid w:val="3A7206CF"/>
    <w:rsid w:val="3AB15804"/>
    <w:rsid w:val="3BD86C58"/>
    <w:rsid w:val="3CB23990"/>
    <w:rsid w:val="3CEF4259"/>
    <w:rsid w:val="3DAB05DD"/>
    <w:rsid w:val="3F5D7F20"/>
    <w:rsid w:val="401140BA"/>
    <w:rsid w:val="40195E74"/>
    <w:rsid w:val="403B1563"/>
    <w:rsid w:val="415E5D52"/>
    <w:rsid w:val="41766631"/>
    <w:rsid w:val="4190497D"/>
    <w:rsid w:val="422155C4"/>
    <w:rsid w:val="422E137F"/>
    <w:rsid w:val="424D3C05"/>
    <w:rsid w:val="42801FE4"/>
    <w:rsid w:val="42A930FC"/>
    <w:rsid w:val="42E5528F"/>
    <w:rsid w:val="435B6215"/>
    <w:rsid w:val="43730EA1"/>
    <w:rsid w:val="43F73926"/>
    <w:rsid w:val="44A75419"/>
    <w:rsid w:val="45A549FB"/>
    <w:rsid w:val="45C14697"/>
    <w:rsid w:val="47415421"/>
    <w:rsid w:val="48256569"/>
    <w:rsid w:val="486D0453"/>
    <w:rsid w:val="48943F06"/>
    <w:rsid w:val="48F46198"/>
    <w:rsid w:val="49520049"/>
    <w:rsid w:val="49580A78"/>
    <w:rsid w:val="49855267"/>
    <w:rsid w:val="499A554C"/>
    <w:rsid w:val="49A11BD2"/>
    <w:rsid w:val="49EE489E"/>
    <w:rsid w:val="4A984651"/>
    <w:rsid w:val="4B0B04B0"/>
    <w:rsid w:val="4B182BCD"/>
    <w:rsid w:val="4B253B21"/>
    <w:rsid w:val="4B2F1B39"/>
    <w:rsid w:val="4BD42F98"/>
    <w:rsid w:val="4C567AE2"/>
    <w:rsid w:val="4CCC6B33"/>
    <w:rsid w:val="4CCD0571"/>
    <w:rsid w:val="4D183358"/>
    <w:rsid w:val="4D265A75"/>
    <w:rsid w:val="4DB34E2F"/>
    <w:rsid w:val="4DC42A38"/>
    <w:rsid w:val="4E2D2E33"/>
    <w:rsid w:val="4E3C7D91"/>
    <w:rsid w:val="4F2A1121"/>
    <w:rsid w:val="4F570549"/>
    <w:rsid w:val="4F5850A3"/>
    <w:rsid w:val="4FFF6109"/>
    <w:rsid w:val="501A0529"/>
    <w:rsid w:val="502F63BF"/>
    <w:rsid w:val="50746AF7"/>
    <w:rsid w:val="507B7E86"/>
    <w:rsid w:val="50E50A43"/>
    <w:rsid w:val="518750A2"/>
    <w:rsid w:val="51F54112"/>
    <w:rsid w:val="520003B7"/>
    <w:rsid w:val="52D229F0"/>
    <w:rsid w:val="53652A78"/>
    <w:rsid w:val="53FF492A"/>
    <w:rsid w:val="548C2828"/>
    <w:rsid w:val="54A454D1"/>
    <w:rsid w:val="54BF40B9"/>
    <w:rsid w:val="5516017D"/>
    <w:rsid w:val="557E0614"/>
    <w:rsid w:val="55A85C37"/>
    <w:rsid w:val="570D6B00"/>
    <w:rsid w:val="58417C07"/>
    <w:rsid w:val="5A3010FA"/>
    <w:rsid w:val="5A7A7400"/>
    <w:rsid w:val="5AE96334"/>
    <w:rsid w:val="5B182775"/>
    <w:rsid w:val="5B3255E5"/>
    <w:rsid w:val="5B357616"/>
    <w:rsid w:val="5B4C2BEE"/>
    <w:rsid w:val="5C306C59"/>
    <w:rsid w:val="5C3B671B"/>
    <w:rsid w:val="5C45759A"/>
    <w:rsid w:val="5CD42C31"/>
    <w:rsid w:val="5CFC343A"/>
    <w:rsid w:val="5D061214"/>
    <w:rsid w:val="5D665948"/>
    <w:rsid w:val="5EAA5596"/>
    <w:rsid w:val="5EB75DF0"/>
    <w:rsid w:val="5EB822A5"/>
    <w:rsid w:val="5F0B3E20"/>
    <w:rsid w:val="5F4A5766"/>
    <w:rsid w:val="5FC87FCE"/>
    <w:rsid w:val="603B3838"/>
    <w:rsid w:val="609B1E7E"/>
    <w:rsid w:val="60DB3486"/>
    <w:rsid w:val="6140338B"/>
    <w:rsid w:val="615A5895"/>
    <w:rsid w:val="61A15272"/>
    <w:rsid w:val="6232236E"/>
    <w:rsid w:val="628F2D18"/>
    <w:rsid w:val="62EA33EB"/>
    <w:rsid w:val="63780DF6"/>
    <w:rsid w:val="63A84FDC"/>
    <w:rsid w:val="63B639DC"/>
    <w:rsid w:val="642A39BA"/>
    <w:rsid w:val="655529F7"/>
    <w:rsid w:val="65E17F1D"/>
    <w:rsid w:val="666351EC"/>
    <w:rsid w:val="668D04BB"/>
    <w:rsid w:val="66BE0674"/>
    <w:rsid w:val="66C34001"/>
    <w:rsid w:val="66E152EC"/>
    <w:rsid w:val="670105B2"/>
    <w:rsid w:val="67543CAA"/>
    <w:rsid w:val="68A84122"/>
    <w:rsid w:val="68AB67DA"/>
    <w:rsid w:val="696E668D"/>
    <w:rsid w:val="699C28B0"/>
    <w:rsid w:val="6A316B7C"/>
    <w:rsid w:val="6A3446C5"/>
    <w:rsid w:val="6A4E089A"/>
    <w:rsid w:val="6B560C49"/>
    <w:rsid w:val="6B6C4B43"/>
    <w:rsid w:val="6C392A8C"/>
    <w:rsid w:val="6C5A328A"/>
    <w:rsid w:val="6C9A2EA0"/>
    <w:rsid w:val="6D2A7BC5"/>
    <w:rsid w:val="6D5D0F0C"/>
    <w:rsid w:val="6D972C1C"/>
    <w:rsid w:val="6DA265FA"/>
    <w:rsid w:val="6DD76B16"/>
    <w:rsid w:val="6DD93FE6"/>
    <w:rsid w:val="6E0065E9"/>
    <w:rsid w:val="6E0818DD"/>
    <w:rsid w:val="6E112D3E"/>
    <w:rsid w:val="6E2A4841"/>
    <w:rsid w:val="6E682EC4"/>
    <w:rsid w:val="6E7D4D37"/>
    <w:rsid w:val="6F121862"/>
    <w:rsid w:val="6F18123A"/>
    <w:rsid w:val="6F4A65E2"/>
    <w:rsid w:val="70E16440"/>
    <w:rsid w:val="7116445C"/>
    <w:rsid w:val="7120443D"/>
    <w:rsid w:val="7121030E"/>
    <w:rsid w:val="71C81E4D"/>
    <w:rsid w:val="71F966CF"/>
    <w:rsid w:val="728D4C48"/>
    <w:rsid w:val="732952B4"/>
    <w:rsid w:val="732C4F19"/>
    <w:rsid w:val="73D55F94"/>
    <w:rsid w:val="756E2209"/>
    <w:rsid w:val="75AA42CB"/>
    <w:rsid w:val="76D66663"/>
    <w:rsid w:val="77061C1E"/>
    <w:rsid w:val="776F228C"/>
    <w:rsid w:val="77702AF8"/>
    <w:rsid w:val="77F268C7"/>
    <w:rsid w:val="790B2036"/>
    <w:rsid w:val="791C1698"/>
    <w:rsid w:val="793D1D72"/>
    <w:rsid w:val="79E67503"/>
    <w:rsid w:val="7A102B3D"/>
    <w:rsid w:val="7A7242B3"/>
    <w:rsid w:val="7AA4724C"/>
    <w:rsid w:val="7B66335D"/>
    <w:rsid w:val="7C054941"/>
    <w:rsid w:val="7CF76237"/>
    <w:rsid w:val="7D3501DD"/>
    <w:rsid w:val="7DA66442"/>
    <w:rsid w:val="7DCA721C"/>
    <w:rsid w:val="7E452DF1"/>
    <w:rsid w:val="7F2468E1"/>
    <w:rsid w:val="7F3F6260"/>
    <w:rsid w:val="7F83607A"/>
    <w:rsid w:val="7FB126CD"/>
    <w:rsid w:val="7FC63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24"/>
      <w:szCs w:val="24"/>
      <w:lang w:val="en-US" w:eastAsia="zh-CN"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0"/>
    </w:pPr>
    <w:rPr>
      <w:rFonts w:hint="eastAsia" w:ascii="宋体" w:hAnsi="宋体" w:eastAsia="宋体" w:cs="宋体"/>
      <w:b/>
      <w:bCs/>
      <w:kern w:val="44"/>
      <w:sz w:val="48"/>
      <w:szCs w:val="48"/>
      <w:lang w:val="en-US" w:eastAsia="zh-CN" w:bidi="ar"/>
    </w:rPr>
  </w:style>
  <w:style w:type="paragraph" w:styleId="4">
    <w:name w:val="heading 3"/>
    <w:basedOn w:val="1"/>
    <w:next w:val="1"/>
    <w:unhideWhenUsed/>
    <w:qFormat/>
    <w:uiPriority w:val="0"/>
    <w:pPr>
      <w:spacing w:line="360" w:lineRule="auto"/>
      <w:ind w:firstLine="200"/>
      <w:jc w:val="left"/>
      <w:outlineLvl w:val="2"/>
    </w:pPr>
    <w:rPr>
      <w:rFonts w:ascii="黑体" w:hAnsi="黑体" w:eastAsia="宋体"/>
      <w:b/>
      <w:bCs/>
      <w:spacing w:val="16"/>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qFormat/>
    <w:uiPriority w:val="0"/>
    <w:pPr>
      <w:spacing w:line="360" w:lineRule="auto"/>
      <w:ind w:firstLine="482"/>
    </w:pPr>
  </w:style>
  <w:style w:type="paragraph" w:styleId="5">
    <w:name w:val="Normal Indent"/>
    <w:basedOn w:val="1"/>
    <w:qFormat/>
    <w:uiPriority w:val="0"/>
    <w:pPr>
      <w:ind w:firstLine="420"/>
      <w:textAlignment w:val="baseline"/>
    </w:pPr>
  </w:style>
  <w:style w:type="paragraph" w:styleId="6">
    <w:name w:val="caption"/>
    <w:basedOn w:val="1"/>
    <w:next w:val="1"/>
    <w:qFormat/>
    <w:uiPriority w:val="0"/>
    <w:pPr>
      <w:widowControl w:val="0"/>
      <w:spacing w:line="360" w:lineRule="auto"/>
      <w:ind w:firstLine="200" w:firstLineChars="200"/>
      <w:jc w:val="center"/>
    </w:pPr>
    <w:rPr>
      <w:rFonts w:eastAsia="黑体"/>
      <w:kern w:val="2"/>
      <w:sz w:val="24"/>
      <w:lang w:val="en-US" w:eastAsia="zh-CN" w:bidi="ar-SA"/>
    </w:rPr>
  </w:style>
  <w:style w:type="paragraph" w:styleId="7">
    <w:name w:val="annotation text"/>
    <w:basedOn w:val="1"/>
    <w:qFormat/>
    <w:uiPriority w:val="0"/>
    <w:pPr>
      <w:jc w:val="left"/>
    </w:pPr>
  </w:style>
  <w:style w:type="paragraph" w:styleId="8">
    <w:name w:val="Body Text"/>
    <w:basedOn w:val="1"/>
    <w:next w:val="9"/>
    <w:unhideWhenUsed/>
    <w:qFormat/>
    <w:uiPriority w:val="0"/>
    <w:rPr>
      <w:rFonts w:hint="eastAsia"/>
    </w:rPr>
  </w:style>
  <w:style w:type="paragraph" w:styleId="9">
    <w:name w:val="List Bullet 5"/>
    <w:basedOn w:val="1"/>
    <w:qFormat/>
    <w:uiPriority w:val="0"/>
    <w:pPr>
      <w:numPr>
        <w:ilvl w:val="0"/>
        <w:numId w:val="1"/>
      </w:numPr>
    </w:pPr>
  </w:style>
  <w:style w:type="paragraph" w:styleId="10">
    <w:name w:val="Plain Text"/>
    <w:basedOn w:val="1"/>
    <w:qFormat/>
    <w:uiPriority w:val="0"/>
    <w:pPr>
      <w:spacing w:line="360" w:lineRule="auto"/>
    </w:pPr>
    <w:rPr>
      <w:spacing w:val="8"/>
      <w:kern w:val="2"/>
    </w:rPr>
  </w:style>
  <w:style w:type="paragraph" w:styleId="11">
    <w:name w:val="Balloon Text"/>
    <w:basedOn w:val="1"/>
    <w:link w:val="24"/>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qFormat/>
    <w:uiPriority w:val="0"/>
    <w:pPr>
      <w:widowControl w:val="0"/>
      <w:spacing w:before="240" w:after="60" w:line="360" w:lineRule="auto"/>
      <w:ind w:firstLine="200" w:firstLineChars="200"/>
      <w:outlineLvl w:val="1"/>
    </w:pPr>
    <w:rPr>
      <w:b/>
      <w:bCs/>
      <w:kern w:val="28"/>
      <w:sz w:val="24"/>
      <w:szCs w:val="32"/>
      <w:lang w:val="en-US" w:eastAsia="zh-CN" w:bidi="ar-SA"/>
    </w:rPr>
  </w:style>
  <w:style w:type="paragraph" w:styleId="15">
    <w:name w:val="Normal (Web)"/>
    <w:basedOn w:val="1"/>
    <w:qFormat/>
    <w:uiPriority w:val="0"/>
    <w:pPr>
      <w:spacing w:beforeAutospacing="1" w:afterAutospacing="1"/>
      <w:jc w:val="left"/>
    </w:pPr>
    <w:rPr>
      <w:rFonts w:ascii="宋体" w:hAnsi="宋体" w:eastAsia="宋体"/>
      <w:kern w:val="0"/>
    </w:rPr>
  </w:style>
  <w:style w:type="paragraph" w:styleId="16">
    <w:name w:val="Body Text First Indent"/>
    <w:basedOn w:val="8"/>
    <w:qFormat/>
    <w:uiPriority w:val="0"/>
    <w:pPr>
      <w:spacing w:after="120"/>
      <w:ind w:firstLine="420" w:firstLineChars="100"/>
    </w:pPr>
    <w:rPr>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0">
    <w:name w:val="Strong"/>
    <w:basedOn w:val="19"/>
    <w:qFormat/>
    <w:uiPriority w:val="0"/>
    <w:rPr>
      <w:b/>
    </w:rPr>
  </w:style>
  <w:style w:type="character" w:styleId="21">
    <w:name w:val="annotation reference"/>
    <w:basedOn w:val="19"/>
    <w:qFormat/>
    <w:uiPriority w:val="0"/>
    <w:rPr>
      <w:sz w:val="21"/>
      <w:szCs w:val="21"/>
    </w:rPr>
  </w:style>
  <w:style w:type="paragraph" w:customStyle="1" w:styleId="22">
    <w:name w:val="样式 标题 1 + 首行缩进:  2 字符"/>
    <w:basedOn w:val="8"/>
    <w:next w:val="8"/>
    <w:unhideWhenUsed/>
    <w:qFormat/>
    <w:uiPriority w:val="0"/>
    <w:pPr>
      <w:ind w:firstLine="200" w:firstLineChars="200"/>
      <w:jc w:val="center"/>
    </w:pPr>
  </w:style>
  <w:style w:type="paragraph" w:customStyle="1" w:styleId="23">
    <w:name w:val="表文"/>
    <w:basedOn w:val="1"/>
    <w:qFormat/>
    <w:uiPriority w:val="0"/>
    <w:pPr>
      <w:snapToGrid w:val="0"/>
      <w:jc w:val="center"/>
    </w:pPr>
    <w:rPr>
      <w:szCs w:val="20"/>
    </w:rPr>
  </w:style>
  <w:style w:type="character" w:customStyle="1" w:styleId="24">
    <w:name w:val="批注框文本 Char"/>
    <w:basedOn w:val="19"/>
    <w:link w:val="11"/>
    <w:qFormat/>
    <w:uiPriority w:val="0"/>
    <w:rPr>
      <w:rFonts w:ascii="Times New Roman" w:hAnsi="Times New Roman" w:eastAsia="仿宋_GB2312" w:cs="Times New Roman"/>
      <w:kern w:val="2"/>
      <w:sz w:val="18"/>
      <w:szCs w:val="18"/>
    </w:rPr>
  </w:style>
  <w:style w:type="paragraph" w:customStyle="1" w:styleId="25">
    <w:name w:val="表内字"/>
    <w:qFormat/>
    <w:uiPriority w:val="0"/>
    <w:pPr>
      <w:jc w:val="center"/>
    </w:pPr>
    <w:rPr>
      <w:rFonts w:ascii="Times New Roman" w:hAnsi="Times New Roman" w:eastAsia="宋体" w:cs="Times New Roman"/>
      <w:color w:val="000000"/>
      <w:sz w:val="21"/>
      <w:szCs w:val="22"/>
      <w:lang w:val="en-US" w:eastAsia="zh-CN" w:bidi="ar-SA"/>
    </w:rPr>
  </w:style>
  <w:style w:type="paragraph" w:customStyle="1" w:styleId="26">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
    <w:name w:val="Normal"/>
    <w:qFormat/>
    <w:uiPriority w:val="0"/>
    <w:pPr>
      <w:widowControl w:val="0"/>
      <w:adjustRightInd w:val="0"/>
      <w:spacing w:line="360" w:lineRule="atLeast"/>
      <w:textAlignment w:val="baseline"/>
    </w:pPr>
    <w:rPr>
      <w:rFonts w:ascii="宋体" w:hAnsi="Times New Roman" w:eastAsia="宋体" w:cs="Times New Roman"/>
      <w:sz w:val="24"/>
      <w:szCs w:val="22"/>
      <w:lang w:val="en-US" w:eastAsia="zh-CN" w:bidi="ar-SA"/>
    </w:rPr>
  </w:style>
  <w:style w:type="paragraph" w:customStyle="1" w:styleId="28">
    <w:name w:val="表中字"/>
    <w:qFormat/>
    <w:uiPriority w:val="0"/>
    <w:pPr>
      <w:widowControl w:val="0"/>
      <w:jc w:val="center"/>
    </w:pPr>
    <w:rPr>
      <w:rFonts w:ascii="Calibri" w:hAnsi="Calibri" w:eastAsia="宋体" w:cs="Times New Roman"/>
      <w:kern w:val="2"/>
      <w:sz w:val="21"/>
      <w:szCs w:val="22"/>
      <w:lang w:val="zh-CN" w:eastAsia="zh-CN" w:bidi="ar-SA"/>
    </w:rPr>
  </w:style>
  <w:style w:type="paragraph" w:customStyle="1" w:styleId="29">
    <w:name w:val="表头"/>
    <w:qFormat/>
    <w:uiPriority w:val="0"/>
    <w:pPr>
      <w:widowControl w:val="0"/>
      <w:spacing w:line="440" w:lineRule="exact"/>
      <w:ind w:firstLine="200" w:firstLineChars="200"/>
      <w:jc w:val="center"/>
    </w:pPr>
    <w:rPr>
      <w:rFonts w:ascii="Calibri" w:hAnsi="Calibri" w:eastAsia="宋体" w:cs="Times New Roman"/>
      <w:b/>
      <w:kern w:val="2"/>
      <w:sz w:val="24"/>
      <w:szCs w:val="22"/>
      <w:lang w:val="en-US" w:eastAsia="zh-CN" w:bidi="ar-SA"/>
    </w:rPr>
  </w:style>
  <w:style w:type="paragraph" w:styleId="30">
    <w:name w:val="No Spacing"/>
    <w:qFormat/>
    <w:uiPriority w:val="1"/>
    <w:pPr>
      <w:widowControl w:val="0"/>
      <w:spacing w:line="320" w:lineRule="exact"/>
      <w:jc w:val="center"/>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45</Pages>
  <Words>20135</Words>
  <Characters>22824</Characters>
  <Lines>258</Lines>
  <Paragraphs>72</Paragraphs>
  <TotalTime>0</TotalTime>
  <ScaleCrop>false</ScaleCrop>
  <LinksUpToDate>false</LinksUpToDate>
  <CharactersWithSpaces>23420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2023-01-02T22:33:00Z</dcterms:created>
  <dc:creator>su</dc:creator>
  <cp:lastModifiedBy>0</cp:lastModifiedBy>
  <cp:lastPrinted>2022-12-23T06:03:00Z</cp:lastPrinted>
  <dcterms:modified xsi:type="dcterms:W3CDTF">2023-12-04T05:00:17Z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9964CC28E8394E4CB6E6A9C73201A60F_13</vt:lpwstr>
  </property>
</Properties>
</file>